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FBF2E2">
      <w:pPr>
        <w:spacing w:before="360" w:beforeLines="150"/>
        <w:ind w:right="-113" w:rightChars="-47"/>
        <w:rPr>
          <w:rFonts w:hint="eastAsia" w:asciiTheme="majorEastAsia" w:hAnsiTheme="majorEastAsia" w:eastAsiaTheme="majorEastAsia"/>
          <w:sz w:val="44"/>
          <w:szCs w:val="44"/>
          <w:highlight w:val="none"/>
        </w:rPr>
      </w:pPr>
    </w:p>
    <w:p w14:paraId="05A5B751">
      <w:pPr>
        <w:spacing w:before="360" w:beforeLines="150"/>
        <w:ind w:right="-113" w:rightChars="-47"/>
        <w:jc w:val="right"/>
        <w:rPr>
          <w:rFonts w:hint="eastAsia" w:cs="宋体" w:asciiTheme="majorEastAsia" w:hAnsiTheme="majorEastAsia" w:eastAsiaTheme="majorEastAsia"/>
          <w:b/>
          <w:bCs/>
          <w:w w:val="80"/>
          <w:sz w:val="30"/>
          <w:szCs w:val="30"/>
          <w:highlight w:val="none"/>
          <w:lang w:eastAsia="zh-CN"/>
        </w:rPr>
      </w:pPr>
      <w:r>
        <w:rPr>
          <w:rFonts w:hint="eastAsia" w:asciiTheme="majorEastAsia" w:hAnsiTheme="majorEastAsia" w:eastAsiaTheme="majorEastAsia"/>
          <w:sz w:val="44"/>
          <w:szCs w:val="44"/>
          <w:highlight w:val="none"/>
        </w:rPr>
        <w:t xml:space="preserve">                        </w:t>
      </w:r>
      <w:r>
        <w:rPr>
          <w:rFonts w:hint="eastAsia" w:cs="宋体" w:asciiTheme="majorEastAsia" w:hAnsiTheme="majorEastAsia" w:eastAsiaTheme="majorEastAsia"/>
          <w:b/>
          <w:bCs/>
          <w:w w:val="80"/>
          <w:sz w:val="30"/>
          <w:szCs w:val="30"/>
          <w:highlight w:val="none"/>
        </w:rPr>
        <w:t>招标编号：</w:t>
      </w:r>
      <w:r>
        <w:rPr>
          <w:rFonts w:hint="eastAsia" w:cs="宋体" w:asciiTheme="majorEastAsia" w:hAnsiTheme="majorEastAsia" w:eastAsiaTheme="majorEastAsia"/>
          <w:b/>
          <w:bCs/>
          <w:w w:val="80"/>
          <w:sz w:val="30"/>
          <w:szCs w:val="30"/>
          <w:highlight w:val="none"/>
          <w:lang w:eastAsia="zh-CN"/>
        </w:rPr>
        <w:t>DZZG202</w:t>
      </w:r>
      <w:r>
        <w:rPr>
          <w:rFonts w:hint="eastAsia" w:cs="宋体" w:asciiTheme="majorEastAsia" w:hAnsiTheme="majorEastAsia" w:eastAsiaTheme="majorEastAsia"/>
          <w:b/>
          <w:bCs/>
          <w:w w:val="80"/>
          <w:sz w:val="30"/>
          <w:szCs w:val="30"/>
          <w:highlight w:val="none"/>
          <w:lang w:val="en-US" w:eastAsia="zh-CN"/>
        </w:rPr>
        <w:t>6</w:t>
      </w:r>
      <w:r>
        <w:rPr>
          <w:rFonts w:hint="eastAsia" w:cs="宋体" w:asciiTheme="majorEastAsia" w:hAnsiTheme="majorEastAsia" w:eastAsiaTheme="majorEastAsia"/>
          <w:b/>
          <w:bCs/>
          <w:w w:val="80"/>
          <w:sz w:val="30"/>
          <w:szCs w:val="30"/>
          <w:highlight w:val="none"/>
          <w:lang w:eastAsia="zh-CN"/>
        </w:rPr>
        <w:t>000</w:t>
      </w:r>
      <w:r>
        <w:rPr>
          <w:rFonts w:hint="eastAsia" w:cs="宋体" w:asciiTheme="majorEastAsia" w:hAnsiTheme="majorEastAsia" w:eastAsiaTheme="majorEastAsia"/>
          <w:b/>
          <w:bCs/>
          <w:w w:val="80"/>
          <w:sz w:val="30"/>
          <w:szCs w:val="30"/>
          <w:highlight w:val="none"/>
          <w:lang w:val="en-US" w:eastAsia="zh-CN"/>
        </w:rPr>
        <w:t>8</w:t>
      </w:r>
    </w:p>
    <w:p w14:paraId="58A2E300">
      <w:pPr>
        <w:jc w:val="center"/>
        <w:rPr>
          <w:rFonts w:hint="eastAsia" w:cs="宋体" w:asciiTheme="majorEastAsia" w:hAnsiTheme="majorEastAsia" w:eastAsiaTheme="majorEastAsia"/>
          <w:b/>
          <w:bCs/>
          <w:spacing w:val="-10"/>
          <w:w w:val="66"/>
          <w:sz w:val="56"/>
          <w:szCs w:val="56"/>
          <w:highlight w:val="none"/>
          <w:lang w:eastAsia="zh-CN"/>
        </w:rPr>
      </w:pPr>
    </w:p>
    <w:p w14:paraId="6514631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Theme="majorEastAsia" w:hAnsiTheme="majorEastAsia" w:eastAsiaTheme="majorEastAsia"/>
          <w:highlight w:val="none"/>
        </w:rPr>
      </w:pPr>
      <w:r>
        <w:rPr>
          <w:rFonts w:hint="eastAsia" w:asciiTheme="majorEastAsia" w:hAnsiTheme="majorEastAsia" w:eastAsiaTheme="majorEastAsia"/>
          <w:b/>
          <w:bCs/>
          <w:sz w:val="40"/>
          <w:szCs w:val="40"/>
          <w:highlight w:val="none"/>
          <w:lang w:eastAsia="zh-CN"/>
        </w:rPr>
        <w:t>联珠镇癸能村花卉产业农文旅融合发展配套设施项目EPC+O</w:t>
      </w:r>
    </w:p>
    <w:p w14:paraId="00C0CD84">
      <w:pPr>
        <w:rPr>
          <w:rFonts w:asciiTheme="majorEastAsia" w:hAnsiTheme="majorEastAsia" w:eastAsiaTheme="majorEastAsia"/>
          <w:highlight w:val="none"/>
        </w:rPr>
      </w:pPr>
    </w:p>
    <w:p w14:paraId="14E6DBF1">
      <w:pPr>
        <w:rPr>
          <w:rFonts w:asciiTheme="majorEastAsia" w:hAnsiTheme="majorEastAsia" w:eastAsiaTheme="majorEastAsia"/>
          <w:highlight w:val="none"/>
        </w:rPr>
      </w:pPr>
    </w:p>
    <w:p w14:paraId="032EC3C8">
      <w:pPr>
        <w:keepNext w:val="0"/>
        <w:keepLines w:val="0"/>
        <w:pageBreakBefore w:val="0"/>
        <w:widowControl/>
        <w:kinsoku/>
        <w:wordWrap/>
        <w:overflowPunct/>
        <w:topLinePunct w:val="0"/>
        <w:autoSpaceDE/>
        <w:autoSpaceDN/>
        <w:bidi w:val="0"/>
        <w:adjustRightInd/>
        <w:snapToGrid/>
        <w:spacing w:line="1500" w:lineRule="exact"/>
        <w:jc w:val="center"/>
        <w:textAlignment w:val="auto"/>
        <w:rPr>
          <w:rFonts w:cs="宋体" w:asciiTheme="majorEastAsia" w:hAnsiTheme="majorEastAsia" w:eastAsiaTheme="majorEastAsia"/>
          <w:b/>
          <w:bCs/>
          <w:w w:val="80"/>
          <w:sz w:val="110"/>
          <w:szCs w:val="110"/>
          <w:highlight w:val="none"/>
        </w:rPr>
      </w:pPr>
      <w:bookmarkStart w:id="0" w:name="_Toc148975302"/>
      <w:bookmarkStart w:id="1" w:name="_Toc291101140"/>
      <w:bookmarkStart w:id="2" w:name="_Toc291362950"/>
      <w:bookmarkStart w:id="3" w:name="_Toc200365817"/>
      <w:bookmarkStart w:id="4" w:name="_Toc291408657"/>
      <w:bookmarkStart w:id="5" w:name="_Toc148974041"/>
      <w:bookmarkStart w:id="6" w:name="_Toc187661408"/>
      <w:bookmarkStart w:id="7" w:name="_Toc188162914"/>
      <w:bookmarkStart w:id="8" w:name="_Toc347471533"/>
      <w:bookmarkStart w:id="9" w:name="_Toc291100949"/>
      <w:bookmarkStart w:id="10" w:name="_Toc291098978"/>
      <w:bookmarkStart w:id="11" w:name="_Toc240360430"/>
      <w:bookmarkStart w:id="12" w:name="_Toc328983645"/>
      <w:bookmarkStart w:id="13" w:name="_Toc200538046"/>
      <w:bookmarkStart w:id="14" w:name="_Toc291409073"/>
      <w:bookmarkStart w:id="15" w:name="_Toc351720974"/>
      <w:bookmarkStart w:id="16" w:name="_Toc328551265"/>
      <w:bookmarkStart w:id="17" w:name="_Toc280815024"/>
      <w:bookmarkStart w:id="18" w:name="_Toc280814882"/>
      <w:bookmarkStart w:id="19" w:name="_Toc200083575"/>
      <w:bookmarkStart w:id="20" w:name="_Toc287195832"/>
      <w:bookmarkStart w:id="21" w:name="_Toc328554206"/>
      <w:bookmarkStart w:id="22" w:name="_Toc200331847"/>
      <w:bookmarkStart w:id="23" w:name="_Toc196648197"/>
      <w:bookmarkStart w:id="24" w:name="_Toc291286855"/>
      <w:bookmarkStart w:id="25" w:name="_Toc196639408"/>
      <w:bookmarkStart w:id="26" w:name="_Toc351578524"/>
      <w:bookmarkStart w:id="27" w:name="_Toc329008133"/>
      <w:bookmarkStart w:id="28" w:name="_Toc292188920"/>
      <w:bookmarkStart w:id="29" w:name="_Toc351579131"/>
      <w:bookmarkStart w:id="30" w:name="_Toc327971042"/>
      <w:bookmarkStart w:id="31" w:name="_Toc328423355"/>
      <w:bookmarkStart w:id="32" w:name="_Toc358198142"/>
      <w:bookmarkStart w:id="33" w:name="_Toc329066894"/>
      <w:bookmarkStart w:id="34" w:name="_Toc259924676"/>
      <w:bookmarkStart w:id="35" w:name="_Toc291102852"/>
      <w:bookmarkStart w:id="36" w:name="_Toc358198061"/>
      <w:bookmarkStart w:id="37" w:name="_Toc329069335"/>
      <w:bookmarkStart w:id="38" w:name="_Toc188164772"/>
      <w:bookmarkStart w:id="39" w:name="_Toc209329667"/>
      <w:bookmarkStart w:id="40" w:name="_Toc188166400"/>
      <w:bookmarkStart w:id="41" w:name="_Toc240778317"/>
      <w:bookmarkStart w:id="42" w:name="_Toc187746378"/>
      <w:bookmarkStart w:id="43" w:name="_Toc291101045"/>
      <w:bookmarkStart w:id="44" w:name="_Toc200535936"/>
      <w:bookmarkStart w:id="45" w:name="_Toc219890408"/>
      <w:bookmarkStart w:id="46" w:name="_Toc291099873"/>
      <w:r>
        <w:rPr>
          <w:rFonts w:hint="eastAsia" w:cs="宋体" w:asciiTheme="majorEastAsia" w:hAnsiTheme="majorEastAsia" w:eastAsiaTheme="majorEastAsia"/>
          <w:b/>
          <w:bCs/>
          <w:w w:val="80"/>
          <w:sz w:val="110"/>
          <w:szCs w:val="110"/>
          <w:highlight w:val="none"/>
        </w:rPr>
        <w:t>招</w:t>
      </w:r>
    </w:p>
    <w:p w14:paraId="3A7ED7D4">
      <w:pPr>
        <w:keepNext w:val="0"/>
        <w:keepLines w:val="0"/>
        <w:pageBreakBefore w:val="0"/>
        <w:widowControl/>
        <w:kinsoku/>
        <w:wordWrap/>
        <w:overflowPunct/>
        <w:topLinePunct w:val="0"/>
        <w:autoSpaceDE/>
        <w:autoSpaceDN/>
        <w:bidi w:val="0"/>
        <w:adjustRightInd/>
        <w:snapToGrid/>
        <w:spacing w:line="1500" w:lineRule="exact"/>
        <w:jc w:val="center"/>
        <w:textAlignment w:val="auto"/>
        <w:rPr>
          <w:rFonts w:cs="宋体" w:asciiTheme="majorEastAsia" w:hAnsiTheme="majorEastAsia" w:eastAsiaTheme="majorEastAsia"/>
          <w:b/>
          <w:bCs/>
          <w:w w:val="80"/>
          <w:sz w:val="110"/>
          <w:szCs w:val="110"/>
          <w:highlight w:val="none"/>
        </w:rPr>
      </w:pPr>
      <w:r>
        <w:rPr>
          <w:rFonts w:hint="eastAsia" w:cs="宋体" w:asciiTheme="majorEastAsia" w:hAnsiTheme="majorEastAsia" w:eastAsiaTheme="majorEastAsia"/>
          <w:b/>
          <w:bCs/>
          <w:w w:val="80"/>
          <w:sz w:val="110"/>
          <w:szCs w:val="110"/>
          <w:highlight w:val="none"/>
        </w:rPr>
        <w:t>标</w:t>
      </w:r>
    </w:p>
    <w:p w14:paraId="62EF4664">
      <w:pPr>
        <w:keepNext w:val="0"/>
        <w:keepLines w:val="0"/>
        <w:pageBreakBefore w:val="0"/>
        <w:widowControl/>
        <w:kinsoku/>
        <w:wordWrap/>
        <w:overflowPunct/>
        <w:topLinePunct w:val="0"/>
        <w:autoSpaceDE/>
        <w:autoSpaceDN/>
        <w:bidi w:val="0"/>
        <w:adjustRightInd/>
        <w:snapToGrid/>
        <w:spacing w:line="1500" w:lineRule="exact"/>
        <w:jc w:val="center"/>
        <w:textAlignment w:val="auto"/>
        <w:rPr>
          <w:rFonts w:cs="宋体" w:asciiTheme="majorEastAsia" w:hAnsiTheme="majorEastAsia" w:eastAsiaTheme="majorEastAsia"/>
          <w:b/>
          <w:bCs/>
          <w:w w:val="80"/>
          <w:sz w:val="110"/>
          <w:szCs w:val="110"/>
          <w:highlight w:val="none"/>
        </w:rPr>
      </w:pPr>
      <w:r>
        <w:rPr>
          <w:rFonts w:hint="eastAsia" w:cs="宋体" w:asciiTheme="majorEastAsia" w:hAnsiTheme="majorEastAsia" w:eastAsiaTheme="majorEastAsia"/>
          <w:b/>
          <w:bCs/>
          <w:w w:val="80"/>
          <w:sz w:val="110"/>
          <w:szCs w:val="110"/>
          <w:highlight w:val="none"/>
        </w:rPr>
        <w:t>文</w:t>
      </w:r>
    </w:p>
    <w:p w14:paraId="5724764F">
      <w:pPr>
        <w:keepNext w:val="0"/>
        <w:keepLines w:val="0"/>
        <w:pageBreakBefore w:val="0"/>
        <w:widowControl/>
        <w:kinsoku/>
        <w:wordWrap/>
        <w:overflowPunct/>
        <w:topLinePunct w:val="0"/>
        <w:autoSpaceDE/>
        <w:autoSpaceDN/>
        <w:bidi w:val="0"/>
        <w:adjustRightInd/>
        <w:snapToGrid/>
        <w:spacing w:line="1500" w:lineRule="exact"/>
        <w:jc w:val="center"/>
        <w:textAlignment w:val="auto"/>
        <w:rPr>
          <w:rFonts w:cs="宋体" w:asciiTheme="majorEastAsia" w:hAnsiTheme="majorEastAsia" w:eastAsiaTheme="majorEastAsia"/>
          <w:b/>
          <w:bCs/>
          <w:w w:val="80"/>
          <w:sz w:val="110"/>
          <w:szCs w:val="110"/>
          <w:highlight w:val="none"/>
        </w:rPr>
      </w:pPr>
      <w:r>
        <w:rPr>
          <w:rFonts w:hint="eastAsia" w:cs="宋体" w:asciiTheme="majorEastAsia" w:hAnsiTheme="majorEastAsia" w:eastAsiaTheme="majorEastAsia"/>
          <w:b/>
          <w:bCs/>
          <w:w w:val="80"/>
          <w:sz w:val="110"/>
          <w:szCs w:val="110"/>
          <w:highlight w:val="none"/>
        </w:rPr>
        <w:t>件</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05982865">
      <w:pPr>
        <w:rPr>
          <w:rFonts w:asciiTheme="majorEastAsia" w:hAnsiTheme="majorEastAsia" w:eastAsiaTheme="majorEastAsia"/>
          <w:highlight w:val="none"/>
        </w:rPr>
      </w:pPr>
      <w:bookmarkStart w:id="47" w:name="_Toc310437803"/>
      <w:bookmarkStart w:id="48" w:name="_Toc307240193"/>
      <w:bookmarkStart w:id="49" w:name="_Toc310584181"/>
      <w:bookmarkStart w:id="50" w:name="_Toc327971043"/>
      <w:bookmarkStart w:id="51" w:name="_Toc307323009"/>
      <w:bookmarkStart w:id="52" w:name="_Toc310584064"/>
      <w:bookmarkStart w:id="53" w:name="_Toc200535937"/>
      <w:bookmarkStart w:id="54" w:name="_Toc280814883"/>
      <w:bookmarkStart w:id="55" w:name="_Toc187746379"/>
      <w:bookmarkStart w:id="56" w:name="_Toc196459201"/>
      <w:bookmarkStart w:id="57" w:name="_Toc200538047"/>
      <w:bookmarkStart w:id="58" w:name="_Toc291098979"/>
      <w:bookmarkStart w:id="59" w:name="_Toc196459378"/>
      <w:bookmarkStart w:id="60" w:name="_Toc240360431"/>
      <w:bookmarkStart w:id="61" w:name="_Toc209329668"/>
      <w:bookmarkStart w:id="62" w:name="_Toc200083576"/>
      <w:bookmarkStart w:id="63" w:name="_Toc280815025"/>
      <w:bookmarkStart w:id="64" w:name="_Toc287195833"/>
      <w:bookmarkStart w:id="65" w:name="_Toc196648198"/>
      <w:bookmarkStart w:id="66" w:name="_Toc200331848"/>
      <w:bookmarkStart w:id="67" w:name="_Toc196639409"/>
      <w:bookmarkStart w:id="68" w:name="_Toc219890409"/>
      <w:bookmarkStart w:id="69" w:name="_Toc259924677"/>
      <w:bookmarkStart w:id="70" w:name="_Toc188164773"/>
      <w:bookmarkStart w:id="71" w:name="_Toc188162915"/>
      <w:bookmarkStart w:id="72" w:name="_Toc188166401"/>
      <w:bookmarkStart w:id="73" w:name="_Toc200365818"/>
      <w:bookmarkStart w:id="74" w:name="_Toc196458780"/>
      <w:bookmarkStart w:id="75" w:name="_Toc187661409"/>
      <w:bookmarkStart w:id="76" w:name="_Toc240778318"/>
    </w:p>
    <w:p w14:paraId="2821CD88">
      <w:pPr>
        <w:spacing w:line="1300" w:lineRule="exact"/>
        <w:ind w:firstLine="833" w:firstLineChars="288"/>
        <w:rPr>
          <w:rFonts w:hint="eastAsia" w:cs="宋体" w:asciiTheme="majorEastAsia" w:hAnsiTheme="majorEastAsia" w:eastAsiaTheme="majorEastAsia"/>
          <w:b/>
          <w:bCs/>
          <w:w w:val="80"/>
          <w:sz w:val="36"/>
          <w:szCs w:val="36"/>
          <w:highlight w:val="none"/>
          <w:lang w:eastAsia="zh-CN"/>
        </w:rPr>
      </w:pPr>
      <w:r>
        <w:rPr>
          <w:rFonts w:hint="eastAsia" w:cs="宋体" w:asciiTheme="majorEastAsia" w:hAnsiTheme="majorEastAsia" w:eastAsiaTheme="majorEastAsia"/>
          <w:b/>
          <w:bCs/>
          <w:w w:val="80"/>
          <w:sz w:val="36"/>
          <w:szCs w:val="36"/>
          <w:highlight w:val="none"/>
        </w:rPr>
        <w:t>招   标   人：</w:t>
      </w:r>
      <w:bookmarkStart w:id="77" w:name="OLE_LINK1"/>
      <w:r>
        <w:rPr>
          <w:rFonts w:hint="eastAsia" w:cs="宋体" w:asciiTheme="majorEastAsia" w:hAnsiTheme="majorEastAsia" w:eastAsiaTheme="majorEastAsia"/>
          <w:b/>
          <w:bCs/>
          <w:w w:val="80"/>
          <w:sz w:val="36"/>
          <w:szCs w:val="36"/>
          <w:highlight w:val="none"/>
          <w:lang w:eastAsia="zh-CN"/>
        </w:rPr>
        <w:t>墨江哈尼族自治县联珠镇人民政府</w:t>
      </w:r>
    </w:p>
    <w:bookmarkEnd w:id="77"/>
    <w:p w14:paraId="3D019A9D">
      <w:pPr>
        <w:spacing w:line="1300" w:lineRule="exact"/>
        <w:ind w:firstLine="833" w:firstLineChars="288"/>
        <w:rPr>
          <w:rFonts w:hint="eastAsia" w:cs="宋体" w:asciiTheme="majorEastAsia" w:hAnsiTheme="majorEastAsia" w:eastAsiaTheme="majorEastAsia"/>
          <w:b/>
          <w:bCs/>
          <w:w w:val="80"/>
          <w:sz w:val="36"/>
          <w:szCs w:val="36"/>
          <w:highlight w:val="none"/>
          <w:lang w:eastAsia="zh-CN"/>
        </w:rPr>
      </w:pPr>
      <w:r>
        <w:rPr>
          <w:rFonts w:hint="eastAsia" w:cs="宋体" w:asciiTheme="majorEastAsia" w:hAnsiTheme="majorEastAsia" w:eastAsiaTheme="majorEastAsia"/>
          <w:b/>
          <w:bCs/>
          <w:w w:val="80"/>
          <w:sz w:val="36"/>
          <w:szCs w:val="36"/>
          <w:highlight w:val="none"/>
        </w:rPr>
        <w:t>招标代理机构：</w:t>
      </w:r>
      <w:r>
        <w:rPr>
          <w:rFonts w:hint="eastAsia" w:cs="宋体" w:asciiTheme="majorEastAsia" w:hAnsiTheme="majorEastAsia" w:eastAsiaTheme="majorEastAsia"/>
          <w:b/>
          <w:bCs/>
          <w:w w:val="80"/>
          <w:sz w:val="36"/>
          <w:szCs w:val="36"/>
          <w:highlight w:val="none"/>
          <w:lang w:eastAsia="zh-CN"/>
        </w:rPr>
        <w:t>云南德昭工程管理有限责任公司</w:t>
      </w:r>
    </w:p>
    <w:p w14:paraId="408B73FC">
      <w:pPr>
        <w:widowControl w:val="0"/>
        <w:adjustRightInd w:val="0"/>
        <w:snapToGrid w:val="0"/>
        <w:spacing w:before="240" w:beforeLines="100" w:after="240" w:afterLines="100"/>
        <w:outlineLvl w:val="0"/>
        <w:rPr>
          <w:rFonts w:cs="宋体" w:asciiTheme="majorEastAsia" w:hAnsiTheme="majorEastAsia" w:eastAsiaTheme="majorEastAsia"/>
          <w:b/>
          <w:kern w:val="2"/>
          <w:sz w:val="48"/>
          <w:szCs w:val="48"/>
          <w:highlight w:val="none"/>
        </w:rPr>
        <w:sectPr>
          <w:headerReference r:id="rId5" w:type="first"/>
          <w:footerReference r:id="rId7" w:type="first"/>
          <w:headerReference r:id="rId3" w:type="default"/>
          <w:footerReference r:id="rId6" w:type="default"/>
          <w:headerReference r:id="rId4" w:type="even"/>
          <w:pgSz w:w="11906" w:h="16840"/>
          <w:pgMar w:top="1191" w:right="1191" w:bottom="1191" w:left="1191" w:header="720" w:footer="765" w:gutter="0"/>
          <w:pgNumType w:start="1"/>
          <w:cols w:space="0" w:num="1"/>
          <w:docGrid w:linePitch="312" w:charSpace="0"/>
        </w:sectPr>
      </w:pPr>
    </w:p>
    <w:bookmarkEnd w:id="47"/>
    <w:bookmarkEnd w:id="48"/>
    <w:bookmarkEnd w:id="49"/>
    <w:bookmarkEnd w:id="50"/>
    <w:bookmarkEnd w:id="51"/>
    <w:bookmarkEnd w:id="52"/>
    <w:p w14:paraId="1E2AE1BA">
      <w:pPr>
        <w:rPr>
          <w:highlight w:val="none"/>
        </w:rPr>
      </w:pPr>
    </w:p>
    <w:p w14:paraId="161DFC96">
      <w:pPr>
        <w:pStyle w:val="40"/>
        <w:spacing w:beforeLines="50" w:afterLines="50" w:line="700" w:lineRule="exact"/>
        <w:jc w:val="center"/>
        <w:rPr>
          <w:rFonts w:cs="宋体" w:asciiTheme="majorEastAsia" w:hAnsiTheme="majorEastAsia" w:eastAsiaTheme="majorEastAsia"/>
          <w:sz w:val="48"/>
          <w:szCs w:val="48"/>
          <w:highlight w:val="none"/>
        </w:rPr>
      </w:pPr>
      <w:r>
        <w:rPr>
          <w:rFonts w:hint="eastAsia" w:cs="宋体" w:asciiTheme="majorEastAsia" w:hAnsiTheme="majorEastAsia" w:eastAsiaTheme="majorEastAsia"/>
          <w:sz w:val="48"/>
          <w:szCs w:val="48"/>
          <w:highlight w:val="none"/>
        </w:rPr>
        <w:t>目 录</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14:paraId="6726205B">
      <w:pPr>
        <w:pStyle w:val="40"/>
        <w:keepNext w:val="0"/>
        <w:keepLines w:val="0"/>
        <w:pageBreakBefore w:val="0"/>
        <w:widowControl/>
        <w:tabs>
          <w:tab w:val="right" w:leader="dot" w:pos="9524"/>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sz w:val="24"/>
          <w:szCs w:val="24"/>
          <w:highlight w:val="none"/>
        </w:rPr>
        <w:fldChar w:fldCharType="begin"/>
      </w:r>
      <w:r>
        <w:rPr>
          <w:rFonts w:hint="eastAsia" w:ascii="宋体" w:hAnsi="宋体" w:eastAsia="宋体" w:cs="宋体"/>
          <w:bCs w:val="0"/>
          <w:sz w:val="24"/>
          <w:szCs w:val="24"/>
          <w:highlight w:val="none"/>
        </w:rPr>
        <w:instrText xml:space="preserve"> TOC \o "1-1" \h \z \u </w:instrText>
      </w:r>
      <w:r>
        <w:rPr>
          <w:rFonts w:hint="eastAsia" w:ascii="宋体" w:hAnsi="宋体" w:eastAsia="宋体" w:cs="宋体"/>
          <w:bCs w:val="0"/>
          <w:sz w:val="24"/>
          <w:szCs w:val="24"/>
          <w:highlight w:val="none"/>
        </w:rPr>
        <w:fldChar w:fldCharType="separate"/>
      </w:r>
      <w:r>
        <w:rPr>
          <w:rFonts w:hint="eastAsia" w:ascii="宋体" w:hAnsi="宋体" w:eastAsia="宋体" w:cs="宋体"/>
          <w:bCs w:val="0"/>
          <w:szCs w:val="24"/>
          <w:highlight w:val="none"/>
        </w:rPr>
        <w:fldChar w:fldCharType="begin"/>
      </w:r>
      <w:r>
        <w:rPr>
          <w:rFonts w:hint="eastAsia" w:ascii="宋体" w:hAnsi="宋体" w:eastAsia="宋体" w:cs="宋体"/>
          <w:bCs w:val="0"/>
          <w:szCs w:val="24"/>
          <w:highlight w:val="none"/>
        </w:rPr>
        <w:instrText xml:space="preserve"> HYPERLINK \l _Toc18076 </w:instrText>
      </w:r>
      <w:r>
        <w:rPr>
          <w:rFonts w:hint="eastAsia" w:ascii="宋体" w:hAnsi="宋体" w:eastAsia="宋体" w:cs="宋体"/>
          <w:bCs w:val="0"/>
          <w:szCs w:val="24"/>
          <w:highlight w:val="none"/>
        </w:rPr>
        <w:fldChar w:fldCharType="separate"/>
      </w:r>
      <w:r>
        <w:rPr>
          <w:rFonts w:hint="eastAsia" w:cs="宋体" w:asciiTheme="majorEastAsia" w:hAnsiTheme="majorEastAsia" w:eastAsiaTheme="majorEastAsia"/>
          <w:szCs w:val="52"/>
          <w:highlight w:val="none"/>
        </w:rPr>
        <w:t>第一章  招标公告</w:t>
      </w:r>
      <w:r>
        <w:tab/>
      </w:r>
      <w:r>
        <w:fldChar w:fldCharType="begin"/>
      </w:r>
      <w:r>
        <w:instrText xml:space="preserve"> PAGEREF _Toc18076 \h </w:instrText>
      </w:r>
      <w:r>
        <w:fldChar w:fldCharType="separate"/>
      </w:r>
      <w:r>
        <w:t>2</w:t>
      </w:r>
      <w:r>
        <w:fldChar w:fldCharType="end"/>
      </w:r>
      <w:r>
        <w:rPr>
          <w:rFonts w:hint="eastAsia" w:ascii="宋体" w:hAnsi="宋体" w:eastAsia="宋体" w:cs="宋体"/>
          <w:bCs w:val="0"/>
          <w:szCs w:val="24"/>
          <w:highlight w:val="none"/>
        </w:rPr>
        <w:fldChar w:fldCharType="end"/>
      </w:r>
    </w:p>
    <w:p w14:paraId="1A88971D">
      <w:pPr>
        <w:pStyle w:val="40"/>
        <w:tabs>
          <w:tab w:val="right" w:leader="dot" w:pos="9524"/>
        </w:tabs>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_Toc18937 </w:instrText>
      </w:r>
      <w:r>
        <w:rPr>
          <w:rFonts w:hint="eastAsia" w:ascii="宋体" w:hAnsi="宋体" w:eastAsia="宋体" w:cs="宋体"/>
          <w:szCs w:val="24"/>
          <w:highlight w:val="none"/>
        </w:rPr>
        <w:fldChar w:fldCharType="separate"/>
      </w:r>
      <w:r>
        <w:rPr>
          <w:rFonts w:hint="eastAsia" w:cs="宋体" w:asciiTheme="majorEastAsia" w:hAnsiTheme="majorEastAsia" w:eastAsiaTheme="majorEastAsia"/>
          <w:szCs w:val="52"/>
          <w:highlight w:val="none"/>
        </w:rPr>
        <w:t>第二章  投标人须知</w:t>
      </w:r>
      <w:r>
        <w:tab/>
      </w:r>
      <w:r>
        <w:fldChar w:fldCharType="begin"/>
      </w:r>
      <w:r>
        <w:instrText xml:space="preserve"> PAGEREF _Toc18937 \h </w:instrText>
      </w:r>
      <w:r>
        <w:fldChar w:fldCharType="separate"/>
      </w:r>
      <w:r>
        <w:t>8</w:t>
      </w:r>
      <w:r>
        <w:fldChar w:fldCharType="end"/>
      </w:r>
      <w:r>
        <w:rPr>
          <w:rFonts w:hint="eastAsia" w:ascii="宋体" w:hAnsi="宋体" w:eastAsia="宋体" w:cs="宋体"/>
          <w:szCs w:val="24"/>
          <w:highlight w:val="none"/>
        </w:rPr>
        <w:fldChar w:fldCharType="end"/>
      </w:r>
    </w:p>
    <w:p w14:paraId="65D67392">
      <w:pPr>
        <w:pStyle w:val="40"/>
        <w:tabs>
          <w:tab w:val="right" w:leader="dot" w:pos="9524"/>
        </w:tabs>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_Toc13376 </w:instrText>
      </w:r>
      <w:r>
        <w:rPr>
          <w:rFonts w:hint="eastAsia" w:ascii="宋体" w:hAnsi="宋体" w:eastAsia="宋体" w:cs="宋体"/>
          <w:szCs w:val="24"/>
          <w:highlight w:val="none"/>
        </w:rPr>
        <w:fldChar w:fldCharType="separate"/>
      </w:r>
      <w:r>
        <w:rPr>
          <w:rFonts w:hint="eastAsia" w:cs="宋体" w:asciiTheme="majorEastAsia" w:hAnsiTheme="majorEastAsia" w:eastAsiaTheme="majorEastAsia"/>
          <w:szCs w:val="52"/>
          <w:highlight w:val="none"/>
        </w:rPr>
        <w:t>第三章  评标方法（综合评估法）</w:t>
      </w:r>
      <w:r>
        <w:tab/>
      </w:r>
      <w:r>
        <w:fldChar w:fldCharType="begin"/>
      </w:r>
      <w:r>
        <w:instrText xml:space="preserve"> PAGEREF _Toc13376 \h </w:instrText>
      </w:r>
      <w:r>
        <w:fldChar w:fldCharType="separate"/>
      </w:r>
      <w:r>
        <w:t>23</w:t>
      </w:r>
      <w:r>
        <w:fldChar w:fldCharType="end"/>
      </w:r>
      <w:r>
        <w:rPr>
          <w:rFonts w:hint="eastAsia" w:ascii="宋体" w:hAnsi="宋体" w:eastAsia="宋体" w:cs="宋体"/>
          <w:szCs w:val="24"/>
          <w:highlight w:val="none"/>
        </w:rPr>
        <w:fldChar w:fldCharType="end"/>
      </w:r>
    </w:p>
    <w:p w14:paraId="06B44E8B">
      <w:pPr>
        <w:pStyle w:val="40"/>
        <w:tabs>
          <w:tab w:val="right" w:leader="dot" w:pos="9524"/>
        </w:tabs>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_Toc4163 </w:instrText>
      </w:r>
      <w:r>
        <w:rPr>
          <w:rFonts w:hint="eastAsia" w:ascii="宋体" w:hAnsi="宋体" w:eastAsia="宋体" w:cs="宋体"/>
          <w:szCs w:val="24"/>
          <w:highlight w:val="none"/>
        </w:rPr>
        <w:fldChar w:fldCharType="separate"/>
      </w:r>
      <w:r>
        <w:rPr>
          <w:rFonts w:hint="eastAsia" w:cs="宋体" w:asciiTheme="majorEastAsia" w:hAnsiTheme="majorEastAsia" w:eastAsiaTheme="majorEastAsia"/>
          <w:szCs w:val="52"/>
          <w:highlight w:val="none"/>
        </w:rPr>
        <w:t>第四章  合同条款及格式</w:t>
      </w:r>
      <w:r>
        <w:tab/>
      </w:r>
      <w:r>
        <w:fldChar w:fldCharType="begin"/>
      </w:r>
      <w:r>
        <w:instrText xml:space="preserve"> PAGEREF _Toc4163 \h </w:instrText>
      </w:r>
      <w:r>
        <w:fldChar w:fldCharType="separate"/>
      </w:r>
      <w:r>
        <w:t>34</w:t>
      </w:r>
      <w:r>
        <w:fldChar w:fldCharType="end"/>
      </w:r>
      <w:r>
        <w:rPr>
          <w:rFonts w:hint="eastAsia" w:ascii="宋体" w:hAnsi="宋体" w:eastAsia="宋体" w:cs="宋体"/>
          <w:szCs w:val="24"/>
          <w:highlight w:val="none"/>
        </w:rPr>
        <w:fldChar w:fldCharType="end"/>
      </w:r>
    </w:p>
    <w:p w14:paraId="4B124AC2">
      <w:pPr>
        <w:pStyle w:val="40"/>
        <w:tabs>
          <w:tab w:val="right" w:leader="dot" w:pos="9524"/>
        </w:tabs>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_Toc995 </w:instrText>
      </w:r>
      <w:r>
        <w:rPr>
          <w:rFonts w:hint="eastAsia" w:ascii="宋体" w:hAnsi="宋体" w:eastAsia="宋体" w:cs="宋体"/>
          <w:szCs w:val="24"/>
          <w:highlight w:val="none"/>
        </w:rPr>
        <w:fldChar w:fldCharType="separate"/>
      </w:r>
      <w:r>
        <w:rPr>
          <w:rFonts w:hint="eastAsia" w:cs="宋体" w:asciiTheme="majorEastAsia" w:hAnsiTheme="majorEastAsia" w:eastAsiaTheme="majorEastAsia"/>
          <w:szCs w:val="52"/>
          <w:highlight w:val="none"/>
        </w:rPr>
        <w:t>第五章  规范及标准</w:t>
      </w:r>
      <w:r>
        <w:tab/>
      </w:r>
      <w:r>
        <w:fldChar w:fldCharType="begin"/>
      </w:r>
      <w:r>
        <w:instrText xml:space="preserve"> PAGEREF _Toc995 \h </w:instrText>
      </w:r>
      <w:r>
        <w:fldChar w:fldCharType="separate"/>
      </w:r>
      <w:r>
        <w:t>187</w:t>
      </w:r>
      <w:r>
        <w:fldChar w:fldCharType="end"/>
      </w:r>
      <w:r>
        <w:rPr>
          <w:rFonts w:hint="eastAsia" w:ascii="宋体" w:hAnsi="宋体" w:eastAsia="宋体" w:cs="宋体"/>
          <w:szCs w:val="24"/>
          <w:highlight w:val="none"/>
        </w:rPr>
        <w:fldChar w:fldCharType="end"/>
      </w:r>
    </w:p>
    <w:p w14:paraId="11C2EF01">
      <w:pPr>
        <w:pStyle w:val="40"/>
        <w:tabs>
          <w:tab w:val="right" w:leader="dot" w:pos="9524"/>
        </w:tabs>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_Toc18812 </w:instrText>
      </w:r>
      <w:r>
        <w:rPr>
          <w:rFonts w:hint="eastAsia" w:ascii="宋体" w:hAnsi="宋体" w:eastAsia="宋体" w:cs="宋体"/>
          <w:szCs w:val="24"/>
          <w:highlight w:val="none"/>
        </w:rPr>
        <w:fldChar w:fldCharType="separate"/>
      </w:r>
      <w:r>
        <w:rPr>
          <w:rFonts w:hint="eastAsia" w:cs="宋体" w:asciiTheme="majorEastAsia" w:hAnsiTheme="majorEastAsia" w:eastAsiaTheme="majorEastAsia"/>
          <w:szCs w:val="52"/>
          <w:highlight w:val="none"/>
        </w:rPr>
        <w:t>第</w:t>
      </w:r>
      <w:r>
        <w:rPr>
          <w:rFonts w:hint="eastAsia" w:cs="宋体" w:asciiTheme="majorEastAsia" w:hAnsiTheme="majorEastAsia" w:eastAsiaTheme="majorEastAsia"/>
          <w:szCs w:val="52"/>
          <w:highlight w:val="none"/>
          <w:lang w:val="en-US" w:eastAsia="zh-CN"/>
        </w:rPr>
        <w:t>六</w:t>
      </w:r>
      <w:r>
        <w:rPr>
          <w:rFonts w:hint="eastAsia" w:cs="宋体" w:asciiTheme="majorEastAsia" w:hAnsiTheme="majorEastAsia" w:eastAsiaTheme="majorEastAsia"/>
          <w:szCs w:val="52"/>
          <w:highlight w:val="none"/>
        </w:rPr>
        <w:t>章  投标文件格式</w:t>
      </w:r>
      <w:r>
        <w:tab/>
      </w:r>
      <w:r>
        <w:fldChar w:fldCharType="begin"/>
      </w:r>
      <w:r>
        <w:instrText xml:space="preserve"> PAGEREF _Toc18812 \h </w:instrText>
      </w:r>
      <w:r>
        <w:fldChar w:fldCharType="separate"/>
      </w:r>
      <w:r>
        <w:t>188</w:t>
      </w:r>
      <w:r>
        <w:fldChar w:fldCharType="end"/>
      </w:r>
      <w:r>
        <w:rPr>
          <w:rFonts w:hint="eastAsia" w:ascii="宋体" w:hAnsi="宋体" w:eastAsia="宋体" w:cs="宋体"/>
          <w:szCs w:val="24"/>
          <w:highlight w:val="none"/>
        </w:rPr>
        <w:fldChar w:fldCharType="end"/>
      </w:r>
    </w:p>
    <w:p w14:paraId="3BC41D64">
      <w:pPr>
        <w:pStyle w:val="40"/>
        <w:tabs>
          <w:tab w:val="right" w:leader="dot" w:pos="9524"/>
        </w:tabs>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_Toc12530 </w:instrText>
      </w:r>
      <w:r>
        <w:rPr>
          <w:rFonts w:hint="eastAsia" w:ascii="宋体" w:hAnsi="宋体" w:eastAsia="宋体" w:cs="宋体"/>
          <w:szCs w:val="24"/>
          <w:highlight w:val="none"/>
        </w:rPr>
        <w:fldChar w:fldCharType="separate"/>
      </w:r>
      <w:r>
        <w:rPr>
          <w:rFonts w:hint="eastAsia" w:cs="宋体" w:asciiTheme="majorEastAsia" w:hAnsiTheme="majorEastAsia" w:eastAsiaTheme="majorEastAsia"/>
          <w:szCs w:val="48"/>
          <w:highlight w:val="none"/>
        </w:rPr>
        <w:t>第一部分  投标函部分格式</w:t>
      </w:r>
      <w:r>
        <w:tab/>
      </w:r>
      <w:r>
        <w:fldChar w:fldCharType="begin"/>
      </w:r>
      <w:r>
        <w:instrText xml:space="preserve"> PAGEREF _Toc12530 \h </w:instrText>
      </w:r>
      <w:r>
        <w:fldChar w:fldCharType="separate"/>
      </w:r>
      <w:r>
        <w:t>189</w:t>
      </w:r>
      <w:r>
        <w:fldChar w:fldCharType="end"/>
      </w:r>
      <w:r>
        <w:rPr>
          <w:rFonts w:hint="eastAsia" w:ascii="宋体" w:hAnsi="宋体" w:eastAsia="宋体" w:cs="宋体"/>
          <w:szCs w:val="24"/>
          <w:highlight w:val="none"/>
        </w:rPr>
        <w:fldChar w:fldCharType="end"/>
      </w:r>
    </w:p>
    <w:p w14:paraId="25D8BF16">
      <w:pPr>
        <w:pStyle w:val="40"/>
        <w:tabs>
          <w:tab w:val="right" w:leader="dot" w:pos="9524"/>
        </w:tabs>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_Toc17600 </w:instrText>
      </w:r>
      <w:r>
        <w:rPr>
          <w:rFonts w:hint="eastAsia" w:ascii="宋体" w:hAnsi="宋体" w:eastAsia="宋体" w:cs="宋体"/>
          <w:szCs w:val="24"/>
          <w:highlight w:val="none"/>
        </w:rPr>
        <w:fldChar w:fldCharType="separate"/>
      </w:r>
      <w:r>
        <w:rPr>
          <w:rFonts w:hint="eastAsia" w:cs="宋体" w:asciiTheme="majorEastAsia" w:hAnsiTheme="majorEastAsia" w:eastAsiaTheme="majorEastAsia"/>
          <w:szCs w:val="48"/>
          <w:highlight w:val="none"/>
        </w:rPr>
        <w:t>第二部分  商务部分格式</w:t>
      </w:r>
      <w:r>
        <w:tab/>
      </w:r>
      <w:r>
        <w:fldChar w:fldCharType="begin"/>
      </w:r>
      <w:r>
        <w:instrText xml:space="preserve"> PAGEREF _Toc17600 \h </w:instrText>
      </w:r>
      <w:r>
        <w:fldChar w:fldCharType="separate"/>
      </w:r>
      <w:r>
        <w:t>204</w:t>
      </w:r>
      <w:r>
        <w:fldChar w:fldCharType="end"/>
      </w:r>
      <w:r>
        <w:rPr>
          <w:rFonts w:hint="eastAsia" w:ascii="宋体" w:hAnsi="宋体" w:eastAsia="宋体" w:cs="宋体"/>
          <w:szCs w:val="24"/>
          <w:highlight w:val="none"/>
        </w:rPr>
        <w:fldChar w:fldCharType="end"/>
      </w:r>
    </w:p>
    <w:p w14:paraId="12B1D008">
      <w:pPr>
        <w:pStyle w:val="40"/>
        <w:tabs>
          <w:tab w:val="right" w:leader="dot" w:pos="9524"/>
        </w:tabs>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_Toc4597 </w:instrText>
      </w:r>
      <w:r>
        <w:rPr>
          <w:rFonts w:hint="eastAsia" w:ascii="宋体" w:hAnsi="宋体" w:eastAsia="宋体" w:cs="宋体"/>
          <w:szCs w:val="24"/>
          <w:highlight w:val="none"/>
        </w:rPr>
        <w:fldChar w:fldCharType="separate"/>
      </w:r>
      <w:r>
        <w:rPr>
          <w:rFonts w:hint="eastAsia" w:cs="宋体" w:asciiTheme="majorEastAsia" w:hAnsiTheme="majorEastAsia" w:eastAsiaTheme="majorEastAsia"/>
          <w:szCs w:val="48"/>
          <w:highlight w:val="none"/>
        </w:rPr>
        <w:t>第三部分  技术部分格式</w:t>
      </w:r>
      <w:r>
        <w:tab/>
      </w:r>
      <w:r>
        <w:fldChar w:fldCharType="begin"/>
      </w:r>
      <w:r>
        <w:instrText xml:space="preserve"> PAGEREF _Toc4597 \h </w:instrText>
      </w:r>
      <w:r>
        <w:fldChar w:fldCharType="separate"/>
      </w:r>
      <w:r>
        <w:t>208</w:t>
      </w:r>
      <w:r>
        <w:fldChar w:fldCharType="end"/>
      </w:r>
      <w:r>
        <w:rPr>
          <w:rFonts w:hint="eastAsia" w:ascii="宋体" w:hAnsi="宋体" w:eastAsia="宋体" w:cs="宋体"/>
          <w:szCs w:val="24"/>
          <w:highlight w:val="none"/>
        </w:rPr>
        <w:fldChar w:fldCharType="end"/>
      </w:r>
    </w:p>
    <w:p w14:paraId="20A041CC">
      <w:pPr>
        <w:keepNext w:val="0"/>
        <w:keepLines w:val="0"/>
        <w:pageBreakBefore w:val="0"/>
        <w:widowControl/>
        <w:tabs>
          <w:tab w:val="right" w:leader="dot" w:pos="9480"/>
        </w:tabs>
        <w:kinsoku/>
        <w:wordWrap/>
        <w:overflowPunct/>
        <w:topLinePunct w:val="0"/>
        <w:autoSpaceDE/>
        <w:autoSpaceDN/>
        <w:bidi w:val="0"/>
        <w:adjustRightInd/>
        <w:snapToGrid/>
        <w:spacing w:line="600" w:lineRule="exact"/>
        <w:textAlignment w:val="auto"/>
        <w:rPr>
          <w:rFonts w:cs="宋体" w:asciiTheme="majorEastAsia" w:hAnsiTheme="majorEastAsia" w:eastAsiaTheme="majorEastAsia"/>
          <w:sz w:val="21"/>
          <w:szCs w:val="21"/>
          <w:highlight w:val="none"/>
        </w:rPr>
      </w:pPr>
      <w:r>
        <w:rPr>
          <w:rFonts w:hint="eastAsia" w:ascii="宋体" w:hAnsi="宋体" w:eastAsia="宋体" w:cs="宋体"/>
          <w:szCs w:val="24"/>
          <w:highlight w:val="none"/>
        </w:rPr>
        <w:fldChar w:fldCharType="end"/>
      </w:r>
    </w:p>
    <w:p w14:paraId="506DCF17">
      <w:pPr>
        <w:rPr>
          <w:rFonts w:cs="宋体" w:asciiTheme="majorEastAsia" w:hAnsiTheme="majorEastAsia" w:eastAsiaTheme="majorEastAsia"/>
          <w:highlight w:val="none"/>
        </w:rPr>
        <w:sectPr>
          <w:headerReference r:id="rId8" w:type="default"/>
          <w:footerReference r:id="rId9" w:type="default"/>
          <w:pgSz w:w="11906" w:h="16840"/>
          <w:pgMar w:top="1191" w:right="1191" w:bottom="1191" w:left="1191" w:header="720" w:footer="765" w:gutter="0"/>
          <w:pgNumType w:start="1"/>
          <w:cols w:space="0" w:num="1"/>
          <w:docGrid w:linePitch="312" w:charSpace="0"/>
        </w:sectPr>
      </w:pPr>
    </w:p>
    <w:p w14:paraId="4AE51187">
      <w:pPr>
        <w:rPr>
          <w:rFonts w:cs="宋体" w:asciiTheme="majorEastAsia" w:hAnsiTheme="majorEastAsia" w:eastAsiaTheme="majorEastAsia"/>
          <w:highlight w:val="none"/>
        </w:rPr>
      </w:pPr>
      <w:bookmarkStart w:id="78" w:name="_第一章_投标人须知及投标须知前附表"/>
      <w:bookmarkEnd w:id="78"/>
      <w:bookmarkStart w:id="79" w:name="_Toc478646325"/>
      <w:bookmarkStart w:id="80" w:name="_Toc67734254"/>
      <w:bookmarkStart w:id="81" w:name="_Toc67731217"/>
      <w:bookmarkStart w:id="82" w:name="_Ref16591406"/>
      <w:bookmarkStart w:id="83" w:name="_Toc67731536"/>
      <w:bookmarkStart w:id="84" w:name="_Toc68491904"/>
      <w:bookmarkStart w:id="85" w:name="_Toc71777806"/>
      <w:bookmarkStart w:id="86" w:name="_Toc145001528"/>
      <w:bookmarkStart w:id="87" w:name="_Toc145014778"/>
      <w:bookmarkStart w:id="88" w:name="_Toc71799357"/>
      <w:bookmarkStart w:id="89" w:name="_Toc67731334"/>
      <w:bookmarkStart w:id="90" w:name="_Toc69115813"/>
      <w:bookmarkStart w:id="91" w:name="_Toc67730456"/>
      <w:bookmarkStart w:id="92" w:name="_Toc69188741"/>
      <w:bookmarkStart w:id="93" w:name="_Toc69188966"/>
      <w:bookmarkStart w:id="94" w:name="_Toc67730857"/>
      <w:bookmarkStart w:id="95" w:name="_Toc67728417"/>
      <w:bookmarkStart w:id="96" w:name="_Toc68491722"/>
      <w:bookmarkStart w:id="97" w:name="_Toc71799050"/>
      <w:bookmarkStart w:id="98" w:name="_Toc39482888"/>
      <w:bookmarkStart w:id="99" w:name="_Toc67731642"/>
      <w:bookmarkStart w:id="100" w:name="_Toc71857033"/>
      <w:bookmarkStart w:id="101" w:name="_Toc68669200"/>
      <w:bookmarkStart w:id="102" w:name="_Toc71798716"/>
      <w:bookmarkStart w:id="103" w:name="_Ref16647676"/>
    </w:p>
    <w:p w14:paraId="760A3B3F">
      <w:pPr>
        <w:pStyle w:val="346"/>
        <w:spacing w:before="120" w:after="120" w:line="800" w:lineRule="exact"/>
        <w:rPr>
          <w:rFonts w:cs="宋体" w:asciiTheme="majorEastAsia" w:hAnsiTheme="majorEastAsia" w:eastAsiaTheme="majorEastAsia"/>
          <w:b/>
          <w:sz w:val="52"/>
          <w:szCs w:val="52"/>
          <w:highlight w:val="none"/>
        </w:rPr>
      </w:pPr>
      <w:bookmarkStart w:id="104" w:name="_Toc18076"/>
      <w:r>
        <w:rPr>
          <w:rFonts w:hint="eastAsia" w:cs="宋体" w:asciiTheme="majorEastAsia" w:hAnsiTheme="majorEastAsia" w:eastAsiaTheme="majorEastAsia"/>
          <w:b/>
          <w:sz w:val="52"/>
          <w:szCs w:val="52"/>
          <w:highlight w:val="none"/>
        </w:rPr>
        <w:t>第一章  招标公告</w:t>
      </w:r>
      <w:bookmarkEnd w:id="104"/>
    </w:p>
    <w:bookmarkEnd w:id="79"/>
    <w:p w14:paraId="717C075D">
      <w:pPr>
        <w:keepNext w:val="0"/>
        <w:keepLines w:val="0"/>
        <w:pageBreakBefore w:val="0"/>
        <w:widowControl/>
        <w:kinsoku/>
        <w:wordWrap/>
        <w:overflowPunct/>
        <w:topLinePunct w:val="0"/>
        <w:autoSpaceDE/>
        <w:autoSpaceDN/>
        <w:bidi w:val="0"/>
        <w:adjustRightInd/>
        <w:snapToGrid/>
        <w:spacing w:before="120" w:beforeLines="50" w:after="120" w:afterLines="50" w:line="360" w:lineRule="auto"/>
        <w:jc w:val="center"/>
        <w:textAlignment w:val="auto"/>
        <w:rPr>
          <w:rFonts w:hint="eastAsia" w:cs="宋体" w:asciiTheme="majorEastAsia" w:hAnsiTheme="majorEastAsia" w:eastAsiaTheme="majorEastAsia"/>
          <w:b/>
          <w:bCs/>
          <w:spacing w:val="-2"/>
          <w:sz w:val="28"/>
          <w:szCs w:val="28"/>
          <w:highlight w:val="none"/>
          <w:lang w:eastAsia="zh-CN"/>
        </w:rPr>
      </w:pPr>
      <w:r>
        <w:rPr>
          <w:rFonts w:hint="eastAsia" w:cs="宋体" w:asciiTheme="majorEastAsia" w:hAnsiTheme="majorEastAsia" w:eastAsiaTheme="majorEastAsia"/>
          <w:b/>
          <w:bCs/>
          <w:spacing w:val="-2"/>
          <w:sz w:val="32"/>
          <w:szCs w:val="32"/>
          <w:highlight w:val="none"/>
          <w:lang w:eastAsia="zh-CN"/>
        </w:rPr>
        <w:t>联珠镇癸能村花卉产业农文旅融合发展配套设施项目EPC+O</w:t>
      </w:r>
    </w:p>
    <w:p w14:paraId="07A5EE09">
      <w:pPr>
        <w:spacing w:before="120" w:beforeLines="50" w:after="120" w:afterLines="50"/>
        <w:jc w:val="center"/>
        <w:rPr>
          <w:rFonts w:cs="宋体" w:asciiTheme="majorEastAsia" w:hAnsiTheme="majorEastAsia" w:eastAsiaTheme="majorEastAsia"/>
          <w:b/>
          <w:bCs/>
          <w:spacing w:val="-2"/>
          <w:sz w:val="28"/>
          <w:szCs w:val="28"/>
          <w:highlight w:val="none"/>
        </w:rPr>
      </w:pPr>
      <w:r>
        <w:rPr>
          <w:rFonts w:hint="eastAsia" w:cs="宋体" w:asciiTheme="majorEastAsia" w:hAnsiTheme="majorEastAsia" w:eastAsiaTheme="majorEastAsia"/>
          <w:b/>
          <w:bCs/>
          <w:spacing w:val="-2"/>
          <w:sz w:val="28"/>
          <w:szCs w:val="28"/>
          <w:highlight w:val="none"/>
        </w:rPr>
        <w:t>招标公告</w:t>
      </w:r>
    </w:p>
    <w:p w14:paraId="3A41FEF2">
      <w:pPr>
        <w:pStyle w:val="61"/>
        <w:ind w:firstLine="359"/>
        <w:jc w:val="center"/>
        <w:rPr>
          <w:rFonts w:eastAsiaTheme="majorEastAsia"/>
          <w:highlight w:val="none"/>
        </w:rPr>
      </w:pPr>
      <w:r>
        <w:rPr>
          <w:rFonts w:hint="eastAsia" w:cs="宋体" w:asciiTheme="majorEastAsia" w:hAnsiTheme="majorEastAsia" w:eastAsiaTheme="majorEastAsia"/>
          <w:b/>
          <w:bCs/>
          <w:spacing w:val="-2"/>
          <w:sz w:val="28"/>
          <w:szCs w:val="28"/>
          <w:highlight w:val="none"/>
        </w:rPr>
        <w:t>（招标编号：</w:t>
      </w:r>
      <w:r>
        <w:rPr>
          <w:rFonts w:hint="eastAsia" w:cs="宋体" w:asciiTheme="majorEastAsia" w:hAnsiTheme="majorEastAsia" w:eastAsiaTheme="majorEastAsia"/>
          <w:b/>
          <w:bCs/>
          <w:spacing w:val="-2"/>
          <w:sz w:val="28"/>
          <w:szCs w:val="28"/>
          <w:highlight w:val="none"/>
          <w:lang w:eastAsia="zh-CN"/>
        </w:rPr>
        <w:t>DZZG20260008</w:t>
      </w:r>
      <w:r>
        <w:rPr>
          <w:rFonts w:hint="eastAsia" w:cs="宋体" w:asciiTheme="majorEastAsia" w:hAnsiTheme="majorEastAsia" w:eastAsiaTheme="majorEastAsia"/>
          <w:b/>
          <w:bCs/>
          <w:spacing w:val="-2"/>
          <w:sz w:val="28"/>
          <w:szCs w:val="28"/>
          <w:highlight w:val="none"/>
        </w:rPr>
        <w:t>）</w:t>
      </w:r>
    </w:p>
    <w:p w14:paraId="501D9443">
      <w:pPr>
        <w:keepNext w:val="0"/>
        <w:keepLines w:val="0"/>
        <w:pageBreakBefore w:val="0"/>
        <w:widowControl/>
        <w:kinsoku/>
        <w:wordWrap/>
        <w:overflowPunct/>
        <w:topLinePunct w:val="0"/>
        <w:autoSpaceDE/>
        <w:autoSpaceDN/>
        <w:bidi w:val="0"/>
        <w:adjustRightInd/>
        <w:spacing w:line="540" w:lineRule="exact"/>
        <w:textAlignment w:val="auto"/>
        <w:rPr>
          <w:rFonts w:cs="宋体" w:asciiTheme="majorEastAsia" w:hAnsiTheme="majorEastAsia" w:eastAsiaTheme="majorEastAsia"/>
          <w:b/>
          <w:highlight w:val="none"/>
        </w:rPr>
      </w:pPr>
      <w:bookmarkStart w:id="105" w:name="_Toc187219893"/>
      <w:bookmarkStart w:id="106" w:name="_Toc187219900"/>
      <w:r>
        <w:rPr>
          <w:rFonts w:hint="eastAsia" w:cs="宋体" w:asciiTheme="majorEastAsia" w:hAnsiTheme="majorEastAsia" w:eastAsiaTheme="majorEastAsia"/>
          <w:b/>
          <w:highlight w:val="none"/>
        </w:rPr>
        <w:t>一、招标条件</w:t>
      </w:r>
      <w:bookmarkEnd w:id="105"/>
    </w:p>
    <w:p w14:paraId="7401DBCE">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cs="宋体" w:asciiTheme="majorEastAsia" w:hAnsiTheme="majorEastAsia" w:eastAsiaTheme="majorEastAsia"/>
          <w:highlight w:val="none"/>
          <w:shd w:val="clear" w:color="auto" w:fill="FFFFFF"/>
        </w:rPr>
      </w:pPr>
      <w:bookmarkStart w:id="107" w:name="_Toc187219894"/>
      <w:r>
        <w:rPr>
          <w:rFonts w:hint="eastAsia" w:cs="宋体" w:asciiTheme="majorEastAsia" w:hAnsiTheme="majorEastAsia" w:eastAsiaTheme="majorEastAsia"/>
          <w:highlight w:val="none"/>
          <w:shd w:val="clear" w:color="auto" w:fill="FFFFFF"/>
        </w:rPr>
        <w:t>“</w:t>
      </w:r>
      <w:r>
        <w:rPr>
          <w:rFonts w:hint="eastAsia" w:cs="宋体" w:asciiTheme="majorEastAsia" w:hAnsiTheme="majorEastAsia" w:eastAsiaTheme="majorEastAsia"/>
          <w:highlight w:val="none"/>
          <w:shd w:val="clear" w:color="auto" w:fill="FFFFFF"/>
          <w:lang w:eastAsia="zh-CN"/>
        </w:rPr>
        <w:t>联珠镇癸能村花卉产业农文旅融合发展配套设施项目EPC+O</w:t>
      </w:r>
      <w:r>
        <w:rPr>
          <w:rFonts w:hint="eastAsia" w:cs="宋体" w:asciiTheme="majorEastAsia" w:hAnsiTheme="majorEastAsia" w:eastAsiaTheme="majorEastAsia"/>
          <w:highlight w:val="none"/>
          <w:shd w:val="clear" w:color="auto" w:fill="FFFFFF"/>
        </w:rPr>
        <w:t>”已由</w:t>
      </w:r>
      <w:r>
        <w:rPr>
          <w:rFonts w:hint="eastAsia" w:cs="宋体" w:asciiTheme="majorEastAsia" w:hAnsiTheme="majorEastAsia" w:eastAsiaTheme="majorEastAsia"/>
          <w:highlight w:val="none"/>
          <w:shd w:val="clear" w:color="auto" w:fill="FFFFFF"/>
          <w:lang w:val="en-US" w:eastAsia="zh-CN"/>
        </w:rPr>
        <w:t>中共墨江哈尼族自治县委农村工作领导小组办公室墨农领办复〔2026〕7号</w:t>
      </w:r>
      <w:r>
        <w:rPr>
          <w:rFonts w:hint="eastAsia" w:cs="宋体" w:asciiTheme="majorEastAsia" w:hAnsiTheme="majorEastAsia" w:eastAsiaTheme="majorEastAsia"/>
          <w:highlight w:val="none"/>
          <w:shd w:val="clear" w:color="auto" w:fill="FFFFFF"/>
        </w:rPr>
        <w:t>批准建设，招标人为</w:t>
      </w:r>
      <w:r>
        <w:rPr>
          <w:rFonts w:hint="eastAsia" w:cs="宋体" w:asciiTheme="majorEastAsia" w:hAnsiTheme="majorEastAsia" w:eastAsiaTheme="majorEastAsia"/>
          <w:highlight w:val="none"/>
          <w:shd w:val="clear" w:color="auto" w:fill="FFFFFF"/>
          <w:lang w:eastAsia="zh-CN"/>
        </w:rPr>
        <w:t>墨江哈尼族自治县联珠镇人民政府</w:t>
      </w:r>
      <w:r>
        <w:rPr>
          <w:rFonts w:hint="eastAsia" w:cs="宋体" w:asciiTheme="majorEastAsia" w:hAnsiTheme="majorEastAsia" w:eastAsiaTheme="majorEastAsia"/>
          <w:highlight w:val="none"/>
          <w:shd w:val="clear" w:color="auto" w:fill="FFFFFF"/>
        </w:rPr>
        <w:t>。本项目己具备招标条件，现对该项目进行公开招标，竭诚欢迎具有完成该项目能力的潜在投标人参加投标。</w:t>
      </w:r>
    </w:p>
    <w:p w14:paraId="215E88E7">
      <w:pPr>
        <w:keepNext w:val="0"/>
        <w:keepLines w:val="0"/>
        <w:pageBreakBefore w:val="0"/>
        <w:widowControl/>
        <w:kinsoku/>
        <w:wordWrap/>
        <w:overflowPunct/>
        <w:topLinePunct w:val="0"/>
        <w:autoSpaceDE/>
        <w:autoSpaceDN/>
        <w:bidi w:val="0"/>
        <w:adjustRightInd/>
        <w:spacing w:line="540" w:lineRule="exact"/>
        <w:textAlignment w:val="auto"/>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二、项目概况与招标范围</w:t>
      </w:r>
      <w:bookmarkEnd w:id="107"/>
    </w:p>
    <w:p w14:paraId="54033816">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cs="宋体" w:asciiTheme="majorEastAsia" w:hAnsiTheme="majorEastAsia" w:eastAsiaTheme="majorEastAsia"/>
          <w:color w:val="auto"/>
          <w:highlight w:val="none"/>
          <w:shd w:val="clear" w:color="auto" w:fill="FFFFFF"/>
        </w:rPr>
      </w:pPr>
      <w:r>
        <w:rPr>
          <w:rFonts w:hint="eastAsia" w:cs="宋体" w:asciiTheme="majorEastAsia" w:hAnsiTheme="majorEastAsia" w:eastAsiaTheme="majorEastAsia"/>
          <w:highlight w:val="none"/>
          <w:shd w:val="clear" w:color="auto" w:fill="FFFFFF"/>
        </w:rPr>
        <w:t>1、项目内容：</w:t>
      </w:r>
      <w:r>
        <w:rPr>
          <w:rFonts w:hint="eastAsia" w:cs="宋体" w:asciiTheme="majorEastAsia" w:hAnsiTheme="majorEastAsia" w:eastAsiaTheme="majorEastAsia"/>
          <w:highlight w:val="none"/>
          <w:shd w:val="clear" w:color="auto" w:fill="FFFFFF"/>
          <w:lang w:eastAsia="zh-CN"/>
        </w:rPr>
        <w:t>建设文旅综合厂房2240平方米，室外花艺场景、综合体验区2100平方米，烘烤车间2座，给排水、电气、消防、恒温恒湿设施工程</w:t>
      </w:r>
      <w:r>
        <w:rPr>
          <w:rFonts w:hint="eastAsia" w:cs="宋体" w:asciiTheme="majorEastAsia" w:hAnsiTheme="majorEastAsia" w:eastAsiaTheme="majorEastAsia"/>
          <w:highlight w:val="none"/>
          <w:shd w:val="clear" w:color="auto" w:fill="FFFFFF"/>
          <w:lang w:val="en-US" w:eastAsia="zh-CN"/>
        </w:rPr>
        <w:t>1项及</w:t>
      </w:r>
      <w:r>
        <w:rPr>
          <w:rFonts w:hint="eastAsia" w:cs="宋体" w:asciiTheme="majorEastAsia" w:hAnsiTheme="majorEastAsia" w:eastAsiaTheme="majorEastAsia"/>
          <w:highlight w:val="none"/>
          <w:shd w:val="clear" w:color="auto" w:fill="FFFFFF"/>
          <w:lang w:eastAsia="zh-CN"/>
        </w:rPr>
        <w:t>水井1座等附属设施，场地平整1300平方米</w:t>
      </w:r>
      <w:r>
        <w:rPr>
          <w:rFonts w:hint="eastAsia" w:cs="宋体" w:asciiTheme="majorEastAsia" w:hAnsiTheme="majorEastAsia" w:eastAsiaTheme="majorEastAsia"/>
          <w:color w:val="auto"/>
          <w:highlight w:val="none"/>
          <w:shd w:val="clear" w:color="auto" w:fill="FFFFFF"/>
        </w:rPr>
        <w:t>。</w:t>
      </w:r>
    </w:p>
    <w:p w14:paraId="102F1075">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rPr>
        <w:t>2、建设地点：</w:t>
      </w:r>
      <w:r>
        <w:rPr>
          <w:rFonts w:hint="eastAsia" w:cs="宋体" w:asciiTheme="majorEastAsia" w:hAnsiTheme="majorEastAsia" w:eastAsiaTheme="majorEastAsia"/>
          <w:highlight w:val="none"/>
          <w:shd w:val="clear" w:color="auto" w:fill="FFFFFF"/>
          <w:lang w:eastAsia="zh-CN"/>
        </w:rPr>
        <w:t>墨江县</w:t>
      </w:r>
      <w:r>
        <w:rPr>
          <w:rFonts w:hint="eastAsia" w:cs="宋体" w:asciiTheme="majorEastAsia" w:hAnsiTheme="majorEastAsia" w:eastAsiaTheme="majorEastAsia"/>
          <w:highlight w:val="none"/>
          <w:shd w:val="clear" w:color="auto" w:fill="FFFFFF"/>
          <w:lang w:val="en-US" w:eastAsia="zh-CN"/>
        </w:rPr>
        <w:t>联珠</w:t>
      </w:r>
      <w:r>
        <w:rPr>
          <w:rFonts w:hint="eastAsia" w:cs="宋体" w:asciiTheme="majorEastAsia" w:hAnsiTheme="majorEastAsia" w:eastAsiaTheme="majorEastAsia"/>
          <w:highlight w:val="none"/>
          <w:shd w:val="clear" w:color="auto" w:fill="FFFFFF"/>
          <w:lang w:eastAsia="zh-CN"/>
        </w:rPr>
        <w:t>镇癸能</w:t>
      </w:r>
      <w:r>
        <w:rPr>
          <w:rFonts w:hint="eastAsia" w:cs="宋体" w:asciiTheme="majorEastAsia" w:hAnsiTheme="majorEastAsia" w:eastAsiaTheme="majorEastAsia"/>
          <w:highlight w:val="none"/>
          <w:shd w:val="clear" w:color="auto" w:fill="FFFFFF"/>
        </w:rPr>
        <w:t>村。</w:t>
      </w:r>
    </w:p>
    <w:p w14:paraId="1920CAFA">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rPr>
        <w:t>3、资金情况：已落实。</w:t>
      </w:r>
    </w:p>
    <w:p w14:paraId="6FFF70EB">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hint="eastAsia" w:cs="宋体" w:asciiTheme="majorEastAsia" w:hAnsiTheme="majorEastAsia" w:eastAsiaTheme="majorEastAsia"/>
          <w:highlight w:val="none"/>
          <w:shd w:val="clear" w:color="auto" w:fill="FFFFFF"/>
          <w:lang w:val="en-US" w:eastAsia="zh-CN"/>
        </w:rPr>
      </w:pPr>
      <w:r>
        <w:rPr>
          <w:rFonts w:hint="eastAsia" w:cs="宋体" w:asciiTheme="majorEastAsia" w:hAnsiTheme="majorEastAsia" w:eastAsiaTheme="majorEastAsia"/>
          <w:highlight w:val="none"/>
          <w:shd w:val="clear" w:color="auto" w:fill="FFFFFF"/>
        </w:rPr>
        <w:t>4、</w:t>
      </w:r>
      <w:r>
        <w:rPr>
          <w:rFonts w:hint="eastAsia" w:cs="宋体" w:asciiTheme="majorEastAsia" w:hAnsiTheme="majorEastAsia" w:eastAsiaTheme="majorEastAsia"/>
          <w:highlight w:val="none"/>
          <w:shd w:val="clear" w:color="auto" w:fill="FFFFFF"/>
          <w:lang w:val="en-US" w:eastAsia="zh-CN"/>
        </w:rPr>
        <w:t>招标范围</w:t>
      </w:r>
      <w:r>
        <w:rPr>
          <w:rFonts w:hint="eastAsia" w:cs="宋体" w:asciiTheme="majorEastAsia" w:hAnsiTheme="majorEastAsia" w:eastAsiaTheme="majorEastAsia"/>
          <w:highlight w:val="none"/>
          <w:shd w:val="clear" w:color="auto" w:fill="FFFFFF"/>
        </w:rPr>
        <w:t>：</w:t>
      </w:r>
      <w:r>
        <w:rPr>
          <w:rFonts w:hint="eastAsia" w:cs="宋体" w:asciiTheme="majorEastAsia" w:hAnsiTheme="majorEastAsia" w:eastAsiaTheme="majorEastAsia"/>
          <w:highlight w:val="none"/>
          <w:shd w:val="clear" w:color="auto" w:fill="FFFFFF"/>
          <w:lang w:val="en-US" w:eastAsia="zh-CN"/>
        </w:rPr>
        <w:t>完成联珠镇癸能村花卉产业农文旅融合发展配套设施项目EPC+O</w:t>
      </w:r>
      <w:r>
        <w:rPr>
          <w:rFonts w:hint="eastAsia" w:cs="宋体" w:asciiTheme="majorEastAsia" w:hAnsiTheme="majorEastAsia" w:eastAsiaTheme="majorEastAsia"/>
          <w:highlight w:val="none"/>
          <w:shd w:val="clear" w:color="auto" w:fill="FFFFFF"/>
          <w:lang w:eastAsia="zh-CN"/>
        </w:rPr>
        <w:t>工作</w:t>
      </w:r>
      <w:r>
        <w:rPr>
          <w:rFonts w:hint="eastAsia" w:cs="宋体" w:asciiTheme="majorEastAsia" w:hAnsiTheme="majorEastAsia" w:eastAsiaTheme="majorEastAsia"/>
          <w:highlight w:val="none"/>
          <w:shd w:val="clear" w:color="auto" w:fill="FFFFFF"/>
        </w:rPr>
        <w:t>，具体包括以下内容：</w:t>
      </w:r>
    </w:p>
    <w:p w14:paraId="7E7FCB3D">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hint="eastAsia" w:cs="宋体" w:asciiTheme="majorEastAsia" w:hAnsiTheme="majorEastAsia" w:eastAsiaTheme="majorEastAsia"/>
          <w:highlight w:val="none"/>
          <w:shd w:val="clear" w:color="auto" w:fill="FFFFFF"/>
          <w:lang w:eastAsia="zh-CN"/>
        </w:rPr>
      </w:pP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1</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rPr>
        <w:t>设计</w:t>
      </w:r>
      <w:r>
        <w:rPr>
          <w:rFonts w:hint="eastAsia" w:cs="宋体" w:asciiTheme="majorEastAsia" w:hAnsiTheme="majorEastAsia" w:eastAsiaTheme="majorEastAsia"/>
          <w:highlight w:val="none"/>
          <w:shd w:val="clear" w:color="auto" w:fill="FFFFFF"/>
          <w:lang w:val="en-US" w:eastAsia="zh-CN"/>
        </w:rPr>
        <w:t>部分</w:t>
      </w:r>
      <w:r>
        <w:rPr>
          <w:rFonts w:hint="eastAsia" w:cs="宋体" w:asciiTheme="majorEastAsia" w:hAnsiTheme="majorEastAsia" w:eastAsiaTheme="majorEastAsia"/>
          <w:highlight w:val="none"/>
          <w:shd w:val="clear" w:color="auto" w:fill="FFFFFF"/>
        </w:rPr>
        <w:t>：完成本项目的施工图设计及后续施工过程中与设计相关的伴随服务，施工图设计成果通过施工图审查机构的审查，取得相关行政许可</w:t>
      </w:r>
      <w:r>
        <w:rPr>
          <w:rFonts w:hint="eastAsia" w:cs="宋体" w:asciiTheme="majorEastAsia" w:hAnsiTheme="majorEastAsia" w:eastAsiaTheme="majorEastAsia"/>
          <w:highlight w:val="none"/>
          <w:shd w:val="clear" w:color="auto" w:fill="FFFFFF"/>
          <w:lang w:eastAsia="zh-CN"/>
        </w:rPr>
        <w:t>；</w:t>
      </w:r>
    </w:p>
    <w:p w14:paraId="3D0E2288">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hint="eastAsia"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2</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rPr>
        <w:t>施工部分：</w:t>
      </w:r>
      <w:r>
        <w:rPr>
          <w:rFonts w:hint="eastAsia" w:cs="宋体" w:asciiTheme="majorEastAsia" w:hAnsiTheme="majorEastAsia" w:eastAsiaTheme="majorEastAsia"/>
          <w:highlight w:val="none"/>
          <w:shd w:val="clear" w:color="auto" w:fill="FFFFFF"/>
          <w:lang w:eastAsia="zh-CN"/>
        </w:rPr>
        <w:t>完成联珠镇癸能村花卉产业农文旅融合发展配套设施项目批复内容的全部施工工作</w:t>
      </w:r>
      <w:r>
        <w:rPr>
          <w:rFonts w:hint="eastAsia" w:cs="宋体" w:asciiTheme="majorEastAsia" w:hAnsiTheme="majorEastAsia" w:eastAsiaTheme="majorEastAsia"/>
          <w:highlight w:val="none"/>
          <w:shd w:val="clear" w:color="auto" w:fill="FFFFFF"/>
        </w:rPr>
        <w:t>，并完成相关服务内容和竣工验收，完成并配合相关部门结算，工程保修等工作，并对工程的质量、安全、工期等负责；</w:t>
      </w:r>
    </w:p>
    <w:p w14:paraId="788FF4FF">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3</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运营部分：</w:t>
      </w:r>
      <w:r>
        <w:rPr>
          <w:rFonts w:hint="eastAsia" w:cs="宋体" w:asciiTheme="majorEastAsia" w:hAnsiTheme="majorEastAsia" w:eastAsiaTheme="majorEastAsia"/>
          <w:highlight w:val="none"/>
          <w:shd w:val="clear" w:color="auto" w:fill="FFFFFF"/>
          <w:lang w:eastAsia="zh-CN"/>
        </w:rPr>
        <w:t>运营期间内，保证本项目正常运营，并承担本项目的相关成本及运营期内对本项目的相关配套投资等。</w:t>
      </w:r>
    </w:p>
    <w:p w14:paraId="5CD1A819">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cs="宋体" w:asciiTheme="majorEastAsia" w:hAnsiTheme="majorEastAsia" w:eastAsiaTheme="majorEastAsia"/>
          <w:color w:val="auto"/>
          <w:highlight w:val="none"/>
          <w:shd w:val="clear" w:color="auto" w:fill="FFFFFF"/>
        </w:rPr>
      </w:pPr>
      <w:r>
        <w:rPr>
          <w:rFonts w:hint="eastAsia" w:cs="宋体" w:asciiTheme="majorEastAsia" w:hAnsiTheme="majorEastAsia" w:eastAsiaTheme="majorEastAsia"/>
          <w:highlight w:val="none"/>
          <w:shd w:val="clear" w:color="auto" w:fill="FFFFFF"/>
          <w:lang w:val="en-US" w:eastAsia="zh-CN"/>
        </w:rPr>
        <w:t>5</w:t>
      </w:r>
      <w:r>
        <w:rPr>
          <w:rFonts w:hint="eastAsia" w:cs="宋体" w:asciiTheme="majorEastAsia" w:hAnsiTheme="majorEastAsia" w:eastAsiaTheme="majorEastAsia"/>
          <w:color w:val="auto"/>
          <w:highlight w:val="none"/>
          <w:shd w:val="clear" w:color="auto" w:fill="FFFFFF"/>
        </w:rPr>
        <w:t>、项目</w:t>
      </w:r>
      <w:r>
        <w:rPr>
          <w:rFonts w:hint="eastAsia" w:cs="宋体" w:asciiTheme="majorEastAsia" w:hAnsiTheme="majorEastAsia" w:eastAsiaTheme="majorEastAsia"/>
          <w:color w:val="auto"/>
          <w:highlight w:val="none"/>
          <w:shd w:val="clear" w:color="auto" w:fill="FFFFFF"/>
          <w:lang w:val="en-US" w:eastAsia="zh-CN"/>
        </w:rPr>
        <w:t>估算总投资</w:t>
      </w:r>
      <w:r>
        <w:rPr>
          <w:rFonts w:hint="eastAsia" w:cs="宋体" w:asciiTheme="majorEastAsia" w:hAnsiTheme="majorEastAsia" w:eastAsiaTheme="majorEastAsia"/>
          <w:color w:val="auto"/>
          <w:highlight w:val="none"/>
          <w:shd w:val="clear" w:color="auto" w:fill="FFFFFF"/>
        </w:rPr>
        <w:t>：</w:t>
      </w:r>
      <w:r>
        <w:rPr>
          <w:rFonts w:hint="eastAsia" w:cs="宋体" w:asciiTheme="majorEastAsia" w:hAnsiTheme="majorEastAsia" w:eastAsiaTheme="majorEastAsia"/>
          <w:color w:val="auto"/>
          <w:highlight w:val="none"/>
          <w:shd w:val="clear" w:color="auto" w:fill="FFFFFF"/>
          <w:lang w:val="en-US" w:eastAsia="zh-CN"/>
        </w:rPr>
        <w:t>计划总投资为1345万元，此次招标金额为1220万元（其中建筑安装工程费1200万元，工程设计费20万元)。</w:t>
      </w:r>
    </w:p>
    <w:p w14:paraId="7D93BD43">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hint="default" w:cs="宋体" w:asciiTheme="majorEastAsia" w:hAnsiTheme="majorEastAsia" w:eastAsiaTheme="majorEastAsia"/>
          <w:color w:val="auto"/>
          <w:highlight w:val="none"/>
          <w:shd w:val="clear" w:color="auto" w:fill="FFFFFF"/>
          <w:lang w:val="en-US" w:eastAsia="zh-CN"/>
        </w:rPr>
      </w:pPr>
      <w:r>
        <w:rPr>
          <w:rFonts w:hint="eastAsia" w:cs="宋体" w:asciiTheme="majorEastAsia" w:hAnsiTheme="majorEastAsia" w:eastAsiaTheme="majorEastAsia"/>
          <w:color w:val="auto"/>
          <w:highlight w:val="none"/>
          <w:shd w:val="clear" w:color="auto" w:fill="FFFFFF"/>
          <w:lang w:val="en-US" w:eastAsia="zh-CN"/>
        </w:rPr>
        <w:t>6</w:t>
      </w:r>
      <w:r>
        <w:rPr>
          <w:rFonts w:hint="eastAsia" w:cs="宋体" w:asciiTheme="majorEastAsia" w:hAnsiTheme="majorEastAsia" w:eastAsiaTheme="majorEastAsia"/>
          <w:color w:val="auto"/>
          <w:highlight w:val="none"/>
          <w:shd w:val="clear" w:color="auto" w:fill="FFFFFF"/>
        </w:rPr>
        <w:t>、计划工期：</w:t>
      </w:r>
      <w:r>
        <w:rPr>
          <w:rFonts w:hint="eastAsia" w:cs="宋体" w:asciiTheme="majorEastAsia" w:hAnsiTheme="majorEastAsia" w:eastAsiaTheme="majorEastAsia"/>
          <w:color w:val="auto"/>
          <w:highlight w:val="none"/>
          <w:shd w:val="clear" w:color="auto" w:fill="FFFFFF"/>
          <w:lang w:val="en-US" w:eastAsia="zh-CN"/>
        </w:rPr>
        <w:t>180日历天（其中施工图自签订合同之日起30日历天内完成，施工工期150日历天。具体开工日期以合同约定时间为准）</w:t>
      </w:r>
    </w:p>
    <w:p w14:paraId="557E41BD">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hint="eastAsia" w:ascii="宋体" w:hAnsi="宋体" w:eastAsia="宋体" w:cs="宋体"/>
          <w:b w:val="0"/>
          <w:bCs w:val="0"/>
          <w:sz w:val="24"/>
          <w:szCs w:val="24"/>
          <w:highlight w:val="none"/>
          <w:lang w:eastAsia="zh-CN"/>
        </w:rPr>
      </w:pPr>
      <w:r>
        <w:rPr>
          <w:rFonts w:hint="eastAsia" w:cs="宋体" w:asciiTheme="majorEastAsia" w:hAnsiTheme="majorEastAsia" w:eastAsiaTheme="majorEastAsia"/>
          <w:color w:val="auto"/>
          <w:highlight w:val="none"/>
          <w:shd w:val="clear" w:color="auto" w:fill="FFFFFF"/>
          <w:lang w:val="en-US" w:eastAsia="zh-CN"/>
        </w:rPr>
        <w:t>7</w:t>
      </w:r>
      <w:r>
        <w:rPr>
          <w:rFonts w:hint="eastAsia" w:cs="宋体" w:asciiTheme="majorEastAsia" w:hAnsiTheme="majorEastAsia" w:eastAsiaTheme="majorEastAsia"/>
          <w:color w:val="auto"/>
          <w:highlight w:val="none"/>
          <w:shd w:val="clear" w:color="auto" w:fill="FFFFFF"/>
        </w:rPr>
        <w:t>、质量要求：（</w:t>
      </w:r>
      <w:r>
        <w:rPr>
          <w:rFonts w:hint="eastAsia" w:cs="宋体" w:asciiTheme="majorEastAsia" w:hAnsiTheme="majorEastAsia" w:eastAsiaTheme="majorEastAsia"/>
          <w:color w:val="auto"/>
          <w:highlight w:val="none"/>
          <w:shd w:val="clear" w:color="auto" w:fill="FFFFFF"/>
          <w:lang w:val="en-US" w:eastAsia="zh-CN"/>
        </w:rPr>
        <w:t>1</w:t>
      </w:r>
      <w:r>
        <w:rPr>
          <w:rFonts w:hint="eastAsia" w:cs="宋体" w:asciiTheme="majorEastAsia" w:hAnsiTheme="majorEastAsia" w:eastAsiaTheme="majorEastAsia"/>
          <w:color w:val="auto"/>
          <w:highlight w:val="none"/>
          <w:shd w:val="clear" w:color="auto" w:fill="FFFFFF"/>
        </w:rPr>
        <w:t>）设计质量要求：符合《建筑工</w:t>
      </w:r>
      <w:r>
        <w:rPr>
          <w:rFonts w:hint="eastAsia" w:cs="宋体" w:asciiTheme="majorEastAsia" w:hAnsiTheme="majorEastAsia" w:eastAsiaTheme="majorEastAsia"/>
          <w:highlight w:val="none"/>
          <w:shd w:val="clear" w:color="auto" w:fill="FFFFFF"/>
        </w:rPr>
        <w:t>程设计文件编制深度规定》（201</w:t>
      </w:r>
      <w:r>
        <w:rPr>
          <w:rFonts w:cs="宋体" w:asciiTheme="majorEastAsia" w:hAnsiTheme="majorEastAsia" w:eastAsiaTheme="majorEastAsia"/>
          <w:highlight w:val="none"/>
          <w:shd w:val="clear" w:color="auto" w:fill="FFFFFF"/>
        </w:rPr>
        <w:t>6</w:t>
      </w:r>
      <w:r>
        <w:rPr>
          <w:rFonts w:hint="eastAsia" w:cs="宋体" w:asciiTheme="majorEastAsia" w:hAnsiTheme="majorEastAsia" w:eastAsiaTheme="majorEastAsia"/>
          <w:highlight w:val="none"/>
          <w:shd w:val="clear" w:color="auto" w:fill="FFFFFF"/>
        </w:rPr>
        <w:t>年版）及国家、地方及行业现行的设计标准、规范和规程的要求，确保施工图成果资料完整、真实准确、清晰有据，确保施工图成果资料通过相关行政主管部门的审批，并取得相关行政主管部门的批复文件，并对所提供的成果质量负终身责任；（</w:t>
      </w:r>
      <w:r>
        <w:rPr>
          <w:rFonts w:hint="eastAsia" w:cs="宋体" w:asciiTheme="majorEastAsia" w:hAnsiTheme="majorEastAsia" w:eastAsiaTheme="majorEastAsia"/>
          <w:highlight w:val="none"/>
          <w:shd w:val="clear" w:color="auto" w:fill="FFFFFF"/>
          <w:lang w:val="en-US" w:eastAsia="zh-CN"/>
        </w:rPr>
        <w:t>2</w:t>
      </w:r>
      <w:r>
        <w:rPr>
          <w:rFonts w:hint="eastAsia" w:cs="宋体" w:asciiTheme="majorEastAsia" w:hAnsiTheme="majorEastAsia" w:eastAsiaTheme="majorEastAsia"/>
          <w:highlight w:val="none"/>
          <w:shd w:val="clear" w:color="auto" w:fill="FFFFFF"/>
        </w:rPr>
        <w:t>）施工质量要求：符合《建设工程质量管理条例》、《建筑工程施工质量验收统一标准》（GB50300-2013）及国家（行业）现行的相关质量标准，确保工程一次性验收合格</w:t>
      </w:r>
      <w:r>
        <w:rPr>
          <w:rFonts w:hint="eastAsia" w:cs="宋体" w:asciiTheme="majorEastAsia" w:hAnsiTheme="majorEastAsia" w:eastAsiaTheme="majorEastAsia"/>
          <w:highlight w:val="none"/>
          <w:shd w:val="clear" w:color="auto" w:fill="FFFFFF"/>
          <w:lang w:eastAsia="zh-CN"/>
        </w:rPr>
        <w:t>；</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lang w:eastAsia="zh-CN"/>
        </w:rPr>
        <w:t>）运营</w:t>
      </w:r>
      <w:r>
        <w:rPr>
          <w:rFonts w:hint="eastAsia" w:ascii="宋体" w:hAnsi="宋体" w:cs="宋体"/>
          <w:sz w:val="24"/>
          <w:szCs w:val="24"/>
          <w:highlight w:val="none"/>
          <w:shd w:val="clear" w:color="auto" w:fill="FFFFFF"/>
          <w:lang w:val="en-US" w:eastAsia="zh-CN"/>
        </w:rPr>
        <w:t>部分</w:t>
      </w:r>
      <w:r>
        <w:rPr>
          <w:rFonts w:hint="eastAsia" w:ascii="宋体" w:hAnsi="宋体" w:eastAsia="宋体" w:cs="宋体"/>
          <w:b w:val="0"/>
          <w:bCs w:val="0"/>
          <w:sz w:val="24"/>
          <w:szCs w:val="24"/>
          <w:highlight w:val="none"/>
          <w:lang w:eastAsia="zh-CN"/>
        </w:rPr>
        <w:t>：</w:t>
      </w:r>
      <w:r>
        <w:rPr>
          <w:rFonts w:hint="eastAsia" w:ascii="宋体" w:hAnsi="宋体" w:cs="宋体"/>
          <w:b w:val="0"/>
          <w:bCs w:val="0"/>
          <w:sz w:val="24"/>
          <w:szCs w:val="24"/>
          <w:highlight w:val="none"/>
          <w:lang w:eastAsia="zh-CN"/>
        </w:rPr>
        <w:t>按招标人确定运营方式进行管理，并按招标人确定的项目开展运营工作。</w:t>
      </w:r>
    </w:p>
    <w:p w14:paraId="6E86C113">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lang w:val="en-US" w:eastAsia="zh-CN"/>
        </w:rPr>
        <w:t>8</w:t>
      </w:r>
      <w:r>
        <w:rPr>
          <w:rFonts w:hint="eastAsia" w:cs="宋体" w:asciiTheme="majorEastAsia" w:hAnsiTheme="majorEastAsia" w:eastAsiaTheme="majorEastAsia"/>
          <w:highlight w:val="none"/>
          <w:shd w:val="clear" w:color="auto" w:fill="FFFFFF"/>
        </w:rPr>
        <w:t>、资格审查方式：资格后审。</w:t>
      </w:r>
    </w:p>
    <w:p w14:paraId="5F84C9DB">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lang w:val="en-US" w:eastAsia="zh-CN"/>
        </w:rPr>
        <w:t>9</w:t>
      </w:r>
      <w:r>
        <w:rPr>
          <w:rFonts w:hint="eastAsia" w:cs="宋体" w:asciiTheme="majorEastAsia" w:hAnsiTheme="majorEastAsia" w:eastAsiaTheme="majorEastAsia"/>
          <w:highlight w:val="none"/>
          <w:shd w:val="clear" w:color="auto" w:fill="FFFFFF"/>
        </w:rPr>
        <w:t>、标段划分：本项目只划分一个标段。</w:t>
      </w:r>
    </w:p>
    <w:p w14:paraId="192BFED7">
      <w:pPr>
        <w:keepNext w:val="0"/>
        <w:keepLines w:val="0"/>
        <w:pageBreakBefore w:val="0"/>
        <w:widowControl/>
        <w:kinsoku/>
        <w:wordWrap/>
        <w:overflowPunct/>
        <w:topLinePunct w:val="0"/>
        <w:autoSpaceDE/>
        <w:autoSpaceDN/>
        <w:bidi w:val="0"/>
        <w:adjustRightInd/>
        <w:spacing w:line="540" w:lineRule="exact"/>
        <w:textAlignment w:val="auto"/>
        <w:rPr>
          <w:rFonts w:cs="宋体" w:asciiTheme="majorEastAsia" w:hAnsiTheme="majorEastAsia" w:eastAsiaTheme="majorEastAsia"/>
          <w:b/>
          <w:highlight w:val="none"/>
        </w:rPr>
      </w:pPr>
      <w:bookmarkStart w:id="108" w:name="_Toc187219895"/>
      <w:r>
        <w:rPr>
          <w:rFonts w:hint="eastAsia" w:cs="宋体" w:asciiTheme="majorEastAsia" w:hAnsiTheme="majorEastAsia" w:eastAsiaTheme="majorEastAsia"/>
          <w:b/>
          <w:highlight w:val="none"/>
        </w:rPr>
        <w:t>三、投标人资格要求</w:t>
      </w:r>
      <w:bookmarkEnd w:id="108"/>
    </w:p>
    <w:p w14:paraId="7CAEFC0B">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cs="宋体" w:asciiTheme="majorEastAsia" w:hAnsiTheme="majorEastAsia" w:eastAsiaTheme="majorEastAsia"/>
          <w:highlight w:val="none"/>
          <w:shd w:val="clear" w:color="auto" w:fill="FFFFFF"/>
        </w:rPr>
      </w:pPr>
      <w:bookmarkStart w:id="109" w:name="_Toc187219897"/>
      <w:bookmarkStart w:id="110" w:name="OLE_LINK7"/>
      <w:bookmarkStart w:id="111" w:name="_Toc187219896"/>
      <w:r>
        <w:rPr>
          <w:rFonts w:hint="eastAsia" w:cs="宋体" w:asciiTheme="majorEastAsia" w:hAnsiTheme="majorEastAsia" w:eastAsiaTheme="majorEastAsia"/>
          <w:highlight w:val="none"/>
          <w:shd w:val="clear" w:color="auto" w:fill="FFFFFF"/>
        </w:rPr>
        <w:t>1、本次招标要求投标人须同时具备：（1）国家工商行政管理部门登记注册的独立企业（事业）法人或其他组织</w:t>
      </w:r>
      <w:r>
        <w:rPr>
          <w:rFonts w:hint="eastAsia" w:cs="宋体" w:asciiTheme="majorEastAsia" w:hAnsiTheme="majorEastAsia" w:eastAsiaTheme="majorEastAsia"/>
          <w:highlight w:val="none"/>
          <w:shd w:val="clear" w:color="auto" w:fill="FFFFFF"/>
          <w:lang w:eastAsia="zh-CN"/>
        </w:rPr>
        <w:t>，具备有效的营业执照或其他类似的法定证明文件</w:t>
      </w:r>
      <w:r>
        <w:rPr>
          <w:rFonts w:hint="eastAsia" w:cs="宋体" w:asciiTheme="majorEastAsia" w:hAnsiTheme="majorEastAsia" w:eastAsiaTheme="majorEastAsia"/>
          <w:highlight w:val="none"/>
          <w:shd w:val="clear" w:color="auto" w:fill="FFFFFF"/>
        </w:rPr>
        <w:t>；（</w:t>
      </w:r>
      <w:r>
        <w:rPr>
          <w:rFonts w:hint="eastAsia" w:cs="宋体" w:asciiTheme="majorEastAsia" w:hAnsiTheme="majorEastAsia" w:eastAsiaTheme="majorEastAsia"/>
          <w:highlight w:val="none"/>
          <w:shd w:val="clear" w:color="auto" w:fill="FFFFFF"/>
          <w:lang w:val="en-US" w:eastAsia="zh-CN"/>
        </w:rPr>
        <w:t>2</w:t>
      </w:r>
      <w:r>
        <w:rPr>
          <w:rFonts w:hint="eastAsia" w:cs="宋体" w:asciiTheme="majorEastAsia" w:hAnsiTheme="majorEastAsia" w:eastAsiaTheme="majorEastAsia"/>
          <w:highlight w:val="none"/>
          <w:shd w:val="clear" w:color="auto" w:fill="FFFFFF"/>
        </w:rPr>
        <w:t>）</w:t>
      </w:r>
      <w:r>
        <w:rPr>
          <w:rFonts w:hint="eastAsia" w:ascii="宋体" w:hAnsi="宋体" w:cs="宋体" w:eastAsiaTheme="majorEastAsia"/>
          <w:highlight w:val="none"/>
          <w:lang w:eastAsia="zh-CN"/>
        </w:rPr>
        <w:t>建设行政主管部门核发的工程设计综合甲级资质或建筑行业（建筑工程）设计乙级（含乙级）以上资质</w:t>
      </w:r>
      <w:r>
        <w:rPr>
          <w:rFonts w:hint="eastAsia" w:cs="宋体" w:asciiTheme="majorEastAsia" w:hAnsiTheme="majorEastAsia" w:eastAsiaTheme="majorEastAsia"/>
          <w:highlight w:val="none"/>
          <w:shd w:val="clear" w:color="auto" w:fill="FFFFFF"/>
        </w:rPr>
        <w:t>；（</w:t>
      </w:r>
      <w:r>
        <w:rPr>
          <w:rFonts w:hint="eastAsia" w:cs="宋体" w:asciiTheme="majorEastAsia" w:hAnsiTheme="majorEastAsia" w:eastAsiaTheme="majorEastAsia"/>
          <w:highlight w:val="none"/>
          <w:shd w:val="clear" w:color="auto" w:fill="FFFFFF"/>
          <w:lang w:val="en-US" w:eastAsia="zh-CN"/>
        </w:rPr>
        <w:t>3</w:t>
      </w:r>
      <w:r>
        <w:rPr>
          <w:rFonts w:hint="eastAsia" w:cs="宋体" w:asciiTheme="majorEastAsia" w:hAnsiTheme="majorEastAsia" w:eastAsiaTheme="majorEastAsia"/>
          <w:highlight w:val="none"/>
          <w:shd w:val="clear" w:color="auto" w:fill="FFFFFF"/>
        </w:rPr>
        <w:t>）建设行政主管部门核发的</w:t>
      </w:r>
      <w:r>
        <w:rPr>
          <w:rFonts w:hint="eastAsia" w:cs="宋体" w:asciiTheme="majorEastAsia" w:hAnsiTheme="majorEastAsia" w:eastAsiaTheme="majorEastAsia"/>
          <w:highlight w:val="none"/>
          <w:shd w:val="clear" w:color="auto" w:fill="FFFFFF"/>
          <w:lang w:val="en-US" w:eastAsia="zh-CN"/>
        </w:rPr>
        <w:t>建筑工程施工总承包叁级（含叁级）及以上资质。</w:t>
      </w:r>
    </w:p>
    <w:p w14:paraId="22CBE1B3">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rPr>
        <w:t>2、施工企业须具备有效的安全生产许可证。</w:t>
      </w:r>
    </w:p>
    <w:p w14:paraId="193CE40D">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hint="eastAsia"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rPr>
        <w:t>3、拟派驻本项目负责人资格要求：（1）项目总负责人：具备</w:t>
      </w:r>
      <w:r>
        <w:rPr>
          <w:rFonts w:hint="eastAsia" w:cs="宋体" w:asciiTheme="majorEastAsia" w:hAnsiTheme="majorEastAsia" w:eastAsiaTheme="majorEastAsia"/>
          <w:highlight w:val="none"/>
          <w:shd w:val="clear" w:color="auto" w:fill="FFFFFF"/>
          <w:lang w:val="en-US" w:eastAsia="zh-CN"/>
        </w:rPr>
        <w:t>贰</w:t>
      </w:r>
      <w:r>
        <w:rPr>
          <w:rFonts w:hint="eastAsia" w:cs="宋体" w:asciiTheme="majorEastAsia" w:hAnsiTheme="majorEastAsia" w:eastAsiaTheme="majorEastAsia"/>
          <w:highlight w:val="none"/>
          <w:shd w:val="clear" w:color="auto" w:fill="FFFFFF"/>
        </w:rPr>
        <w:t>级</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含贰级</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以上</w:t>
      </w:r>
      <w:r>
        <w:rPr>
          <w:rFonts w:hint="eastAsia" w:cs="宋体" w:asciiTheme="majorEastAsia" w:hAnsiTheme="majorEastAsia" w:eastAsiaTheme="majorEastAsia"/>
          <w:highlight w:val="none"/>
          <w:shd w:val="clear" w:color="auto" w:fill="FFFFFF"/>
        </w:rPr>
        <w:t>注册建造师证，专业为</w:t>
      </w:r>
      <w:r>
        <w:rPr>
          <w:rFonts w:hint="eastAsia" w:cs="宋体" w:asciiTheme="majorEastAsia" w:hAnsiTheme="majorEastAsia" w:eastAsiaTheme="majorEastAsia"/>
          <w:highlight w:val="none"/>
          <w:shd w:val="clear" w:color="auto" w:fill="FFFFFF"/>
          <w:lang w:val="en-US" w:eastAsia="zh-CN"/>
        </w:rPr>
        <w:t>建筑</w:t>
      </w:r>
      <w:r>
        <w:rPr>
          <w:rFonts w:hint="eastAsia" w:cs="宋体" w:asciiTheme="majorEastAsia" w:hAnsiTheme="majorEastAsia" w:eastAsiaTheme="majorEastAsia"/>
          <w:highlight w:val="none"/>
          <w:shd w:val="clear" w:color="auto" w:fill="FFFFFF"/>
        </w:rPr>
        <w:t>工程，具有安全考核合格证B证，且不得担任其他在建项目的项目负责人，项目总负责人必须是投标人本单位在职员工，并提供社保证明材料；（2）设计负责人：具备国家</w:t>
      </w:r>
      <w:r>
        <w:rPr>
          <w:rFonts w:hint="eastAsia" w:cs="宋体" w:asciiTheme="majorEastAsia" w:hAnsiTheme="majorEastAsia" w:eastAsiaTheme="majorEastAsia"/>
          <w:highlight w:val="none"/>
          <w:shd w:val="clear" w:color="auto" w:fill="FFFFFF"/>
          <w:lang w:val="en-US" w:eastAsia="zh-CN"/>
        </w:rPr>
        <w:t>二</w:t>
      </w:r>
      <w:r>
        <w:rPr>
          <w:rFonts w:hint="eastAsia" w:cs="宋体" w:asciiTheme="majorEastAsia" w:hAnsiTheme="majorEastAsia" w:eastAsiaTheme="majorEastAsia"/>
          <w:highlight w:val="none"/>
          <w:shd w:val="clear" w:color="auto" w:fill="FFFFFF"/>
        </w:rPr>
        <w:t>级</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含二级</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及以上</w:t>
      </w:r>
      <w:r>
        <w:rPr>
          <w:rFonts w:hint="eastAsia" w:cs="宋体" w:asciiTheme="majorEastAsia" w:hAnsiTheme="majorEastAsia" w:eastAsiaTheme="majorEastAsia"/>
          <w:highlight w:val="none"/>
          <w:shd w:val="clear" w:color="auto" w:fill="FFFFFF"/>
        </w:rPr>
        <w:t>注册建筑师资格，设计负责人必须是投标人本单位在职员工，并提供社保证明材料。</w:t>
      </w:r>
    </w:p>
    <w:p w14:paraId="4B295AA1">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hint="eastAsia" w:cs="宋体" w:asciiTheme="majorEastAsia" w:hAnsiTheme="majorEastAsia" w:eastAsiaTheme="majorEastAsia"/>
          <w:highlight w:val="none"/>
          <w:shd w:val="clear" w:color="auto" w:fill="FFFFFF"/>
          <w:lang w:val="en-US" w:eastAsia="zh-CN"/>
        </w:rPr>
      </w:pPr>
      <w:r>
        <w:rPr>
          <w:rFonts w:hint="eastAsia" w:cs="宋体" w:asciiTheme="majorEastAsia" w:hAnsiTheme="majorEastAsia" w:eastAsiaTheme="majorEastAsia"/>
          <w:highlight w:val="none"/>
          <w:shd w:val="clear" w:color="auto" w:fill="FFFFFF"/>
          <w:lang w:val="en-US" w:eastAsia="zh-CN"/>
        </w:rPr>
        <w:t>4、人员配备要求：详见《施工现场专业(管理)人员配备表》。</w:t>
      </w:r>
    </w:p>
    <w:p w14:paraId="3F5DCA41">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hint="eastAsia" w:cs="宋体" w:asciiTheme="majorEastAsia" w:hAnsiTheme="majorEastAsia" w:eastAsiaTheme="majorEastAsia"/>
          <w:color w:val="auto"/>
          <w:highlight w:val="none"/>
          <w:shd w:val="clear" w:color="auto" w:fill="FFFFFF"/>
          <w:lang w:eastAsia="zh-CN"/>
        </w:rPr>
      </w:pPr>
      <w:bookmarkStart w:id="112" w:name="OLE_LINK2"/>
      <w:r>
        <w:rPr>
          <w:rFonts w:hint="eastAsia" w:cs="宋体" w:asciiTheme="majorEastAsia" w:hAnsiTheme="majorEastAsia" w:eastAsiaTheme="majorEastAsia"/>
          <w:color w:val="auto"/>
          <w:highlight w:val="none"/>
          <w:shd w:val="clear" w:color="auto" w:fill="FFFFFF"/>
          <w:lang w:val="en-US" w:eastAsia="zh-CN"/>
        </w:rPr>
        <w:t>5</w:t>
      </w:r>
      <w:r>
        <w:rPr>
          <w:rFonts w:hint="eastAsia" w:cs="宋体" w:asciiTheme="majorEastAsia" w:hAnsiTheme="majorEastAsia" w:eastAsiaTheme="majorEastAsia"/>
          <w:color w:val="auto"/>
          <w:highlight w:val="none"/>
          <w:shd w:val="clear" w:color="auto" w:fill="FFFFFF"/>
        </w:rPr>
        <w:t>、企业业绩要求：</w:t>
      </w:r>
      <w:r>
        <w:rPr>
          <w:rFonts w:hint="eastAsia" w:cs="宋体" w:asciiTheme="majorEastAsia" w:hAnsiTheme="majorEastAsia" w:eastAsiaTheme="majorEastAsia"/>
          <w:color w:val="auto"/>
          <w:highlight w:val="none"/>
          <w:shd w:val="clear" w:color="auto" w:fill="FFFFFF"/>
          <w:lang w:val="en-US" w:eastAsia="zh-CN"/>
        </w:rPr>
        <w:t>无</w:t>
      </w:r>
      <w:r>
        <w:rPr>
          <w:rFonts w:hint="eastAsia" w:cs="宋体" w:asciiTheme="majorEastAsia" w:hAnsiTheme="majorEastAsia" w:eastAsiaTheme="majorEastAsia"/>
          <w:color w:val="auto"/>
          <w:highlight w:val="none"/>
          <w:shd w:val="clear" w:color="auto" w:fill="FFFFFF"/>
          <w:lang w:eastAsia="zh-CN"/>
        </w:rPr>
        <w:t>。</w:t>
      </w:r>
    </w:p>
    <w:p w14:paraId="67A1A92E">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lang w:val="en-US" w:eastAsia="zh-CN"/>
        </w:rPr>
        <w:t>6</w:t>
      </w:r>
      <w:r>
        <w:rPr>
          <w:rFonts w:hint="eastAsia" w:cs="宋体" w:asciiTheme="majorEastAsia" w:hAnsiTheme="majorEastAsia" w:eastAsiaTheme="majorEastAsia"/>
          <w:highlight w:val="none"/>
          <w:shd w:val="clear" w:color="auto" w:fill="FFFFFF"/>
        </w:rPr>
        <w:t>、财务要求：具有良好的商业信誉和健全的财务会计制度，</w:t>
      </w:r>
      <w:r>
        <w:rPr>
          <w:rFonts w:hint="eastAsia" w:cs="宋体" w:asciiTheme="majorEastAsia" w:hAnsiTheme="majorEastAsia" w:eastAsiaTheme="majorEastAsia"/>
          <w:highlight w:val="none"/>
          <w:shd w:val="clear" w:color="auto" w:fill="FFFFFF"/>
          <w:lang w:val="en-US" w:eastAsia="zh-CN"/>
        </w:rPr>
        <w:t>提供2022年至2024年度经第三方审计的</w:t>
      </w:r>
      <w:r>
        <w:rPr>
          <w:rFonts w:hint="eastAsia" w:cs="宋体" w:asciiTheme="majorEastAsia" w:hAnsiTheme="majorEastAsia" w:eastAsiaTheme="majorEastAsia"/>
          <w:highlight w:val="none"/>
          <w:shd w:val="clear" w:color="auto" w:fill="FFFFFF"/>
        </w:rPr>
        <w:t>审计报告</w:t>
      </w:r>
      <w:r>
        <w:rPr>
          <w:rFonts w:hint="eastAsia" w:cs="宋体" w:asciiTheme="majorEastAsia" w:hAnsiTheme="majorEastAsia" w:eastAsiaTheme="majorEastAsia"/>
          <w:highlight w:val="none"/>
          <w:shd w:val="clear" w:color="auto" w:fill="FFFFFF"/>
          <w:lang w:val="en-US" w:eastAsia="zh-CN"/>
        </w:rPr>
        <w:t>或</w:t>
      </w:r>
      <w:r>
        <w:rPr>
          <w:rFonts w:hint="eastAsia" w:cs="宋体" w:asciiTheme="majorEastAsia" w:hAnsiTheme="majorEastAsia" w:eastAsiaTheme="majorEastAsia"/>
          <w:highlight w:val="none"/>
          <w:shd w:val="clear" w:color="auto" w:fill="FFFFFF"/>
        </w:rPr>
        <w:t>财务报表（包括资产负债表、利润表、现金流量表），成立不满3年的，提供自成立至今经第三方审计的审计报告</w:t>
      </w:r>
      <w:r>
        <w:rPr>
          <w:rFonts w:hint="eastAsia" w:cs="宋体" w:asciiTheme="majorEastAsia" w:hAnsiTheme="majorEastAsia" w:eastAsiaTheme="majorEastAsia"/>
          <w:highlight w:val="none"/>
          <w:shd w:val="clear" w:color="auto" w:fill="FFFFFF"/>
          <w:lang w:val="en-US" w:eastAsia="zh-CN"/>
        </w:rPr>
        <w:t>或</w:t>
      </w:r>
      <w:r>
        <w:rPr>
          <w:rFonts w:hint="eastAsia" w:cs="宋体" w:asciiTheme="majorEastAsia" w:hAnsiTheme="majorEastAsia" w:eastAsiaTheme="majorEastAsia"/>
          <w:highlight w:val="none"/>
          <w:shd w:val="clear" w:color="auto" w:fill="FFFFFF"/>
        </w:rPr>
        <w:t>财务报表（包括资产负债表、利润表、现金流量表），成立不满1年的，提供自成立至今自行编制的财务报表（包括资产负债表、利润表、现金流量表），</w:t>
      </w:r>
      <w:r>
        <w:rPr>
          <w:rFonts w:hint="eastAsia" w:asciiTheme="majorEastAsia" w:hAnsiTheme="majorEastAsia" w:eastAsiaTheme="majorEastAsia"/>
          <w:highlight w:val="none"/>
        </w:rPr>
        <w:t>若为联合体投标的，联合体</w:t>
      </w:r>
      <w:r>
        <w:rPr>
          <w:rFonts w:hint="eastAsia" w:asciiTheme="majorEastAsia" w:hAnsiTheme="majorEastAsia" w:eastAsiaTheme="majorEastAsia"/>
          <w:highlight w:val="none"/>
          <w:lang w:val="en-US" w:eastAsia="zh-CN"/>
        </w:rPr>
        <w:t>牵头人</w:t>
      </w:r>
      <w:r>
        <w:rPr>
          <w:rFonts w:hint="eastAsia" w:asciiTheme="majorEastAsia" w:hAnsiTheme="majorEastAsia" w:eastAsiaTheme="majorEastAsia"/>
          <w:highlight w:val="none"/>
        </w:rPr>
        <w:t>提供。</w:t>
      </w:r>
    </w:p>
    <w:p w14:paraId="3C0E009E">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hint="default" w:cs="宋体" w:asciiTheme="majorEastAsia" w:hAnsiTheme="majorEastAsia" w:eastAsiaTheme="majorEastAsia"/>
          <w:highlight w:val="none"/>
          <w:shd w:val="clear" w:color="auto" w:fill="FFFFFF"/>
          <w:lang w:val="en-US" w:eastAsia="zh-CN"/>
        </w:rPr>
      </w:pPr>
      <w:r>
        <w:rPr>
          <w:rFonts w:hint="eastAsia" w:cs="宋体" w:asciiTheme="majorEastAsia" w:hAnsiTheme="majorEastAsia" w:eastAsiaTheme="majorEastAsia"/>
          <w:highlight w:val="none"/>
          <w:shd w:val="clear" w:color="auto" w:fill="FFFFFF"/>
          <w:lang w:val="en-US" w:eastAsia="zh-CN"/>
        </w:rPr>
        <w:t>7</w:t>
      </w:r>
      <w:r>
        <w:rPr>
          <w:rFonts w:hint="eastAsia" w:cs="宋体" w:asciiTheme="majorEastAsia" w:hAnsiTheme="majorEastAsia" w:eastAsiaTheme="majorEastAsia"/>
          <w:highlight w:val="none"/>
          <w:shd w:val="clear" w:color="auto" w:fill="FFFFFF"/>
        </w:rPr>
        <w:t>、信誉要求：（1）投标人最近三年</w:t>
      </w:r>
      <w:r>
        <w:rPr>
          <w:rFonts w:hint="eastAsia" w:cs="宋体" w:asciiTheme="majorEastAsia" w:hAnsiTheme="majorEastAsia" w:eastAsiaTheme="majorEastAsia"/>
          <w:highlight w:val="none"/>
          <w:shd w:val="clear" w:color="auto" w:fill="FFFFFF"/>
          <w:lang w:val="en-US" w:eastAsia="zh-CN"/>
        </w:rPr>
        <w:t>（2023年1月1日至今）</w:t>
      </w:r>
      <w:r>
        <w:rPr>
          <w:rFonts w:hint="eastAsia" w:cs="宋体" w:asciiTheme="majorEastAsia" w:hAnsiTheme="majorEastAsia" w:eastAsiaTheme="majorEastAsia"/>
          <w:highlight w:val="none"/>
          <w:shd w:val="clear" w:color="auto" w:fill="FFFFFF"/>
        </w:rPr>
        <w:t>没有处于被责令停业，投标资格被取消，财产被接管、冻结，破产状态；没有骗取中标和严重违约及重大质量问题。投标人信誉良好，投标人当前未因不良行为记录被建设行政主管部门禁止投标，在递交投标文件截止之日前未被纳入“信用中国”网站的“失信被执行人名单”</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投标人提供相关承诺，成立不满三年的，提供成立至今的承诺；联合体投标的，联合体各方均须提供）</w:t>
      </w:r>
      <w:r>
        <w:rPr>
          <w:rFonts w:hint="eastAsia" w:cs="宋体" w:asciiTheme="majorEastAsia" w:hAnsiTheme="majorEastAsia" w:eastAsiaTheme="majorEastAsia"/>
          <w:highlight w:val="none"/>
          <w:shd w:val="clear" w:color="auto" w:fill="FFFFFF"/>
        </w:rPr>
        <w:t>；（2</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rPr>
        <w:t>投标人最近三年</w:t>
      </w:r>
      <w:r>
        <w:rPr>
          <w:rFonts w:hint="eastAsia" w:cs="宋体" w:asciiTheme="majorEastAsia" w:hAnsiTheme="majorEastAsia" w:eastAsiaTheme="majorEastAsia"/>
          <w:highlight w:val="none"/>
          <w:shd w:val="clear" w:color="auto" w:fill="FFFFFF"/>
          <w:lang w:val="en-US" w:eastAsia="zh-CN"/>
        </w:rPr>
        <w:t>（2023年1月1日至今）</w:t>
      </w:r>
      <w:r>
        <w:rPr>
          <w:rFonts w:hint="eastAsia" w:cs="宋体" w:asciiTheme="majorEastAsia" w:hAnsiTheme="majorEastAsia" w:eastAsiaTheme="majorEastAsia"/>
          <w:highlight w:val="none"/>
          <w:shd w:val="clear" w:color="auto" w:fill="FFFFFF"/>
        </w:rPr>
        <w:t>在经营活动中未出现违法、违规经营行为，主要管理人员没有行贿犯罪记录，投标企业应出具无行贿犯罪行为情况承诺书</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投标人提供相关承诺，成立不满三年的，提供成立至今的承诺；联合体投标的，联合体各方均须提供）</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3）</w:t>
      </w:r>
      <w:r>
        <w:rPr>
          <w:rFonts w:hint="eastAsia" w:cs="宋体" w:asciiTheme="majorEastAsia" w:hAnsiTheme="majorEastAsia" w:eastAsiaTheme="majorEastAsia"/>
          <w:highlight w:val="none"/>
          <w:shd w:val="clear" w:color="auto" w:fill="FFFFFF"/>
        </w:rPr>
        <w:t>投标人最近三年</w:t>
      </w:r>
      <w:r>
        <w:rPr>
          <w:rFonts w:hint="eastAsia" w:cs="宋体" w:asciiTheme="majorEastAsia" w:hAnsiTheme="majorEastAsia" w:eastAsiaTheme="majorEastAsia"/>
          <w:highlight w:val="none"/>
          <w:shd w:val="clear" w:color="auto" w:fill="FFFFFF"/>
          <w:lang w:val="en-US" w:eastAsia="zh-CN"/>
        </w:rPr>
        <w:t>（2023年1月1日至今）无拖欠农民工工资行为、未因拖欠农民工工资被评为不良信用单位或不良评级施工企业承诺，提供虚假承诺的，取消中标资格</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投标人提供相关承诺，成立不满三年的，提供成立至今的承诺；联合体投标的，由联合体牵头人提供）。</w:t>
      </w:r>
    </w:p>
    <w:p w14:paraId="21391303">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hint="eastAsia"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lang w:val="en-US" w:eastAsia="zh-CN"/>
        </w:rPr>
        <w:t>8</w:t>
      </w:r>
      <w:r>
        <w:rPr>
          <w:rFonts w:hint="eastAsia" w:cs="宋体" w:asciiTheme="majorEastAsia" w:hAnsiTheme="majorEastAsia" w:eastAsiaTheme="majorEastAsia"/>
          <w:highlight w:val="none"/>
          <w:shd w:val="clear" w:color="auto" w:fill="FFFFFF"/>
        </w:rPr>
        <w:t>、本项目接受联合体投标。联合体投标时，联合体单位不得超过</w:t>
      </w:r>
      <w:r>
        <w:rPr>
          <w:rFonts w:hint="eastAsia" w:cs="宋体" w:asciiTheme="majorEastAsia" w:hAnsiTheme="majorEastAsia" w:eastAsiaTheme="majorEastAsia"/>
          <w:highlight w:val="none"/>
          <w:shd w:val="clear" w:color="auto" w:fill="FFFFFF"/>
          <w:lang w:val="en-US" w:eastAsia="zh-CN"/>
        </w:rPr>
        <w:t>3</w:t>
      </w:r>
      <w:r>
        <w:rPr>
          <w:rFonts w:hint="eastAsia" w:cs="宋体" w:asciiTheme="majorEastAsia" w:hAnsiTheme="majorEastAsia" w:eastAsiaTheme="majorEastAsia"/>
          <w:highlight w:val="none"/>
          <w:shd w:val="clear" w:color="auto" w:fill="FFFFFF"/>
        </w:rPr>
        <w:t>家，</w:t>
      </w:r>
      <w:r>
        <w:rPr>
          <w:rFonts w:hint="eastAsia" w:ascii="宋体" w:hAnsi="宋体" w:cs="宋体" w:eastAsiaTheme="majorEastAsia"/>
          <w:highlight w:val="none"/>
          <w:lang w:val="en-US" w:eastAsia="zh-CN"/>
        </w:rPr>
        <w:t>运营</w:t>
      </w:r>
      <w:r>
        <w:rPr>
          <w:rFonts w:hint="eastAsia" w:cs="宋体" w:asciiTheme="majorEastAsia" w:hAnsiTheme="majorEastAsia" w:eastAsiaTheme="majorEastAsia"/>
          <w:highlight w:val="none"/>
          <w:shd w:val="clear" w:color="auto" w:fill="FFFFFF"/>
        </w:rPr>
        <w:t>单位须为联合体牵头人。</w:t>
      </w:r>
    </w:p>
    <w:bookmarkEnd w:id="106"/>
    <w:bookmarkEnd w:id="109"/>
    <w:bookmarkEnd w:id="110"/>
    <w:bookmarkEnd w:id="111"/>
    <w:bookmarkEnd w:id="112"/>
    <w:p w14:paraId="26452FC3">
      <w:pPr>
        <w:keepNext w:val="0"/>
        <w:keepLines w:val="0"/>
        <w:pageBreakBefore w:val="0"/>
        <w:widowControl/>
        <w:kinsoku/>
        <w:wordWrap/>
        <w:overflowPunct/>
        <w:topLinePunct w:val="0"/>
        <w:autoSpaceDE/>
        <w:autoSpaceDN/>
        <w:bidi w:val="0"/>
        <w:adjustRightInd/>
        <w:spacing w:line="540" w:lineRule="exact"/>
        <w:textAlignment w:val="auto"/>
        <w:rPr>
          <w:rFonts w:cs="宋体" w:asciiTheme="majorEastAsia" w:hAnsiTheme="majorEastAsia" w:eastAsiaTheme="majorEastAsia"/>
          <w:b/>
          <w:highlight w:val="none"/>
        </w:rPr>
      </w:pPr>
      <w:bookmarkStart w:id="113" w:name="_Toc487204986"/>
      <w:bookmarkStart w:id="114" w:name="OLE_LINK3"/>
      <w:bookmarkStart w:id="115" w:name="_Toc187219898"/>
      <w:r>
        <w:rPr>
          <w:rFonts w:hint="eastAsia" w:cs="宋体" w:asciiTheme="majorEastAsia" w:hAnsiTheme="majorEastAsia" w:eastAsiaTheme="majorEastAsia"/>
          <w:b/>
          <w:highlight w:val="none"/>
        </w:rPr>
        <w:t>四、</w:t>
      </w:r>
      <w:bookmarkEnd w:id="113"/>
      <w:r>
        <w:rPr>
          <w:rFonts w:hint="eastAsia" w:cs="宋体" w:asciiTheme="majorEastAsia" w:hAnsiTheme="majorEastAsia" w:eastAsiaTheme="majorEastAsia"/>
          <w:b/>
          <w:highlight w:val="none"/>
        </w:rPr>
        <w:t>招标文件的获取</w:t>
      </w:r>
    </w:p>
    <w:bookmarkEnd w:id="114"/>
    <w:p w14:paraId="709723FD">
      <w:pPr>
        <w:keepNext w:val="0"/>
        <w:keepLines w:val="0"/>
        <w:pageBreakBefore w:val="0"/>
        <w:widowControl/>
        <w:tabs>
          <w:tab w:val="left" w:pos="760"/>
        </w:tabs>
        <w:kinsoku/>
        <w:wordWrap/>
        <w:overflowPunct/>
        <w:topLinePunct w:val="0"/>
        <w:autoSpaceDE/>
        <w:autoSpaceDN/>
        <w:bidi w:val="0"/>
        <w:adjustRightInd/>
        <w:spacing w:line="540" w:lineRule="exact"/>
        <w:ind w:firstLine="480" w:firstLineChars="200"/>
        <w:textAlignment w:val="auto"/>
        <w:rPr>
          <w:rFonts w:hint="eastAsia" w:ascii="宋体" w:hAnsi="宋体" w:cs="宋体"/>
          <w:highlight w:val="none"/>
        </w:rPr>
      </w:pPr>
      <w:r>
        <w:rPr>
          <w:rFonts w:hint="eastAsia" w:ascii="宋体" w:hAnsi="宋体" w:cs="宋体"/>
          <w:highlight w:val="none"/>
          <w:lang w:val="en-US" w:eastAsia="zh-CN"/>
        </w:rPr>
        <w:t>凡有意参加投标者，请于2026年  月  日18时00分至2026年  月  日18时00分（北京时间，下同）前，凭企业数字证书（CA）登录云南省公共资源交易信息网（进入后切换地区到普洱市）https://ggzy.yn.gov.cn/#/homePage，在网上获取招标文件及其它招标资料（电子招标文件格式为*.BZBJ）（此为获取招标文件的唯一方式）</w:t>
      </w:r>
      <w:r>
        <w:rPr>
          <w:rFonts w:hint="eastAsia" w:ascii="宋体" w:hAnsi="宋体" w:cs="宋体"/>
          <w:highlight w:val="none"/>
        </w:rPr>
        <w:t>。</w:t>
      </w:r>
    </w:p>
    <w:p w14:paraId="3AE67B5B">
      <w:pPr>
        <w:keepNext w:val="0"/>
        <w:keepLines w:val="0"/>
        <w:pageBreakBefore w:val="0"/>
        <w:widowControl/>
        <w:kinsoku/>
        <w:wordWrap/>
        <w:overflowPunct/>
        <w:topLinePunct w:val="0"/>
        <w:autoSpaceDE/>
        <w:autoSpaceDN/>
        <w:bidi w:val="0"/>
        <w:adjustRightInd/>
        <w:spacing w:line="540" w:lineRule="exact"/>
        <w:textAlignment w:val="auto"/>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五、投标文件的递交</w:t>
      </w:r>
      <w:bookmarkEnd w:id="115"/>
    </w:p>
    <w:p w14:paraId="7E4CE156">
      <w:pPr>
        <w:keepNext w:val="0"/>
        <w:keepLines w:val="0"/>
        <w:pageBreakBefore w:val="0"/>
        <w:widowControl/>
        <w:tabs>
          <w:tab w:val="left" w:pos="760"/>
        </w:tabs>
        <w:kinsoku/>
        <w:wordWrap/>
        <w:overflowPunct/>
        <w:topLinePunct w:val="0"/>
        <w:autoSpaceDE/>
        <w:autoSpaceDN/>
        <w:bidi w:val="0"/>
        <w:adjustRightInd/>
        <w:spacing w:line="540" w:lineRule="exact"/>
        <w:ind w:firstLine="480" w:firstLineChars="200"/>
        <w:textAlignment w:val="auto"/>
        <w:rPr>
          <w:rFonts w:hint="eastAsia" w:ascii="宋体" w:hAnsi="宋体" w:cs="宋体"/>
          <w:highlight w:val="none"/>
        </w:rPr>
      </w:pPr>
      <w:bookmarkStart w:id="116" w:name="_Toc187219899"/>
      <w:r>
        <w:rPr>
          <w:rFonts w:hint="eastAsia" w:ascii="宋体" w:hAnsi="宋体" w:cs="宋体"/>
          <w:highlight w:val="none"/>
          <w:lang w:val="en-US" w:eastAsia="zh-CN"/>
        </w:rPr>
        <w:t xml:space="preserve">5.1 招标人不组织现场踏勘、不召开投标预备会。 </w:t>
      </w:r>
    </w:p>
    <w:p w14:paraId="0C0EDEC6">
      <w:pPr>
        <w:keepNext w:val="0"/>
        <w:keepLines w:val="0"/>
        <w:pageBreakBefore w:val="0"/>
        <w:widowControl/>
        <w:tabs>
          <w:tab w:val="left" w:pos="760"/>
        </w:tabs>
        <w:kinsoku/>
        <w:wordWrap/>
        <w:overflowPunct/>
        <w:topLinePunct w:val="0"/>
        <w:autoSpaceDE/>
        <w:autoSpaceDN/>
        <w:bidi w:val="0"/>
        <w:adjustRightInd/>
        <w:spacing w:line="540" w:lineRule="exact"/>
        <w:ind w:firstLine="480" w:firstLineChars="200"/>
        <w:textAlignment w:val="auto"/>
        <w:rPr>
          <w:rFonts w:hint="eastAsia" w:ascii="宋体" w:hAnsi="宋体" w:cs="宋体"/>
          <w:highlight w:val="none"/>
          <w:lang w:val="en-US" w:eastAsia="zh-CN"/>
        </w:rPr>
      </w:pPr>
      <w:r>
        <w:rPr>
          <w:rFonts w:hint="eastAsia" w:ascii="宋体" w:hAnsi="宋体" w:cs="宋体"/>
          <w:highlight w:val="none"/>
          <w:lang w:val="en-US" w:eastAsia="zh-CN"/>
        </w:rPr>
        <w:t xml:space="preserve">5.2 递交投标文件截止时间（投标截止时间，下同）为2026年  月  日09时00分。 </w:t>
      </w:r>
    </w:p>
    <w:p w14:paraId="414F6DD4">
      <w:pPr>
        <w:keepNext w:val="0"/>
        <w:keepLines w:val="0"/>
        <w:pageBreakBefore w:val="0"/>
        <w:widowControl/>
        <w:tabs>
          <w:tab w:val="left" w:pos="760"/>
        </w:tabs>
        <w:kinsoku/>
        <w:wordWrap/>
        <w:overflowPunct/>
        <w:topLinePunct w:val="0"/>
        <w:autoSpaceDE/>
        <w:autoSpaceDN/>
        <w:bidi w:val="0"/>
        <w:adjustRightInd/>
        <w:spacing w:line="540" w:lineRule="exact"/>
        <w:ind w:firstLine="480" w:firstLineChars="200"/>
        <w:textAlignment w:val="auto"/>
        <w:rPr>
          <w:rFonts w:hint="eastAsia" w:ascii="宋体" w:hAnsi="宋体" w:cs="宋体"/>
          <w:highlight w:val="none"/>
        </w:rPr>
      </w:pPr>
      <w:r>
        <w:rPr>
          <w:rFonts w:hint="eastAsia" w:ascii="宋体" w:hAnsi="宋体" w:cs="宋体"/>
          <w:highlight w:val="none"/>
          <w:lang w:val="en-US" w:eastAsia="zh-CN"/>
        </w:rPr>
        <w:t xml:space="preserve">5.3 投标文件递交:在投标文件递交截止时间前，投标人应根据招标文件要求，登录云南省公共资源交易信息网（进入后切换地区到普洱https://ggzy.yn.gov.cn/#/homePage， </w:t>
      </w:r>
    </w:p>
    <w:p w14:paraId="1D28F382">
      <w:pPr>
        <w:keepNext w:val="0"/>
        <w:keepLines w:val="0"/>
        <w:pageBreakBefore w:val="0"/>
        <w:widowControl/>
        <w:tabs>
          <w:tab w:val="left" w:pos="760"/>
        </w:tabs>
        <w:kinsoku/>
        <w:wordWrap/>
        <w:overflowPunct/>
        <w:topLinePunct w:val="0"/>
        <w:autoSpaceDE/>
        <w:autoSpaceDN/>
        <w:bidi w:val="0"/>
        <w:adjustRightInd/>
        <w:spacing w:line="540" w:lineRule="exact"/>
        <w:textAlignment w:val="auto"/>
        <w:rPr>
          <w:rFonts w:hint="eastAsia" w:ascii="宋体" w:hAnsi="宋体" w:cs="宋体"/>
          <w:highlight w:val="none"/>
        </w:rPr>
      </w:pPr>
      <w:r>
        <w:rPr>
          <w:rFonts w:hint="eastAsia" w:ascii="宋体" w:hAnsi="宋体" w:cs="宋体"/>
          <w:highlight w:val="none"/>
          <w:lang w:val="en-US" w:eastAsia="zh-CN"/>
        </w:rPr>
        <w:t xml:space="preserve">在投标截止时间前完成所有电子投标文件的递交，且完成电子签名确认，并打印“上传投标文件回执”，以确保文件上传成功。投标文件在截止时间前未完成电子签名确认的，视为无效投标，不能进入开标阶段。 </w:t>
      </w:r>
    </w:p>
    <w:p w14:paraId="4FC618DA">
      <w:pPr>
        <w:keepNext w:val="0"/>
        <w:keepLines w:val="0"/>
        <w:pageBreakBefore w:val="0"/>
        <w:widowControl/>
        <w:tabs>
          <w:tab w:val="left" w:pos="760"/>
        </w:tabs>
        <w:kinsoku/>
        <w:wordWrap/>
        <w:overflowPunct/>
        <w:topLinePunct w:val="0"/>
        <w:autoSpaceDE/>
        <w:autoSpaceDN/>
        <w:bidi w:val="0"/>
        <w:adjustRightInd/>
        <w:spacing w:line="540" w:lineRule="exact"/>
        <w:ind w:firstLine="480" w:firstLineChars="200"/>
        <w:textAlignment w:val="auto"/>
        <w:rPr>
          <w:rFonts w:hint="eastAsia" w:ascii="宋体" w:hAnsi="宋体" w:cs="宋体"/>
          <w:highlight w:val="none"/>
          <w:lang w:val="en-US" w:eastAsia="zh-CN"/>
        </w:rPr>
      </w:pPr>
      <w:r>
        <w:rPr>
          <w:rFonts w:hint="eastAsia" w:ascii="宋体" w:hAnsi="宋体" w:cs="宋体"/>
          <w:highlight w:val="none"/>
          <w:lang w:val="en-US" w:eastAsia="zh-CN"/>
        </w:rPr>
        <w:t>5.4 其他（开标规定等）：该项目采用网上智能开标及远程解密方式进行开标。投标人登录云南省公共资源交易平台</w:t>
      </w:r>
      <w:bookmarkStart w:id="1047" w:name="_GoBack"/>
      <w:bookmarkEnd w:id="1047"/>
      <w:r>
        <w:rPr>
          <w:rFonts w:hint="eastAsia" w:ascii="宋体" w:hAnsi="宋体" w:cs="宋体"/>
          <w:highlight w:val="none"/>
          <w:lang w:val="en-US" w:eastAsia="zh-CN"/>
        </w:rPr>
        <w:t>，按照《云南省公共资源交易电子化平台智能开标系统培训教材（适用投标人和供应商）》完成远程解密、查看开标一览表等相关操作。本项目解密时间为 1小时，若投标人未在规定时间完成以上解密，则视为撤销其投标文件，不再进入评标阶段。</w:t>
      </w:r>
    </w:p>
    <w:p w14:paraId="77DD13EF">
      <w:pPr>
        <w:keepNext w:val="0"/>
        <w:keepLines w:val="0"/>
        <w:pageBreakBefore w:val="0"/>
        <w:widowControl/>
        <w:tabs>
          <w:tab w:val="left" w:pos="760"/>
        </w:tabs>
        <w:kinsoku/>
        <w:wordWrap/>
        <w:overflowPunct/>
        <w:topLinePunct w:val="0"/>
        <w:autoSpaceDE/>
        <w:autoSpaceDN/>
        <w:bidi w:val="0"/>
        <w:adjustRightInd/>
        <w:spacing w:line="540" w:lineRule="exact"/>
        <w:ind w:firstLine="480" w:firstLineChars="200"/>
        <w:textAlignment w:val="auto"/>
        <w:rPr>
          <w:rFonts w:hint="eastAsia" w:ascii="宋体" w:hAnsi="宋体" w:cs="宋体"/>
          <w:highlight w:val="none"/>
        </w:rPr>
      </w:pPr>
      <w:r>
        <w:rPr>
          <w:rFonts w:hint="eastAsia" w:ascii="宋体" w:hAnsi="宋体" w:cs="宋体"/>
          <w:highlight w:val="none"/>
          <w:lang w:val="en-US" w:eastAsia="zh-CN"/>
        </w:rPr>
        <w:t xml:space="preserve">因开标系统、开标现场网络、设备及其他特殊原因，导致不能正常解密投标文件的，经核实和上报相关部门同意后，可再次下达网上解密指令来延长解密时间。 </w:t>
      </w:r>
    </w:p>
    <w:p w14:paraId="3AB38394">
      <w:pPr>
        <w:keepNext w:val="0"/>
        <w:keepLines w:val="0"/>
        <w:pageBreakBefore w:val="0"/>
        <w:widowControl/>
        <w:tabs>
          <w:tab w:val="left" w:pos="760"/>
        </w:tabs>
        <w:kinsoku/>
        <w:wordWrap/>
        <w:overflowPunct/>
        <w:topLinePunct w:val="0"/>
        <w:autoSpaceDE/>
        <w:autoSpaceDN/>
        <w:bidi w:val="0"/>
        <w:adjustRightInd/>
        <w:spacing w:line="540" w:lineRule="exact"/>
        <w:ind w:firstLine="480" w:firstLineChars="200"/>
        <w:textAlignment w:val="auto"/>
        <w:rPr>
          <w:rFonts w:hint="eastAsia" w:ascii="宋体" w:hAnsi="宋体" w:cs="宋体"/>
          <w:highlight w:val="none"/>
          <w:lang w:val="en-US" w:eastAsia="zh-CN"/>
        </w:rPr>
      </w:pPr>
      <w:r>
        <w:rPr>
          <w:rFonts w:hint="eastAsia" w:ascii="宋体" w:hAnsi="宋体" w:cs="宋体"/>
          <w:highlight w:val="none"/>
          <w:lang w:val="en-US" w:eastAsia="zh-CN"/>
        </w:rPr>
        <w:t>开标过程中如有问题，可以在线提出异议，由代理机构给予对应的回复。在规定的统一提出异议时间内不提出异议的，则视为对开标结果无异议。</w:t>
      </w:r>
    </w:p>
    <w:p w14:paraId="1068F06C">
      <w:pPr>
        <w:keepNext w:val="0"/>
        <w:keepLines w:val="0"/>
        <w:pageBreakBefore w:val="0"/>
        <w:widowControl/>
        <w:tabs>
          <w:tab w:val="left" w:pos="760"/>
        </w:tabs>
        <w:kinsoku/>
        <w:wordWrap/>
        <w:overflowPunct/>
        <w:topLinePunct w:val="0"/>
        <w:autoSpaceDE/>
        <w:autoSpaceDN/>
        <w:bidi w:val="0"/>
        <w:adjustRightInd/>
        <w:spacing w:line="540" w:lineRule="exact"/>
        <w:ind w:firstLine="480" w:firstLineChars="200"/>
        <w:textAlignment w:val="auto"/>
        <w:rPr>
          <w:rFonts w:cs="宋体" w:asciiTheme="majorEastAsia" w:hAnsiTheme="majorEastAsia" w:eastAsiaTheme="majorEastAsia"/>
          <w:bCs/>
          <w:highlight w:val="none"/>
          <w:shd w:val="clear" w:color="auto" w:fill="FFFFFF"/>
        </w:rPr>
      </w:pPr>
      <w:r>
        <w:rPr>
          <w:rFonts w:hint="eastAsia" w:ascii="宋体" w:hAnsi="宋体" w:cs="宋体"/>
          <w:highlight w:val="none"/>
          <w:lang w:val="en-US" w:eastAsia="zh-CN"/>
        </w:rPr>
        <w:t>为保证投标文件的顺利解密，投标人在上传文件时填写的联系人及联系方式必须真实有效，且在投标有效期间保持畅通，若因此无法及时顺畅地联系到投标人而造成的一切后果由投标人自行承担</w:t>
      </w:r>
      <w:r>
        <w:rPr>
          <w:rFonts w:hint="eastAsia" w:ascii="宋体" w:hAnsi="宋体" w:cs="宋体"/>
          <w:highlight w:val="none"/>
        </w:rPr>
        <w:t>。</w:t>
      </w:r>
    </w:p>
    <w:p w14:paraId="44D2EE2F">
      <w:pPr>
        <w:keepNext w:val="0"/>
        <w:keepLines w:val="0"/>
        <w:pageBreakBefore w:val="0"/>
        <w:widowControl/>
        <w:kinsoku/>
        <w:wordWrap/>
        <w:overflowPunct/>
        <w:topLinePunct w:val="0"/>
        <w:autoSpaceDE/>
        <w:autoSpaceDN/>
        <w:bidi w:val="0"/>
        <w:adjustRightInd/>
        <w:spacing w:line="540" w:lineRule="exact"/>
        <w:textAlignment w:val="auto"/>
        <w:rPr>
          <w:rFonts w:hint="eastAsia" w:cs="宋体" w:asciiTheme="majorEastAsia" w:hAnsiTheme="majorEastAsia" w:eastAsiaTheme="majorEastAsia"/>
          <w:b/>
          <w:highlight w:val="none"/>
        </w:rPr>
      </w:pPr>
      <w:r>
        <w:rPr>
          <w:rFonts w:hint="eastAsia" w:cs="宋体" w:asciiTheme="majorEastAsia" w:hAnsiTheme="majorEastAsia" w:eastAsiaTheme="majorEastAsia"/>
          <w:b/>
          <w:highlight w:val="none"/>
          <w:lang w:val="en-US" w:eastAsia="zh-CN"/>
        </w:rPr>
        <w:t xml:space="preserve">六、投标保证金 </w:t>
      </w:r>
    </w:p>
    <w:p w14:paraId="3813917E">
      <w:pPr>
        <w:keepNext w:val="0"/>
        <w:keepLines w:val="0"/>
        <w:pageBreakBefore w:val="0"/>
        <w:widowControl/>
        <w:kinsoku/>
        <w:wordWrap/>
        <w:overflowPunct/>
        <w:topLinePunct w:val="0"/>
        <w:autoSpaceDE/>
        <w:autoSpaceDN/>
        <w:bidi w:val="0"/>
        <w:adjustRightInd/>
        <w:snapToGrid w:val="0"/>
        <w:spacing w:line="540" w:lineRule="exact"/>
        <w:ind w:firstLine="567"/>
        <w:jc w:val="both"/>
        <w:textAlignment w:val="auto"/>
        <w:rPr>
          <w:rFonts w:hint="default" w:cs="宋体" w:asciiTheme="majorEastAsia" w:hAnsiTheme="majorEastAsia" w:eastAsiaTheme="majorEastAsia"/>
          <w:highlight w:val="none"/>
          <w:shd w:val="clear" w:color="auto" w:fill="FFFFFF"/>
          <w:lang w:val="en-US" w:eastAsia="zh-CN"/>
        </w:rPr>
      </w:pPr>
      <w:r>
        <w:rPr>
          <w:rFonts w:hint="eastAsia" w:cs="宋体" w:asciiTheme="majorEastAsia" w:hAnsiTheme="majorEastAsia" w:eastAsiaTheme="majorEastAsia"/>
          <w:highlight w:val="none"/>
          <w:shd w:val="clear" w:color="auto" w:fill="FFFFFF"/>
          <w:lang w:val="en-US" w:eastAsia="zh-CN"/>
        </w:rPr>
        <w:t>本项目招标金额为1220万元，按照投标保证金不得超过招标项目估算价的2%的规定，本项目应收取投标保证金金额为24.4万元。招标人决定该项目免收投标保证金，投标人无需缴纳投标保证金。如出现投标人违反法律法规规定情形的，招标人将依法追究投标人相关责任。</w:t>
      </w:r>
    </w:p>
    <w:p w14:paraId="546369AD">
      <w:pPr>
        <w:keepNext w:val="0"/>
        <w:keepLines w:val="0"/>
        <w:pageBreakBefore w:val="0"/>
        <w:widowControl/>
        <w:kinsoku/>
        <w:wordWrap/>
        <w:overflowPunct/>
        <w:topLinePunct w:val="0"/>
        <w:autoSpaceDE/>
        <w:autoSpaceDN/>
        <w:bidi w:val="0"/>
        <w:adjustRightInd/>
        <w:snapToGrid w:val="0"/>
        <w:spacing w:line="540" w:lineRule="exact"/>
        <w:jc w:val="both"/>
        <w:textAlignment w:val="auto"/>
        <w:rPr>
          <w:rFonts w:cs="宋体" w:asciiTheme="majorEastAsia" w:hAnsiTheme="majorEastAsia" w:eastAsiaTheme="majorEastAsia"/>
          <w:b/>
          <w:highlight w:val="none"/>
        </w:rPr>
      </w:pPr>
      <w:r>
        <w:rPr>
          <w:rFonts w:hint="eastAsia" w:cs="宋体" w:asciiTheme="majorEastAsia" w:hAnsiTheme="majorEastAsia" w:eastAsiaTheme="majorEastAsia"/>
          <w:b/>
          <w:highlight w:val="none"/>
          <w:lang w:val="en-US" w:eastAsia="zh-CN"/>
        </w:rPr>
        <w:t>七</w:t>
      </w:r>
      <w:r>
        <w:rPr>
          <w:rFonts w:hint="eastAsia" w:cs="宋体" w:asciiTheme="majorEastAsia" w:hAnsiTheme="majorEastAsia" w:eastAsiaTheme="majorEastAsia"/>
          <w:b/>
          <w:highlight w:val="none"/>
        </w:rPr>
        <w:t>、发布公告的媒介</w:t>
      </w:r>
      <w:bookmarkEnd w:id="116"/>
    </w:p>
    <w:p w14:paraId="179C4BE2">
      <w:pPr>
        <w:keepNext w:val="0"/>
        <w:keepLines w:val="0"/>
        <w:pageBreakBefore w:val="0"/>
        <w:widowControl/>
        <w:kinsoku/>
        <w:wordWrap w:val="0"/>
        <w:overflowPunct/>
        <w:topLinePunct w:val="0"/>
        <w:autoSpaceDE/>
        <w:autoSpaceDN/>
        <w:bidi w:val="0"/>
        <w:adjustRightInd/>
        <w:snapToGrid w:val="0"/>
        <w:spacing w:line="540" w:lineRule="exact"/>
        <w:ind w:firstLine="567"/>
        <w:jc w:val="both"/>
        <w:textAlignment w:val="auto"/>
        <w:rPr>
          <w:rFonts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rPr>
        <w:t>本次招标公告在</w:t>
      </w:r>
      <w:r>
        <w:rPr>
          <w:rFonts w:hint="eastAsia" w:ascii="宋体" w:hAnsi="宋体" w:cs="宋体"/>
          <w:highlight w:val="none"/>
        </w:rPr>
        <w:t>《</w:t>
      </w:r>
      <w:r>
        <w:rPr>
          <w:rFonts w:hint="eastAsia" w:cs="宋体" w:asciiTheme="majorEastAsia" w:hAnsiTheme="majorEastAsia" w:eastAsiaTheme="majorEastAsia"/>
          <w:bCs/>
          <w:highlight w:val="none"/>
          <w:shd w:val="clear" w:color="auto" w:fill="FFFFFF"/>
        </w:rPr>
        <w:t>云南省公共资源交易信息网</w:t>
      </w:r>
      <w:r>
        <w:rPr>
          <w:rFonts w:hint="eastAsia" w:ascii="宋体" w:hAnsi="宋体" w:cs="宋体"/>
          <w:highlight w:val="none"/>
        </w:rPr>
        <w:t>》（https://ggzy.yn.gov.cn/homePage#/homePage）</w:t>
      </w:r>
      <w:r>
        <w:rPr>
          <w:rFonts w:hint="eastAsia" w:cs="宋体" w:asciiTheme="majorEastAsia" w:hAnsiTheme="majorEastAsia" w:eastAsiaTheme="majorEastAsia"/>
          <w:highlight w:val="none"/>
          <w:shd w:val="clear" w:color="auto" w:fill="FFFFFF"/>
        </w:rPr>
        <w:t>上发布</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rPr>
        <w:t>招标人及招标代理机构对其他网站或媒体转载的招标公告及其内容不承担任何责任。</w:t>
      </w:r>
    </w:p>
    <w:p w14:paraId="4562DB30">
      <w:pPr>
        <w:keepNext w:val="0"/>
        <w:keepLines w:val="0"/>
        <w:pageBreakBefore w:val="0"/>
        <w:kinsoku/>
        <w:wordWrap/>
        <w:overflowPunct/>
        <w:topLinePunct w:val="0"/>
        <w:autoSpaceDE/>
        <w:autoSpaceDN/>
        <w:bidi w:val="0"/>
        <w:adjustRightInd/>
        <w:spacing w:line="520" w:lineRule="exact"/>
        <w:textAlignment w:val="auto"/>
        <w:rPr>
          <w:rFonts w:cs="宋体" w:asciiTheme="majorEastAsia" w:hAnsiTheme="majorEastAsia" w:eastAsiaTheme="majorEastAsia"/>
          <w:b/>
          <w:highlight w:val="none"/>
        </w:rPr>
      </w:pPr>
      <w:r>
        <w:rPr>
          <w:rFonts w:hint="eastAsia" w:cs="宋体" w:asciiTheme="majorEastAsia" w:hAnsiTheme="majorEastAsia" w:eastAsiaTheme="majorEastAsia"/>
          <w:b/>
          <w:highlight w:val="none"/>
          <w:lang w:val="en-US" w:eastAsia="zh-CN"/>
        </w:rPr>
        <w:t>八</w:t>
      </w:r>
      <w:r>
        <w:rPr>
          <w:rFonts w:hint="eastAsia" w:cs="宋体" w:asciiTheme="majorEastAsia" w:hAnsiTheme="majorEastAsia" w:eastAsiaTheme="majorEastAsia"/>
          <w:b/>
          <w:highlight w:val="none"/>
        </w:rPr>
        <w:t>、联系方式</w:t>
      </w:r>
    </w:p>
    <w:p w14:paraId="0F18B5A0">
      <w:pPr>
        <w:keepNext w:val="0"/>
        <w:keepLines w:val="0"/>
        <w:pageBreakBefore w:val="0"/>
        <w:kinsoku/>
        <w:wordWrap/>
        <w:overflowPunct/>
        <w:topLinePunct w:val="0"/>
        <w:autoSpaceDE/>
        <w:autoSpaceDN/>
        <w:bidi w:val="0"/>
        <w:adjustRightInd/>
        <w:snapToGrid w:val="0"/>
        <w:spacing w:line="520" w:lineRule="exact"/>
        <w:ind w:firstLine="567"/>
        <w:jc w:val="both"/>
        <w:textAlignment w:val="auto"/>
        <w:rPr>
          <w:rFonts w:hint="eastAsia" w:cs="宋体" w:asciiTheme="majorEastAsia" w:hAnsiTheme="majorEastAsia" w:eastAsiaTheme="majorEastAsia"/>
          <w:highlight w:val="none"/>
          <w:shd w:val="clear" w:color="auto" w:fill="FFFFFF"/>
          <w:lang w:eastAsia="zh-CN"/>
        </w:rPr>
      </w:pPr>
      <w:r>
        <w:rPr>
          <w:rFonts w:cs="宋体" w:asciiTheme="majorEastAsia" w:hAnsiTheme="majorEastAsia" w:eastAsiaTheme="majorEastAsia"/>
          <w:highlight w:val="none"/>
          <w:shd w:val="clear" w:color="auto" w:fill="FFFFFF"/>
        </w:rPr>
        <w:t>招标人：</w:t>
      </w:r>
      <w:r>
        <w:rPr>
          <w:rFonts w:hint="eastAsia" w:cs="宋体" w:asciiTheme="majorEastAsia" w:hAnsiTheme="majorEastAsia" w:eastAsiaTheme="majorEastAsia"/>
          <w:highlight w:val="none"/>
          <w:shd w:val="clear" w:color="auto" w:fill="FFFFFF"/>
          <w:lang w:eastAsia="zh-CN"/>
        </w:rPr>
        <w:t>墨江哈尼族自治县联珠镇人民政府</w:t>
      </w:r>
    </w:p>
    <w:p w14:paraId="510CE0C7">
      <w:pPr>
        <w:keepNext w:val="0"/>
        <w:keepLines w:val="0"/>
        <w:pageBreakBefore w:val="0"/>
        <w:kinsoku/>
        <w:wordWrap/>
        <w:overflowPunct/>
        <w:topLinePunct w:val="0"/>
        <w:autoSpaceDE/>
        <w:autoSpaceDN/>
        <w:bidi w:val="0"/>
        <w:adjustRightInd/>
        <w:snapToGrid w:val="0"/>
        <w:spacing w:line="520" w:lineRule="exact"/>
        <w:ind w:firstLine="567"/>
        <w:jc w:val="both"/>
        <w:textAlignment w:val="auto"/>
        <w:rPr>
          <w:rFonts w:cs="宋体" w:asciiTheme="majorEastAsia" w:hAnsiTheme="majorEastAsia" w:eastAsiaTheme="majorEastAsia"/>
          <w:highlight w:val="none"/>
          <w:shd w:val="clear" w:color="auto" w:fill="FFFFFF"/>
        </w:rPr>
      </w:pPr>
      <w:r>
        <w:rPr>
          <w:rFonts w:cs="宋体" w:asciiTheme="majorEastAsia" w:hAnsiTheme="majorEastAsia" w:eastAsiaTheme="majorEastAsia"/>
          <w:highlight w:val="none"/>
          <w:shd w:val="clear" w:color="auto" w:fill="FFFFFF"/>
        </w:rPr>
        <w:t>地址：</w:t>
      </w:r>
      <w:r>
        <w:rPr>
          <w:rFonts w:hint="eastAsia" w:cs="宋体" w:asciiTheme="majorEastAsia" w:hAnsiTheme="majorEastAsia" w:eastAsiaTheme="majorEastAsia"/>
          <w:highlight w:val="none"/>
          <w:shd w:val="clear" w:color="auto" w:fill="FFFFFF"/>
        </w:rPr>
        <w:t>墨江县联珠镇回归大道7号</w:t>
      </w:r>
    </w:p>
    <w:p w14:paraId="0054F740">
      <w:pPr>
        <w:keepNext w:val="0"/>
        <w:keepLines w:val="0"/>
        <w:pageBreakBefore w:val="0"/>
        <w:kinsoku/>
        <w:wordWrap/>
        <w:overflowPunct/>
        <w:topLinePunct w:val="0"/>
        <w:autoSpaceDE/>
        <w:autoSpaceDN/>
        <w:bidi w:val="0"/>
        <w:adjustRightInd/>
        <w:snapToGrid w:val="0"/>
        <w:spacing w:line="520" w:lineRule="exact"/>
        <w:ind w:firstLine="567"/>
        <w:jc w:val="both"/>
        <w:textAlignment w:val="auto"/>
        <w:rPr>
          <w:rFonts w:hint="default" w:cs="宋体" w:asciiTheme="majorEastAsia" w:hAnsiTheme="majorEastAsia" w:eastAsiaTheme="majorEastAsia"/>
          <w:highlight w:val="none"/>
          <w:shd w:val="clear" w:color="auto" w:fill="FFFFFF"/>
          <w:lang w:val="en-US" w:eastAsia="zh-CN"/>
        </w:rPr>
      </w:pPr>
      <w:r>
        <w:rPr>
          <w:rFonts w:cs="宋体" w:asciiTheme="majorEastAsia" w:hAnsiTheme="majorEastAsia" w:eastAsiaTheme="majorEastAsia"/>
          <w:highlight w:val="none"/>
          <w:shd w:val="clear" w:color="auto" w:fill="FFFFFF"/>
        </w:rPr>
        <w:t>联系人：</w:t>
      </w:r>
      <w:r>
        <w:rPr>
          <w:rFonts w:hint="eastAsia" w:cs="宋体" w:asciiTheme="majorEastAsia" w:hAnsiTheme="majorEastAsia" w:eastAsiaTheme="majorEastAsia"/>
          <w:highlight w:val="none"/>
          <w:shd w:val="clear" w:color="auto" w:fill="FFFFFF"/>
          <w:lang w:val="en-US" w:eastAsia="zh-CN"/>
        </w:rPr>
        <w:t>李茂伟</w:t>
      </w:r>
    </w:p>
    <w:p w14:paraId="17327C9E">
      <w:pPr>
        <w:keepNext w:val="0"/>
        <w:keepLines w:val="0"/>
        <w:pageBreakBefore w:val="0"/>
        <w:kinsoku/>
        <w:wordWrap/>
        <w:overflowPunct/>
        <w:topLinePunct w:val="0"/>
        <w:autoSpaceDE/>
        <w:autoSpaceDN/>
        <w:bidi w:val="0"/>
        <w:adjustRightInd/>
        <w:snapToGrid w:val="0"/>
        <w:spacing w:line="520" w:lineRule="exact"/>
        <w:ind w:firstLine="567"/>
        <w:jc w:val="both"/>
        <w:textAlignment w:val="auto"/>
        <w:rPr>
          <w:rFonts w:hint="default" w:cs="宋体" w:asciiTheme="majorEastAsia" w:hAnsiTheme="majorEastAsia" w:eastAsiaTheme="majorEastAsia"/>
          <w:highlight w:val="none"/>
          <w:shd w:val="clear" w:color="auto" w:fill="FFFFFF"/>
          <w:lang w:val="en-US" w:eastAsia="zh-CN"/>
        </w:rPr>
      </w:pPr>
      <w:r>
        <w:rPr>
          <w:rFonts w:hint="eastAsia" w:cs="宋体" w:asciiTheme="majorEastAsia" w:hAnsiTheme="majorEastAsia" w:eastAsiaTheme="majorEastAsia"/>
          <w:highlight w:val="none"/>
          <w:shd w:val="clear" w:color="auto" w:fill="FFFFFF"/>
          <w:lang w:val="en-US" w:eastAsia="zh-CN"/>
        </w:rPr>
        <w:t>电话</w:t>
      </w:r>
      <w:r>
        <w:rPr>
          <w:rFonts w:cs="宋体" w:asciiTheme="majorEastAsia" w:hAnsiTheme="majorEastAsia" w:eastAsiaTheme="majorEastAsia"/>
          <w:highlight w:val="none"/>
          <w:shd w:val="clear" w:color="auto" w:fill="FFFFFF"/>
        </w:rPr>
        <w:t>：</w:t>
      </w:r>
      <w:r>
        <w:rPr>
          <w:rFonts w:hint="eastAsia" w:cs="宋体" w:asciiTheme="majorEastAsia" w:hAnsiTheme="majorEastAsia" w:eastAsiaTheme="majorEastAsia"/>
          <w:highlight w:val="none"/>
          <w:shd w:val="clear" w:color="auto" w:fill="FFFFFF"/>
          <w:lang w:val="en-US" w:eastAsia="zh-CN"/>
        </w:rPr>
        <w:t>15125508698</w:t>
      </w:r>
    </w:p>
    <w:p w14:paraId="2DE37173">
      <w:pPr>
        <w:keepNext w:val="0"/>
        <w:keepLines w:val="0"/>
        <w:pageBreakBefore w:val="0"/>
        <w:kinsoku/>
        <w:wordWrap/>
        <w:overflowPunct/>
        <w:topLinePunct w:val="0"/>
        <w:autoSpaceDE/>
        <w:autoSpaceDN/>
        <w:bidi w:val="0"/>
        <w:adjustRightInd/>
        <w:snapToGrid w:val="0"/>
        <w:spacing w:line="520" w:lineRule="exact"/>
        <w:ind w:firstLine="567"/>
        <w:jc w:val="both"/>
        <w:textAlignment w:val="auto"/>
        <w:rPr>
          <w:rFonts w:cs="宋体" w:asciiTheme="majorEastAsia" w:hAnsiTheme="majorEastAsia" w:eastAsiaTheme="majorEastAsia"/>
          <w:highlight w:val="none"/>
          <w:shd w:val="clear" w:color="auto" w:fill="FFFFFF"/>
        </w:rPr>
      </w:pPr>
    </w:p>
    <w:p w14:paraId="0B6E9523">
      <w:pPr>
        <w:keepNext w:val="0"/>
        <w:keepLines w:val="0"/>
        <w:pageBreakBefore w:val="0"/>
        <w:kinsoku/>
        <w:wordWrap/>
        <w:overflowPunct/>
        <w:topLinePunct w:val="0"/>
        <w:autoSpaceDE/>
        <w:autoSpaceDN/>
        <w:bidi w:val="0"/>
        <w:adjustRightInd/>
        <w:snapToGrid w:val="0"/>
        <w:spacing w:line="520" w:lineRule="exact"/>
        <w:ind w:firstLine="567"/>
        <w:jc w:val="both"/>
        <w:textAlignment w:val="auto"/>
        <w:rPr>
          <w:rFonts w:hint="eastAsia" w:cs="宋体" w:asciiTheme="majorEastAsia" w:hAnsiTheme="majorEastAsia" w:eastAsiaTheme="majorEastAsia"/>
          <w:highlight w:val="none"/>
          <w:shd w:val="clear" w:color="auto" w:fill="FFFFFF"/>
          <w:lang w:eastAsia="zh-CN"/>
        </w:rPr>
      </w:pPr>
      <w:r>
        <w:rPr>
          <w:rFonts w:cs="宋体" w:asciiTheme="majorEastAsia" w:hAnsiTheme="majorEastAsia" w:eastAsiaTheme="majorEastAsia"/>
          <w:highlight w:val="none"/>
          <w:shd w:val="clear" w:color="auto" w:fill="FFFFFF"/>
        </w:rPr>
        <w:t>招标代理：</w:t>
      </w:r>
      <w:r>
        <w:rPr>
          <w:rFonts w:hint="eastAsia" w:cs="宋体" w:asciiTheme="majorEastAsia" w:hAnsiTheme="majorEastAsia" w:eastAsiaTheme="majorEastAsia"/>
          <w:highlight w:val="none"/>
          <w:shd w:val="clear" w:color="auto" w:fill="FFFFFF"/>
          <w:lang w:eastAsia="zh-CN"/>
        </w:rPr>
        <w:t>云南德昭工程管理有限责任公司</w:t>
      </w:r>
    </w:p>
    <w:p w14:paraId="2C0E2263">
      <w:pPr>
        <w:keepNext w:val="0"/>
        <w:keepLines w:val="0"/>
        <w:pageBreakBefore w:val="0"/>
        <w:kinsoku/>
        <w:wordWrap/>
        <w:overflowPunct/>
        <w:topLinePunct w:val="0"/>
        <w:autoSpaceDE/>
        <w:autoSpaceDN/>
        <w:bidi w:val="0"/>
        <w:adjustRightInd/>
        <w:snapToGrid w:val="0"/>
        <w:spacing w:line="520" w:lineRule="exact"/>
        <w:ind w:firstLine="567"/>
        <w:jc w:val="both"/>
        <w:textAlignment w:val="auto"/>
        <w:rPr>
          <w:rFonts w:cs="宋体" w:asciiTheme="majorEastAsia" w:hAnsiTheme="majorEastAsia" w:eastAsiaTheme="majorEastAsia"/>
          <w:highlight w:val="none"/>
          <w:shd w:val="clear" w:color="auto" w:fill="FFFFFF"/>
        </w:rPr>
      </w:pPr>
      <w:r>
        <w:rPr>
          <w:rFonts w:cs="宋体" w:asciiTheme="majorEastAsia" w:hAnsiTheme="majorEastAsia" w:eastAsiaTheme="majorEastAsia"/>
          <w:highlight w:val="none"/>
          <w:shd w:val="clear" w:color="auto" w:fill="FFFFFF"/>
        </w:rPr>
        <w:t>地址：</w:t>
      </w:r>
      <w:r>
        <w:rPr>
          <w:rFonts w:hint="eastAsia" w:ascii="宋体" w:hAnsi="宋体"/>
          <w:spacing w:val="10"/>
          <w:sz w:val="24"/>
        </w:rPr>
        <w:t>云南省昆明市盘龙区万宏嘉园沣苑（地块三）B座9层901号</w:t>
      </w:r>
    </w:p>
    <w:p w14:paraId="761AEF18">
      <w:pPr>
        <w:keepNext w:val="0"/>
        <w:keepLines w:val="0"/>
        <w:pageBreakBefore w:val="0"/>
        <w:kinsoku/>
        <w:wordWrap/>
        <w:overflowPunct/>
        <w:topLinePunct w:val="0"/>
        <w:autoSpaceDE/>
        <w:autoSpaceDN/>
        <w:bidi w:val="0"/>
        <w:adjustRightInd/>
        <w:snapToGrid w:val="0"/>
        <w:spacing w:line="520" w:lineRule="exact"/>
        <w:ind w:firstLine="567"/>
        <w:jc w:val="both"/>
        <w:textAlignment w:val="auto"/>
        <w:rPr>
          <w:rFonts w:hint="eastAsia" w:cs="宋体" w:asciiTheme="majorEastAsia" w:hAnsiTheme="majorEastAsia" w:eastAsiaTheme="majorEastAsia"/>
          <w:highlight w:val="none"/>
          <w:shd w:val="clear" w:color="auto" w:fill="FFFFFF"/>
        </w:rPr>
      </w:pPr>
      <w:r>
        <w:rPr>
          <w:rFonts w:cs="宋体" w:asciiTheme="majorEastAsia" w:hAnsiTheme="majorEastAsia" w:eastAsiaTheme="majorEastAsia"/>
          <w:highlight w:val="none"/>
          <w:shd w:val="clear" w:color="auto" w:fill="FFFFFF"/>
        </w:rPr>
        <w:t>联系人：</w:t>
      </w:r>
      <w:r>
        <w:rPr>
          <w:rFonts w:hint="eastAsia" w:cs="宋体" w:asciiTheme="majorEastAsia" w:hAnsiTheme="majorEastAsia" w:eastAsiaTheme="majorEastAsia"/>
          <w:highlight w:val="none"/>
          <w:shd w:val="clear" w:color="auto" w:fill="FFFFFF"/>
          <w:lang w:val="en-US" w:eastAsia="zh-CN"/>
        </w:rPr>
        <w:t>赵思矗、黄杰</w:t>
      </w:r>
      <w:r>
        <w:rPr>
          <w:rFonts w:hint="eastAsia" w:cs="宋体" w:asciiTheme="majorEastAsia" w:hAnsiTheme="majorEastAsia" w:eastAsiaTheme="majorEastAsia"/>
          <w:highlight w:val="none"/>
          <w:shd w:val="clear" w:color="auto" w:fill="FFFFFF"/>
        </w:rPr>
        <w:t>、叶远超、薛名雄、吴秋儒、</w:t>
      </w:r>
      <w:r>
        <w:rPr>
          <w:rFonts w:hint="eastAsia" w:cs="宋体" w:asciiTheme="majorEastAsia" w:hAnsiTheme="majorEastAsia" w:eastAsiaTheme="majorEastAsia"/>
          <w:highlight w:val="none"/>
          <w:shd w:val="clear" w:color="auto" w:fill="FFFFFF"/>
          <w:lang w:val="en-US" w:eastAsia="zh-CN"/>
        </w:rPr>
        <w:t>杨建秋、</w:t>
      </w:r>
      <w:r>
        <w:rPr>
          <w:rFonts w:hint="eastAsia" w:cs="宋体" w:asciiTheme="majorEastAsia" w:hAnsiTheme="majorEastAsia" w:eastAsiaTheme="majorEastAsia"/>
          <w:highlight w:val="none"/>
          <w:shd w:val="clear" w:color="auto" w:fill="FFFFFF"/>
        </w:rPr>
        <w:t>樊叶平、黄佑银、符程、陆继杭、刘桂全</w:t>
      </w:r>
    </w:p>
    <w:p w14:paraId="23B0790C">
      <w:pPr>
        <w:keepNext w:val="0"/>
        <w:keepLines w:val="0"/>
        <w:pageBreakBefore w:val="0"/>
        <w:kinsoku/>
        <w:wordWrap/>
        <w:overflowPunct/>
        <w:topLinePunct w:val="0"/>
        <w:autoSpaceDE/>
        <w:autoSpaceDN/>
        <w:bidi w:val="0"/>
        <w:adjustRightInd/>
        <w:snapToGrid w:val="0"/>
        <w:spacing w:line="520" w:lineRule="exact"/>
        <w:ind w:firstLine="567"/>
        <w:jc w:val="both"/>
        <w:textAlignment w:val="auto"/>
        <w:rPr>
          <w:rFonts w:hint="eastAsia" w:cs="宋体" w:asciiTheme="majorEastAsia" w:hAnsiTheme="majorEastAsia" w:eastAsiaTheme="majorEastAsia"/>
          <w:highlight w:val="none"/>
          <w:shd w:val="clear" w:color="auto" w:fill="FFFFFF"/>
          <w:lang w:val="en-US" w:eastAsia="zh-CN"/>
        </w:rPr>
      </w:pPr>
      <w:r>
        <w:rPr>
          <w:rFonts w:cs="宋体" w:asciiTheme="majorEastAsia" w:hAnsiTheme="majorEastAsia" w:eastAsiaTheme="majorEastAsia"/>
          <w:highlight w:val="none"/>
          <w:shd w:val="clear" w:color="auto" w:fill="FFFFFF"/>
        </w:rPr>
        <w:t>电话：</w:t>
      </w:r>
      <w:r>
        <w:rPr>
          <w:rFonts w:hint="eastAsia" w:cs="宋体" w:asciiTheme="majorEastAsia" w:hAnsiTheme="majorEastAsia" w:eastAsiaTheme="majorEastAsia"/>
          <w:highlight w:val="none"/>
          <w:shd w:val="clear" w:color="auto" w:fill="FFFFFF"/>
          <w:lang w:val="en-US" w:eastAsia="zh-CN"/>
        </w:rPr>
        <w:t>0871-65847486</w:t>
      </w:r>
    </w:p>
    <w:p w14:paraId="340CD7DE">
      <w:pPr>
        <w:keepNext w:val="0"/>
        <w:keepLines w:val="0"/>
        <w:pageBreakBefore w:val="0"/>
        <w:kinsoku/>
        <w:wordWrap/>
        <w:overflowPunct/>
        <w:topLinePunct w:val="0"/>
        <w:autoSpaceDE/>
        <w:autoSpaceDN/>
        <w:bidi w:val="0"/>
        <w:adjustRightInd/>
        <w:snapToGrid w:val="0"/>
        <w:spacing w:line="520" w:lineRule="exact"/>
        <w:ind w:firstLine="567"/>
        <w:jc w:val="both"/>
        <w:textAlignment w:val="auto"/>
        <w:rPr>
          <w:rFonts w:hint="eastAsia" w:cs="宋体" w:asciiTheme="majorEastAsia" w:hAnsiTheme="majorEastAsia" w:eastAsiaTheme="majorEastAsia"/>
          <w:highlight w:val="none"/>
          <w:shd w:val="clear" w:color="auto" w:fill="FFFFFF"/>
          <w:lang w:val="en-US" w:eastAsia="zh-CN"/>
        </w:rPr>
      </w:pPr>
    </w:p>
    <w:p w14:paraId="4839B762">
      <w:pPr>
        <w:keepNext w:val="0"/>
        <w:keepLines w:val="0"/>
        <w:pageBreakBefore w:val="0"/>
        <w:kinsoku/>
        <w:wordWrap/>
        <w:overflowPunct/>
        <w:topLinePunct w:val="0"/>
        <w:autoSpaceDE/>
        <w:autoSpaceDN/>
        <w:bidi w:val="0"/>
        <w:adjustRightInd/>
        <w:snapToGrid w:val="0"/>
        <w:spacing w:line="520" w:lineRule="exact"/>
        <w:ind w:firstLine="567"/>
        <w:jc w:val="both"/>
        <w:textAlignment w:val="auto"/>
        <w:rPr>
          <w:rFonts w:hint="eastAsia" w:cs="宋体" w:asciiTheme="majorEastAsia" w:hAnsiTheme="majorEastAsia" w:eastAsiaTheme="majorEastAsia"/>
          <w:highlight w:val="none"/>
          <w:shd w:val="clear" w:color="auto" w:fill="FFFFFF"/>
          <w:lang w:val="en-US" w:eastAsia="zh-CN"/>
        </w:rPr>
      </w:pPr>
    </w:p>
    <w:p w14:paraId="6E7ECF30">
      <w:pPr>
        <w:keepNext w:val="0"/>
        <w:keepLines w:val="0"/>
        <w:pageBreakBefore w:val="0"/>
        <w:kinsoku/>
        <w:wordWrap/>
        <w:overflowPunct/>
        <w:topLinePunct w:val="0"/>
        <w:autoSpaceDE/>
        <w:autoSpaceDN/>
        <w:bidi w:val="0"/>
        <w:adjustRightInd/>
        <w:snapToGrid w:val="0"/>
        <w:spacing w:line="520" w:lineRule="exact"/>
        <w:ind w:firstLine="567"/>
        <w:jc w:val="both"/>
        <w:textAlignment w:val="auto"/>
        <w:rPr>
          <w:rFonts w:hint="eastAsia" w:cs="宋体" w:asciiTheme="majorEastAsia" w:hAnsiTheme="majorEastAsia" w:eastAsiaTheme="majorEastAsia"/>
          <w:highlight w:val="none"/>
          <w:shd w:val="clear" w:color="auto" w:fill="FFFFFF"/>
          <w:lang w:val="en-US" w:eastAsia="zh-CN"/>
        </w:rPr>
      </w:pPr>
      <w:r>
        <w:rPr>
          <w:rFonts w:hint="eastAsia" w:cs="宋体" w:asciiTheme="majorEastAsia" w:hAnsiTheme="majorEastAsia" w:eastAsiaTheme="majorEastAsia"/>
          <w:highlight w:val="none"/>
          <w:shd w:val="clear" w:color="auto" w:fill="FFFFFF"/>
          <w:lang w:val="en-US" w:eastAsia="zh-CN"/>
        </w:rPr>
        <w:t>监督部门：墨江哈尼族自治县农业农村和科学技术局</w:t>
      </w:r>
    </w:p>
    <w:p w14:paraId="189AA213">
      <w:pPr>
        <w:keepNext w:val="0"/>
        <w:keepLines w:val="0"/>
        <w:pageBreakBefore w:val="0"/>
        <w:kinsoku/>
        <w:wordWrap/>
        <w:overflowPunct/>
        <w:topLinePunct w:val="0"/>
        <w:autoSpaceDE/>
        <w:autoSpaceDN/>
        <w:bidi w:val="0"/>
        <w:adjustRightInd/>
        <w:snapToGrid w:val="0"/>
        <w:spacing w:line="520" w:lineRule="exact"/>
        <w:ind w:firstLine="567"/>
        <w:jc w:val="both"/>
        <w:textAlignment w:val="auto"/>
        <w:rPr>
          <w:rFonts w:hint="eastAsia" w:cs="宋体" w:asciiTheme="majorEastAsia" w:hAnsiTheme="majorEastAsia" w:eastAsiaTheme="majorEastAsia"/>
          <w:highlight w:val="none"/>
          <w:shd w:val="clear" w:color="auto" w:fill="FFFFFF"/>
          <w:lang w:val="en-US" w:eastAsia="zh-CN"/>
        </w:rPr>
        <w:sectPr>
          <w:headerReference r:id="rId12" w:type="first"/>
          <w:footerReference r:id="rId15" w:type="first"/>
          <w:headerReference r:id="rId10" w:type="default"/>
          <w:footerReference r:id="rId13" w:type="default"/>
          <w:headerReference r:id="rId11" w:type="even"/>
          <w:footerReference r:id="rId14" w:type="even"/>
          <w:pgSz w:w="11906" w:h="16840"/>
          <w:pgMar w:top="1191" w:right="1191" w:bottom="1191" w:left="1191" w:header="720" w:footer="765" w:gutter="0"/>
          <w:cols w:space="0" w:num="1"/>
          <w:docGrid w:linePitch="312" w:charSpace="0"/>
        </w:sectPr>
      </w:pPr>
      <w:r>
        <w:rPr>
          <w:rFonts w:hint="eastAsia" w:cs="宋体" w:asciiTheme="majorEastAsia" w:hAnsiTheme="majorEastAsia" w:eastAsiaTheme="majorEastAsia"/>
          <w:highlight w:val="none"/>
          <w:shd w:val="clear" w:color="auto" w:fill="FFFFFF"/>
          <w:lang w:val="en-US" w:eastAsia="zh-CN"/>
        </w:rPr>
        <w:t>联系电话：0879-4230365</w:t>
      </w:r>
    </w:p>
    <w:p w14:paraId="537F725B">
      <w:pPr>
        <w:adjustRightInd w:val="0"/>
        <w:snapToGrid w:val="0"/>
        <w:jc w:val="center"/>
        <w:rPr>
          <w:b/>
        </w:rPr>
      </w:pPr>
      <w:r>
        <w:rPr>
          <w:rFonts w:hint="eastAsia"/>
          <w:b/>
        </w:rPr>
        <w:t>施工现场专业（管理）人员配备表</w:t>
      </w:r>
    </w:p>
    <w:p w14:paraId="5B52E15A">
      <w:pPr>
        <w:adjustRightInd w:val="0"/>
        <w:snapToGrid w:val="0"/>
        <w:jc w:val="center"/>
        <w:rPr>
          <w:b/>
        </w:rPr>
      </w:pPr>
    </w:p>
    <w:tbl>
      <w:tblPr>
        <w:tblStyle w:val="64"/>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1843"/>
        <w:gridCol w:w="2126"/>
        <w:gridCol w:w="1933"/>
        <w:gridCol w:w="1858"/>
      </w:tblGrid>
      <w:tr w14:paraId="1C04E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159C20CD">
            <w:pPr>
              <w:spacing w:line="440" w:lineRule="exact"/>
              <w:jc w:val="center"/>
              <w:rPr>
                <w:rFonts w:hint="eastAsia" w:ascii="宋体" w:hAnsi="宋体"/>
                <w:sz w:val="24"/>
                <w:szCs w:val="32"/>
              </w:rPr>
            </w:pPr>
            <w:r>
              <w:rPr>
                <w:rFonts w:hint="eastAsia" w:ascii="宋体" w:hAnsi="宋体"/>
                <w:sz w:val="24"/>
                <w:szCs w:val="32"/>
              </w:rPr>
              <w:t>专业岗位</w:t>
            </w:r>
          </w:p>
        </w:tc>
        <w:tc>
          <w:tcPr>
            <w:tcW w:w="1843" w:type="dxa"/>
          </w:tcPr>
          <w:p w14:paraId="21A3098E">
            <w:pPr>
              <w:spacing w:line="440" w:lineRule="exact"/>
              <w:jc w:val="center"/>
              <w:rPr>
                <w:rFonts w:hint="eastAsia" w:ascii="宋体" w:hAnsi="宋体"/>
                <w:sz w:val="24"/>
                <w:szCs w:val="32"/>
              </w:rPr>
            </w:pPr>
            <w:r>
              <w:rPr>
                <w:rFonts w:hint="eastAsia" w:ascii="宋体" w:hAnsi="宋体"/>
                <w:sz w:val="24"/>
                <w:szCs w:val="32"/>
              </w:rPr>
              <w:t>人员数量最低要求</w:t>
            </w:r>
          </w:p>
        </w:tc>
        <w:tc>
          <w:tcPr>
            <w:tcW w:w="2126" w:type="dxa"/>
          </w:tcPr>
          <w:p w14:paraId="06B23F17">
            <w:pPr>
              <w:spacing w:line="440" w:lineRule="exact"/>
              <w:jc w:val="center"/>
              <w:rPr>
                <w:rFonts w:hint="eastAsia" w:ascii="宋体" w:hAnsi="宋体"/>
                <w:sz w:val="24"/>
                <w:szCs w:val="32"/>
              </w:rPr>
            </w:pPr>
            <w:r>
              <w:rPr>
                <w:rFonts w:hint="eastAsia" w:ascii="宋体" w:hAnsi="宋体"/>
                <w:sz w:val="24"/>
                <w:szCs w:val="32"/>
              </w:rPr>
              <w:t>岗位资格要求</w:t>
            </w:r>
          </w:p>
        </w:tc>
        <w:tc>
          <w:tcPr>
            <w:tcW w:w="1933" w:type="dxa"/>
          </w:tcPr>
          <w:p w14:paraId="7F2B1929">
            <w:pPr>
              <w:spacing w:line="440" w:lineRule="exact"/>
              <w:jc w:val="center"/>
              <w:rPr>
                <w:rFonts w:hint="eastAsia" w:ascii="宋体" w:hAnsi="宋体"/>
                <w:sz w:val="24"/>
                <w:szCs w:val="32"/>
              </w:rPr>
            </w:pPr>
            <w:r>
              <w:rPr>
                <w:rFonts w:hint="eastAsia" w:ascii="宋体" w:hAnsi="宋体"/>
                <w:sz w:val="24"/>
                <w:szCs w:val="32"/>
              </w:rPr>
              <w:t>岗位要求</w:t>
            </w:r>
          </w:p>
        </w:tc>
        <w:tc>
          <w:tcPr>
            <w:tcW w:w="1858" w:type="dxa"/>
          </w:tcPr>
          <w:p w14:paraId="337148DC">
            <w:pPr>
              <w:spacing w:line="440" w:lineRule="exact"/>
              <w:jc w:val="center"/>
              <w:rPr>
                <w:rFonts w:hint="eastAsia" w:ascii="宋体" w:hAnsi="宋体"/>
                <w:sz w:val="24"/>
                <w:szCs w:val="32"/>
              </w:rPr>
            </w:pPr>
            <w:r>
              <w:rPr>
                <w:rFonts w:hint="eastAsia" w:ascii="宋体" w:hAnsi="宋体"/>
                <w:sz w:val="24"/>
                <w:szCs w:val="32"/>
              </w:rPr>
              <w:t>备注</w:t>
            </w:r>
          </w:p>
        </w:tc>
      </w:tr>
      <w:tr w14:paraId="452A4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03761BF8">
            <w:pPr>
              <w:spacing w:line="440" w:lineRule="exact"/>
              <w:jc w:val="center"/>
              <w:rPr>
                <w:rFonts w:hint="eastAsia" w:ascii="宋体" w:hAnsi="宋体"/>
                <w:sz w:val="24"/>
                <w:szCs w:val="32"/>
              </w:rPr>
            </w:pPr>
            <w:r>
              <w:rPr>
                <w:rFonts w:hint="eastAsia" w:ascii="宋体" w:hAnsi="宋体"/>
                <w:sz w:val="24"/>
                <w:szCs w:val="32"/>
              </w:rPr>
              <w:t>项目负责人</w:t>
            </w:r>
          </w:p>
        </w:tc>
        <w:tc>
          <w:tcPr>
            <w:tcW w:w="1843" w:type="dxa"/>
          </w:tcPr>
          <w:p w14:paraId="651B9E08">
            <w:pPr>
              <w:spacing w:line="440" w:lineRule="exact"/>
              <w:jc w:val="left"/>
              <w:rPr>
                <w:rFonts w:hint="eastAsia" w:ascii="宋体" w:hAnsi="宋体"/>
                <w:sz w:val="24"/>
                <w:szCs w:val="32"/>
                <w:u w:val="single"/>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input538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6F8A87CC">
            <w:pPr>
              <w:spacing w:line="440" w:lineRule="exact"/>
              <w:jc w:val="left"/>
              <w:rPr>
                <w:rFonts w:hint="eastAsia"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input539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308896B8">
            <w:pPr>
              <w:spacing w:line="440" w:lineRule="exact"/>
              <w:jc w:val="left"/>
              <w:rPr>
                <w:rFonts w:hint="eastAsia"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input540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030AE332">
            <w:pPr>
              <w:spacing w:line="440" w:lineRule="exact"/>
              <w:rPr>
                <w:rFonts w:hint="eastAsia"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input541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53BA9A2E">
            <w:pPr>
              <w:spacing w:line="440" w:lineRule="exact"/>
              <w:jc w:val="center"/>
              <w:rPr>
                <w:rFonts w:hint="eastAsia"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input542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38B9A637">
            <w:pPr>
              <w:spacing w:line="440" w:lineRule="exact"/>
              <w:jc w:val="left"/>
              <w:rPr>
                <w:rFonts w:hint="eastAsia" w:ascii="宋体" w:hAnsi="宋体"/>
                <w:sz w:val="24"/>
                <w:szCs w:val="32"/>
              </w:rPr>
            </w:pP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input543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 xml:space="preserve">     </w:t>
            </w:r>
            <w:r>
              <w:rPr>
                <w:rFonts w:ascii="宋体" w:hAnsi="宋体"/>
                <w:sz w:val="24"/>
                <w:szCs w:val="32"/>
              </w:rPr>
              <w:fldChar w:fldCharType="end"/>
            </w:r>
          </w:p>
        </w:tc>
      </w:tr>
      <w:tr w14:paraId="4A804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02A8A7F8">
            <w:pPr>
              <w:spacing w:line="440" w:lineRule="exact"/>
              <w:jc w:val="center"/>
              <w:rPr>
                <w:rFonts w:hint="eastAsia" w:ascii="宋体" w:hAnsi="宋体"/>
                <w:sz w:val="24"/>
                <w:szCs w:val="32"/>
              </w:rPr>
            </w:pPr>
            <w:r>
              <w:rPr>
                <w:rFonts w:hint="eastAsia" w:ascii="宋体" w:hAnsi="宋体"/>
                <w:sz w:val="24"/>
                <w:szCs w:val="32"/>
              </w:rPr>
              <w:t>技术负责人</w:t>
            </w:r>
          </w:p>
        </w:tc>
        <w:tc>
          <w:tcPr>
            <w:tcW w:w="1843" w:type="dxa"/>
          </w:tcPr>
          <w:p w14:paraId="1B4096CF">
            <w:pPr>
              <w:spacing w:line="440" w:lineRule="exact"/>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input544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17E64225">
            <w:pPr>
              <w:spacing w:line="440" w:lineRule="exact"/>
              <w:jc w:val="left"/>
              <w:rPr>
                <w:rFonts w:hint="eastAsia"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input545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77843FBC">
            <w:pPr>
              <w:spacing w:line="440" w:lineRule="exact"/>
              <w:jc w:val="left"/>
              <w:rPr>
                <w:rFonts w:hint="eastAsia"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input546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278DF547">
            <w:pPr>
              <w:spacing w:line="440" w:lineRule="exact"/>
              <w:rPr>
                <w:rFonts w:hint="eastAsia"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input547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0C076084">
            <w:pPr>
              <w:spacing w:line="440" w:lineRule="exact"/>
              <w:jc w:val="center"/>
              <w:rPr>
                <w:rFonts w:hint="eastAsia"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input548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120E5284">
            <w:pPr>
              <w:spacing w:line="440" w:lineRule="exact"/>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input549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 xml:space="preserve">     </w:t>
            </w:r>
            <w:r>
              <w:rPr>
                <w:rFonts w:ascii="宋体" w:hAnsi="宋体"/>
                <w:sz w:val="24"/>
                <w:szCs w:val="32"/>
                <w:u w:val="single"/>
              </w:rPr>
              <w:fldChar w:fldCharType="end"/>
            </w:r>
          </w:p>
        </w:tc>
      </w:tr>
      <w:tr w14:paraId="58783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36F15341">
            <w:pPr>
              <w:spacing w:line="440" w:lineRule="exact"/>
              <w:jc w:val="center"/>
              <w:rPr>
                <w:rFonts w:hint="eastAsia" w:ascii="宋体" w:hAnsi="宋体"/>
                <w:sz w:val="24"/>
                <w:szCs w:val="32"/>
              </w:rPr>
            </w:pPr>
            <w:r>
              <w:rPr>
                <w:rFonts w:hint="eastAsia" w:ascii="宋体" w:hAnsi="宋体"/>
                <w:sz w:val="24"/>
                <w:szCs w:val="32"/>
              </w:rPr>
              <w:t>施工员</w:t>
            </w:r>
          </w:p>
        </w:tc>
        <w:tc>
          <w:tcPr>
            <w:tcW w:w="1843" w:type="dxa"/>
          </w:tcPr>
          <w:p w14:paraId="6313AC9E">
            <w:pPr>
              <w:spacing w:line="440" w:lineRule="exact"/>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input550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04D21899">
            <w:pPr>
              <w:spacing w:line="440" w:lineRule="exact"/>
              <w:jc w:val="left"/>
              <w:rPr>
                <w:rFonts w:hint="eastAsia"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input551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0B0647FA">
            <w:pPr>
              <w:spacing w:line="440" w:lineRule="exact"/>
              <w:jc w:val="left"/>
              <w:rPr>
                <w:rFonts w:hint="eastAsia"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input552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0B04039C">
            <w:pPr>
              <w:spacing w:line="440" w:lineRule="exact"/>
              <w:rPr>
                <w:rFonts w:hint="eastAsia"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input553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340B3D95">
            <w:pPr>
              <w:spacing w:line="440" w:lineRule="exact"/>
              <w:jc w:val="center"/>
              <w:rPr>
                <w:rFonts w:hint="eastAsia"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input554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2E4642AA">
            <w:pPr>
              <w:spacing w:line="440" w:lineRule="exact"/>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input555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 xml:space="preserve">     </w:t>
            </w:r>
            <w:r>
              <w:rPr>
                <w:rFonts w:ascii="宋体" w:hAnsi="宋体"/>
                <w:sz w:val="24"/>
                <w:szCs w:val="32"/>
                <w:u w:val="single"/>
              </w:rPr>
              <w:fldChar w:fldCharType="end"/>
            </w:r>
          </w:p>
        </w:tc>
      </w:tr>
      <w:tr w14:paraId="3798C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17C1D53A">
            <w:pPr>
              <w:spacing w:line="440" w:lineRule="exact"/>
              <w:jc w:val="center"/>
              <w:rPr>
                <w:rFonts w:hint="eastAsia" w:ascii="宋体" w:hAnsi="宋体"/>
                <w:sz w:val="24"/>
                <w:szCs w:val="32"/>
              </w:rPr>
            </w:pPr>
            <w:r>
              <w:rPr>
                <w:rFonts w:hint="eastAsia" w:ascii="宋体" w:hAnsi="宋体"/>
                <w:sz w:val="24"/>
                <w:szCs w:val="32"/>
              </w:rPr>
              <w:t>安全员</w:t>
            </w:r>
          </w:p>
        </w:tc>
        <w:tc>
          <w:tcPr>
            <w:tcW w:w="1843" w:type="dxa"/>
          </w:tcPr>
          <w:p w14:paraId="021DC780">
            <w:pPr>
              <w:spacing w:line="440" w:lineRule="exact"/>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input556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4B7B1A2B">
            <w:pPr>
              <w:spacing w:line="440" w:lineRule="exact"/>
              <w:jc w:val="left"/>
              <w:rPr>
                <w:rFonts w:hint="eastAsia"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input557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4CA7C4F4">
            <w:pPr>
              <w:spacing w:line="440" w:lineRule="exact"/>
              <w:jc w:val="left"/>
              <w:rPr>
                <w:rFonts w:hint="eastAsia"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input558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5B3BB39C">
            <w:pPr>
              <w:spacing w:line="440" w:lineRule="exact"/>
              <w:rPr>
                <w:rFonts w:hint="eastAsia"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input559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1C6641E3">
            <w:pPr>
              <w:spacing w:line="440" w:lineRule="exact"/>
              <w:jc w:val="center"/>
              <w:rPr>
                <w:rFonts w:hint="eastAsia"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input560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19FA6F9E">
            <w:pPr>
              <w:spacing w:line="440" w:lineRule="exact"/>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input561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 xml:space="preserve">     </w:t>
            </w:r>
            <w:r>
              <w:rPr>
                <w:rFonts w:ascii="宋体" w:hAnsi="宋体"/>
                <w:sz w:val="24"/>
                <w:szCs w:val="32"/>
                <w:u w:val="single"/>
              </w:rPr>
              <w:fldChar w:fldCharType="end"/>
            </w:r>
          </w:p>
        </w:tc>
      </w:tr>
      <w:tr w14:paraId="682A9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7AD16C2B">
            <w:pPr>
              <w:spacing w:line="440" w:lineRule="exact"/>
              <w:jc w:val="center"/>
              <w:rPr>
                <w:rFonts w:hint="eastAsia" w:ascii="宋体" w:hAnsi="宋体"/>
                <w:sz w:val="24"/>
                <w:szCs w:val="32"/>
              </w:rPr>
            </w:pPr>
            <w:r>
              <w:rPr>
                <w:rFonts w:hint="eastAsia" w:ascii="宋体" w:hAnsi="宋体"/>
                <w:sz w:val="24"/>
                <w:szCs w:val="32"/>
              </w:rPr>
              <w:t>质量员</w:t>
            </w:r>
          </w:p>
        </w:tc>
        <w:tc>
          <w:tcPr>
            <w:tcW w:w="1843" w:type="dxa"/>
          </w:tcPr>
          <w:p w14:paraId="4F2FB47E">
            <w:pPr>
              <w:spacing w:line="440" w:lineRule="exact"/>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input562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742C1DD0">
            <w:pPr>
              <w:spacing w:line="440" w:lineRule="exact"/>
              <w:jc w:val="left"/>
              <w:rPr>
                <w:rFonts w:hint="eastAsia"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input563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5B809ECF">
            <w:pPr>
              <w:spacing w:line="440" w:lineRule="exact"/>
              <w:jc w:val="left"/>
              <w:rPr>
                <w:rFonts w:hint="eastAsia"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input564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70595AEA">
            <w:pPr>
              <w:spacing w:line="440" w:lineRule="exact"/>
              <w:rPr>
                <w:rFonts w:hint="eastAsia"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input565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2F01BC8B">
            <w:pPr>
              <w:spacing w:line="440" w:lineRule="exact"/>
              <w:jc w:val="center"/>
              <w:rPr>
                <w:rFonts w:hint="eastAsia"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input566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70AAEBF2">
            <w:pPr>
              <w:spacing w:line="440" w:lineRule="exact"/>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input567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 xml:space="preserve">     </w:t>
            </w:r>
            <w:r>
              <w:rPr>
                <w:rFonts w:ascii="宋体" w:hAnsi="宋体"/>
                <w:sz w:val="24"/>
                <w:szCs w:val="32"/>
                <w:u w:val="single"/>
              </w:rPr>
              <w:fldChar w:fldCharType="end"/>
            </w:r>
          </w:p>
        </w:tc>
      </w:tr>
      <w:tr w14:paraId="08546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463F2D8A">
            <w:pPr>
              <w:spacing w:line="440" w:lineRule="exact"/>
              <w:jc w:val="center"/>
              <w:rPr>
                <w:rFonts w:hint="eastAsia" w:ascii="宋体" w:hAnsi="宋体"/>
                <w:sz w:val="24"/>
                <w:szCs w:val="32"/>
              </w:rPr>
            </w:pPr>
            <w:r>
              <w:rPr>
                <w:rFonts w:hint="eastAsia" w:ascii="宋体" w:hAnsi="宋体"/>
                <w:sz w:val="24"/>
                <w:szCs w:val="32"/>
              </w:rPr>
              <w:t>标准员</w:t>
            </w:r>
          </w:p>
        </w:tc>
        <w:tc>
          <w:tcPr>
            <w:tcW w:w="1843" w:type="dxa"/>
          </w:tcPr>
          <w:p w14:paraId="00C2E818">
            <w:pPr>
              <w:adjustRightInd w:val="0"/>
              <w:snapToGrid w:val="0"/>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input568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504E95D8">
            <w:pPr>
              <w:spacing w:line="440" w:lineRule="exact"/>
              <w:rPr>
                <w:rFonts w:hint="eastAsia"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input569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71D750FD">
            <w:pPr>
              <w:adjustRightInd w:val="0"/>
              <w:snapToGrid w:val="0"/>
              <w:jc w:val="left"/>
              <w:rPr>
                <w:rFonts w:hint="eastAsia"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input570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6C4AF730">
            <w:pPr>
              <w:spacing w:line="440" w:lineRule="exact"/>
              <w:rPr>
                <w:rFonts w:hint="eastAsia"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input571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p w14:paraId="12F9E141">
            <w:pPr>
              <w:adjustRightInd w:val="0"/>
              <w:snapToGrid w:val="0"/>
              <w:jc w:val="left"/>
              <w:rPr>
                <w:rFonts w:hint="eastAsia"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input572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tc>
        <w:tc>
          <w:tcPr>
            <w:tcW w:w="1858" w:type="dxa"/>
          </w:tcPr>
          <w:p w14:paraId="174334FC">
            <w:pPr>
              <w:adjustRightInd w:val="0"/>
              <w:snapToGrid w:val="0"/>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input573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 xml:space="preserve">     </w:t>
            </w:r>
            <w:r>
              <w:rPr>
                <w:rFonts w:ascii="宋体" w:hAnsi="宋体"/>
                <w:sz w:val="24"/>
                <w:szCs w:val="32"/>
                <w:u w:val="single"/>
              </w:rPr>
              <w:fldChar w:fldCharType="end"/>
            </w:r>
          </w:p>
        </w:tc>
      </w:tr>
      <w:tr w14:paraId="70630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2A11C5E0">
            <w:pPr>
              <w:spacing w:line="440" w:lineRule="exact"/>
              <w:jc w:val="center"/>
              <w:rPr>
                <w:rFonts w:hint="eastAsia" w:ascii="宋体" w:hAnsi="宋体"/>
                <w:sz w:val="24"/>
                <w:szCs w:val="32"/>
              </w:rPr>
            </w:pPr>
            <w:r>
              <w:rPr>
                <w:rFonts w:hint="eastAsia" w:ascii="宋体" w:hAnsi="宋体"/>
                <w:sz w:val="24"/>
                <w:szCs w:val="32"/>
              </w:rPr>
              <w:t>材料员</w:t>
            </w:r>
          </w:p>
        </w:tc>
        <w:tc>
          <w:tcPr>
            <w:tcW w:w="1843" w:type="dxa"/>
          </w:tcPr>
          <w:p w14:paraId="06E0ECB5">
            <w:pPr>
              <w:adjustRightInd w:val="0"/>
              <w:snapToGrid w:val="0"/>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input574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7DE5966B">
            <w:pPr>
              <w:spacing w:line="440" w:lineRule="exact"/>
              <w:rPr>
                <w:rFonts w:hint="eastAsia"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input575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6BC88FB0">
            <w:pPr>
              <w:adjustRightInd w:val="0"/>
              <w:snapToGrid w:val="0"/>
              <w:jc w:val="left"/>
              <w:rPr>
                <w:rFonts w:hint="eastAsia"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input576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083D46DB">
            <w:pPr>
              <w:spacing w:line="440" w:lineRule="exact"/>
              <w:rPr>
                <w:rFonts w:hint="eastAsia"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input577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p w14:paraId="31D3F309">
            <w:pPr>
              <w:adjustRightInd w:val="0"/>
              <w:snapToGrid w:val="0"/>
              <w:jc w:val="left"/>
              <w:rPr>
                <w:rFonts w:hint="eastAsia"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input578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tc>
        <w:tc>
          <w:tcPr>
            <w:tcW w:w="1858" w:type="dxa"/>
          </w:tcPr>
          <w:p w14:paraId="2B1F71F1">
            <w:pPr>
              <w:adjustRightInd w:val="0"/>
              <w:snapToGrid w:val="0"/>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input579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 xml:space="preserve">     </w:t>
            </w:r>
            <w:r>
              <w:rPr>
                <w:rFonts w:ascii="宋体" w:hAnsi="宋体"/>
                <w:sz w:val="24"/>
                <w:szCs w:val="32"/>
                <w:u w:val="single"/>
              </w:rPr>
              <w:fldChar w:fldCharType="end"/>
            </w:r>
          </w:p>
        </w:tc>
      </w:tr>
      <w:tr w14:paraId="389B8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219B02C7">
            <w:pPr>
              <w:spacing w:line="440" w:lineRule="exact"/>
              <w:jc w:val="center"/>
              <w:rPr>
                <w:rFonts w:hint="eastAsia" w:ascii="宋体" w:hAnsi="宋体"/>
                <w:sz w:val="24"/>
                <w:szCs w:val="32"/>
              </w:rPr>
            </w:pPr>
            <w:r>
              <w:rPr>
                <w:rFonts w:hint="eastAsia" w:ascii="宋体" w:hAnsi="宋体"/>
                <w:sz w:val="24"/>
                <w:szCs w:val="32"/>
              </w:rPr>
              <w:t>机械员</w:t>
            </w:r>
          </w:p>
        </w:tc>
        <w:tc>
          <w:tcPr>
            <w:tcW w:w="1843" w:type="dxa"/>
          </w:tcPr>
          <w:p w14:paraId="52C6580B">
            <w:pPr>
              <w:adjustRightInd w:val="0"/>
              <w:snapToGrid w:val="0"/>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input580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1E2C9057">
            <w:pPr>
              <w:spacing w:line="440" w:lineRule="exact"/>
              <w:rPr>
                <w:rFonts w:hint="eastAsia"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input581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2EAA1420">
            <w:pPr>
              <w:adjustRightInd w:val="0"/>
              <w:snapToGrid w:val="0"/>
              <w:jc w:val="left"/>
              <w:rPr>
                <w:rFonts w:hint="eastAsia"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input582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4DD2E425">
            <w:pPr>
              <w:spacing w:line="440" w:lineRule="exact"/>
              <w:rPr>
                <w:rFonts w:hint="eastAsia"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input583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p w14:paraId="2E873516">
            <w:pPr>
              <w:adjustRightInd w:val="0"/>
              <w:snapToGrid w:val="0"/>
              <w:jc w:val="left"/>
              <w:rPr>
                <w:rFonts w:hint="eastAsia"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input584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tc>
        <w:tc>
          <w:tcPr>
            <w:tcW w:w="1858" w:type="dxa"/>
          </w:tcPr>
          <w:p w14:paraId="140C5813">
            <w:pPr>
              <w:adjustRightInd w:val="0"/>
              <w:snapToGrid w:val="0"/>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input585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 xml:space="preserve">     </w:t>
            </w:r>
            <w:r>
              <w:rPr>
                <w:rFonts w:ascii="宋体" w:hAnsi="宋体"/>
                <w:sz w:val="24"/>
                <w:szCs w:val="32"/>
                <w:u w:val="single"/>
              </w:rPr>
              <w:fldChar w:fldCharType="end"/>
            </w:r>
          </w:p>
        </w:tc>
      </w:tr>
      <w:tr w14:paraId="34FDA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41380EA7">
            <w:pPr>
              <w:spacing w:line="440" w:lineRule="exact"/>
              <w:jc w:val="center"/>
              <w:rPr>
                <w:rFonts w:hint="eastAsia" w:ascii="宋体" w:hAnsi="宋体"/>
                <w:sz w:val="24"/>
                <w:szCs w:val="32"/>
              </w:rPr>
            </w:pPr>
            <w:r>
              <w:rPr>
                <w:rFonts w:hint="eastAsia" w:ascii="宋体" w:hAnsi="宋体"/>
                <w:sz w:val="24"/>
                <w:szCs w:val="32"/>
              </w:rPr>
              <w:t>劳务员</w:t>
            </w:r>
          </w:p>
        </w:tc>
        <w:tc>
          <w:tcPr>
            <w:tcW w:w="1843" w:type="dxa"/>
          </w:tcPr>
          <w:p w14:paraId="1E96EDD1">
            <w:pPr>
              <w:adjustRightInd w:val="0"/>
              <w:snapToGrid w:val="0"/>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input586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1F2E39E7">
            <w:pPr>
              <w:spacing w:line="440" w:lineRule="exact"/>
              <w:rPr>
                <w:rFonts w:hint="eastAsia"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input587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4B7017A0">
            <w:pPr>
              <w:adjustRightInd w:val="0"/>
              <w:snapToGrid w:val="0"/>
              <w:jc w:val="left"/>
              <w:rPr>
                <w:rFonts w:hint="eastAsia"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input588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2647449F">
            <w:pPr>
              <w:spacing w:line="440" w:lineRule="exact"/>
              <w:rPr>
                <w:rFonts w:hint="eastAsia"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input589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p w14:paraId="17204608">
            <w:pPr>
              <w:adjustRightInd w:val="0"/>
              <w:snapToGrid w:val="0"/>
              <w:jc w:val="left"/>
              <w:rPr>
                <w:rFonts w:hint="eastAsia"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input590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tc>
        <w:tc>
          <w:tcPr>
            <w:tcW w:w="1858" w:type="dxa"/>
          </w:tcPr>
          <w:p w14:paraId="4C2B5235">
            <w:pPr>
              <w:adjustRightInd w:val="0"/>
              <w:snapToGrid w:val="0"/>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input591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 xml:space="preserve">     </w:t>
            </w:r>
            <w:r>
              <w:rPr>
                <w:rFonts w:ascii="宋体" w:hAnsi="宋体"/>
                <w:sz w:val="24"/>
                <w:szCs w:val="32"/>
                <w:u w:val="single"/>
              </w:rPr>
              <w:fldChar w:fldCharType="end"/>
            </w:r>
          </w:p>
        </w:tc>
      </w:tr>
      <w:tr w14:paraId="41FFF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024A28FE">
            <w:pPr>
              <w:spacing w:line="440" w:lineRule="exact"/>
              <w:jc w:val="center"/>
              <w:rPr>
                <w:rFonts w:hint="eastAsia" w:ascii="宋体" w:hAnsi="宋体"/>
                <w:sz w:val="24"/>
                <w:szCs w:val="32"/>
              </w:rPr>
            </w:pPr>
            <w:r>
              <w:rPr>
                <w:rFonts w:hint="eastAsia" w:ascii="宋体" w:hAnsi="宋体"/>
                <w:sz w:val="24"/>
                <w:szCs w:val="32"/>
              </w:rPr>
              <w:t>资料员</w:t>
            </w:r>
          </w:p>
        </w:tc>
        <w:tc>
          <w:tcPr>
            <w:tcW w:w="1843" w:type="dxa"/>
          </w:tcPr>
          <w:p w14:paraId="72135BA2">
            <w:pPr>
              <w:adjustRightInd w:val="0"/>
              <w:snapToGrid w:val="0"/>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input592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6BAF3B01">
            <w:pPr>
              <w:spacing w:line="440" w:lineRule="exact"/>
              <w:rPr>
                <w:rFonts w:hint="eastAsia"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input593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3C778E86">
            <w:pPr>
              <w:adjustRightInd w:val="0"/>
              <w:snapToGrid w:val="0"/>
              <w:jc w:val="left"/>
              <w:rPr>
                <w:rFonts w:hint="eastAsia"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input594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51A37994">
            <w:pPr>
              <w:spacing w:line="440" w:lineRule="exact"/>
              <w:rPr>
                <w:rFonts w:hint="eastAsia"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input595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077C06E0">
            <w:pPr>
              <w:adjustRightInd w:val="0"/>
              <w:snapToGrid w:val="0"/>
              <w:jc w:val="left"/>
              <w:rPr>
                <w:rFonts w:hint="eastAsia"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input596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3C206643">
            <w:pPr>
              <w:adjustRightInd w:val="0"/>
              <w:snapToGrid w:val="0"/>
              <w:jc w:val="left"/>
              <w:rPr>
                <w:rFonts w:hint="eastAsia"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input597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 xml:space="preserve">     </w:t>
            </w:r>
            <w:r>
              <w:rPr>
                <w:rFonts w:ascii="宋体" w:hAnsi="宋体"/>
                <w:sz w:val="24"/>
                <w:szCs w:val="32"/>
                <w:u w:val="single"/>
              </w:rPr>
              <w:fldChar w:fldCharType="end"/>
            </w:r>
          </w:p>
        </w:tc>
      </w:tr>
      <w:tr w14:paraId="60C16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148A2E69">
            <w:pPr>
              <w:spacing w:line="440" w:lineRule="exact"/>
              <w:jc w:val="center"/>
              <w:rPr>
                <w:rFonts w:hint="eastAsia" w:ascii="宋体" w:hAnsi="宋体"/>
                <w:sz w:val="24"/>
                <w:szCs w:val="32"/>
              </w:rPr>
            </w:pPr>
            <w:bookmarkStart w:id="117" w:name="人员配备1" w:colFirst="0" w:colLast="0"/>
          </w:p>
        </w:tc>
        <w:tc>
          <w:tcPr>
            <w:tcW w:w="1843" w:type="dxa"/>
            <w:vAlign w:val="center"/>
          </w:tcPr>
          <w:p w14:paraId="142327CC">
            <w:pPr>
              <w:adjustRightInd w:val="0"/>
              <w:snapToGrid w:val="0"/>
              <w:jc w:val="left"/>
              <w:rPr>
                <w:rFonts w:hint="eastAsia" w:ascii="宋体" w:hAnsi="宋体"/>
                <w:sz w:val="24"/>
                <w:szCs w:val="32"/>
                <w:u w:val="single"/>
              </w:rPr>
            </w:pPr>
          </w:p>
        </w:tc>
        <w:tc>
          <w:tcPr>
            <w:tcW w:w="2126" w:type="dxa"/>
            <w:vAlign w:val="center"/>
          </w:tcPr>
          <w:p w14:paraId="23BA72AF">
            <w:pPr>
              <w:spacing w:line="440" w:lineRule="exact"/>
              <w:rPr>
                <w:rFonts w:hint="eastAsia" w:ascii="宋体" w:hAnsi="宋体"/>
                <w:sz w:val="24"/>
                <w:szCs w:val="32"/>
              </w:rPr>
            </w:pPr>
          </w:p>
        </w:tc>
        <w:tc>
          <w:tcPr>
            <w:tcW w:w="1933" w:type="dxa"/>
            <w:vAlign w:val="center"/>
          </w:tcPr>
          <w:p w14:paraId="42CE788B">
            <w:pPr>
              <w:spacing w:line="440" w:lineRule="exact"/>
              <w:rPr>
                <w:rFonts w:hint="eastAsia" w:ascii="宋体" w:hAnsi="宋体"/>
                <w:sz w:val="24"/>
                <w:szCs w:val="32"/>
              </w:rPr>
            </w:pPr>
          </w:p>
        </w:tc>
        <w:tc>
          <w:tcPr>
            <w:tcW w:w="1858" w:type="dxa"/>
            <w:vAlign w:val="center"/>
          </w:tcPr>
          <w:p w14:paraId="05F34597">
            <w:pPr>
              <w:adjustRightInd w:val="0"/>
              <w:snapToGrid w:val="0"/>
              <w:jc w:val="left"/>
              <w:rPr>
                <w:rFonts w:hint="eastAsia" w:ascii="宋体" w:hAnsi="宋体"/>
                <w:sz w:val="24"/>
                <w:szCs w:val="32"/>
                <w:u w:val="single"/>
              </w:rPr>
            </w:pPr>
          </w:p>
        </w:tc>
      </w:tr>
      <w:bookmarkEnd w:id="117"/>
    </w:tbl>
    <w:p w14:paraId="762E217D">
      <w:pPr>
        <w:spacing w:line="440" w:lineRule="exact"/>
        <w:rPr>
          <w:b/>
        </w:rPr>
      </w:pPr>
      <w:r>
        <w:rPr>
          <w:rFonts w:hint="eastAsia" w:ascii="宋体" w:hAnsi="宋体"/>
          <w:b/>
          <w:szCs w:val="21"/>
        </w:rPr>
        <w:t>注</w:t>
      </w:r>
      <w:r>
        <w:rPr>
          <w:rFonts w:hint="eastAsia"/>
          <w:b/>
        </w:rPr>
        <w:t>：</w:t>
      </w:r>
      <w:r>
        <w:rPr>
          <w:b/>
        </w:rPr>
        <w:t>1</w:t>
      </w:r>
      <w:r>
        <w:rPr>
          <w:rFonts w:hint="eastAsia"/>
          <w:b/>
        </w:rPr>
        <w:t>、表中“岗位资格要求”栏是、否提供岗位证书(资格证书)的在</w:t>
      </w:r>
      <w:r>
        <w:rPr>
          <w:b/>
        </w:rPr>
        <w:t xml:space="preserve"> </w:t>
      </w:r>
      <w:r>
        <w:rPr>
          <w:rFonts w:hint="eastAsia"/>
          <w:b/>
        </w:rPr>
        <w:t>“□”内打“√”。</w:t>
      </w:r>
    </w:p>
    <w:p w14:paraId="62C7A940">
      <w:pPr>
        <w:spacing w:line="440" w:lineRule="exact"/>
        <w:ind w:left="0" w:leftChars="0" w:firstLine="482" w:firstLineChars="200"/>
        <w:rPr>
          <w:b/>
        </w:rPr>
      </w:pPr>
      <w:r>
        <w:rPr>
          <w:b/>
        </w:rPr>
        <w:t>2</w:t>
      </w:r>
      <w:r>
        <w:rPr>
          <w:rFonts w:hint="eastAsia"/>
          <w:b/>
        </w:rPr>
        <w:t>、表中“岗位要求”栏专职、可兼任在“□”内打“√”。</w:t>
      </w:r>
    </w:p>
    <w:p w14:paraId="36E78A67">
      <w:pPr>
        <w:spacing w:line="440" w:lineRule="exact"/>
        <w:ind w:left="0" w:leftChars="0" w:firstLine="482" w:firstLineChars="200"/>
        <w:rPr>
          <w:rFonts w:cs="宋体" w:asciiTheme="majorEastAsia" w:hAnsiTheme="majorEastAsia" w:eastAsiaTheme="majorEastAsia"/>
          <w:b/>
          <w:bCs/>
          <w:color w:val="auto"/>
          <w:highlight w:val="none"/>
        </w:rPr>
      </w:pPr>
      <w:r>
        <w:rPr>
          <w:b/>
        </w:rPr>
        <w:t>3</w:t>
      </w:r>
      <w:r>
        <w:rPr>
          <w:rFonts w:hint="eastAsia"/>
          <w:b/>
        </w:rPr>
        <w:t>、此表为投标人</w:t>
      </w:r>
      <w:r>
        <w:rPr>
          <w:b/>
        </w:rPr>
        <w:t xml:space="preserve"> </w:t>
      </w:r>
      <w:r>
        <w:rPr>
          <w:rFonts w:hint="eastAsia"/>
          <w:b/>
        </w:rPr>
        <w:t>配置“施工现场专业（管理）人员”最低要求。</w:t>
      </w:r>
    </w:p>
    <w:p w14:paraId="7C050E42">
      <w:pPr>
        <w:rPr>
          <w:rFonts w:cs="宋体" w:asciiTheme="majorEastAsia" w:hAnsiTheme="majorEastAsia" w:eastAsiaTheme="majorEastAsia"/>
          <w:highlight w:val="none"/>
        </w:rPr>
      </w:pPr>
      <w:r>
        <w:rPr>
          <w:rFonts w:hint="eastAsia" w:cs="宋体" w:asciiTheme="majorEastAsia" w:hAnsiTheme="majorEastAsia" w:eastAsiaTheme="majorEastAsia"/>
          <w:highlight w:val="none"/>
        </w:rPr>
        <w:br w:type="page"/>
      </w:r>
    </w:p>
    <w:p w14:paraId="74214D11">
      <w:pPr>
        <w:rPr>
          <w:rFonts w:asciiTheme="majorEastAsia" w:hAnsiTheme="majorEastAsia" w:eastAsiaTheme="majorEastAsia"/>
          <w:highlight w:val="none"/>
        </w:rPr>
      </w:pPr>
      <w:bookmarkStart w:id="118" w:name="_Toc478646326"/>
    </w:p>
    <w:p w14:paraId="67C6B514">
      <w:pPr>
        <w:pStyle w:val="346"/>
        <w:spacing w:before="120" w:after="120" w:line="800" w:lineRule="exact"/>
        <w:rPr>
          <w:rFonts w:cs="宋体" w:asciiTheme="majorEastAsia" w:hAnsiTheme="majorEastAsia" w:eastAsiaTheme="majorEastAsia"/>
          <w:b/>
          <w:sz w:val="52"/>
          <w:szCs w:val="52"/>
          <w:highlight w:val="none"/>
        </w:rPr>
      </w:pPr>
      <w:bookmarkStart w:id="119" w:name="_Toc18937"/>
      <w:r>
        <w:rPr>
          <w:rFonts w:hint="eastAsia" w:cs="宋体" w:asciiTheme="majorEastAsia" w:hAnsiTheme="majorEastAsia" w:eastAsiaTheme="majorEastAsia"/>
          <w:b/>
          <w:sz w:val="52"/>
          <w:szCs w:val="52"/>
          <w:highlight w:val="none"/>
        </w:rPr>
        <w:t>第二章  投标人须知</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18"/>
      <w:bookmarkEnd w:id="119"/>
    </w:p>
    <w:p w14:paraId="2233AC71">
      <w:pPr>
        <w:pStyle w:val="110"/>
        <w:spacing w:line="600" w:lineRule="exact"/>
        <w:jc w:val="center"/>
        <w:rPr>
          <w:rFonts w:cs="宋体" w:asciiTheme="majorEastAsia" w:hAnsiTheme="majorEastAsia" w:eastAsiaTheme="majorEastAsia"/>
          <w:b/>
          <w:color w:val="auto"/>
          <w:sz w:val="30"/>
          <w:szCs w:val="30"/>
          <w:highlight w:val="none"/>
        </w:rPr>
      </w:pPr>
      <w:bookmarkStart w:id="120" w:name="_投标须知前附表"/>
      <w:bookmarkEnd w:id="120"/>
      <w:bookmarkStart w:id="121" w:name="_Toc67730858"/>
      <w:bookmarkStart w:id="122" w:name="_Toc39482889"/>
      <w:bookmarkStart w:id="123" w:name="_Toc67734255"/>
      <w:bookmarkStart w:id="124" w:name="_Toc67731335"/>
      <w:bookmarkStart w:id="125" w:name="_Toc71799051"/>
      <w:bookmarkStart w:id="126" w:name="_Toc67731218"/>
      <w:bookmarkStart w:id="127" w:name="_Toc71777807"/>
      <w:bookmarkStart w:id="128" w:name="_Toc145001529"/>
      <w:bookmarkStart w:id="129" w:name="_Toc67731537"/>
      <w:bookmarkStart w:id="130" w:name="_Toc67728418"/>
      <w:bookmarkStart w:id="131" w:name="_Toc437684750"/>
      <w:bookmarkStart w:id="132" w:name="_Toc69115814"/>
      <w:bookmarkStart w:id="133" w:name="_Toc71798717"/>
      <w:bookmarkStart w:id="134" w:name="_Toc68491723"/>
      <w:bookmarkStart w:id="135" w:name="_Toc68669201"/>
      <w:bookmarkStart w:id="136" w:name="_Toc67730457"/>
      <w:bookmarkStart w:id="137" w:name="_Toc69188742"/>
      <w:bookmarkStart w:id="138" w:name="_Toc478646327"/>
      <w:bookmarkStart w:id="139" w:name="_Toc71857034"/>
      <w:bookmarkStart w:id="140" w:name="_Toc68491905"/>
      <w:bookmarkStart w:id="141" w:name="_Toc69188967"/>
      <w:bookmarkStart w:id="142" w:name="_Toc67731643"/>
      <w:bookmarkStart w:id="143" w:name="_Toc145014779"/>
      <w:bookmarkStart w:id="144" w:name="_Toc71799358"/>
      <w:r>
        <w:rPr>
          <w:rFonts w:hint="eastAsia" w:cs="宋体" w:asciiTheme="majorEastAsia" w:hAnsiTheme="majorEastAsia" w:eastAsiaTheme="majorEastAsia"/>
          <w:b/>
          <w:color w:val="auto"/>
          <w:sz w:val="30"/>
          <w:szCs w:val="30"/>
          <w:highlight w:val="none"/>
        </w:rPr>
        <w:t>投标人须知前附表</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Start w:id="145" w:name="_Toc69188743"/>
      <w:bookmarkStart w:id="146" w:name="_Toc69188968"/>
      <w:bookmarkStart w:id="147" w:name="_Toc71777808"/>
      <w:bookmarkStart w:id="148" w:name="_Toc68491906"/>
      <w:bookmarkStart w:id="149" w:name="_Toc67734256"/>
      <w:bookmarkStart w:id="150" w:name="_Toc67731644"/>
      <w:bookmarkStart w:id="151" w:name="_Toc69115815"/>
      <w:bookmarkStart w:id="152" w:name="_Toc71857035"/>
      <w:bookmarkStart w:id="153" w:name="_Toc68669202"/>
      <w:bookmarkStart w:id="154" w:name="_Toc39482890"/>
      <w:bookmarkStart w:id="155" w:name="_Toc67728419"/>
      <w:bookmarkStart w:id="156" w:name="_Toc67730458"/>
      <w:bookmarkStart w:id="157" w:name="_Toc145014780"/>
      <w:bookmarkStart w:id="158" w:name="_Toc67731538"/>
      <w:bookmarkStart w:id="159" w:name="_Toc71799052"/>
      <w:bookmarkStart w:id="160" w:name="_Toc67730859"/>
      <w:bookmarkStart w:id="161" w:name="_Toc71798718"/>
      <w:bookmarkStart w:id="162" w:name="_Toc67731336"/>
      <w:bookmarkStart w:id="163" w:name="_Toc67731219"/>
      <w:bookmarkStart w:id="164" w:name="_Toc145001530"/>
      <w:bookmarkStart w:id="165" w:name="_Toc71799359"/>
      <w:bookmarkStart w:id="166" w:name="_Toc68491724"/>
    </w:p>
    <w:tbl>
      <w:tblPr>
        <w:tblStyle w:val="63"/>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1177"/>
        <w:gridCol w:w="2050"/>
        <w:gridCol w:w="13"/>
        <w:gridCol w:w="6490"/>
        <w:gridCol w:w="10"/>
      </w:tblGrid>
      <w:tr w14:paraId="1624B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tblHeader/>
          <w:jc w:val="center"/>
        </w:trPr>
        <w:tc>
          <w:tcPr>
            <w:tcW w:w="1177" w:type="dxa"/>
            <w:shd w:val="clear" w:color="auto" w:fill="FFFFFF"/>
            <w:vAlign w:val="center"/>
          </w:tcPr>
          <w:p w14:paraId="3F8A9F92">
            <w:pPr>
              <w:spacing w:line="40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条款号</w:t>
            </w:r>
          </w:p>
        </w:tc>
        <w:tc>
          <w:tcPr>
            <w:tcW w:w="2050" w:type="dxa"/>
            <w:shd w:val="clear" w:color="auto" w:fill="FFFFFF"/>
            <w:vAlign w:val="center"/>
          </w:tcPr>
          <w:p w14:paraId="569C0D4C">
            <w:pPr>
              <w:spacing w:line="40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内 容</w:t>
            </w:r>
          </w:p>
        </w:tc>
        <w:tc>
          <w:tcPr>
            <w:tcW w:w="6503" w:type="dxa"/>
            <w:gridSpan w:val="2"/>
            <w:shd w:val="clear" w:color="auto" w:fill="FFFFFF"/>
            <w:vAlign w:val="center"/>
          </w:tcPr>
          <w:p w14:paraId="00103B5C">
            <w:pPr>
              <w:spacing w:line="40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说明与要求</w:t>
            </w:r>
          </w:p>
        </w:tc>
      </w:tr>
      <w:tr w14:paraId="7806D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4EB28983">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1.1.2</w:t>
            </w:r>
          </w:p>
        </w:tc>
        <w:tc>
          <w:tcPr>
            <w:tcW w:w="2050" w:type="dxa"/>
            <w:shd w:val="clear" w:color="auto" w:fill="FFFFFF"/>
            <w:vAlign w:val="center"/>
          </w:tcPr>
          <w:p w14:paraId="0D292403">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招标人</w:t>
            </w:r>
          </w:p>
        </w:tc>
        <w:tc>
          <w:tcPr>
            <w:tcW w:w="6503" w:type="dxa"/>
            <w:gridSpan w:val="2"/>
            <w:shd w:val="clear" w:color="auto" w:fill="FFFFFF"/>
            <w:vAlign w:val="center"/>
          </w:tcPr>
          <w:p w14:paraId="25785B2F">
            <w:pPr>
              <w:spacing w:line="400" w:lineRule="exact"/>
              <w:jc w:val="both"/>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rPr>
              <w:t>名称</w:t>
            </w:r>
            <w:r>
              <w:rPr>
                <w:rFonts w:cs="宋体" w:asciiTheme="majorEastAsia" w:hAnsiTheme="majorEastAsia" w:eastAsiaTheme="majorEastAsia"/>
                <w:highlight w:val="none"/>
              </w:rPr>
              <w:t>：</w:t>
            </w:r>
            <w:r>
              <w:rPr>
                <w:rFonts w:hint="eastAsia" w:cs="宋体" w:asciiTheme="majorEastAsia" w:hAnsiTheme="majorEastAsia" w:eastAsiaTheme="majorEastAsia"/>
                <w:highlight w:val="none"/>
                <w:lang w:eastAsia="zh-CN"/>
              </w:rPr>
              <w:t>墨江哈尼族自治县联珠镇人民政府</w:t>
            </w:r>
          </w:p>
          <w:p w14:paraId="6896D4BE">
            <w:pPr>
              <w:spacing w:line="400" w:lineRule="exact"/>
              <w:jc w:val="both"/>
              <w:rPr>
                <w:rFonts w:cs="宋体" w:asciiTheme="majorEastAsia" w:hAnsiTheme="majorEastAsia" w:eastAsiaTheme="majorEastAsia"/>
                <w:highlight w:val="none"/>
              </w:rPr>
            </w:pPr>
            <w:r>
              <w:rPr>
                <w:rFonts w:cs="宋体" w:asciiTheme="majorEastAsia" w:hAnsiTheme="majorEastAsia" w:eastAsiaTheme="majorEastAsia"/>
                <w:highlight w:val="none"/>
              </w:rPr>
              <w:t>地址：</w:t>
            </w:r>
            <w:r>
              <w:rPr>
                <w:rFonts w:hint="eastAsia" w:cs="宋体" w:asciiTheme="majorEastAsia" w:hAnsiTheme="majorEastAsia" w:eastAsiaTheme="majorEastAsia"/>
                <w:highlight w:val="none"/>
              </w:rPr>
              <w:t>墨江县联珠镇回归大道7号</w:t>
            </w:r>
          </w:p>
          <w:p w14:paraId="57900CFF">
            <w:pPr>
              <w:spacing w:line="400" w:lineRule="exact"/>
              <w:jc w:val="both"/>
              <w:rPr>
                <w:rFonts w:hint="default" w:cs="宋体" w:asciiTheme="majorEastAsia" w:hAnsiTheme="majorEastAsia" w:eastAsiaTheme="majorEastAsia"/>
                <w:highlight w:val="none"/>
                <w:lang w:val="en-US" w:eastAsia="zh-CN"/>
              </w:rPr>
            </w:pPr>
            <w:r>
              <w:rPr>
                <w:rFonts w:cs="宋体" w:asciiTheme="majorEastAsia" w:hAnsiTheme="majorEastAsia" w:eastAsiaTheme="majorEastAsia"/>
                <w:highlight w:val="none"/>
              </w:rPr>
              <w:t>联系人：</w:t>
            </w:r>
            <w:r>
              <w:rPr>
                <w:rFonts w:hint="eastAsia" w:cs="宋体" w:asciiTheme="majorEastAsia" w:hAnsiTheme="majorEastAsia" w:eastAsiaTheme="majorEastAsia"/>
                <w:highlight w:val="none"/>
                <w:lang w:val="en-US" w:eastAsia="zh-CN"/>
              </w:rPr>
              <w:t>李茂伟</w:t>
            </w:r>
          </w:p>
          <w:p w14:paraId="6F65F27E">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电话</w:t>
            </w:r>
            <w:r>
              <w:rPr>
                <w:rFonts w:cs="宋体" w:asciiTheme="majorEastAsia" w:hAnsiTheme="majorEastAsia" w:eastAsiaTheme="majorEastAsia"/>
                <w:highlight w:val="none"/>
              </w:rPr>
              <w:t>：</w:t>
            </w:r>
            <w:r>
              <w:rPr>
                <w:rFonts w:hint="eastAsia" w:cs="宋体" w:asciiTheme="majorEastAsia" w:hAnsiTheme="majorEastAsia" w:eastAsiaTheme="majorEastAsia"/>
                <w:highlight w:val="none"/>
                <w:lang w:val="en-US" w:eastAsia="zh-CN"/>
              </w:rPr>
              <w:t>15125508698</w:t>
            </w:r>
          </w:p>
        </w:tc>
      </w:tr>
      <w:tr w14:paraId="7F81B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3AD3C693">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1.1.3</w:t>
            </w:r>
          </w:p>
        </w:tc>
        <w:tc>
          <w:tcPr>
            <w:tcW w:w="2050" w:type="dxa"/>
            <w:shd w:val="clear" w:color="auto" w:fill="FFFFFF"/>
            <w:vAlign w:val="center"/>
          </w:tcPr>
          <w:p w14:paraId="48A4D386">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招标代理机构</w:t>
            </w:r>
          </w:p>
        </w:tc>
        <w:tc>
          <w:tcPr>
            <w:tcW w:w="6503" w:type="dxa"/>
            <w:gridSpan w:val="2"/>
            <w:shd w:val="clear" w:color="auto" w:fill="FFFFFF"/>
            <w:vAlign w:val="center"/>
          </w:tcPr>
          <w:p w14:paraId="1586F050">
            <w:pPr>
              <w:spacing w:line="400" w:lineRule="exact"/>
              <w:jc w:val="both"/>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rPr>
              <w:t>名称：</w:t>
            </w:r>
            <w:r>
              <w:rPr>
                <w:rFonts w:hint="eastAsia" w:cs="宋体" w:asciiTheme="majorEastAsia" w:hAnsiTheme="majorEastAsia" w:eastAsiaTheme="majorEastAsia"/>
                <w:highlight w:val="none"/>
                <w:lang w:eastAsia="zh-CN"/>
              </w:rPr>
              <w:t>云南德昭工程管理有限责任公司</w:t>
            </w:r>
          </w:p>
          <w:p w14:paraId="24DEB8F0">
            <w:pPr>
              <w:spacing w:line="400" w:lineRule="exact"/>
              <w:jc w:val="both"/>
              <w:rPr>
                <w:rFonts w:cs="宋体" w:asciiTheme="majorEastAsia" w:hAnsiTheme="majorEastAsia" w:eastAsiaTheme="majorEastAsia"/>
                <w:highlight w:val="none"/>
              </w:rPr>
            </w:pPr>
            <w:r>
              <w:rPr>
                <w:rFonts w:cs="宋体" w:asciiTheme="majorEastAsia" w:hAnsiTheme="majorEastAsia" w:eastAsiaTheme="majorEastAsia"/>
                <w:highlight w:val="none"/>
              </w:rPr>
              <w:t>地址：</w:t>
            </w:r>
            <w:r>
              <w:rPr>
                <w:rFonts w:hint="eastAsia" w:cs="宋体" w:asciiTheme="majorEastAsia" w:hAnsiTheme="majorEastAsia" w:eastAsiaTheme="majorEastAsia"/>
                <w:highlight w:val="none"/>
              </w:rPr>
              <w:t>云南省昆明市盘龙区万宏嘉园沣苑（地块三）B座9层901号</w:t>
            </w:r>
          </w:p>
          <w:p w14:paraId="70EAF59E">
            <w:pPr>
              <w:spacing w:line="400" w:lineRule="exact"/>
              <w:jc w:val="both"/>
              <w:rPr>
                <w:rFonts w:hint="default" w:cs="宋体" w:asciiTheme="majorEastAsia" w:hAnsiTheme="majorEastAsia" w:eastAsiaTheme="majorEastAsia"/>
                <w:highlight w:val="none"/>
                <w:lang w:val="en-US" w:eastAsia="zh-CN"/>
              </w:rPr>
            </w:pPr>
            <w:r>
              <w:rPr>
                <w:rFonts w:cs="宋体" w:asciiTheme="majorEastAsia" w:hAnsiTheme="majorEastAsia" w:eastAsiaTheme="majorEastAsia"/>
                <w:highlight w:val="none"/>
              </w:rPr>
              <w:t>联系人：</w:t>
            </w:r>
            <w:r>
              <w:rPr>
                <w:rFonts w:hint="eastAsia"/>
                <w:lang w:val="en-US" w:eastAsia="zh-CN"/>
              </w:rPr>
              <w:t>赵思矗、黄杰</w:t>
            </w:r>
            <w:r>
              <w:rPr>
                <w:rFonts w:hint="eastAsia" w:cs="宋体" w:asciiTheme="majorEastAsia" w:hAnsiTheme="majorEastAsia" w:eastAsiaTheme="majorEastAsia"/>
                <w:highlight w:val="none"/>
                <w:shd w:val="clear" w:color="auto" w:fill="FFFFFF"/>
              </w:rPr>
              <w:t>、叶远超、薛名雄、吴秋儒、</w:t>
            </w:r>
            <w:r>
              <w:rPr>
                <w:rFonts w:hint="eastAsia"/>
                <w:lang w:val="en-US" w:eastAsia="zh-CN"/>
              </w:rPr>
              <w:t>杨建秋、</w:t>
            </w:r>
            <w:r>
              <w:rPr>
                <w:rFonts w:hint="eastAsia" w:cs="宋体" w:asciiTheme="majorEastAsia" w:hAnsiTheme="majorEastAsia" w:eastAsiaTheme="majorEastAsia"/>
                <w:highlight w:val="none"/>
                <w:shd w:val="clear" w:color="auto" w:fill="FFFFFF"/>
              </w:rPr>
              <w:t>樊叶平、黄佑银、符程、陆继杭、刘桂全</w:t>
            </w:r>
          </w:p>
          <w:p w14:paraId="2603978F">
            <w:pPr>
              <w:spacing w:line="400" w:lineRule="exact"/>
              <w:jc w:val="both"/>
              <w:rPr>
                <w:rFonts w:cs="宋体" w:asciiTheme="majorEastAsia" w:hAnsiTheme="majorEastAsia" w:eastAsiaTheme="majorEastAsia"/>
                <w:highlight w:val="none"/>
              </w:rPr>
            </w:pPr>
            <w:r>
              <w:rPr>
                <w:rFonts w:cs="宋体" w:asciiTheme="majorEastAsia" w:hAnsiTheme="majorEastAsia" w:eastAsiaTheme="majorEastAsia"/>
                <w:highlight w:val="none"/>
              </w:rPr>
              <w:t>电话：</w:t>
            </w:r>
            <w:r>
              <w:rPr>
                <w:rFonts w:hint="eastAsia" w:cs="宋体" w:asciiTheme="majorEastAsia" w:hAnsiTheme="majorEastAsia" w:eastAsiaTheme="majorEastAsia"/>
                <w:highlight w:val="none"/>
                <w:lang w:val="en-US" w:eastAsia="zh-CN"/>
              </w:rPr>
              <w:t>0871-65847486</w:t>
            </w:r>
          </w:p>
        </w:tc>
      </w:tr>
      <w:tr w14:paraId="37A98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0B1A224D">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1.1.4</w:t>
            </w:r>
          </w:p>
        </w:tc>
        <w:tc>
          <w:tcPr>
            <w:tcW w:w="2050" w:type="dxa"/>
            <w:shd w:val="clear" w:color="auto" w:fill="FFFFFF"/>
            <w:vAlign w:val="center"/>
          </w:tcPr>
          <w:p w14:paraId="78602FC8">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项目名称</w:t>
            </w:r>
          </w:p>
        </w:tc>
        <w:tc>
          <w:tcPr>
            <w:tcW w:w="6503" w:type="dxa"/>
            <w:gridSpan w:val="2"/>
            <w:shd w:val="clear" w:color="auto" w:fill="FFFFFF"/>
            <w:vAlign w:val="center"/>
          </w:tcPr>
          <w:p w14:paraId="740306E6">
            <w:pPr>
              <w:spacing w:line="400" w:lineRule="exact"/>
              <w:jc w:val="both"/>
              <w:rPr>
                <w:rFonts w:hint="eastAsia" w:cs="宋体" w:asciiTheme="majorEastAsia" w:hAnsiTheme="majorEastAsia" w:eastAsiaTheme="majorEastAsia"/>
                <w:bCs/>
                <w:highlight w:val="none"/>
                <w:lang w:eastAsia="zh-CN"/>
              </w:rPr>
            </w:pPr>
            <w:r>
              <w:rPr>
                <w:rFonts w:hint="eastAsia" w:cs="宋体" w:asciiTheme="majorEastAsia" w:hAnsiTheme="majorEastAsia" w:eastAsiaTheme="majorEastAsia"/>
                <w:bCs/>
                <w:highlight w:val="none"/>
                <w:lang w:eastAsia="zh-CN"/>
              </w:rPr>
              <w:t>联珠镇癸能村花卉产业农文旅融合发展配套设施项目EPC+O</w:t>
            </w:r>
          </w:p>
        </w:tc>
      </w:tr>
      <w:tr w14:paraId="3F050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716A7E45">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1.1.5</w:t>
            </w:r>
          </w:p>
        </w:tc>
        <w:tc>
          <w:tcPr>
            <w:tcW w:w="2050" w:type="dxa"/>
            <w:shd w:val="clear" w:color="auto" w:fill="FFFFFF"/>
            <w:vAlign w:val="center"/>
          </w:tcPr>
          <w:p w14:paraId="72469856">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建设地点</w:t>
            </w:r>
          </w:p>
        </w:tc>
        <w:tc>
          <w:tcPr>
            <w:tcW w:w="6503" w:type="dxa"/>
            <w:gridSpan w:val="2"/>
            <w:shd w:val="clear" w:color="auto" w:fill="FFFFFF"/>
            <w:vAlign w:val="center"/>
          </w:tcPr>
          <w:p w14:paraId="499D3A3A">
            <w:pPr>
              <w:spacing w:line="400" w:lineRule="exact"/>
              <w:jc w:val="both"/>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lang w:eastAsia="zh-CN"/>
              </w:rPr>
              <w:t>墨江县</w:t>
            </w:r>
            <w:r>
              <w:rPr>
                <w:rFonts w:hint="eastAsia" w:cs="宋体" w:asciiTheme="majorEastAsia" w:hAnsiTheme="majorEastAsia" w:eastAsiaTheme="majorEastAsia"/>
                <w:bCs/>
                <w:highlight w:val="none"/>
                <w:lang w:val="en-US" w:eastAsia="zh-CN"/>
              </w:rPr>
              <w:t>联珠</w:t>
            </w:r>
            <w:r>
              <w:rPr>
                <w:rFonts w:hint="eastAsia" w:cs="宋体" w:asciiTheme="majorEastAsia" w:hAnsiTheme="majorEastAsia" w:eastAsiaTheme="majorEastAsia"/>
                <w:bCs/>
                <w:highlight w:val="none"/>
                <w:lang w:eastAsia="zh-CN"/>
              </w:rPr>
              <w:t>镇癸能</w:t>
            </w:r>
            <w:r>
              <w:rPr>
                <w:rFonts w:hint="eastAsia" w:cs="宋体" w:asciiTheme="majorEastAsia" w:hAnsiTheme="majorEastAsia" w:eastAsiaTheme="majorEastAsia"/>
                <w:bCs/>
                <w:highlight w:val="none"/>
              </w:rPr>
              <w:t>村</w:t>
            </w:r>
          </w:p>
        </w:tc>
      </w:tr>
      <w:tr w14:paraId="061D5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5C460487">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1.2.1</w:t>
            </w:r>
          </w:p>
        </w:tc>
        <w:tc>
          <w:tcPr>
            <w:tcW w:w="2050" w:type="dxa"/>
            <w:shd w:val="clear" w:color="auto" w:fill="FFFFFF"/>
            <w:vAlign w:val="center"/>
          </w:tcPr>
          <w:p w14:paraId="55CA5FCF">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资金来源</w:t>
            </w:r>
          </w:p>
        </w:tc>
        <w:tc>
          <w:tcPr>
            <w:tcW w:w="6503" w:type="dxa"/>
            <w:gridSpan w:val="2"/>
            <w:shd w:val="clear" w:color="auto" w:fill="FFFFFF"/>
            <w:vAlign w:val="center"/>
          </w:tcPr>
          <w:p w14:paraId="4E7794C9">
            <w:pPr>
              <w:spacing w:line="400" w:lineRule="exact"/>
              <w:jc w:val="both"/>
              <w:rPr>
                <w:rFonts w:hint="eastAsia" w:cs="宋体" w:asciiTheme="majorEastAsia" w:hAnsiTheme="majorEastAsia" w:eastAsiaTheme="majorEastAsia"/>
                <w:bCs/>
                <w:highlight w:val="none"/>
                <w:lang w:val="en-US" w:eastAsia="zh-CN"/>
              </w:rPr>
            </w:pPr>
            <w:r>
              <w:rPr>
                <w:rFonts w:hint="eastAsia" w:cs="宋体" w:asciiTheme="majorEastAsia" w:hAnsiTheme="majorEastAsia" w:eastAsiaTheme="majorEastAsia"/>
                <w:bCs/>
                <w:highlight w:val="none"/>
              </w:rPr>
              <w:t>上海对口帮扶资金</w:t>
            </w:r>
            <w:r>
              <w:rPr>
                <w:rFonts w:hint="eastAsia" w:cs="宋体" w:asciiTheme="majorEastAsia" w:hAnsiTheme="majorEastAsia" w:eastAsiaTheme="majorEastAsia"/>
                <w:bCs/>
                <w:highlight w:val="none"/>
                <w:lang w:val="en-US" w:eastAsia="zh-CN"/>
              </w:rPr>
              <w:t>及</w:t>
            </w:r>
            <w:r>
              <w:rPr>
                <w:rFonts w:hint="eastAsia" w:cs="宋体" w:asciiTheme="majorEastAsia" w:hAnsiTheme="majorEastAsia" w:eastAsiaTheme="majorEastAsia"/>
                <w:bCs/>
                <w:highlight w:val="none"/>
              </w:rPr>
              <w:t>自筹</w:t>
            </w:r>
            <w:r>
              <w:rPr>
                <w:rFonts w:hint="eastAsia" w:cs="宋体" w:asciiTheme="majorEastAsia" w:hAnsiTheme="majorEastAsia" w:eastAsiaTheme="majorEastAsia"/>
                <w:bCs/>
                <w:highlight w:val="none"/>
                <w:lang w:val="en-US" w:eastAsia="zh-CN"/>
              </w:rPr>
              <w:t>资金</w:t>
            </w:r>
          </w:p>
        </w:tc>
      </w:tr>
      <w:tr w14:paraId="0BB05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4E8D5CB7">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1.2.2</w:t>
            </w:r>
          </w:p>
        </w:tc>
        <w:tc>
          <w:tcPr>
            <w:tcW w:w="2050" w:type="dxa"/>
            <w:shd w:val="clear" w:color="auto" w:fill="FFFFFF"/>
            <w:vAlign w:val="center"/>
          </w:tcPr>
          <w:p w14:paraId="5BFE8CB5">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出资比例</w:t>
            </w:r>
          </w:p>
        </w:tc>
        <w:tc>
          <w:tcPr>
            <w:tcW w:w="6503" w:type="dxa"/>
            <w:gridSpan w:val="2"/>
            <w:shd w:val="clear" w:color="auto" w:fill="FFFFFF"/>
            <w:vAlign w:val="center"/>
          </w:tcPr>
          <w:p w14:paraId="2CB7E680">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bCs/>
                <w:highlight w:val="none"/>
              </w:rPr>
              <w:t>100%</w:t>
            </w:r>
          </w:p>
        </w:tc>
      </w:tr>
      <w:tr w14:paraId="1B508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307A25CB">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1.2.3</w:t>
            </w:r>
          </w:p>
        </w:tc>
        <w:tc>
          <w:tcPr>
            <w:tcW w:w="2050" w:type="dxa"/>
            <w:shd w:val="clear" w:color="auto" w:fill="FFFFFF"/>
            <w:vAlign w:val="center"/>
          </w:tcPr>
          <w:p w14:paraId="6B68889A">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招标方式</w:t>
            </w:r>
          </w:p>
        </w:tc>
        <w:tc>
          <w:tcPr>
            <w:tcW w:w="6503" w:type="dxa"/>
            <w:gridSpan w:val="2"/>
            <w:shd w:val="clear" w:color="auto" w:fill="FFFFFF"/>
            <w:vAlign w:val="center"/>
          </w:tcPr>
          <w:p w14:paraId="5938B627">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公开招标</w:t>
            </w:r>
          </w:p>
        </w:tc>
      </w:tr>
      <w:tr w14:paraId="7E9BB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40FFD5C9">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1.2.3</w:t>
            </w:r>
          </w:p>
        </w:tc>
        <w:tc>
          <w:tcPr>
            <w:tcW w:w="2050" w:type="dxa"/>
            <w:shd w:val="clear" w:color="auto" w:fill="FFFFFF"/>
            <w:vAlign w:val="center"/>
          </w:tcPr>
          <w:p w14:paraId="4DCE89D9">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资金落实情况</w:t>
            </w:r>
          </w:p>
        </w:tc>
        <w:tc>
          <w:tcPr>
            <w:tcW w:w="6503" w:type="dxa"/>
            <w:gridSpan w:val="2"/>
            <w:shd w:val="clear" w:color="auto" w:fill="FFFFFF"/>
            <w:vAlign w:val="center"/>
          </w:tcPr>
          <w:p w14:paraId="388E4B2A">
            <w:pPr>
              <w:spacing w:line="400" w:lineRule="exact"/>
              <w:jc w:val="both"/>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rPr>
              <w:t>已</w:t>
            </w:r>
            <w:r>
              <w:rPr>
                <w:rFonts w:hint="eastAsia" w:cs="宋体" w:asciiTheme="majorEastAsia" w:hAnsiTheme="majorEastAsia" w:eastAsiaTheme="majorEastAsia"/>
                <w:highlight w:val="none"/>
                <w:lang w:val="en-US" w:eastAsia="zh-CN"/>
              </w:rPr>
              <w:t>落实</w:t>
            </w:r>
          </w:p>
        </w:tc>
      </w:tr>
      <w:tr w14:paraId="21E22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34FB4411">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1.3.1</w:t>
            </w:r>
          </w:p>
        </w:tc>
        <w:tc>
          <w:tcPr>
            <w:tcW w:w="2050" w:type="dxa"/>
            <w:shd w:val="clear" w:color="auto" w:fill="FFFFFF"/>
            <w:vAlign w:val="center"/>
          </w:tcPr>
          <w:p w14:paraId="57272E44">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招标范围</w:t>
            </w:r>
          </w:p>
        </w:tc>
        <w:tc>
          <w:tcPr>
            <w:tcW w:w="6503" w:type="dxa"/>
            <w:gridSpan w:val="2"/>
            <w:shd w:val="clear" w:color="auto" w:fill="FFFFFF"/>
            <w:vAlign w:val="center"/>
          </w:tcPr>
          <w:p w14:paraId="475978E7">
            <w:pPr>
              <w:keepNext w:val="0"/>
              <w:keepLines w:val="0"/>
              <w:pageBreakBefore w:val="0"/>
              <w:widowControl/>
              <w:kinsoku/>
              <w:wordWrap/>
              <w:overflowPunct/>
              <w:topLinePunct w:val="0"/>
              <w:autoSpaceDE/>
              <w:autoSpaceDN/>
              <w:bidi w:val="0"/>
              <w:adjustRightInd/>
              <w:snapToGrid w:val="0"/>
              <w:spacing w:line="540" w:lineRule="exact"/>
              <w:jc w:val="both"/>
              <w:textAlignment w:val="auto"/>
              <w:rPr>
                <w:rFonts w:hint="eastAsia" w:cs="宋体" w:asciiTheme="majorEastAsia" w:hAnsiTheme="majorEastAsia" w:eastAsiaTheme="majorEastAsia"/>
                <w:highlight w:val="none"/>
                <w:shd w:val="clear" w:color="auto" w:fill="FFFFFF"/>
                <w:lang w:eastAsia="zh-CN"/>
              </w:rPr>
            </w:pP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1</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rPr>
              <w:t>设计</w:t>
            </w:r>
            <w:r>
              <w:rPr>
                <w:rFonts w:hint="eastAsia" w:cs="宋体" w:asciiTheme="majorEastAsia" w:hAnsiTheme="majorEastAsia" w:eastAsiaTheme="majorEastAsia"/>
                <w:highlight w:val="none"/>
                <w:shd w:val="clear" w:color="auto" w:fill="FFFFFF"/>
                <w:lang w:val="en-US" w:eastAsia="zh-CN"/>
              </w:rPr>
              <w:t>部分</w:t>
            </w:r>
            <w:r>
              <w:rPr>
                <w:rFonts w:hint="eastAsia" w:cs="宋体" w:asciiTheme="majorEastAsia" w:hAnsiTheme="majorEastAsia" w:eastAsiaTheme="majorEastAsia"/>
                <w:highlight w:val="none"/>
                <w:shd w:val="clear" w:color="auto" w:fill="FFFFFF"/>
              </w:rPr>
              <w:t>：完成本项目的施工图设计及后续施工过程中与设计相关的伴随服务，</w:t>
            </w:r>
            <w:r>
              <w:rPr>
                <w:rFonts w:hint="eastAsia" w:cs="宋体" w:asciiTheme="majorEastAsia" w:hAnsiTheme="majorEastAsia" w:eastAsiaTheme="majorEastAsia"/>
                <w:highlight w:val="none"/>
                <w:shd w:val="clear" w:color="auto" w:fill="FFFFFF"/>
                <w:lang w:eastAsia="zh-CN"/>
              </w:rPr>
              <w:t>施工图设计成果通过施工图审查机构的审查</w:t>
            </w:r>
            <w:r>
              <w:rPr>
                <w:rFonts w:hint="eastAsia" w:cs="宋体" w:asciiTheme="majorEastAsia" w:hAnsiTheme="majorEastAsia" w:eastAsiaTheme="majorEastAsia"/>
                <w:highlight w:val="none"/>
                <w:shd w:val="clear" w:color="auto" w:fill="FFFFFF"/>
              </w:rPr>
              <w:t>，取得相关行政许可</w:t>
            </w:r>
            <w:r>
              <w:rPr>
                <w:rFonts w:hint="eastAsia" w:cs="宋体" w:asciiTheme="majorEastAsia" w:hAnsiTheme="majorEastAsia" w:eastAsiaTheme="majorEastAsia"/>
                <w:highlight w:val="none"/>
                <w:shd w:val="clear" w:color="auto" w:fill="FFFFFF"/>
                <w:lang w:eastAsia="zh-CN"/>
              </w:rPr>
              <w:t>；</w:t>
            </w:r>
          </w:p>
          <w:p w14:paraId="2EE57F72">
            <w:pPr>
              <w:keepNext w:val="0"/>
              <w:keepLines w:val="0"/>
              <w:pageBreakBefore w:val="0"/>
              <w:widowControl/>
              <w:kinsoku/>
              <w:wordWrap/>
              <w:overflowPunct/>
              <w:topLinePunct w:val="0"/>
              <w:autoSpaceDE/>
              <w:autoSpaceDN/>
              <w:bidi w:val="0"/>
              <w:adjustRightInd/>
              <w:snapToGrid w:val="0"/>
              <w:spacing w:line="540" w:lineRule="exact"/>
              <w:jc w:val="both"/>
              <w:textAlignment w:val="auto"/>
              <w:rPr>
                <w:rFonts w:hint="eastAsia"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2</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rPr>
              <w:t>施工部分：</w:t>
            </w:r>
            <w:r>
              <w:rPr>
                <w:rFonts w:hint="eastAsia" w:cs="宋体" w:asciiTheme="majorEastAsia" w:hAnsiTheme="majorEastAsia" w:eastAsiaTheme="majorEastAsia"/>
                <w:highlight w:val="none"/>
                <w:shd w:val="clear" w:color="auto" w:fill="FFFFFF"/>
                <w:lang w:eastAsia="zh-CN"/>
              </w:rPr>
              <w:t>完成联珠镇癸能村花卉产业农文旅融合发展配套设施项目批复内容的全部施工工作</w:t>
            </w:r>
            <w:r>
              <w:rPr>
                <w:rFonts w:hint="eastAsia" w:cs="宋体" w:asciiTheme="majorEastAsia" w:hAnsiTheme="majorEastAsia" w:eastAsiaTheme="majorEastAsia"/>
                <w:highlight w:val="none"/>
                <w:shd w:val="clear" w:color="auto" w:fill="FFFFFF"/>
              </w:rPr>
              <w:t>，并完成相关服务内容和竣工验收，完成并配合相关部门结算，工程保修等工作，并对工程的质量、安全、工期等负责；</w:t>
            </w:r>
          </w:p>
          <w:p w14:paraId="3C3C5686">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3</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运营部分：</w:t>
            </w:r>
            <w:r>
              <w:rPr>
                <w:rFonts w:hint="eastAsia" w:cs="宋体" w:asciiTheme="majorEastAsia" w:hAnsiTheme="majorEastAsia" w:eastAsiaTheme="majorEastAsia"/>
                <w:highlight w:val="none"/>
                <w:shd w:val="clear" w:color="auto" w:fill="FFFFFF"/>
                <w:lang w:eastAsia="zh-CN"/>
              </w:rPr>
              <w:t>运营期间内，保证本项目正常运营，并承担本项目的相关成本及运营期内对本项目的相关配套投资等。</w:t>
            </w:r>
          </w:p>
        </w:tc>
      </w:tr>
      <w:tr w14:paraId="23CF0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0CD9EB7C">
            <w:pPr>
              <w:spacing w:line="400" w:lineRule="exact"/>
              <w:jc w:val="center"/>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rPr>
              <w:t>1.3.</w:t>
            </w:r>
            <w:r>
              <w:rPr>
                <w:rFonts w:hint="eastAsia" w:cs="宋体" w:asciiTheme="majorEastAsia" w:hAnsiTheme="majorEastAsia" w:eastAsiaTheme="majorEastAsia"/>
                <w:highlight w:val="none"/>
                <w:lang w:val="en-US" w:eastAsia="zh-CN"/>
              </w:rPr>
              <w:t>2</w:t>
            </w:r>
          </w:p>
        </w:tc>
        <w:tc>
          <w:tcPr>
            <w:tcW w:w="2050" w:type="dxa"/>
            <w:shd w:val="clear" w:color="auto" w:fill="FFFFFF"/>
            <w:vAlign w:val="center"/>
          </w:tcPr>
          <w:p w14:paraId="71608888">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计划工期</w:t>
            </w:r>
          </w:p>
        </w:tc>
        <w:tc>
          <w:tcPr>
            <w:tcW w:w="6503" w:type="dxa"/>
            <w:gridSpan w:val="2"/>
            <w:shd w:val="clear" w:color="auto" w:fill="FFFFFF"/>
            <w:vAlign w:val="center"/>
          </w:tcPr>
          <w:p w14:paraId="2DB1C905">
            <w:pPr>
              <w:spacing w:line="400" w:lineRule="exact"/>
              <w:ind w:left="-72" w:leftChars="-30" w:firstLine="72" w:firstLineChars="30"/>
              <w:rPr>
                <w:rFonts w:hint="default" w:cs="宋体" w:asciiTheme="majorEastAsia" w:hAnsiTheme="majorEastAsia" w:eastAsiaTheme="majorEastAsia"/>
                <w:highlight w:val="none"/>
                <w:lang w:val="en-US" w:eastAsia="zh-CN"/>
              </w:rPr>
            </w:pPr>
            <w:r>
              <w:rPr>
                <w:rFonts w:hint="eastAsia" w:cs="宋体" w:asciiTheme="majorEastAsia" w:hAnsiTheme="majorEastAsia" w:eastAsiaTheme="majorEastAsia"/>
                <w:color w:val="auto"/>
                <w:highlight w:val="none"/>
                <w:shd w:val="clear" w:color="auto" w:fill="FFFFFF"/>
                <w:lang w:val="en-US" w:eastAsia="zh-CN"/>
              </w:rPr>
              <w:t>180日历天（其中施工图自签订合同之日起30日历天内完成，施工工期150日历天。具体开工日期以合同约定时间为准）</w:t>
            </w:r>
          </w:p>
        </w:tc>
      </w:tr>
      <w:tr w14:paraId="15B2E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1C2A7F65">
            <w:pPr>
              <w:spacing w:line="400" w:lineRule="exact"/>
              <w:jc w:val="center"/>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rPr>
              <w:t>1.3.</w:t>
            </w:r>
            <w:r>
              <w:rPr>
                <w:rFonts w:hint="eastAsia" w:cs="宋体" w:asciiTheme="majorEastAsia" w:hAnsiTheme="majorEastAsia" w:eastAsiaTheme="majorEastAsia"/>
                <w:highlight w:val="none"/>
                <w:lang w:val="en-US" w:eastAsia="zh-CN"/>
              </w:rPr>
              <w:t>3</w:t>
            </w:r>
          </w:p>
        </w:tc>
        <w:tc>
          <w:tcPr>
            <w:tcW w:w="2050" w:type="dxa"/>
            <w:shd w:val="clear" w:color="auto" w:fill="FFFFFF"/>
            <w:vAlign w:val="center"/>
          </w:tcPr>
          <w:p w14:paraId="2DEA3205">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质量要求</w:t>
            </w:r>
          </w:p>
        </w:tc>
        <w:tc>
          <w:tcPr>
            <w:tcW w:w="6503" w:type="dxa"/>
            <w:gridSpan w:val="2"/>
            <w:shd w:val="clear" w:color="auto" w:fill="FFFFFF"/>
            <w:vAlign w:val="center"/>
          </w:tcPr>
          <w:p w14:paraId="36D3423F">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color w:val="auto"/>
                <w:highlight w:val="none"/>
                <w:shd w:val="clear" w:color="auto" w:fill="FFFFFF"/>
              </w:rPr>
              <w:t>（</w:t>
            </w:r>
            <w:r>
              <w:rPr>
                <w:rFonts w:hint="eastAsia" w:cs="宋体" w:asciiTheme="majorEastAsia" w:hAnsiTheme="majorEastAsia" w:eastAsiaTheme="majorEastAsia"/>
                <w:color w:val="auto"/>
                <w:highlight w:val="none"/>
                <w:shd w:val="clear" w:color="auto" w:fill="FFFFFF"/>
                <w:lang w:val="en-US" w:eastAsia="zh-CN"/>
              </w:rPr>
              <w:t>1</w:t>
            </w:r>
            <w:r>
              <w:rPr>
                <w:rFonts w:hint="eastAsia" w:cs="宋体" w:asciiTheme="majorEastAsia" w:hAnsiTheme="majorEastAsia" w:eastAsiaTheme="majorEastAsia"/>
                <w:color w:val="auto"/>
                <w:highlight w:val="none"/>
                <w:shd w:val="clear" w:color="auto" w:fill="FFFFFF"/>
              </w:rPr>
              <w:t>）设计质量要求：符合《建筑工</w:t>
            </w:r>
            <w:r>
              <w:rPr>
                <w:rFonts w:hint="eastAsia" w:cs="宋体" w:asciiTheme="majorEastAsia" w:hAnsiTheme="majorEastAsia" w:eastAsiaTheme="majorEastAsia"/>
                <w:highlight w:val="none"/>
                <w:shd w:val="clear" w:color="auto" w:fill="FFFFFF"/>
              </w:rPr>
              <w:t>程设计文件编制深度规定》（201</w:t>
            </w:r>
            <w:r>
              <w:rPr>
                <w:rFonts w:cs="宋体" w:asciiTheme="majorEastAsia" w:hAnsiTheme="majorEastAsia" w:eastAsiaTheme="majorEastAsia"/>
                <w:highlight w:val="none"/>
                <w:shd w:val="clear" w:color="auto" w:fill="FFFFFF"/>
              </w:rPr>
              <w:t>6</w:t>
            </w:r>
            <w:r>
              <w:rPr>
                <w:rFonts w:hint="eastAsia" w:cs="宋体" w:asciiTheme="majorEastAsia" w:hAnsiTheme="majorEastAsia" w:eastAsiaTheme="majorEastAsia"/>
                <w:highlight w:val="none"/>
                <w:shd w:val="clear" w:color="auto" w:fill="FFFFFF"/>
              </w:rPr>
              <w:t>年版）及国家、地方及行业现行的设计标准、规范和规程的要求，确保施工图成果资料完整、真实准确、清晰有据，确保施工图成果资料通过相关行政主管部门的审批，并取得相关行政主管部门的批复文件，并对所提供的成果质量负终身责任；（</w:t>
            </w:r>
            <w:r>
              <w:rPr>
                <w:rFonts w:hint="eastAsia" w:cs="宋体" w:asciiTheme="majorEastAsia" w:hAnsiTheme="majorEastAsia" w:eastAsiaTheme="majorEastAsia"/>
                <w:highlight w:val="none"/>
                <w:shd w:val="clear" w:color="auto" w:fill="FFFFFF"/>
                <w:lang w:val="en-US" w:eastAsia="zh-CN"/>
              </w:rPr>
              <w:t>2</w:t>
            </w:r>
            <w:r>
              <w:rPr>
                <w:rFonts w:hint="eastAsia" w:cs="宋体" w:asciiTheme="majorEastAsia" w:hAnsiTheme="majorEastAsia" w:eastAsiaTheme="majorEastAsia"/>
                <w:highlight w:val="none"/>
                <w:shd w:val="clear" w:color="auto" w:fill="FFFFFF"/>
              </w:rPr>
              <w:t>）施工质量要求：符合《建设工程质量管理条例》、《建筑工程施工质量验收统一标准》（GB50300-2013）及国家（行业）现行的相关质量标准，确保工程一次性验收合格</w:t>
            </w:r>
            <w:r>
              <w:rPr>
                <w:rFonts w:hint="eastAsia" w:cs="宋体" w:asciiTheme="majorEastAsia" w:hAnsiTheme="majorEastAsia" w:eastAsiaTheme="majorEastAsia"/>
                <w:highlight w:val="none"/>
                <w:shd w:val="clear" w:color="auto" w:fill="FFFFFF"/>
                <w:lang w:eastAsia="zh-CN"/>
              </w:rPr>
              <w:t>；</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lang w:eastAsia="zh-CN"/>
              </w:rPr>
              <w:t>）运营</w:t>
            </w:r>
            <w:r>
              <w:rPr>
                <w:rFonts w:hint="eastAsia" w:ascii="宋体" w:hAnsi="宋体" w:cs="宋体"/>
                <w:b w:val="0"/>
                <w:bCs w:val="0"/>
                <w:sz w:val="24"/>
                <w:szCs w:val="24"/>
                <w:highlight w:val="none"/>
                <w:lang w:val="en-US" w:eastAsia="zh-CN"/>
              </w:rPr>
              <w:t>质量要求</w:t>
            </w:r>
            <w:r>
              <w:rPr>
                <w:rFonts w:hint="eastAsia" w:ascii="宋体" w:hAnsi="宋体" w:eastAsia="宋体" w:cs="宋体"/>
                <w:b w:val="0"/>
                <w:bCs w:val="0"/>
                <w:sz w:val="24"/>
                <w:szCs w:val="24"/>
                <w:highlight w:val="none"/>
                <w:lang w:eastAsia="zh-CN"/>
              </w:rPr>
              <w:t>：</w:t>
            </w:r>
            <w:r>
              <w:rPr>
                <w:rFonts w:hint="eastAsia" w:ascii="宋体" w:hAnsi="宋体" w:cs="宋体"/>
                <w:b w:val="0"/>
                <w:bCs w:val="0"/>
                <w:sz w:val="24"/>
                <w:szCs w:val="24"/>
                <w:highlight w:val="none"/>
                <w:lang w:eastAsia="zh-CN"/>
              </w:rPr>
              <w:t>按招标人确定运营方式进行管理，并按招标人确定的项目开展运营工作。</w:t>
            </w:r>
          </w:p>
        </w:tc>
      </w:tr>
      <w:tr w14:paraId="34920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1C2809F1">
            <w:pPr>
              <w:spacing w:line="40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1.4.1</w:t>
            </w:r>
          </w:p>
        </w:tc>
        <w:tc>
          <w:tcPr>
            <w:tcW w:w="2050" w:type="dxa"/>
            <w:shd w:val="clear" w:color="auto" w:fill="FFFFFF"/>
            <w:vAlign w:val="center"/>
          </w:tcPr>
          <w:p w14:paraId="21CC8EFA">
            <w:pPr>
              <w:spacing w:line="40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投标人资格要求</w:t>
            </w:r>
          </w:p>
        </w:tc>
        <w:tc>
          <w:tcPr>
            <w:tcW w:w="6503" w:type="dxa"/>
            <w:gridSpan w:val="2"/>
            <w:shd w:val="clear" w:color="auto" w:fill="FFFFFF"/>
            <w:vAlign w:val="center"/>
          </w:tcPr>
          <w:p w14:paraId="24881B81">
            <w:pPr>
              <w:adjustRightInd w:val="0"/>
              <w:snapToGrid w:val="0"/>
              <w:spacing w:line="400" w:lineRule="exact"/>
              <w:jc w:val="both"/>
              <w:rPr>
                <w:rFonts w:cs="宋体" w:asciiTheme="majorEastAsia" w:hAnsiTheme="majorEastAsia" w:eastAsiaTheme="majorEastAsia"/>
                <w:b/>
                <w:highlight w:val="none"/>
              </w:rPr>
            </w:pPr>
            <w:r>
              <w:rPr>
                <w:rFonts w:cs="宋体" w:asciiTheme="majorEastAsia" w:hAnsiTheme="majorEastAsia" w:eastAsiaTheme="majorEastAsia"/>
                <w:b/>
                <w:highlight w:val="none"/>
              </w:rPr>
              <w:t>同招标公告</w:t>
            </w:r>
            <w:r>
              <w:rPr>
                <w:rFonts w:hint="eastAsia" w:cs="宋体" w:asciiTheme="majorEastAsia" w:hAnsiTheme="majorEastAsia" w:eastAsiaTheme="majorEastAsia"/>
                <w:b/>
                <w:highlight w:val="none"/>
              </w:rPr>
              <w:t>“三、投标人资格要求”</w:t>
            </w:r>
          </w:p>
        </w:tc>
      </w:tr>
      <w:tr w14:paraId="4A8CA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4A25C75B">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1.4.2</w:t>
            </w:r>
          </w:p>
        </w:tc>
        <w:tc>
          <w:tcPr>
            <w:tcW w:w="2050" w:type="dxa"/>
            <w:shd w:val="clear" w:color="auto" w:fill="FFFFFF"/>
            <w:vAlign w:val="center"/>
          </w:tcPr>
          <w:p w14:paraId="0284F361">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是否接受联合体投标</w:t>
            </w:r>
          </w:p>
        </w:tc>
        <w:tc>
          <w:tcPr>
            <w:tcW w:w="6503" w:type="dxa"/>
            <w:gridSpan w:val="2"/>
            <w:shd w:val="clear" w:color="auto" w:fill="FFFFFF"/>
            <w:vAlign w:val="center"/>
          </w:tcPr>
          <w:p w14:paraId="15B53ED8">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□不接受</w:t>
            </w:r>
          </w:p>
          <w:p w14:paraId="50BCEE92">
            <w:pPr>
              <w:spacing w:line="400" w:lineRule="exact"/>
              <w:jc w:val="both"/>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fldChar w:fldCharType="begin"/>
            </w:r>
            <w:r>
              <w:rPr>
                <w:rFonts w:hint="eastAsia" w:cs="宋体" w:asciiTheme="majorEastAsia" w:hAnsiTheme="majorEastAsia" w:eastAsiaTheme="majorEastAsia"/>
                <w:b/>
                <w:highlight w:val="none"/>
              </w:rPr>
              <w:instrText xml:space="preserve"> eq \o\ac(□,√)</w:instrText>
            </w:r>
            <w:r>
              <w:rPr>
                <w:rFonts w:hint="eastAsia" w:cs="宋体" w:asciiTheme="majorEastAsia" w:hAnsiTheme="majorEastAsia" w:eastAsiaTheme="majorEastAsia"/>
                <w:b/>
                <w:highlight w:val="none"/>
              </w:rPr>
              <w:fldChar w:fldCharType="end"/>
            </w:r>
            <w:r>
              <w:rPr>
                <w:rFonts w:hint="eastAsia" w:cs="宋体" w:asciiTheme="majorEastAsia" w:hAnsiTheme="majorEastAsia" w:eastAsiaTheme="majorEastAsia"/>
                <w:b/>
                <w:highlight w:val="none"/>
              </w:rPr>
              <w:t>接受，应满足下列要求：</w:t>
            </w:r>
          </w:p>
          <w:p w14:paraId="1373411A">
            <w:pPr>
              <w:snapToGrid w:val="0"/>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联合体投标时，联合体单位不超过</w:t>
            </w:r>
            <w:r>
              <w:rPr>
                <w:rFonts w:hint="eastAsia" w:cs="宋体" w:asciiTheme="majorEastAsia" w:hAnsiTheme="majorEastAsia" w:eastAsiaTheme="majorEastAsia"/>
                <w:highlight w:val="none"/>
                <w:lang w:val="en-US" w:eastAsia="zh-CN"/>
              </w:rPr>
              <w:t>3</w:t>
            </w:r>
            <w:r>
              <w:rPr>
                <w:rFonts w:hint="eastAsia" w:cs="宋体" w:asciiTheme="majorEastAsia" w:hAnsiTheme="majorEastAsia" w:eastAsiaTheme="majorEastAsia"/>
                <w:highlight w:val="none"/>
              </w:rPr>
              <w:t>家，</w:t>
            </w:r>
            <w:r>
              <w:rPr>
                <w:rFonts w:hint="eastAsia" w:ascii="宋体" w:hAnsi="宋体" w:cs="宋体" w:eastAsiaTheme="majorEastAsia"/>
                <w:highlight w:val="none"/>
                <w:lang w:val="en-US" w:eastAsia="zh-CN"/>
              </w:rPr>
              <w:t>运营</w:t>
            </w:r>
            <w:r>
              <w:rPr>
                <w:rFonts w:hint="eastAsia" w:cs="宋体" w:asciiTheme="majorEastAsia" w:hAnsiTheme="majorEastAsia" w:eastAsiaTheme="majorEastAsia"/>
                <w:highlight w:val="none"/>
                <w:shd w:val="clear" w:color="auto" w:fill="FFFFFF"/>
              </w:rPr>
              <w:t>单位须为联合体牵头人</w:t>
            </w:r>
            <w:r>
              <w:rPr>
                <w:rFonts w:hint="eastAsia" w:cs="宋体" w:asciiTheme="majorEastAsia" w:hAnsiTheme="majorEastAsia" w:eastAsiaTheme="majorEastAsia"/>
                <w:highlight w:val="none"/>
              </w:rPr>
              <w:t>。</w:t>
            </w:r>
          </w:p>
        </w:tc>
      </w:tr>
      <w:tr w14:paraId="7F0E7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1AC7789C">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1.9.1</w:t>
            </w:r>
          </w:p>
        </w:tc>
        <w:tc>
          <w:tcPr>
            <w:tcW w:w="2050" w:type="dxa"/>
            <w:shd w:val="clear" w:color="auto" w:fill="FFFFFF"/>
            <w:vAlign w:val="center"/>
          </w:tcPr>
          <w:p w14:paraId="4370974F">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踏勘现场</w:t>
            </w:r>
          </w:p>
        </w:tc>
        <w:tc>
          <w:tcPr>
            <w:tcW w:w="6503" w:type="dxa"/>
            <w:gridSpan w:val="2"/>
            <w:shd w:val="clear" w:color="auto" w:fill="FFFFFF"/>
            <w:vAlign w:val="center"/>
          </w:tcPr>
          <w:p w14:paraId="7A0748D1">
            <w:pPr>
              <w:spacing w:line="400" w:lineRule="exact"/>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fldChar w:fldCharType="begin"/>
            </w:r>
            <w:r>
              <w:rPr>
                <w:rFonts w:hint="eastAsia" w:cs="宋体" w:asciiTheme="majorEastAsia" w:hAnsiTheme="majorEastAsia" w:eastAsiaTheme="majorEastAsia"/>
                <w:b/>
                <w:highlight w:val="none"/>
              </w:rPr>
              <w:instrText xml:space="preserve"> eq \o\ac(□,</w:instrText>
            </w:r>
            <w:r>
              <w:rPr>
                <w:rFonts w:hint="eastAsia" w:cs="宋体" w:asciiTheme="majorEastAsia" w:hAnsiTheme="majorEastAsia" w:eastAsiaTheme="majorEastAsia"/>
                <w:b/>
                <w:position w:val="1"/>
                <w:highlight w:val="none"/>
              </w:rPr>
              <w:instrText xml:space="preserve">√</w:instrText>
            </w:r>
            <w:r>
              <w:rPr>
                <w:rFonts w:hint="eastAsia" w:cs="宋体" w:asciiTheme="majorEastAsia" w:hAnsiTheme="majorEastAsia" w:eastAsiaTheme="majorEastAsia"/>
                <w:b/>
                <w:highlight w:val="none"/>
              </w:rPr>
              <w:instrText xml:space="preserve">)</w:instrText>
            </w:r>
            <w:r>
              <w:rPr>
                <w:rFonts w:hint="eastAsia" w:cs="宋体" w:asciiTheme="majorEastAsia" w:hAnsiTheme="majorEastAsia" w:eastAsiaTheme="majorEastAsia"/>
                <w:b/>
                <w:highlight w:val="none"/>
              </w:rPr>
              <w:fldChar w:fldCharType="end"/>
            </w:r>
            <w:r>
              <w:rPr>
                <w:rFonts w:hint="eastAsia" w:cs="宋体" w:asciiTheme="majorEastAsia" w:hAnsiTheme="majorEastAsia" w:eastAsiaTheme="majorEastAsia"/>
                <w:b/>
                <w:highlight w:val="none"/>
              </w:rPr>
              <w:t>不组织</w:t>
            </w:r>
          </w:p>
          <w:p w14:paraId="63374693">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□组织，踏勘时间：</w:t>
            </w:r>
          </w:p>
          <w:p w14:paraId="48FD3D21">
            <w:pPr>
              <w:spacing w:line="400" w:lineRule="exact"/>
              <w:jc w:val="both"/>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 xml:space="preserve">        踏勘集中地点：</w:t>
            </w:r>
          </w:p>
        </w:tc>
      </w:tr>
      <w:tr w14:paraId="4D76D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60A69604">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1.10.1</w:t>
            </w:r>
          </w:p>
        </w:tc>
        <w:tc>
          <w:tcPr>
            <w:tcW w:w="2050" w:type="dxa"/>
            <w:shd w:val="clear" w:color="auto" w:fill="FFFFFF"/>
            <w:vAlign w:val="center"/>
          </w:tcPr>
          <w:p w14:paraId="522CD784">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投标预备会</w:t>
            </w:r>
          </w:p>
        </w:tc>
        <w:tc>
          <w:tcPr>
            <w:tcW w:w="6503" w:type="dxa"/>
            <w:gridSpan w:val="2"/>
            <w:shd w:val="clear" w:color="auto" w:fill="FFFFFF"/>
            <w:vAlign w:val="center"/>
          </w:tcPr>
          <w:p w14:paraId="6230238D">
            <w:pPr>
              <w:spacing w:line="400" w:lineRule="exact"/>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fldChar w:fldCharType="begin"/>
            </w:r>
            <w:r>
              <w:rPr>
                <w:rFonts w:hint="eastAsia" w:cs="宋体" w:asciiTheme="majorEastAsia" w:hAnsiTheme="majorEastAsia" w:eastAsiaTheme="majorEastAsia"/>
                <w:b/>
                <w:highlight w:val="none"/>
              </w:rPr>
              <w:instrText xml:space="preserve"> eq \o\ac(□,</w:instrText>
            </w:r>
            <w:r>
              <w:rPr>
                <w:rFonts w:hint="eastAsia" w:cs="宋体" w:asciiTheme="majorEastAsia" w:hAnsiTheme="majorEastAsia" w:eastAsiaTheme="majorEastAsia"/>
                <w:b/>
                <w:position w:val="1"/>
                <w:highlight w:val="none"/>
              </w:rPr>
              <w:instrText xml:space="preserve">√</w:instrText>
            </w:r>
            <w:r>
              <w:rPr>
                <w:rFonts w:hint="eastAsia" w:cs="宋体" w:asciiTheme="majorEastAsia" w:hAnsiTheme="majorEastAsia" w:eastAsiaTheme="majorEastAsia"/>
                <w:b/>
                <w:highlight w:val="none"/>
              </w:rPr>
              <w:instrText xml:space="preserve">)</w:instrText>
            </w:r>
            <w:r>
              <w:rPr>
                <w:rFonts w:hint="eastAsia" w:cs="宋体" w:asciiTheme="majorEastAsia" w:hAnsiTheme="majorEastAsia" w:eastAsiaTheme="majorEastAsia"/>
                <w:b/>
                <w:highlight w:val="none"/>
              </w:rPr>
              <w:fldChar w:fldCharType="end"/>
            </w:r>
            <w:r>
              <w:rPr>
                <w:rFonts w:hint="eastAsia" w:cs="宋体" w:asciiTheme="majorEastAsia" w:hAnsiTheme="majorEastAsia" w:eastAsiaTheme="majorEastAsia"/>
                <w:b/>
                <w:highlight w:val="none"/>
              </w:rPr>
              <w:t>不召开</w:t>
            </w:r>
          </w:p>
          <w:p w14:paraId="1368F8BE">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□召开，召开时间：</w:t>
            </w:r>
          </w:p>
          <w:p w14:paraId="57091F86">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 xml:space="preserve">        召开地点：</w:t>
            </w:r>
          </w:p>
        </w:tc>
      </w:tr>
      <w:tr w14:paraId="5B32F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150161A9">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1.10.2</w:t>
            </w:r>
          </w:p>
        </w:tc>
        <w:tc>
          <w:tcPr>
            <w:tcW w:w="2050" w:type="dxa"/>
            <w:shd w:val="clear" w:color="auto" w:fill="FFFFFF"/>
            <w:vAlign w:val="center"/>
          </w:tcPr>
          <w:p w14:paraId="137EA1F3">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投标人提出问题的截止时间</w:t>
            </w:r>
          </w:p>
        </w:tc>
        <w:tc>
          <w:tcPr>
            <w:tcW w:w="6503" w:type="dxa"/>
            <w:gridSpan w:val="2"/>
            <w:shd w:val="clear" w:color="auto" w:fill="FFFFFF"/>
            <w:vAlign w:val="center"/>
          </w:tcPr>
          <w:p w14:paraId="3D719AE9">
            <w:pPr>
              <w:spacing w:line="400" w:lineRule="exact"/>
              <w:rPr>
                <w:rFonts w:cs="宋体" w:asciiTheme="majorEastAsia" w:hAnsiTheme="majorEastAsia" w:eastAsiaTheme="majorEastAsia"/>
                <w:b/>
                <w:highlight w:val="none"/>
              </w:rPr>
            </w:pPr>
            <w:r>
              <w:rPr>
                <w:rFonts w:hint="eastAsia" w:cs="宋体" w:asciiTheme="majorEastAsia" w:hAnsiTheme="majorEastAsia" w:eastAsiaTheme="majorEastAsia"/>
                <w:highlight w:val="none"/>
              </w:rPr>
              <w:t>投标文件递交截止时间10日前</w:t>
            </w:r>
          </w:p>
        </w:tc>
      </w:tr>
      <w:tr w14:paraId="720F5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5427A9B5">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1.10.3</w:t>
            </w:r>
          </w:p>
        </w:tc>
        <w:tc>
          <w:tcPr>
            <w:tcW w:w="2050" w:type="dxa"/>
            <w:shd w:val="clear" w:color="auto" w:fill="FFFFFF"/>
            <w:vAlign w:val="center"/>
          </w:tcPr>
          <w:p w14:paraId="635C5664">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招标人澄清的时间</w:t>
            </w:r>
          </w:p>
        </w:tc>
        <w:tc>
          <w:tcPr>
            <w:tcW w:w="6503" w:type="dxa"/>
            <w:gridSpan w:val="2"/>
            <w:shd w:val="clear" w:color="auto" w:fill="FFFFFF"/>
            <w:vAlign w:val="center"/>
          </w:tcPr>
          <w:p w14:paraId="7499B9CA">
            <w:pPr>
              <w:spacing w:line="400" w:lineRule="exact"/>
              <w:rPr>
                <w:rFonts w:cs="宋体" w:asciiTheme="majorEastAsia" w:hAnsiTheme="majorEastAsia" w:eastAsiaTheme="majorEastAsia"/>
                <w:b/>
                <w:highlight w:val="none"/>
              </w:rPr>
            </w:pPr>
            <w:r>
              <w:rPr>
                <w:rFonts w:hint="eastAsia" w:cs="宋体" w:asciiTheme="majorEastAsia" w:hAnsiTheme="majorEastAsia" w:eastAsiaTheme="majorEastAsia"/>
                <w:highlight w:val="none"/>
              </w:rPr>
              <w:t>投标文件递交截止时间15日前</w:t>
            </w:r>
          </w:p>
        </w:tc>
      </w:tr>
      <w:tr w14:paraId="17B8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4504B790">
            <w:pPr>
              <w:spacing w:line="40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highlight w:val="none"/>
              </w:rPr>
              <w:t>1.11</w:t>
            </w:r>
          </w:p>
        </w:tc>
        <w:tc>
          <w:tcPr>
            <w:tcW w:w="2050" w:type="dxa"/>
            <w:shd w:val="clear" w:color="auto" w:fill="FFFFFF"/>
            <w:vAlign w:val="center"/>
          </w:tcPr>
          <w:p w14:paraId="0FA49A28">
            <w:pPr>
              <w:spacing w:line="40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highlight w:val="none"/>
              </w:rPr>
              <w:t>分包</w:t>
            </w:r>
          </w:p>
        </w:tc>
        <w:tc>
          <w:tcPr>
            <w:tcW w:w="6503" w:type="dxa"/>
            <w:gridSpan w:val="2"/>
            <w:shd w:val="clear" w:color="auto" w:fill="FFFFFF"/>
            <w:vAlign w:val="center"/>
          </w:tcPr>
          <w:p w14:paraId="23B41CA0">
            <w:pPr>
              <w:spacing w:line="400" w:lineRule="exact"/>
              <w:jc w:val="both"/>
              <w:rPr>
                <w:rFonts w:hint="eastAsia" w:ascii="宋体" w:hAnsi="宋体" w:eastAsia="宋体" w:cs="宋体"/>
                <w:highlight w:val="none"/>
              </w:rPr>
            </w:pPr>
            <w:r>
              <w:rPr>
                <w:rFonts w:hint="eastAsia" w:ascii="宋体" w:hAnsi="宋体" w:eastAsia="宋体" w:cs="宋体"/>
                <w:highlight w:val="none"/>
              </w:rPr>
              <w:t>（1）设计：主体、关键性工作不允许分包。</w:t>
            </w:r>
          </w:p>
          <w:p w14:paraId="3A1332DB">
            <w:pPr>
              <w:spacing w:line="400" w:lineRule="exact"/>
              <w:jc w:val="both"/>
              <w:rPr>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2</w:t>
            </w:r>
            <w:r>
              <w:rPr>
                <w:rFonts w:hint="eastAsia" w:ascii="宋体" w:hAnsi="宋体" w:eastAsia="宋体" w:cs="宋体"/>
                <w:highlight w:val="none"/>
              </w:rPr>
              <w:t>）施工：主体、关键性工作不允许分包。</w:t>
            </w:r>
          </w:p>
        </w:tc>
      </w:tr>
      <w:tr w14:paraId="678FB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7981C3DD">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1.12</w:t>
            </w:r>
          </w:p>
        </w:tc>
        <w:tc>
          <w:tcPr>
            <w:tcW w:w="2050" w:type="dxa"/>
            <w:shd w:val="clear" w:color="auto" w:fill="FFFFFF"/>
            <w:vAlign w:val="center"/>
          </w:tcPr>
          <w:p w14:paraId="70AB8D54">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偏离</w:t>
            </w:r>
          </w:p>
        </w:tc>
        <w:tc>
          <w:tcPr>
            <w:tcW w:w="6503" w:type="dxa"/>
            <w:gridSpan w:val="2"/>
            <w:shd w:val="clear" w:color="auto" w:fill="FFFFFF"/>
            <w:vAlign w:val="center"/>
          </w:tcPr>
          <w:p w14:paraId="66CF1DD0">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bCs/>
                <w:highlight w:val="none"/>
              </w:rPr>
              <w:t>投标人可在招标文件要求的条件上，作出正偏离的承诺（如设计周期提前、质量标准提高，处罚额度增大等）。</w:t>
            </w:r>
          </w:p>
        </w:tc>
      </w:tr>
      <w:tr w14:paraId="6EC28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0232EE57">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2.1</w:t>
            </w:r>
          </w:p>
        </w:tc>
        <w:tc>
          <w:tcPr>
            <w:tcW w:w="2050" w:type="dxa"/>
            <w:shd w:val="clear" w:color="auto" w:fill="FFFFFF"/>
            <w:vAlign w:val="center"/>
          </w:tcPr>
          <w:p w14:paraId="66F084DE">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构成招标文件的材料</w:t>
            </w:r>
          </w:p>
        </w:tc>
        <w:tc>
          <w:tcPr>
            <w:tcW w:w="6503" w:type="dxa"/>
            <w:gridSpan w:val="2"/>
            <w:shd w:val="clear" w:color="auto" w:fill="FFFFFF"/>
            <w:vAlign w:val="center"/>
          </w:tcPr>
          <w:p w14:paraId="06ABDF0E">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澄清、修改等内容</w:t>
            </w:r>
          </w:p>
        </w:tc>
      </w:tr>
      <w:tr w14:paraId="1528B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419EE995">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2.2.1</w:t>
            </w:r>
          </w:p>
        </w:tc>
        <w:tc>
          <w:tcPr>
            <w:tcW w:w="2050" w:type="dxa"/>
            <w:shd w:val="clear" w:color="auto" w:fill="FFFFFF"/>
            <w:vAlign w:val="center"/>
          </w:tcPr>
          <w:p w14:paraId="43BCDB30">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投标人要求澄清招标文件的截止时间</w:t>
            </w:r>
          </w:p>
        </w:tc>
        <w:tc>
          <w:tcPr>
            <w:tcW w:w="6503" w:type="dxa"/>
            <w:gridSpan w:val="2"/>
            <w:shd w:val="clear" w:color="auto" w:fill="FFFFFF"/>
            <w:vAlign w:val="center"/>
          </w:tcPr>
          <w:p w14:paraId="2FE441DF">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bCs/>
                <w:highlight w:val="none"/>
              </w:rPr>
              <w:t>投标文件递交截止时间10日前</w:t>
            </w:r>
          </w:p>
        </w:tc>
      </w:tr>
      <w:tr w14:paraId="7E170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17CD67DB">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2.2.2</w:t>
            </w:r>
          </w:p>
        </w:tc>
        <w:tc>
          <w:tcPr>
            <w:tcW w:w="2050" w:type="dxa"/>
            <w:shd w:val="clear" w:color="auto" w:fill="FFFFFF"/>
            <w:vAlign w:val="center"/>
          </w:tcPr>
          <w:p w14:paraId="1BEC12BF">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投标截止时间</w:t>
            </w:r>
          </w:p>
        </w:tc>
        <w:tc>
          <w:tcPr>
            <w:tcW w:w="6503" w:type="dxa"/>
            <w:gridSpan w:val="2"/>
            <w:shd w:val="clear" w:color="auto" w:fill="FFFFFF"/>
            <w:vAlign w:val="center"/>
          </w:tcPr>
          <w:p w14:paraId="6AB1F79C">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bCs/>
                <w:highlight w:val="none"/>
                <w:shd w:val="clear" w:color="auto" w:fill="FFFFFF"/>
              </w:rPr>
              <w:t>202</w:t>
            </w:r>
            <w:r>
              <w:rPr>
                <w:rFonts w:hint="eastAsia" w:cs="宋体" w:asciiTheme="majorEastAsia" w:hAnsiTheme="majorEastAsia" w:eastAsiaTheme="majorEastAsia"/>
                <w:bCs/>
                <w:highlight w:val="none"/>
                <w:shd w:val="clear" w:color="auto" w:fill="FFFFFF"/>
                <w:lang w:val="en-US" w:eastAsia="zh-CN"/>
              </w:rPr>
              <w:t>6</w:t>
            </w:r>
            <w:r>
              <w:rPr>
                <w:rFonts w:hint="eastAsia" w:cs="宋体" w:asciiTheme="majorEastAsia" w:hAnsiTheme="majorEastAsia" w:eastAsiaTheme="majorEastAsia"/>
                <w:bCs/>
                <w:highlight w:val="none"/>
                <w:shd w:val="clear" w:color="auto" w:fill="FFFFFF"/>
              </w:rPr>
              <w:t>年</w:t>
            </w:r>
            <w:r>
              <w:rPr>
                <w:rFonts w:hint="eastAsia" w:cs="宋体" w:asciiTheme="majorEastAsia" w:hAnsiTheme="majorEastAsia" w:eastAsiaTheme="majorEastAsia"/>
                <w:bCs/>
                <w:highlight w:val="none"/>
                <w:shd w:val="clear" w:color="auto" w:fill="FFFFFF"/>
                <w:lang w:val="en-US" w:eastAsia="zh-CN"/>
              </w:rPr>
              <w:t xml:space="preserve">  </w:t>
            </w:r>
            <w:r>
              <w:rPr>
                <w:rFonts w:hint="eastAsia" w:cs="宋体" w:asciiTheme="majorEastAsia" w:hAnsiTheme="majorEastAsia" w:eastAsiaTheme="majorEastAsia"/>
                <w:bCs/>
                <w:highlight w:val="none"/>
                <w:shd w:val="clear" w:color="auto" w:fill="FFFFFF"/>
              </w:rPr>
              <w:t>月</w:t>
            </w:r>
            <w:r>
              <w:rPr>
                <w:rFonts w:hint="eastAsia" w:cs="宋体" w:asciiTheme="majorEastAsia" w:hAnsiTheme="majorEastAsia" w:eastAsiaTheme="majorEastAsia"/>
                <w:bCs/>
                <w:highlight w:val="none"/>
                <w:shd w:val="clear" w:color="auto" w:fill="FFFFFF"/>
                <w:lang w:val="en-US" w:eastAsia="zh-CN"/>
              </w:rPr>
              <w:t xml:space="preserve">  </w:t>
            </w:r>
            <w:r>
              <w:rPr>
                <w:rFonts w:hint="eastAsia" w:cs="宋体" w:asciiTheme="majorEastAsia" w:hAnsiTheme="majorEastAsia" w:eastAsiaTheme="majorEastAsia"/>
                <w:bCs/>
                <w:highlight w:val="none"/>
                <w:shd w:val="clear" w:color="auto" w:fill="FFFFFF"/>
              </w:rPr>
              <w:t>日</w:t>
            </w:r>
            <w:r>
              <w:rPr>
                <w:rFonts w:hint="eastAsia" w:cs="宋体" w:asciiTheme="majorEastAsia" w:hAnsiTheme="majorEastAsia" w:eastAsiaTheme="majorEastAsia"/>
                <w:highlight w:val="none"/>
                <w:lang w:val="en-US" w:eastAsia="zh-CN"/>
              </w:rPr>
              <w:t xml:space="preserve">  </w:t>
            </w:r>
            <w:r>
              <w:rPr>
                <w:rFonts w:hint="eastAsia" w:cs="宋体" w:asciiTheme="majorEastAsia" w:hAnsiTheme="majorEastAsia" w:eastAsiaTheme="majorEastAsia"/>
                <w:highlight w:val="none"/>
              </w:rPr>
              <w:t>时</w:t>
            </w:r>
            <w:r>
              <w:rPr>
                <w:rFonts w:hint="eastAsia" w:cs="宋体" w:asciiTheme="majorEastAsia" w:hAnsiTheme="majorEastAsia" w:eastAsiaTheme="majorEastAsia"/>
                <w:highlight w:val="none"/>
                <w:lang w:val="en-US" w:eastAsia="zh-CN"/>
              </w:rPr>
              <w:t xml:space="preserve">  </w:t>
            </w:r>
            <w:r>
              <w:rPr>
                <w:rFonts w:hint="eastAsia" w:cs="宋体" w:asciiTheme="majorEastAsia" w:hAnsiTheme="majorEastAsia" w:eastAsiaTheme="majorEastAsia"/>
                <w:highlight w:val="none"/>
              </w:rPr>
              <w:t>分。</w:t>
            </w:r>
          </w:p>
        </w:tc>
      </w:tr>
      <w:tr w14:paraId="0EB3D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2C133A43">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3.1.1</w:t>
            </w:r>
          </w:p>
        </w:tc>
        <w:tc>
          <w:tcPr>
            <w:tcW w:w="2050" w:type="dxa"/>
            <w:shd w:val="clear" w:color="auto" w:fill="FFFFFF"/>
            <w:vAlign w:val="center"/>
          </w:tcPr>
          <w:p w14:paraId="58236B2E">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构成投标文件的其他材料</w:t>
            </w:r>
          </w:p>
        </w:tc>
        <w:tc>
          <w:tcPr>
            <w:tcW w:w="6503" w:type="dxa"/>
            <w:gridSpan w:val="2"/>
            <w:shd w:val="clear" w:color="auto" w:fill="FFFFFF"/>
            <w:vAlign w:val="center"/>
          </w:tcPr>
          <w:p w14:paraId="44B4D8DF">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除本招标文件要求的投标文件组成外，无其他材料要求。</w:t>
            </w:r>
          </w:p>
        </w:tc>
      </w:tr>
      <w:tr w14:paraId="54ECD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7403AFC4">
            <w:pPr>
              <w:spacing w:line="40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3.2.1</w:t>
            </w:r>
          </w:p>
        </w:tc>
        <w:tc>
          <w:tcPr>
            <w:tcW w:w="2050" w:type="dxa"/>
            <w:shd w:val="clear" w:color="auto" w:fill="FFFFFF"/>
            <w:vAlign w:val="center"/>
          </w:tcPr>
          <w:p w14:paraId="6AD046BA">
            <w:pPr>
              <w:spacing w:line="40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招标控制价</w:t>
            </w:r>
          </w:p>
        </w:tc>
        <w:tc>
          <w:tcPr>
            <w:tcW w:w="6503" w:type="dxa"/>
            <w:gridSpan w:val="2"/>
            <w:shd w:val="clear" w:color="auto" w:fill="FFFFFF"/>
            <w:vAlign w:val="center"/>
          </w:tcPr>
          <w:p w14:paraId="5CF50D1D">
            <w:pPr>
              <w:spacing w:line="400" w:lineRule="exact"/>
              <w:jc w:val="both"/>
              <w:rPr>
                <w:rFonts w:hint="default" w:eastAsia="宋体"/>
                <w:highlight w:val="none"/>
                <w:lang w:val="en-US" w:eastAsia="zh-CN"/>
              </w:rPr>
            </w:pPr>
            <w:r>
              <w:rPr>
                <w:rFonts w:hint="eastAsia" w:cs="宋体" w:asciiTheme="majorEastAsia" w:hAnsiTheme="majorEastAsia" w:eastAsiaTheme="majorEastAsia"/>
                <w:bCs/>
                <w:kern w:val="2"/>
                <w:highlight w:val="none"/>
              </w:rPr>
              <w:t>施工费拦标价为</w:t>
            </w:r>
            <w:r>
              <w:rPr>
                <w:rFonts w:hint="eastAsia" w:cs="宋体" w:asciiTheme="majorEastAsia" w:hAnsiTheme="majorEastAsia" w:eastAsiaTheme="majorEastAsia"/>
                <w:bCs/>
                <w:kern w:val="2"/>
                <w:highlight w:val="none"/>
                <w:u w:val="single"/>
                <w:lang w:val="en-US" w:eastAsia="zh-CN"/>
              </w:rPr>
              <w:t>1200万元</w:t>
            </w:r>
            <w:r>
              <w:rPr>
                <w:rFonts w:hint="eastAsia" w:cs="宋体" w:asciiTheme="majorEastAsia" w:hAnsiTheme="majorEastAsia" w:eastAsiaTheme="majorEastAsia"/>
                <w:bCs/>
                <w:kern w:val="2"/>
                <w:highlight w:val="none"/>
              </w:rPr>
              <w:t>（暂估），</w:t>
            </w:r>
            <w:r>
              <w:rPr>
                <w:rFonts w:hint="eastAsia" w:cs="宋体" w:asciiTheme="majorEastAsia" w:hAnsiTheme="majorEastAsia" w:eastAsiaTheme="majorEastAsia"/>
                <w:bCs/>
                <w:kern w:val="2"/>
                <w:highlight w:val="none"/>
                <w:lang w:val="en-US" w:eastAsia="zh-CN"/>
              </w:rPr>
              <w:t>设计费拦标价为</w:t>
            </w:r>
            <w:r>
              <w:rPr>
                <w:rFonts w:hint="eastAsia" w:cs="宋体" w:asciiTheme="majorEastAsia" w:hAnsiTheme="majorEastAsia" w:eastAsiaTheme="majorEastAsia"/>
                <w:bCs/>
                <w:kern w:val="2"/>
                <w:highlight w:val="none"/>
                <w:u w:val="single"/>
                <w:lang w:val="en-US" w:eastAsia="zh-CN"/>
              </w:rPr>
              <w:t>20万元</w:t>
            </w:r>
            <w:r>
              <w:rPr>
                <w:rFonts w:hint="eastAsia" w:cs="宋体" w:asciiTheme="majorEastAsia" w:hAnsiTheme="majorEastAsia" w:eastAsiaTheme="majorEastAsia"/>
                <w:bCs/>
                <w:kern w:val="2"/>
                <w:highlight w:val="none"/>
                <w:lang w:val="en-US" w:eastAsia="zh-CN"/>
              </w:rPr>
              <w:t>（暂估）。</w:t>
            </w:r>
          </w:p>
        </w:tc>
      </w:tr>
      <w:tr w14:paraId="1E159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7CB443D7">
            <w:pPr>
              <w:widowControl w:val="0"/>
              <w:autoSpaceDE w:val="0"/>
              <w:autoSpaceDN w:val="0"/>
              <w:adjustRightInd w:val="0"/>
              <w:spacing w:line="40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3.2.2</w:t>
            </w:r>
          </w:p>
        </w:tc>
        <w:tc>
          <w:tcPr>
            <w:tcW w:w="2050" w:type="dxa"/>
            <w:shd w:val="clear" w:color="auto" w:fill="FFFFFF"/>
            <w:vAlign w:val="center"/>
          </w:tcPr>
          <w:p w14:paraId="0DD54DA4">
            <w:pPr>
              <w:widowControl w:val="0"/>
              <w:autoSpaceDE w:val="0"/>
              <w:autoSpaceDN w:val="0"/>
              <w:adjustRightInd w:val="0"/>
              <w:spacing w:line="40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投标报价</w:t>
            </w:r>
          </w:p>
        </w:tc>
        <w:tc>
          <w:tcPr>
            <w:tcW w:w="6503" w:type="dxa"/>
            <w:gridSpan w:val="2"/>
            <w:shd w:val="clear" w:color="auto" w:fill="FFFFFF"/>
            <w:vAlign w:val="center"/>
          </w:tcPr>
          <w:p w14:paraId="46864008">
            <w:pPr>
              <w:spacing w:line="400" w:lineRule="exact"/>
              <w:jc w:val="both"/>
              <w:rPr>
                <w:rFonts w:hint="default" w:eastAsia="宋体" w:cs="宋体" w:asciiTheme="majorEastAsia" w:hAnsiTheme="majorEastAsia"/>
                <w:b/>
                <w:highlight w:val="none"/>
                <w:lang w:val="en-US" w:eastAsia="zh-CN"/>
              </w:rPr>
            </w:pPr>
            <w:r>
              <w:rPr>
                <w:rFonts w:hint="eastAsia"/>
                <w:b w:val="0"/>
                <w:bCs/>
                <w:color w:val="000000"/>
                <w:szCs w:val="21"/>
                <w:highlight w:val="none"/>
              </w:rPr>
              <w:t>下浮比率为经审定的</w:t>
            </w:r>
            <w:r>
              <w:rPr>
                <w:rFonts w:hint="eastAsia"/>
                <w:b w:val="0"/>
                <w:bCs/>
                <w:highlight w:val="none"/>
                <w:lang w:val="en-US" w:eastAsia="zh-CN"/>
              </w:rPr>
              <w:t>工程</w:t>
            </w:r>
            <w:r>
              <w:rPr>
                <w:rFonts w:hint="eastAsia"/>
                <w:b w:val="0"/>
                <w:bCs/>
                <w:color w:val="000000"/>
                <w:szCs w:val="21"/>
                <w:highlight w:val="none"/>
              </w:rPr>
              <w:t>结算价浮动幅度值【安全文明施工费、措施费中所有项目不下浮、人工费不下浮、规费不下浮、税金不下浮，以及项目实施过程中由四方主体（发包人、承包人、监理、造价咨询机构）共同确定的市场单价及材料价格不参与下浮）】</w:t>
            </w:r>
            <w:r>
              <w:rPr>
                <w:rFonts w:hint="eastAsia"/>
                <w:b w:val="0"/>
                <w:bCs/>
                <w:color w:val="000000"/>
                <w:szCs w:val="21"/>
                <w:highlight w:val="none"/>
                <w:lang w:eastAsia="zh-CN"/>
              </w:rPr>
              <w:t>，</w:t>
            </w:r>
            <w:r>
              <w:rPr>
                <w:rFonts w:hint="eastAsia" w:cs="宋体" w:asciiTheme="majorEastAsia" w:hAnsiTheme="majorEastAsia" w:eastAsiaTheme="majorEastAsia"/>
                <w:b/>
                <w:bCs w:val="0"/>
                <w:kern w:val="2"/>
                <w:highlight w:val="none"/>
              </w:rPr>
              <w:t>施工费</w:t>
            </w:r>
            <w:r>
              <w:rPr>
                <w:rFonts w:hint="eastAsia" w:cs="宋体" w:asciiTheme="majorEastAsia" w:hAnsiTheme="majorEastAsia" w:eastAsiaTheme="majorEastAsia"/>
                <w:b/>
                <w:bCs w:val="0"/>
                <w:kern w:val="2"/>
                <w:highlight w:val="none"/>
                <w:lang w:val="en-US" w:eastAsia="zh-CN"/>
              </w:rPr>
              <w:t>及设计费</w:t>
            </w:r>
            <w:r>
              <w:rPr>
                <w:rFonts w:hint="eastAsia"/>
                <w:b/>
                <w:bCs w:val="0"/>
                <w:color w:val="000000"/>
                <w:szCs w:val="21"/>
                <w:highlight w:val="none"/>
              </w:rPr>
              <w:t>按</w:t>
            </w:r>
            <w:r>
              <w:rPr>
                <w:rFonts w:hint="eastAsia"/>
                <w:b/>
                <w:bCs/>
                <w:color w:val="000000"/>
                <w:szCs w:val="21"/>
                <w:highlight w:val="none"/>
              </w:rPr>
              <w:t>下浮率进行报价</w:t>
            </w:r>
            <w:r>
              <w:rPr>
                <w:rFonts w:hint="eastAsia"/>
                <w:b/>
                <w:bCs/>
                <w:color w:val="000000"/>
                <w:szCs w:val="21"/>
                <w:highlight w:val="none"/>
                <w:lang w:eastAsia="zh-CN"/>
              </w:rPr>
              <w:t>，</w:t>
            </w:r>
            <w:r>
              <w:rPr>
                <w:rFonts w:hint="eastAsia"/>
                <w:b/>
                <w:bCs/>
                <w:color w:val="000000"/>
                <w:szCs w:val="21"/>
                <w:highlight w:val="none"/>
                <w:lang w:val="en-US" w:eastAsia="zh-CN"/>
              </w:rPr>
              <w:t>下浮率须大于等于0.00%</w:t>
            </w:r>
          </w:p>
        </w:tc>
      </w:tr>
      <w:tr w14:paraId="471E0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21E2BA4A">
            <w:pPr>
              <w:widowControl w:val="0"/>
              <w:autoSpaceDE w:val="0"/>
              <w:autoSpaceDN w:val="0"/>
              <w:adjustRightInd w:val="0"/>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3.3.1</w:t>
            </w:r>
          </w:p>
        </w:tc>
        <w:tc>
          <w:tcPr>
            <w:tcW w:w="2050" w:type="dxa"/>
            <w:shd w:val="clear" w:color="auto" w:fill="FFFFFF"/>
            <w:vAlign w:val="center"/>
          </w:tcPr>
          <w:p w14:paraId="379EC103">
            <w:pPr>
              <w:widowControl w:val="0"/>
              <w:autoSpaceDE w:val="0"/>
              <w:autoSpaceDN w:val="0"/>
              <w:adjustRightInd w:val="0"/>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投标有效期</w:t>
            </w:r>
          </w:p>
        </w:tc>
        <w:tc>
          <w:tcPr>
            <w:tcW w:w="6503" w:type="dxa"/>
            <w:gridSpan w:val="2"/>
            <w:shd w:val="clear" w:color="auto" w:fill="FFFFFF"/>
            <w:vAlign w:val="center"/>
          </w:tcPr>
          <w:p w14:paraId="0C51D772">
            <w:pPr>
              <w:widowControl w:val="0"/>
              <w:autoSpaceDE w:val="0"/>
              <w:autoSpaceDN w:val="0"/>
              <w:adjustRightInd w:val="0"/>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90日历天（从投标截止之日起）</w:t>
            </w:r>
          </w:p>
        </w:tc>
      </w:tr>
      <w:tr w14:paraId="75581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5CA5B8F6">
            <w:pPr>
              <w:widowControl w:val="0"/>
              <w:autoSpaceDE w:val="0"/>
              <w:autoSpaceDN w:val="0"/>
              <w:adjustRightInd w:val="0"/>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3.4</w:t>
            </w:r>
          </w:p>
        </w:tc>
        <w:tc>
          <w:tcPr>
            <w:tcW w:w="2050" w:type="dxa"/>
            <w:shd w:val="clear" w:color="auto" w:fill="FFFFFF"/>
            <w:vAlign w:val="center"/>
          </w:tcPr>
          <w:p w14:paraId="647B2053">
            <w:pPr>
              <w:widowControl w:val="0"/>
              <w:autoSpaceDE w:val="0"/>
              <w:autoSpaceDN w:val="0"/>
              <w:adjustRightInd w:val="0"/>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投标保证金</w:t>
            </w:r>
          </w:p>
        </w:tc>
        <w:tc>
          <w:tcPr>
            <w:tcW w:w="6503" w:type="dxa"/>
            <w:gridSpan w:val="2"/>
            <w:shd w:val="clear" w:color="auto" w:fill="FFFFFF"/>
            <w:vAlign w:val="center"/>
          </w:tcPr>
          <w:p w14:paraId="0FD731C4">
            <w:pPr>
              <w:numPr>
                <w:ilvl w:val="0"/>
                <w:numId w:val="0"/>
              </w:numPr>
              <w:spacing w:line="400" w:lineRule="exact"/>
              <w:rPr>
                <w:rFonts w:hint="eastAsia"/>
                <w:lang w:eastAsia="zh-CN"/>
              </w:rPr>
            </w:pPr>
            <w:r>
              <w:rPr>
                <w:rFonts w:hint="eastAsia" w:ascii="宋体" w:hAnsi="宋体"/>
                <w:highlight w:val="none"/>
                <w:lang w:val="en-US" w:eastAsia="zh-CN"/>
              </w:rPr>
              <w:t>本项目招标金额为1220万元，按照投标保证金不得超过招标项目估算价的2%的规定，本项目应收取投标保证金金额为24.4万元。招标人决定该项目免收投标保证金，投标人无需缴纳投标保证金。如出现投标人违反法律法规规定情形的，招标人将依法追究投标人相关责任。</w:t>
            </w:r>
          </w:p>
        </w:tc>
      </w:tr>
      <w:tr w14:paraId="53FA7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3B6EE203">
            <w:pPr>
              <w:widowControl w:val="0"/>
              <w:autoSpaceDE w:val="0"/>
              <w:autoSpaceDN w:val="0"/>
              <w:adjustRightInd w:val="0"/>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3.5.2</w:t>
            </w:r>
          </w:p>
        </w:tc>
        <w:tc>
          <w:tcPr>
            <w:tcW w:w="2050" w:type="dxa"/>
            <w:shd w:val="clear" w:color="auto" w:fill="FFFFFF"/>
            <w:vAlign w:val="center"/>
          </w:tcPr>
          <w:p w14:paraId="3AA844F8">
            <w:pPr>
              <w:widowControl w:val="0"/>
              <w:autoSpaceDE w:val="0"/>
              <w:autoSpaceDN w:val="0"/>
              <w:adjustRightInd w:val="0"/>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近年财务状况的年份要求</w:t>
            </w:r>
          </w:p>
        </w:tc>
        <w:tc>
          <w:tcPr>
            <w:tcW w:w="6503" w:type="dxa"/>
            <w:gridSpan w:val="2"/>
            <w:shd w:val="clear" w:color="auto" w:fill="FFFFFF"/>
            <w:vAlign w:val="center"/>
          </w:tcPr>
          <w:p w14:paraId="0F4DAF8E">
            <w:pPr>
              <w:widowControl w:val="0"/>
              <w:autoSpaceDE w:val="0"/>
              <w:autoSpaceDN w:val="0"/>
              <w:adjustRightInd w:val="0"/>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2022年至2024年</w:t>
            </w:r>
            <w:r>
              <w:rPr>
                <w:rFonts w:hint="eastAsia" w:cs="宋体" w:asciiTheme="majorEastAsia" w:hAnsiTheme="majorEastAsia" w:eastAsiaTheme="majorEastAsia"/>
                <w:highlight w:val="none"/>
              </w:rPr>
              <w:t>。</w:t>
            </w:r>
          </w:p>
        </w:tc>
      </w:tr>
      <w:tr w14:paraId="3D81B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207B1AE6">
            <w:pPr>
              <w:widowControl w:val="0"/>
              <w:autoSpaceDE w:val="0"/>
              <w:autoSpaceDN w:val="0"/>
              <w:adjustRightInd w:val="0"/>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3.6</w:t>
            </w:r>
          </w:p>
        </w:tc>
        <w:tc>
          <w:tcPr>
            <w:tcW w:w="2050" w:type="dxa"/>
            <w:shd w:val="clear" w:color="auto" w:fill="FFFFFF"/>
            <w:vAlign w:val="center"/>
          </w:tcPr>
          <w:p w14:paraId="0CFDF672">
            <w:pPr>
              <w:widowControl w:val="0"/>
              <w:autoSpaceDE w:val="0"/>
              <w:autoSpaceDN w:val="0"/>
              <w:adjustRightInd w:val="0"/>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是否允许递交备选投标方案</w:t>
            </w:r>
          </w:p>
        </w:tc>
        <w:tc>
          <w:tcPr>
            <w:tcW w:w="6503" w:type="dxa"/>
            <w:gridSpan w:val="2"/>
            <w:shd w:val="clear" w:color="auto" w:fill="FFFFFF"/>
            <w:vAlign w:val="center"/>
          </w:tcPr>
          <w:p w14:paraId="180D3772">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不允许</w:t>
            </w:r>
          </w:p>
        </w:tc>
      </w:tr>
      <w:tr w14:paraId="743D6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6EB8EEE5">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3.7</w:t>
            </w:r>
          </w:p>
        </w:tc>
        <w:tc>
          <w:tcPr>
            <w:tcW w:w="2050" w:type="dxa"/>
            <w:shd w:val="clear" w:color="auto" w:fill="FFFFFF"/>
            <w:vAlign w:val="center"/>
          </w:tcPr>
          <w:p w14:paraId="1FB2056A">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电子签章要求</w:t>
            </w:r>
          </w:p>
        </w:tc>
        <w:tc>
          <w:tcPr>
            <w:tcW w:w="6503" w:type="dxa"/>
            <w:gridSpan w:val="2"/>
            <w:shd w:val="clear" w:color="auto" w:fill="FFFFFF"/>
            <w:vAlign w:val="center"/>
          </w:tcPr>
          <w:p w14:paraId="106CC450">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授权委托书格式应符合第</w:t>
            </w:r>
            <w:r>
              <w:rPr>
                <w:rFonts w:hint="eastAsia" w:cs="宋体" w:asciiTheme="majorEastAsia" w:hAnsiTheme="majorEastAsia" w:eastAsiaTheme="majorEastAsia"/>
                <w:highlight w:val="none"/>
                <w:lang w:val="en-US" w:eastAsia="zh-CN"/>
              </w:rPr>
              <w:t>六</w:t>
            </w:r>
            <w:r>
              <w:rPr>
                <w:rFonts w:hint="eastAsia" w:cs="宋体" w:asciiTheme="majorEastAsia" w:hAnsiTheme="majorEastAsia" w:eastAsiaTheme="majorEastAsia"/>
                <w:highlight w:val="none"/>
              </w:rPr>
              <w:t>章投标文件格式要求，否则授权委托书无效。投标文件中的任何改动之处应加盖公司电子签章或法人电子签章确认。</w:t>
            </w:r>
          </w:p>
          <w:p w14:paraId="42A197C1">
            <w:pPr>
              <w:pStyle w:val="61"/>
              <w:widowControl/>
              <w:ind w:firstLine="0" w:firstLineChars="0"/>
              <w:rPr>
                <w:rFonts w:cs="宋体" w:asciiTheme="majorEastAsia" w:hAnsiTheme="majorEastAsia" w:eastAsiaTheme="majorEastAsia"/>
                <w:sz w:val="24"/>
                <w:szCs w:val="24"/>
                <w:highlight w:val="none"/>
              </w:rPr>
            </w:pPr>
            <w:r>
              <w:rPr>
                <w:rFonts w:hint="eastAsia" w:cs="宋体" w:asciiTheme="majorEastAsia" w:hAnsiTheme="majorEastAsia" w:eastAsiaTheme="majorEastAsia"/>
                <w:sz w:val="24"/>
                <w:szCs w:val="24"/>
                <w:highlight w:val="none"/>
              </w:rPr>
              <w:t>在需要电子签章的地方进行电子签章，无需逐页电子签章。投标人为联合体投标的，投标人的相关电子签章均指联合体牵头人，但投标文件格式中单独要求各自签字或签章或盖章的除外。</w:t>
            </w:r>
          </w:p>
        </w:tc>
      </w:tr>
      <w:tr w14:paraId="29255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0AA4B005">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5.1</w:t>
            </w:r>
          </w:p>
        </w:tc>
        <w:tc>
          <w:tcPr>
            <w:tcW w:w="2050" w:type="dxa"/>
            <w:shd w:val="clear" w:color="auto" w:fill="FFFFFF"/>
            <w:vAlign w:val="center"/>
          </w:tcPr>
          <w:p w14:paraId="2600F220">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开标时间和地点</w:t>
            </w:r>
          </w:p>
        </w:tc>
        <w:tc>
          <w:tcPr>
            <w:tcW w:w="6503" w:type="dxa"/>
            <w:gridSpan w:val="2"/>
            <w:shd w:val="clear" w:color="auto" w:fill="FFFFFF"/>
            <w:vAlign w:val="center"/>
          </w:tcPr>
          <w:p w14:paraId="640BB5E1">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开标时间：同投标截止时间</w:t>
            </w:r>
          </w:p>
          <w:p w14:paraId="39AE249D">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开标地点：</w:t>
            </w:r>
            <w:r>
              <w:rPr>
                <w:rFonts w:hint="eastAsia" w:ascii="宋体" w:hAnsi="宋体" w:eastAsiaTheme="majorEastAsia"/>
                <w:b/>
                <w:bCs/>
                <w:highlight w:val="none"/>
                <w:u w:val="single"/>
                <w:lang w:val="en-US" w:eastAsia="zh-CN"/>
              </w:rPr>
              <w:t>墨江县</w:t>
            </w:r>
            <w:r>
              <w:rPr>
                <w:rFonts w:hint="eastAsia" w:ascii="宋体" w:hAnsi="宋体"/>
                <w:b/>
                <w:bCs/>
                <w:highlight w:val="none"/>
                <w:u w:val="single"/>
              </w:rPr>
              <w:t>公共资源交易中心开标厅</w:t>
            </w:r>
          </w:p>
        </w:tc>
      </w:tr>
      <w:tr w14:paraId="038E6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78B9BE04">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5.2</w:t>
            </w:r>
          </w:p>
        </w:tc>
        <w:tc>
          <w:tcPr>
            <w:tcW w:w="2050" w:type="dxa"/>
            <w:shd w:val="clear" w:color="auto" w:fill="FFFFFF"/>
            <w:vAlign w:val="center"/>
          </w:tcPr>
          <w:p w14:paraId="72E4CBBC">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开标程序</w:t>
            </w:r>
          </w:p>
        </w:tc>
        <w:tc>
          <w:tcPr>
            <w:tcW w:w="6503" w:type="dxa"/>
            <w:gridSpan w:val="2"/>
            <w:shd w:val="clear" w:color="auto" w:fill="FFFFFF"/>
            <w:vAlign w:val="center"/>
          </w:tcPr>
          <w:p w14:paraId="0232EA00">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（1）宣布开标纪律；</w:t>
            </w:r>
          </w:p>
          <w:p w14:paraId="1701750D">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（2）公布在投标截止时间前递交投标文件的投标人名称；</w:t>
            </w:r>
          </w:p>
          <w:p w14:paraId="324EEB75">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（3）宣布开标人、唱标人、记录人、监标人等有关人员；</w:t>
            </w:r>
          </w:p>
          <w:p w14:paraId="07FB1CC6">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（4）现场解密投标文件；</w:t>
            </w:r>
          </w:p>
          <w:p w14:paraId="10741DF2">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（5）按照宣布的解密顺序当众开标，公布投标人相关内容并记录；</w:t>
            </w:r>
          </w:p>
          <w:p w14:paraId="1948940C">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（6）投标人代表、监标人、记录人等有关人员在开标记录上签字确认；</w:t>
            </w:r>
          </w:p>
          <w:p w14:paraId="41C92760">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（7）宣布注意事项，开标结束。</w:t>
            </w:r>
          </w:p>
        </w:tc>
      </w:tr>
      <w:tr w14:paraId="5B49B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0034BB50">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6.1.1</w:t>
            </w:r>
          </w:p>
        </w:tc>
        <w:tc>
          <w:tcPr>
            <w:tcW w:w="2050" w:type="dxa"/>
            <w:shd w:val="clear" w:color="auto" w:fill="FFFFFF"/>
            <w:vAlign w:val="center"/>
          </w:tcPr>
          <w:p w14:paraId="2617D1D1">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评标委员会的组建</w:t>
            </w:r>
          </w:p>
        </w:tc>
        <w:tc>
          <w:tcPr>
            <w:tcW w:w="6503" w:type="dxa"/>
            <w:gridSpan w:val="2"/>
            <w:shd w:val="clear" w:color="auto" w:fill="FFFFFF"/>
            <w:vAlign w:val="center"/>
          </w:tcPr>
          <w:p w14:paraId="739D5921">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评标委员会构成：</w:t>
            </w:r>
            <w:r>
              <w:rPr>
                <w:rFonts w:hint="eastAsia" w:cs="宋体" w:asciiTheme="majorEastAsia" w:hAnsiTheme="majorEastAsia" w:eastAsiaTheme="majorEastAsia"/>
                <w:highlight w:val="none"/>
                <w:lang w:val="en-US" w:eastAsia="zh-CN"/>
              </w:rPr>
              <w:t>7人及7人以上单数</w:t>
            </w:r>
            <w:r>
              <w:rPr>
                <w:rFonts w:hint="eastAsia" w:cs="宋体" w:asciiTheme="majorEastAsia" w:hAnsiTheme="majorEastAsia" w:eastAsiaTheme="majorEastAsia"/>
                <w:highlight w:val="none"/>
              </w:rPr>
              <w:t>，由</w:t>
            </w:r>
            <w:r>
              <w:rPr>
                <w:rFonts w:hint="eastAsia" w:cs="宋体" w:asciiTheme="majorEastAsia" w:hAnsiTheme="majorEastAsia" w:eastAsiaTheme="majorEastAsia"/>
                <w:highlight w:val="none"/>
                <w:lang w:val="en-US" w:eastAsia="zh-CN"/>
              </w:rPr>
              <w:t>云南省</w:t>
            </w:r>
            <w:r>
              <w:rPr>
                <w:rFonts w:hint="eastAsia" w:cs="宋体" w:asciiTheme="majorEastAsia" w:hAnsiTheme="majorEastAsia" w:eastAsiaTheme="majorEastAsia"/>
                <w:highlight w:val="none"/>
              </w:rPr>
              <w:t>综合评标专家库随机抽取的专家及招标人代表组成。</w:t>
            </w:r>
          </w:p>
        </w:tc>
      </w:tr>
      <w:tr w14:paraId="05DFB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1DF1E5F4">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7.1</w:t>
            </w:r>
          </w:p>
        </w:tc>
        <w:tc>
          <w:tcPr>
            <w:tcW w:w="2050" w:type="dxa"/>
            <w:shd w:val="clear" w:color="auto" w:fill="FFFFFF"/>
            <w:vAlign w:val="center"/>
          </w:tcPr>
          <w:p w14:paraId="13BE1AB0">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是否授权评标委员会确定中标人</w:t>
            </w:r>
          </w:p>
        </w:tc>
        <w:tc>
          <w:tcPr>
            <w:tcW w:w="6503" w:type="dxa"/>
            <w:gridSpan w:val="2"/>
            <w:shd w:val="clear" w:color="auto" w:fill="FFFFFF"/>
            <w:vAlign w:val="center"/>
          </w:tcPr>
          <w:p w14:paraId="33A7AC9F">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□是</w:t>
            </w:r>
          </w:p>
          <w:p w14:paraId="33C5704D">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fldChar w:fldCharType="begin"/>
            </w:r>
            <w:r>
              <w:rPr>
                <w:rFonts w:hint="eastAsia" w:cs="宋体" w:asciiTheme="majorEastAsia" w:hAnsiTheme="majorEastAsia" w:eastAsiaTheme="majorEastAsia"/>
                <w:highlight w:val="none"/>
              </w:rPr>
              <w:instrText xml:space="preserve"> eq \o\ac(□,√)</w:instrText>
            </w:r>
            <w:r>
              <w:rPr>
                <w:rFonts w:hint="eastAsia" w:cs="宋体" w:asciiTheme="majorEastAsia" w:hAnsiTheme="majorEastAsia" w:eastAsiaTheme="majorEastAsia"/>
                <w:highlight w:val="none"/>
              </w:rPr>
              <w:fldChar w:fldCharType="end"/>
            </w:r>
            <w:r>
              <w:rPr>
                <w:rFonts w:hint="eastAsia" w:cs="宋体" w:asciiTheme="majorEastAsia" w:hAnsiTheme="majorEastAsia" w:eastAsiaTheme="majorEastAsia"/>
                <w:highlight w:val="none"/>
              </w:rPr>
              <w:t>否，推荐的中标候选人数：</w:t>
            </w:r>
            <w:r>
              <w:rPr>
                <w:rFonts w:hint="eastAsia" w:cs="宋体" w:asciiTheme="majorEastAsia" w:hAnsiTheme="majorEastAsia" w:eastAsiaTheme="majorEastAsia"/>
                <w:highlight w:val="none"/>
                <w:u w:val="single"/>
              </w:rPr>
              <w:t>1-3家</w:t>
            </w:r>
          </w:p>
        </w:tc>
      </w:tr>
      <w:tr w14:paraId="4475A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567" w:hRule="atLeast"/>
          <w:jc w:val="center"/>
        </w:trPr>
        <w:tc>
          <w:tcPr>
            <w:tcW w:w="1177" w:type="dxa"/>
            <w:shd w:val="clear" w:color="auto" w:fill="FFFFFF"/>
            <w:vAlign w:val="center"/>
          </w:tcPr>
          <w:p w14:paraId="4F7C22AF">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7.2</w:t>
            </w:r>
          </w:p>
        </w:tc>
        <w:tc>
          <w:tcPr>
            <w:tcW w:w="2050" w:type="dxa"/>
            <w:shd w:val="clear" w:color="auto" w:fill="FFFFFF"/>
            <w:vAlign w:val="center"/>
          </w:tcPr>
          <w:p w14:paraId="6D52350D">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中标候选人公示媒介</w:t>
            </w:r>
          </w:p>
        </w:tc>
        <w:tc>
          <w:tcPr>
            <w:tcW w:w="6503" w:type="dxa"/>
            <w:gridSpan w:val="2"/>
            <w:shd w:val="clear" w:color="auto" w:fill="FFFFFF"/>
            <w:vAlign w:val="center"/>
          </w:tcPr>
          <w:p w14:paraId="0B281E92">
            <w:pPr>
              <w:keepNext w:val="0"/>
              <w:keepLines w:val="0"/>
              <w:pageBreakBefore w:val="0"/>
              <w:widowControl/>
              <w:kinsoku/>
              <w:wordWrap w:val="0"/>
              <w:overflowPunct/>
              <w:topLinePunct w:val="0"/>
              <w:autoSpaceDE/>
              <w:autoSpaceDN/>
              <w:bidi w:val="0"/>
              <w:adjustRightInd/>
              <w:snapToGrid w:val="0"/>
              <w:spacing w:line="560" w:lineRule="exact"/>
              <w:jc w:val="both"/>
              <w:textAlignment w:val="auto"/>
              <w:rPr>
                <w:rFonts w:cs="宋体" w:asciiTheme="majorEastAsia" w:hAnsiTheme="majorEastAsia" w:eastAsiaTheme="majorEastAsia"/>
                <w:highlight w:val="none"/>
              </w:rPr>
            </w:pPr>
            <w:r>
              <w:rPr>
                <w:rFonts w:hint="eastAsia" w:cs="宋体" w:asciiTheme="majorEastAsia" w:hAnsiTheme="majorEastAsia" w:eastAsiaTheme="majorEastAsia"/>
                <w:highlight w:val="none"/>
              </w:rPr>
              <w:t>在中标通知书发出前，招标人将中标候选人的情况在《云南省公共资源交易信息网》（https://ggzy.yn.gov.cn/homePage#/homePage）上予以公示，公示期为</w:t>
            </w:r>
            <w:r>
              <w:rPr>
                <w:rFonts w:hint="eastAsia" w:cs="宋体" w:asciiTheme="majorEastAsia" w:hAnsiTheme="majorEastAsia" w:eastAsiaTheme="majorEastAsia"/>
                <w:highlight w:val="none"/>
                <w:lang w:val="en-US" w:eastAsia="zh-CN"/>
              </w:rPr>
              <w:t>3</w:t>
            </w:r>
            <w:r>
              <w:rPr>
                <w:rFonts w:hint="eastAsia" w:cs="宋体" w:asciiTheme="majorEastAsia" w:hAnsiTheme="majorEastAsia" w:eastAsiaTheme="majorEastAsia"/>
                <w:highlight w:val="none"/>
              </w:rPr>
              <w:t>日。</w:t>
            </w:r>
          </w:p>
        </w:tc>
      </w:tr>
      <w:tr w14:paraId="69F3E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94" w:hRule="atLeast"/>
          <w:jc w:val="center"/>
        </w:trPr>
        <w:tc>
          <w:tcPr>
            <w:tcW w:w="9740" w:type="dxa"/>
            <w:gridSpan w:val="5"/>
            <w:shd w:val="clear" w:color="auto" w:fill="FFFFFF"/>
            <w:vAlign w:val="center"/>
          </w:tcPr>
          <w:p w14:paraId="27E95EC9">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10.需要补充的其他内容</w:t>
            </w:r>
          </w:p>
        </w:tc>
      </w:tr>
      <w:tr w14:paraId="7649B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1177" w:type="dxa"/>
            <w:shd w:val="clear" w:color="auto" w:fill="FFFFFF"/>
            <w:vAlign w:val="center"/>
          </w:tcPr>
          <w:p w14:paraId="25ADC245">
            <w:pPr>
              <w:spacing w:line="400" w:lineRule="exact"/>
              <w:jc w:val="center"/>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rPr>
              <w:t>10.</w:t>
            </w:r>
            <w:r>
              <w:rPr>
                <w:rFonts w:hint="eastAsia" w:cs="宋体" w:asciiTheme="majorEastAsia" w:hAnsiTheme="majorEastAsia" w:eastAsiaTheme="majorEastAsia"/>
                <w:highlight w:val="none"/>
                <w:lang w:val="en-US" w:eastAsia="zh-CN"/>
              </w:rPr>
              <w:t>1</w:t>
            </w:r>
          </w:p>
        </w:tc>
        <w:tc>
          <w:tcPr>
            <w:tcW w:w="2063" w:type="dxa"/>
            <w:gridSpan w:val="2"/>
            <w:shd w:val="clear" w:color="auto" w:fill="FFFFFF"/>
            <w:vAlign w:val="center"/>
          </w:tcPr>
          <w:p w14:paraId="54AF34AA">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总承包控制目标</w:t>
            </w:r>
          </w:p>
        </w:tc>
        <w:tc>
          <w:tcPr>
            <w:tcW w:w="6500" w:type="dxa"/>
            <w:gridSpan w:val="2"/>
            <w:shd w:val="clear" w:color="auto" w:fill="FFFFFF"/>
            <w:vAlign w:val="center"/>
          </w:tcPr>
          <w:p w14:paraId="6FBE14F1">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进度控制目标：满足项目阶段性及总体工期进度要求；</w:t>
            </w:r>
          </w:p>
          <w:p w14:paraId="70F0B58A">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质量控制目标：一次性验收合格；</w:t>
            </w:r>
          </w:p>
          <w:p w14:paraId="6449D331">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安全控制目标：杜绝安全事故。</w:t>
            </w:r>
          </w:p>
        </w:tc>
      </w:tr>
      <w:tr w14:paraId="68A06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7" w:type="dxa"/>
            <w:shd w:val="clear" w:color="auto" w:fill="FFFFFF"/>
            <w:vAlign w:val="center"/>
          </w:tcPr>
          <w:p w14:paraId="3750DD19">
            <w:pPr>
              <w:spacing w:line="400" w:lineRule="exact"/>
              <w:jc w:val="center"/>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rPr>
              <w:t>10.</w:t>
            </w:r>
            <w:r>
              <w:rPr>
                <w:rFonts w:hint="eastAsia" w:cs="宋体" w:asciiTheme="majorEastAsia" w:hAnsiTheme="majorEastAsia" w:eastAsiaTheme="majorEastAsia"/>
                <w:highlight w:val="none"/>
                <w:lang w:val="en-US" w:eastAsia="zh-CN"/>
              </w:rPr>
              <w:t>2</w:t>
            </w:r>
          </w:p>
        </w:tc>
        <w:tc>
          <w:tcPr>
            <w:tcW w:w="8563" w:type="dxa"/>
            <w:gridSpan w:val="4"/>
            <w:shd w:val="clear" w:color="auto" w:fill="FFFFFF"/>
            <w:vAlign w:val="center"/>
          </w:tcPr>
          <w:p w14:paraId="4DA5E537">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中标公示：在中标通知书发出前，招标人将</w:t>
            </w:r>
            <w:r>
              <w:rPr>
                <w:rFonts w:hint="eastAsia" w:cs="宋体" w:asciiTheme="majorEastAsia" w:hAnsiTheme="majorEastAsia" w:eastAsiaTheme="majorEastAsia"/>
                <w:bCs/>
                <w:highlight w:val="none"/>
              </w:rPr>
              <w:t>中标候选人的情况在</w:t>
            </w:r>
            <w:r>
              <w:rPr>
                <w:rFonts w:hint="eastAsia" w:ascii="宋体" w:hAnsi="宋体" w:cs="宋体"/>
                <w:highlight w:val="none"/>
              </w:rPr>
              <w:t>《</w:t>
            </w:r>
            <w:r>
              <w:rPr>
                <w:rFonts w:hint="eastAsia" w:cs="宋体" w:asciiTheme="majorEastAsia" w:hAnsiTheme="majorEastAsia" w:eastAsiaTheme="majorEastAsia"/>
                <w:bCs/>
                <w:highlight w:val="none"/>
                <w:shd w:val="clear" w:color="auto" w:fill="FFFFFF"/>
              </w:rPr>
              <w:t>云南省公共资源交易信息网</w:t>
            </w:r>
            <w:r>
              <w:rPr>
                <w:rFonts w:hint="eastAsia" w:ascii="宋体" w:hAnsi="宋体" w:cs="宋体"/>
                <w:highlight w:val="none"/>
              </w:rPr>
              <w:t>》（https://ggzy.yn.gov.cn/homePage#/homePage）</w:t>
            </w:r>
            <w:r>
              <w:rPr>
                <w:rFonts w:hint="eastAsia" w:cs="宋体" w:asciiTheme="majorEastAsia" w:hAnsiTheme="majorEastAsia" w:eastAsiaTheme="majorEastAsia"/>
                <w:bCs/>
                <w:highlight w:val="none"/>
              </w:rPr>
              <w:t>上予</w:t>
            </w:r>
            <w:r>
              <w:rPr>
                <w:rFonts w:hint="eastAsia" w:cs="宋体" w:asciiTheme="majorEastAsia" w:hAnsiTheme="majorEastAsia" w:eastAsiaTheme="majorEastAsia"/>
                <w:highlight w:val="none"/>
              </w:rPr>
              <w:t>以公示，公示期为</w:t>
            </w:r>
            <w:r>
              <w:rPr>
                <w:rFonts w:hint="eastAsia" w:cs="宋体" w:asciiTheme="majorEastAsia" w:hAnsiTheme="majorEastAsia" w:eastAsiaTheme="majorEastAsia"/>
                <w:highlight w:val="none"/>
                <w:lang w:val="en-US" w:eastAsia="zh-CN"/>
              </w:rPr>
              <w:t>3</w:t>
            </w:r>
            <w:r>
              <w:rPr>
                <w:rFonts w:hint="eastAsia" w:cs="宋体" w:asciiTheme="majorEastAsia" w:hAnsiTheme="majorEastAsia" w:eastAsiaTheme="majorEastAsia"/>
                <w:highlight w:val="none"/>
              </w:rPr>
              <w:t>日。</w:t>
            </w:r>
          </w:p>
        </w:tc>
      </w:tr>
      <w:tr w14:paraId="4C980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1177" w:type="dxa"/>
            <w:shd w:val="clear" w:color="auto" w:fill="FFFFFF"/>
            <w:vAlign w:val="center"/>
          </w:tcPr>
          <w:p w14:paraId="76588B91">
            <w:pPr>
              <w:spacing w:line="400" w:lineRule="exact"/>
              <w:jc w:val="center"/>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rPr>
              <w:t>10.</w:t>
            </w:r>
            <w:r>
              <w:rPr>
                <w:rFonts w:hint="eastAsia" w:cs="宋体" w:asciiTheme="majorEastAsia" w:hAnsiTheme="majorEastAsia" w:eastAsiaTheme="majorEastAsia"/>
                <w:highlight w:val="none"/>
                <w:lang w:val="en-US" w:eastAsia="zh-CN"/>
              </w:rPr>
              <w:t>3</w:t>
            </w:r>
          </w:p>
        </w:tc>
        <w:tc>
          <w:tcPr>
            <w:tcW w:w="8563" w:type="dxa"/>
            <w:gridSpan w:val="4"/>
            <w:shd w:val="clear" w:color="auto" w:fill="FFFFFF"/>
            <w:vAlign w:val="center"/>
          </w:tcPr>
          <w:p w14:paraId="46F222BC">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知识产权：构成本招标文件各个组成部分的文件，未经招标人书面同意，投标人不得擅自复印和用于非本招标项目所需的其他目的。</w:t>
            </w:r>
          </w:p>
        </w:tc>
      </w:tr>
      <w:tr w14:paraId="29E74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1177" w:type="dxa"/>
            <w:shd w:val="clear" w:color="auto" w:fill="FFFFFF"/>
            <w:vAlign w:val="center"/>
          </w:tcPr>
          <w:p w14:paraId="55DBFA7F">
            <w:pPr>
              <w:spacing w:line="400" w:lineRule="exact"/>
              <w:jc w:val="center"/>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rPr>
              <w:t>10.</w:t>
            </w:r>
            <w:r>
              <w:rPr>
                <w:rFonts w:hint="eastAsia" w:cs="宋体" w:asciiTheme="majorEastAsia" w:hAnsiTheme="majorEastAsia" w:eastAsiaTheme="majorEastAsia"/>
                <w:highlight w:val="none"/>
                <w:lang w:val="en-US" w:eastAsia="zh-CN"/>
              </w:rPr>
              <w:t>4</w:t>
            </w:r>
          </w:p>
        </w:tc>
        <w:tc>
          <w:tcPr>
            <w:tcW w:w="8563" w:type="dxa"/>
            <w:gridSpan w:val="4"/>
            <w:shd w:val="clear" w:color="auto" w:fill="FFFFFF"/>
            <w:vAlign w:val="center"/>
          </w:tcPr>
          <w:p w14:paraId="3A4B7E55">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同义词语：构成招标文件组成部分的“通用合同条款”、“专用合同条款”、“技术标准和要求”等章节中出现的措辞“发包人”和“承包人”，在招标投标阶段应当分别按“招标人”和“投标人”进行理解。</w:t>
            </w:r>
          </w:p>
        </w:tc>
      </w:tr>
      <w:tr w14:paraId="2C284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7" w:type="dxa"/>
            <w:shd w:val="clear" w:color="auto" w:fill="FFFFFF"/>
            <w:vAlign w:val="center"/>
          </w:tcPr>
          <w:p w14:paraId="7BBA449C">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10.</w:t>
            </w:r>
            <w:r>
              <w:rPr>
                <w:rFonts w:hint="eastAsia" w:cs="宋体" w:asciiTheme="majorEastAsia" w:hAnsiTheme="majorEastAsia" w:eastAsiaTheme="majorEastAsia"/>
                <w:highlight w:val="none"/>
                <w:lang w:val="en-US" w:eastAsia="zh-CN"/>
              </w:rPr>
              <w:t>5</w:t>
            </w:r>
          </w:p>
        </w:tc>
        <w:tc>
          <w:tcPr>
            <w:tcW w:w="8563" w:type="dxa"/>
            <w:gridSpan w:val="4"/>
            <w:shd w:val="clear" w:color="auto" w:fill="FFFFFF"/>
            <w:vAlign w:val="center"/>
          </w:tcPr>
          <w:p w14:paraId="7A2E0432">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监督：本项目的招标投标活动应当由相关行业主管部门依法实施的监督。</w:t>
            </w:r>
          </w:p>
        </w:tc>
      </w:tr>
      <w:tr w14:paraId="4B6B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7" w:type="dxa"/>
            <w:shd w:val="clear" w:color="auto" w:fill="FFFFFF"/>
            <w:vAlign w:val="center"/>
          </w:tcPr>
          <w:p w14:paraId="0B106D53">
            <w:pPr>
              <w:spacing w:line="400" w:lineRule="exact"/>
              <w:jc w:val="center"/>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rPr>
              <w:t>10.</w:t>
            </w:r>
            <w:r>
              <w:rPr>
                <w:rFonts w:hint="eastAsia" w:cs="宋体" w:asciiTheme="majorEastAsia" w:hAnsiTheme="majorEastAsia" w:eastAsiaTheme="majorEastAsia"/>
                <w:highlight w:val="none"/>
                <w:lang w:val="en-US" w:eastAsia="zh-CN"/>
              </w:rPr>
              <w:t>6</w:t>
            </w:r>
          </w:p>
        </w:tc>
        <w:tc>
          <w:tcPr>
            <w:tcW w:w="8563" w:type="dxa"/>
            <w:gridSpan w:val="4"/>
            <w:shd w:val="clear" w:color="auto" w:fill="FFFFFF"/>
            <w:vAlign w:val="center"/>
          </w:tcPr>
          <w:p w14:paraId="0F6E0427">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解释权：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0E13B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9740" w:type="dxa"/>
            <w:gridSpan w:val="5"/>
            <w:shd w:val="clear" w:color="auto" w:fill="FFFFFF"/>
            <w:vAlign w:val="center"/>
          </w:tcPr>
          <w:p w14:paraId="677453E5">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10.</w:t>
            </w:r>
            <w:r>
              <w:rPr>
                <w:rFonts w:hint="eastAsia" w:cs="宋体" w:asciiTheme="majorEastAsia" w:hAnsiTheme="majorEastAsia" w:eastAsiaTheme="majorEastAsia"/>
                <w:highlight w:val="none"/>
                <w:lang w:val="en-US" w:eastAsia="zh-CN"/>
              </w:rPr>
              <w:t>7</w:t>
            </w:r>
            <w:r>
              <w:rPr>
                <w:rFonts w:hint="eastAsia" w:cs="宋体" w:asciiTheme="majorEastAsia" w:hAnsiTheme="majorEastAsia" w:eastAsiaTheme="majorEastAsia"/>
                <w:highlight w:val="none"/>
              </w:rPr>
              <w:t>招标人补充的其他内容</w:t>
            </w:r>
          </w:p>
        </w:tc>
      </w:tr>
      <w:tr w14:paraId="6FEEA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7" w:type="dxa"/>
            <w:shd w:val="clear" w:color="auto" w:fill="FFFFFF"/>
            <w:vAlign w:val="center"/>
          </w:tcPr>
          <w:p w14:paraId="01F938CB">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10.</w:t>
            </w:r>
            <w:r>
              <w:rPr>
                <w:rFonts w:hint="eastAsia" w:cs="宋体" w:asciiTheme="majorEastAsia" w:hAnsiTheme="majorEastAsia" w:eastAsiaTheme="majorEastAsia"/>
                <w:highlight w:val="none"/>
                <w:lang w:val="en-US" w:eastAsia="zh-CN"/>
              </w:rPr>
              <w:t>7</w:t>
            </w:r>
            <w:r>
              <w:rPr>
                <w:rFonts w:hint="eastAsia" w:cs="宋体" w:asciiTheme="majorEastAsia" w:hAnsiTheme="majorEastAsia" w:eastAsiaTheme="majorEastAsia"/>
                <w:highlight w:val="none"/>
              </w:rPr>
              <w:t>.1</w:t>
            </w:r>
          </w:p>
        </w:tc>
        <w:tc>
          <w:tcPr>
            <w:tcW w:w="8563" w:type="dxa"/>
            <w:gridSpan w:val="4"/>
            <w:shd w:val="clear" w:color="auto" w:fill="FFFFFF"/>
            <w:vAlign w:val="center"/>
          </w:tcPr>
          <w:p w14:paraId="79CE254E">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细微偏差：投标文件的细微偏差是指投标文件在实质上响应招标文件的要求，但在个别地方存在漏项或者提供了不完整的技术信息和数据等情况，并且补正这些遗漏或者不完整处不会对其他投标人造成不公平的结果。细微偏差不影响投标文件的有效性。</w:t>
            </w:r>
          </w:p>
        </w:tc>
      </w:tr>
      <w:tr w14:paraId="3749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177" w:type="dxa"/>
            <w:shd w:val="clear" w:color="auto" w:fill="FFFFFF"/>
            <w:vAlign w:val="center"/>
          </w:tcPr>
          <w:p w14:paraId="58BB5168">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10.</w:t>
            </w:r>
            <w:r>
              <w:rPr>
                <w:rFonts w:hint="eastAsia" w:cs="宋体" w:asciiTheme="majorEastAsia" w:hAnsiTheme="majorEastAsia" w:eastAsiaTheme="majorEastAsia"/>
                <w:highlight w:val="none"/>
                <w:lang w:val="en-US" w:eastAsia="zh-CN"/>
              </w:rPr>
              <w:t>7</w:t>
            </w:r>
            <w:r>
              <w:rPr>
                <w:rFonts w:hint="eastAsia" w:cs="宋体" w:asciiTheme="majorEastAsia" w:hAnsiTheme="majorEastAsia" w:eastAsiaTheme="majorEastAsia"/>
                <w:highlight w:val="none"/>
              </w:rPr>
              <w:t>.2</w:t>
            </w:r>
          </w:p>
        </w:tc>
        <w:tc>
          <w:tcPr>
            <w:tcW w:w="8563" w:type="dxa"/>
            <w:gridSpan w:val="4"/>
            <w:shd w:val="clear" w:color="auto" w:fill="FFFFFF"/>
            <w:vAlign w:val="center"/>
          </w:tcPr>
          <w:p w14:paraId="6B7DDC85">
            <w:pPr>
              <w:spacing w:line="4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招标文件获取方式：详见招标公告要求</w:t>
            </w:r>
            <w:r>
              <w:rPr>
                <w:rFonts w:hint="eastAsia" w:cs="宋体" w:asciiTheme="majorEastAsia" w:hAnsiTheme="majorEastAsia" w:eastAsiaTheme="majorEastAsia"/>
                <w:bCs/>
                <w:highlight w:val="none"/>
              </w:rPr>
              <w:t>。</w:t>
            </w:r>
          </w:p>
        </w:tc>
      </w:tr>
      <w:tr w14:paraId="21907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07" w:hRule="atLeast"/>
          <w:jc w:val="center"/>
        </w:trPr>
        <w:tc>
          <w:tcPr>
            <w:tcW w:w="1177" w:type="dxa"/>
            <w:shd w:val="clear" w:color="auto" w:fill="FFFFFF"/>
            <w:vAlign w:val="center"/>
          </w:tcPr>
          <w:p w14:paraId="69BEC324">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10.</w:t>
            </w:r>
            <w:r>
              <w:rPr>
                <w:rFonts w:hint="eastAsia" w:cs="宋体" w:asciiTheme="majorEastAsia" w:hAnsiTheme="majorEastAsia" w:eastAsiaTheme="majorEastAsia"/>
                <w:highlight w:val="none"/>
                <w:lang w:val="en-US" w:eastAsia="zh-CN"/>
              </w:rPr>
              <w:t>7</w:t>
            </w:r>
            <w:r>
              <w:rPr>
                <w:rFonts w:hint="eastAsia" w:cs="宋体" w:asciiTheme="majorEastAsia" w:hAnsiTheme="majorEastAsia" w:eastAsiaTheme="majorEastAsia"/>
                <w:highlight w:val="none"/>
              </w:rPr>
              <w:t>.3</w:t>
            </w:r>
          </w:p>
        </w:tc>
        <w:tc>
          <w:tcPr>
            <w:tcW w:w="8563" w:type="dxa"/>
            <w:gridSpan w:val="4"/>
            <w:shd w:val="clear" w:color="auto" w:fill="FFFFFF"/>
            <w:vAlign w:val="center"/>
          </w:tcPr>
          <w:p w14:paraId="4CA52E92">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本项目资格审查方式：资格后审。</w:t>
            </w:r>
          </w:p>
        </w:tc>
      </w:tr>
      <w:tr w14:paraId="7F058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177" w:type="dxa"/>
            <w:shd w:val="clear" w:color="auto" w:fill="FFFFFF"/>
            <w:vAlign w:val="center"/>
          </w:tcPr>
          <w:p w14:paraId="6567E416">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10.</w:t>
            </w:r>
            <w:r>
              <w:rPr>
                <w:rFonts w:hint="eastAsia" w:cs="宋体" w:asciiTheme="majorEastAsia" w:hAnsiTheme="majorEastAsia" w:eastAsiaTheme="majorEastAsia"/>
                <w:highlight w:val="none"/>
                <w:lang w:val="en-US" w:eastAsia="zh-CN"/>
              </w:rPr>
              <w:t>7</w:t>
            </w:r>
            <w:r>
              <w:rPr>
                <w:rFonts w:hint="eastAsia" w:cs="宋体" w:asciiTheme="majorEastAsia" w:hAnsiTheme="majorEastAsia" w:eastAsiaTheme="majorEastAsia"/>
                <w:highlight w:val="none"/>
              </w:rPr>
              <w:t>.4</w:t>
            </w:r>
          </w:p>
        </w:tc>
        <w:tc>
          <w:tcPr>
            <w:tcW w:w="8563" w:type="dxa"/>
            <w:gridSpan w:val="4"/>
            <w:shd w:val="clear" w:color="auto" w:fill="FFFFFF"/>
            <w:vAlign w:val="center"/>
          </w:tcPr>
          <w:p w14:paraId="1DC0198F">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本项目采用电子招标投标。</w:t>
            </w:r>
          </w:p>
        </w:tc>
      </w:tr>
    </w:tbl>
    <w:p w14:paraId="70C67EFB">
      <w:pPr>
        <w:rPr>
          <w:rFonts w:cs="宋体" w:asciiTheme="majorEastAsia" w:hAnsiTheme="majorEastAsia" w:eastAsiaTheme="majorEastAsia"/>
          <w:highlight w:val="none"/>
        </w:rPr>
        <w:sectPr>
          <w:pgSz w:w="11906" w:h="16840"/>
          <w:pgMar w:top="1134" w:right="1134" w:bottom="1134" w:left="1134" w:header="720" w:footer="765" w:gutter="0"/>
          <w:cols w:space="0" w:num="1"/>
          <w:docGrid w:linePitch="326" w:charSpace="0"/>
        </w:sectPr>
      </w:pPr>
    </w:p>
    <w:p w14:paraId="1E23F2C1">
      <w:pPr>
        <w:spacing w:line="240" w:lineRule="atLeast"/>
        <w:rPr>
          <w:highlight w:val="none"/>
        </w:rPr>
      </w:pPr>
      <w:bookmarkStart w:id="167" w:name="_Toc318105127"/>
      <w:bookmarkStart w:id="168" w:name="_Toc184635071"/>
    </w:p>
    <w:p w14:paraId="71D431E6">
      <w:pPr>
        <w:pStyle w:val="135"/>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1、总则</w:t>
      </w:r>
      <w:bookmarkEnd w:id="167"/>
      <w:bookmarkEnd w:id="168"/>
    </w:p>
    <w:p w14:paraId="07F61B31">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1.1 项目概况</w:t>
      </w:r>
    </w:p>
    <w:p w14:paraId="2483C7D0">
      <w:pPr>
        <w:pStyle w:val="139"/>
        <w:spacing w:line="520" w:lineRule="exact"/>
        <w:ind w:firstLine="480"/>
        <w:rPr>
          <w:rFonts w:cs="宋体" w:asciiTheme="majorEastAsia" w:hAnsiTheme="majorEastAsia" w:eastAsiaTheme="majorEastAsia"/>
          <w:sz w:val="24"/>
          <w:szCs w:val="24"/>
          <w:highlight w:val="none"/>
        </w:rPr>
      </w:pPr>
      <w:r>
        <w:rPr>
          <w:rFonts w:hint="eastAsia" w:cs="宋体" w:asciiTheme="majorEastAsia" w:hAnsiTheme="majorEastAsia" w:eastAsiaTheme="majorEastAsia"/>
          <w:sz w:val="24"/>
          <w:szCs w:val="24"/>
          <w:highlight w:val="none"/>
        </w:rPr>
        <w:t>1.1.1 根据《中华人民共和国招标投标法》等有关法律、法规和规章的规定，本招标项目己具备招标条件，现对本项目设计及施工总承包进行招标。</w:t>
      </w:r>
    </w:p>
    <w:p w14:paraId="467BF60C">
      <w:pPr>
        <w:pStyle w:val="139"/>
        <w:spacing w:line="520" w:lineRule="exact"/>
        <w:ind w:firstLine="480"/>
        <w:rPr>
          <w:rFonts w:cs="宋体" w:asciiTheme="majorEastAsia" w:hAnsiTheme="majorEastAsia" w:eastAsiaTheme="majorEastAsia"/>
          <w:sz w:val="24"/>
          <w:szCs w:val="24"/>
          <w:highlight w:val="none"/>
        </w:rPr>
      </w:pPr>
      <w:r>
        <w:rPr>
          <w:rFonts w:hint="eastAsia" w:cs="宋体" w:asciiTheme="majorEastAsia" w:hAnsiTheme="majorEastAsia" w:eastAsiaTheme="majorEastAsia"/>
          <w:sz w:val="24"/>
          <w:szCs w:val="24"/>
          <w:highlight w:val="none"/>
        </w:rPr>
        <w:t>1.1.2招标人：见投标人须知前附表。</w:t>
      </w:r>
    </w:p>
    <w:p w14:paraId="02A8FA1D">
      <w:pPr>
        <w:pStyle w:val="139"/>
        <w:spacing w:line="520" w:lineRule="exact"/>
        <w:ind w:firstLine="480"/>
        <w:rPr>
          <w:rFonts w:cs="宋体" w:asciiTheme="majorEastAsia" w:hAnsiTheme="majorEastAsia" w:eastAsiaTheme="majorEastAsia"/>
          <w:sz w:val="24"/>
          <w:szCs w:val="24"/>
          <w:highlight w:val="none"/>
        </w:rPr>
      </w:pPr>
      <w:r>
        <w:rPr>
          <w:rFonts w:hint="eastAsia" w:cs="宋体" w:asciiTheme="majorEastAsia" w:hAnsiTheme="majorEastAsia" w:eastAsiaTheme="majorEastAsia"/>
          <w:sz w:val="24"/>
          <w:szCs w:val="24"/>
          <w:highlight w:val="none"/>
        </w:rPr>
        <w:t>1.1.3招标代理机构：见投标人须知前附表。</w:t>
      </w:r>
    </w:p>
    <w:p w14:paraId="5A10E4F9">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1.1.4 招标项目名称：见投标人须知前附表。</w:t>
      </w:r>
    </w:p>
    <w:p w14:paraId="52A80D8A">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1.1.5 项目建设地点：见投标人须知前附表。</w:t>
      </w:r>
    </w:p>
    <w:p w14:paraId="421ECDB2">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1.2 资金来源、出资比例、招标方式及资金落实情况</w:t>
      </w:r>
    </w:p>
    <w:p w14:paraId="4BC1E996">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1.2.1资金来源：见投标人须知前附表。</w:t>
      </w:r>
    </w:p>
    <w:p w14:paraId="4F2A3779">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1.2.2出资比例：见投标人须知前附表。</w:t>
      </w:r>
    </w:p>
    <w:p w14:paraId="2C27FC64">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1.2.3招标方式：见投标人须知前附表。</w:t>
      </w:r>
    </w:p>
    <w:p w14:paraId="6AF787B2">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1.2.4资金落实情况：见投标人须知前附表。</w:t>
      </w:r>
    </w:p>
    <w:p w14:paraId="083D84B9">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1.3</w:t>
      </w:r>
      <w:r>
        <w:rPr>
          <w:rFonts w:hint="eastAsia" w:cs="宋体" w:asciiTheme="majorEastAsia" w:hAnsiTheme="majorEastAsia" w:eastAsiaTheme="majorEastAsia"/>
          <w:szCs w:val="24"/>
          <w:highlight w:val="none"/>
          <w:lang w:val="en-US" w:eastAsia="zh-CN"/>
        </w:rPr>
        <w:t>招标范围</w:t>
      </w:r>
      <w:r>
        <w:rPr>
          <w:rFonts w:hint="eastAsia" w:cs="宋体" w:asciiTheme="majorEastAsia" w:hAnsiTheme="majorEastAsia" w:eastAsiaTheme="majorEastAsia"/>
          <w:szCs w:val="24"/>
          <w:highlight w:val="none"/>
        </w:rPr>
        <w:t>、计划工期和质量要求</w:t>
      </w:r>
    </w:p>
    <w:p w14:paraId="1210049A">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1.3.1</w:t>
      </w:r>
      <w:r>
        <w:rPr>
          <w:rFonts w:hint="eastAsia" w:cs="宋体" w:asciiTheme="majorEastAsia" w:hAnsiTheme="majorEastAsia" w:eastAsiaTheme="majorEastAsia"/>
          <w:szCs w:val="24"/>
          <w:highlight w:val="none"/>
          <w:lang w:val="en-US" w:eastAsia="zh-CN"/>
        </w:rPr>
        <w:t>招标范围</w:t>
      </w:r>
      <w:r>
        <w:rPr>
          <w:rFonts w:hint="eastAsia" w:cs="宋体" w:asciiTheme="majorEastAsia" w:hAnsiTheme="majorEastAsia" w:eastAsiaTheme="majorEastAsia"/>
          <w:highlight w:val="none"/>
        </w:rPr>
        <w:t>：见投标人须知前附表。</w:t>
      </w:r>
    </w:p>
    <w:p w14:paraId="091A6F11">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1.3.</w:t>
      </w:r>
      <w:r>
        <w:rPr>
          <w:rFonts w:hint="eastAsia" w:cs="宋体" w:asciiTheme="majorEastAsia" w:hAnsiTheme="majorEastAsia" w:eastAsiaTheme="majorEastAsia"/>
          <w:highlight w:val="none"/>
          <w:lang w:val="en-US" w:eastAsia="zh-CN"/>
        </w:rPr>
        <w:t>2</w:t>
      </w:r>
      <w:r>
        <w:rPr>
          <w:rFonts w:hint="eastAsia" w:cs="宋体" w:asciiTheme="majorEastAsia" w:hAnsiTheme="majorEastAsia" w:eastAsiaTheme="majorEastAsia"/>
          <w:highlight w:val="none"/>
        </w:rPr>
        <w:t>计划工期：见投标人须知前附表。</w:t>
      </w:r>
    </w:p>
    <w:p w14:paraId="23FF24CF">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1.3.</w:t>
      </w:r>
      <w:r>
        <w:rPr>
          <w:rFonts w:hint="eastAsia" w:cs="宋体" w:asciiTheme="majorEastAsia" w:hAnsiTheme="majorEastAsia" w:eastAsiaTheme="majorEastAsia"/>
          <w:highlight w:val="none"/>
          <w:lang w:val="en-US" w:eastAsia="zh-CN"/>
        </w:rPr>
        <w:t>3</w:t>
      </w:r>
      <w:r>
        <w:rPr>
          <w:rFonts w:hint="eastAsia" w:cs="宋体" w:asciiTheme="majorEastAsia" w:hAnsiTheme="majorEastAsia" w:eastAsiaTheme="majorEastAsia"/>
          <w:highlight w:val="none"/>
        </w:rPr>
        <w:t>质量要求：见投标人须知前附表。</w:t>
      </w:r>
    </w:p>
    <w:p w14:paraId="13DD08B9">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1.4 投标人资格要求</w:t>
      </w:r>
    </w:p>
    <w:p w14:paraId="49977D5F">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1.4.1 投标人应具备承担本招标项目资格要求：具体详见投标人须知前附表要求。</w:t>
      </w:r>
    </w:p>
    <w:p w14:paraId="5C1DC9DD">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1.4.2 本次招标项目接受联合体投标。</w:t>
      </w:r>
    </w:p>
    <w:p w14:paraId="3EE63538">
      <w:pPr>
        <w:widowControl w:val="0"/>
        <w:spacing w:line="520" w:lineRule="exact"/>
        <w:ind w:firstLine="480" w:firstLineChars="200"/>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（1）联合体各方应按招标文件提供的格式签订联合体协议书，明确联合体牵头人和各方权利义务；</w:t>
      </w:r>
    </w:p>
    <w:p w14:paraId="72C7BF8C">
      <w:pPr>
        <w:spacing w:line="520" w:lineRule="exact"/>
        <w:ind w:firstLine="360" w:firstLineChars="150"/>
        <w:rPr>
          <w:rFonts w:cs="宋体" w:asciiTheme="majorEastAsia" w:hAnsiTheme="majorEastAsia" w:eastAsiaTheme="majorEastAsia"/>
          <w:highlight w:val="none"/>
        </w:rPr>
      </w:pPr>
      <w:r>
        <w:rPr>
          <w:rFonts w:hint="eastAsia" w:cs="宋体" w:asciiTheme="majorEastAsia" w:hAnsiTheme="majorEastAsia" w:eastAsiaTheme="majorEastAsia"/>
          <w:highlight w:val="none"/>
        </w:rPr>
        <w:t xml:space="preserve"> （2）联合体各方不得再以自己名义单独或参加其他联合体在本招标项目中投标。</w:t>
      </w:r>
    </w:p>
    <w:p w14:paraId="79E5E656">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1.4.3 投标人不得存在下列情形之一：</w:t>
      </w:r>
    </w:p>
    <w:p w14:paraId="1BA87C62">
      <w:pPr>
        <w:spacing w:line="520" w:lineRule="exact"/>
        <w:ind w:firstLine="410" w:firstLineChars="171"/>
        <w:rPr>
          <w:rFonts w:cs="宋体" w:asciiTheme="majorEastAsia" w:hAnsiTheme="majorEastAsia" w:eastAsiaTheme="majorEastAsia"/>
          <w:highlight w:val="none"/>
        </w:rPr>
      </w:pPr>
      <w:r>
        <w:rPr>
          <w:rFonts w:hint="eastAsia" w:cs="宋体" w:asciiTheme="majorEastAsia" w:hAnsiTheme="majorEastAsia" w:eastAsiaTheme="majorEastAsia"/>
          <w:highlight w:val="none"/>
        </w:rPr>
        <w:t>（1）为招标人不具有独立法人资格的附属机构（单位）；</w:t>
      </w:r>
    </w:p>
    <w:p w14:paraId="768BA102">
      <w:pPr>
        <w:spacing w:line="520" w:lineRule="exact"/>
        <w:ind w:firstLine="410" w:firstLineChars="171"/>
        <w:rPr>
          <w:rFonts w:cs="宋体" w:asciiTheme="majorEastAsia" w:hAnsiTheme="majorEastAsia" w:eastAsiaTheme="majorEastAsia"/>
          <w:highlight w:val="none"/>
        </w:rPr>
      </w:pPr>
      <w:r>
        <w:rPr>
          <w:rFonts w:hint="eastAsia" w:cs="宋体" w:asciiTheme="majorEastAsia" w:hAnsiTheme="majorEastAsia" w:eastAsiaTheme="majorEastAsia"/>
          <w:highlight w:val="none"/>
        </w:rPr>
        <w:t>（2）为本招标项目的监理人；</w:t>
      </w:r>
    </w:p>
    <w:p w14:paraId="7D2999BC">
      <w:pPr>
        <w:spacing w:line="520" w:lineRule="exact"/>
        <w:ind w:firstLine="410" w:firstLineChars="171"/>
        <w:rPr>
          <w:rFonts w:cs="宋体" w:asciiTheme="majorEastAsia" w:hAnsiTheme="majorEastAsia" w:eastAsiaTheme="majorEastAsia"/>
          <w:highlight w:val="none"/>
        </w:rPr>
      </w:pPr>
      <w:r>
        <w:rPr>
          <w:rFonts w:hint="eastAsia" w:cs="宋体" w:asciiTheme="majorEastAsia" w:hAnsiTheme="majorEastAsia" w:eastAsiaTheme="majorEastAsia"/>
          <w:highlight w:val="none"/>
        </w:rPr>
        <w:t xml:space="preserve">（3）为本招标项目的代建人； </w:t>
      </w:r>
    </w:p>
    <w:p w14:paraId="7348CB51">
      <w:pPr>
        <w:spacing w:line="520" w:lineRule="exact"/>
        <w:ind w:firstLine="410" w:firstLineChars="171"/>
        <w:rPr>
          <w:rFonts w:cs="宋体" w:asciiTheme="majorEastAsia" w:hAnsiTheme="majorEastAsia" w:eastAsiaTheme="majorEastAsia"/>
          <w:highlight w:val="none"/>
        </w:rPr>
      </w:pPr>
      <w:r>
        <w:rPr>
          <w:rFonts w:hint="eastAsia" w:cs="宋体" w:asciiTheme="majorEastAsia" w:hAnsiTheme="majorEastAsia" w:eastAsiaTheme="majorEastAsia"/>
          <w:highlight w:val="none"/>
        </w:rPr>
        <w:t xml:space="preserve">（4）为本招标项目提供招标代理服务的； </w:t>
      </w:r>
    </w:p>
    <w:p w14:paraId="7C0F0204">
      <w:pPr>
        <w:spacing w:line="520" w:lineRule="exact"/>
        <w:ind w:firstLine="410" w:firstLineChars="171"/>
        <w:rPr>
          <w:rFonts w:cs="宋体" w:asciiTheme="majorEastAsia" w:hAnsiTheme="majorEastAsia" w:eastAsiaTheme="majorEastAsia"/>
          <w:highlight w:val="none"/>
        </w:rPr>
      </w:pPr>
      <w:r>
        <w:rPr>
          <w:rFonts w:hint="eastAsia" w:cs="宋体" w:asciiTheme="majorEastAsia" w:hAnsiTheme="majorEastAsia" w:eastAsiaTheme="majorEastAsia"/>
          <w:highlight w:val="none"/>
        </w:rPr>
        <w:t>（5）与本招标项目的监理人或代建人或招标代理机构同为一个法定代表人的；</w:t>
      </w:r>
    </w:p>
    <w:p w14:paraId="07CB195C">
      <w:pPr>
        <w:spacing w:line="520" w:lineRule="exact"/>
        <w:ind w:firstLine="410" w:firstLineChars="171"/>
        <w:rPr>
          <w:rFonts w:cs="宋体" w:asciiTheme="majorEastAsia" w:hAnsiTheme="majorEastAsia" w:eastAsiaTheme="majorEastAsia"/>
          <w:highlight w:val="none"/>
        </w:rPr>
      </w:pPr>
      <w:r>
        <w:rPr>
          <w:rFonts w:hint="eastAsia" w:cs="宋体" w:asciiTheme="majorEastAsia" w:hAnsiTheme="majorEastAsia" w:eastAsiaTheme="majorEastAsia"/>
          <w:highlight w:val="none"/>
        </w:rPr>
        <w:t>（6）与本招标项目的监理人或代建人或招标代理机构相互控股或参股的；</w:t>
      </w:r>
    </w:p>
    <w:p w14:paraId="419B2A7E">
      <w:pPr>
        <w:spacing w:line="520" w:lineRule="exact"/>
        <w:ind w:firstLine="410" w:firstLineChars="171"/>
        <w:rPr>
          <w:rFonts w:cs="宋体" w:asciiTheme="majorEastAsia" w:hAnsiTheme="majorEastAsia" w:eastAsiaTheme="majorEastAsia"/>
          <w:highlight w:val="none"/>
        </w:rPr>
      </w:pPr>
      <w:r>
        <w:rPr>
          <w:rFonts w:hint="eastAsia" w:cs="宋体" w:asciiTheme="majorEastAsia" w:hAnsiTheme="majorEastAsia" w:eastAsiaTheme="majorEastAsia"/>
          <w:highlight w:val="none"/>
        </w:rPr>
        <w:t>（7）与本招标项目的监理人或代建人或招标代理机构相互任职或工作的；</w:t>
      </w:r>
    </w:p>
    <w:p w14:paraId="23D3A715">
      <w:pPr>
        <w:spacing w:line="520" w:lineRule="exact"/>
        <w:ind w:firstLine="410" w:firstLineChars="171"/>
        <w:rPr>
          <w:rFonts w:cs="宋体" w:asciiTheme="majorEastAsia" w:hAnsiTheme="majorEastAsia" w:eastAsiaTheme="majorEastAsia"/>
          <w:highlight w:val="none"/>
        </w:rPr>
      </w:pPr>
      <w:r>
        <w:rPr>
          <w:rFonts w:hint="eastAsia" w:cs="宋体" w:asciiTheme="majorEastAsia" w:hAnsiTheme="majorEastAsia" w:eastAsiaTheme="majorEastAsia"/>
          <w:highlight w:val="none"/>
        </w:rPr>
        <w:t xml:space="preserve">（8）被责令停业的； </w:t>
      </w:r>
    </w:p>
    <w:p w14:paraId="27B4027B">
      <w:pPr>
        <w:spacing w:line="520" w:lineRule="exact"/>
        <w:ind w:firstLine="410" w:firstLineChars="171"/>
        <w:rPr>
          <w:rFonts w:cs="宋体" w:asciiTheme="majorEastAsia" w:hAnsiTheme="majorEastAsia" w:eastAsiaTheme="majorEastAsia"/>
          <w:highlight w:val="none"/>
        </w:rPr>
      </w:pPr>
      <w:r>
        <w:rPr>
          <w:rFonts w:hint="eastAsia" w:cs="宋体" w:asciiTheme="majorEastAsia" w:hAnsiTheme="majorEastAsia" w:eastAsiaTheme="majorEastAsia"/>
          <w:highlight w:val="none"/>
        </w:rPr>
        <w:t xml:space="preserve">（9）被暂停或取消投标资格的； </w:t>
      </w:r>
    </w:p>
    <w:p w14:paraId="7A52CD72">
      <w:pPr>
        <w:spacing w:line="520" w:lineRule="exact"/>
        <w:ind w:firstLine="410" w:firstLineChars="171"/>
        <w:rPr>
          <w:rFonts w:cs="宋体" w:asciiTheme="majorEastAsia" w:hAnsiTheme="majorEastAsia" w:eastAsiaTheme="majorEastAsia"/>
          <w:highlight w:val="none"/>
        </w:rPr>
      </w:pPr>
      <w:r>
        <w:rPr>
          <w:rFonts w:hint="eastAsia" w:cs="宋体" w:asciiTheme="majorEastAsia" w:hAnsiTheme="majorEastAsia" w:eastAsiaTheme="majorEastAsia"/>
          <w:highlight w:val="none"/>
        </w:rPr>
        <w:t>（10）财产被接管或冻结的；</w:t>
      </w:r>
    </w:p>
    <w:p w14:paraId="50DE96D3">
      <w:pPr>
        <w:spacing w:line="520" w:lineRule="exact"/>
        <w:ind w:firstLine="410" w:firstLineChars="171"/>
        <w:rPr>
          <w:rFonts w:cs="宋体" w:asciiTheme="majorEastAsia" w:hAnsiTheme="majorEastAsia" w:eastAsiaTheme="majorEastAsia"/>
          <w:highlight w:val="none"/>
        </w:rPr>
      </w:pPr>
      <w:r>
        <w:rPr>
          <w:rFonts w:hint="eastAsia" w:cs="宋体" w:asciiTheme="majorEastAsia" w:hAnsiTheme="majorEastAsia" w:eastAsiaTheme="majorEastAsia"/>
          <w:highlight w:val="none"/>
        </w:rPr>
        <w:t>（11）在最近三年内有骗取中标或严重违约或重大工程质量问题的。</w:t>
      </w:r>
    </w:p>
    <w:p w14:paraId="113024B1">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1.4.4 单位负责人为同一人或者存在控股、管理关系的不同单位，不得同时参加本招标项目投标。</w:t>
      </w:r>
    </w:p>
    <w:p w14:paraId="0A93CFD2">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1.5 费用承担</w:t>
      </w:r>
    </w:p>
    <w:p w14:paraId="79760E36">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1.5.1投标人在投标过程中的一切费用，不论中标与否，均由投标人自行承担。</w:t>
      </w:r>
    </w:p>
    <w:p w14:paraId="75FD22ED">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1.5.2公证费由中标人承担。</w:t>
      </w:r>
    </w:p>
    <w:p w14:paraId="35E7CC14">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1.5.3中标人需承担本项目中标服务费</w:t>
      </w:r>
      <w:r>
        <w:rPr>
          <w:rFonts w:hint="eastAsia" w:cs="宋体" w:asciiTheme="majorEastAsia" w:hAnsiTheme="majorEastAsia" w:eastAsiaTheme="majorEastAsia"/>
          <w:highlight w:val="none"/>
          <w:lang w:eastAsia="zh-CN"/>
        </w:rPr>
        <w:t>，</w:t>
      </w:r>
      <w:r>
        <w:rPr>
          <w:rFonts w:hint="eastAsia" w:cs="宋体" w:asciiTheme="majorEastAsia" w:hAnsiTheme="majorEastAsia" w:eastAsiaTheme="majorEastAsia"/>
          <w:highlight w:val="none"/>
          <w:lang w:val="en-US" w:eastAsia="zh-CN"/>
        </w:rPr>
        <w:t>中标服务费参</w:t>
      </w:r>
      <w:r>
        <w:rPr>
          <w:rFonts w:hint="eastAsia" w:cs="宋体" w:asciiTheme="majorEastAsia" w:hAnsiTheme="majorEastAsia" w:eastAsiaTheme="majorEastAsia"/>
          <w:highlight w:val="none"/>
        </w:rPr>
        <w:t>照原国家计委《关于印发&lt;招标代理服务收费管理暂行办法&gt;的通知》（计价格〔2002〕1980号</w:t>
      </w:r>
      <w:r>
        <w:rPr>
          <w:rFonts w:hint="eastAsia" w:cs="宋体" w:asciiTheme="majorEastAsia" w:hAnsiTheme="majorEastAsia" w:eastAsiaTheme="majorEastAsia"/>
          <w:highlight w:val="none"/>
          <w:lang w:val="en-US" w:eastAsia="zh-CN"/>
        </w:rPr>
        <w:t>文</w:t>
      </w:r>
      <w:r>
        <w:rPr>
          <w:rFonts w:hint="eastAsia" w:cs="宋体" w:asciiTheme="majorEastAsia" w:hAnsiTheme="majorEastAsia" w:eastAsiaTheme="majorEastAsia"/>
          <w:highlight w:val="none"/>
        </w:rPr>
        <w:t>）中收费标准下浮</w:t>
      </w:r>
      <w:r>
        <w:rPr>
          <w:rFonts w:hint="eastAsia" w:cs="宋体" w:asciiTheme="majorEastAsia" w:hAnsiTheme="majorEastAsia" w:eastAsiaTheme="majorEastAsia"/>
          <w:highlight w:val="none"/>
          <w:lang w:val="en-US" w:eastAsia="zh-CN"/>
        </w:rPr>
        <w:t>20</w:t>
      </w:r>
      <w:r>
        <w:rPr>
          <w:rFonts w:hint="eastAsia" w:cs="宋体" w:asciiTheme="majorEastAsia" w:hAnsiTheme="majorEastAsia" w:eastAsiaTheme="majorEastAsia"/>
          <w:highlight w:val="none"/>
        </w:rPr>
        <w:t>%收取</w:t>
      </w:r>
      <w:r>
        <w:rPr>
          <w:rFonts w:hint="eastAsia" w:cs="宋体" w:asciiTheme="majorEastAsia" w:hAnsiTheme="majorEastAsia" w:eastAsiaTheme="majorEastAsia"/>
          <w:highlight w:val="none"/>
          <w:lang w:eastAsia="zh-CN"/>
        </w:rPr>
        <w:t>（</w:t>
      </w:r>
      <w:r>
        <w:rPr>
          <w:rFonts w:hint="eastAsia" w:cs="宋体" w:asciiTheme="majorEastAsia" w:hAnsiTheme="majorEastAsia" w:eastAsiaTheme="majorEastAsia"/>
          <w:highlight w:val="none"/>
          <w:lang w:val="en-US" w:eastAsia="zh-CN"/>
        </w:rPr>
        <w:t>按照设计及施工分别计算）</w:t>
      </w:r>
      <w:r>
        <w:rPr>
          <w:rFonts w:hint="eastAsia" w:cs="宋体" w:asciiTheme="majorEastAsia" w:hAnsiTheme="majorEastAsia" w:eastAsiaTheme="majorEastAsia"/>
          <w:highlight w:val="none"/>
        </w:rPr>
        <w:t>。</w:t>
      </w:r>
    </w:p>
    <w:p w14:paraId="74C36D9B">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1.5.4项目前期相关设计规划成果将作为项目方案设计的基础，前期成果相关费用由中标人承担。</w:t>
      </w:r>
    </w:p>
    <w:p w14:paraId="589D7CBB">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1.6 保密</w:t>
      </w:r>
    </w:p>
    <w:p w14:paraId="2F86B87A">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参与招标投标活动的各方应对招标文件和投标文件中的商业和技术等秘密保密，违者应对由此造成的后果承担法律责任。</w:t>
      </w:r>
    </w:p>
    <w:p w14:paraId="0EC0E0DE">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1.7 语言文字</w:t>
      </w:r>
    </w:p>
    <w:p w14:paraId="3EED7284">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除专用术语外，与招标投标有关的语言均使用中文。必要时专用术语应附有中文注释。</w:t>
      </w:r>
    </w:p>
    <w:p w14:paraId="5100A01A">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1.8 计量单位</w:t>
      </w:r>
    </w:p>
    <w:p w14:paraId="66392394">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所有计量均采用中华人民共和国法定计量单位。</w:t>
      </w:r>
    </w:p>
    <w:p w14:paraId="23B150DE">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1.9 踏勘现场</w:t>
      </w:r>
    </w:p>
    <w:p w14:paraId="0780BC68">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1.9.1 投标人须知前附表规定组织踏勘现场的，招标人按投标人须知前附表规定的时间、地点组织投标人踏勘项目现场。</w:t>
      </w:r>
    </w:p>
    <w:p w14:paraId="31147AC0">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1.9.2 投标人踏勘现场发生的费用自理。</w:t>
      </w:r>
    </w:p>
    <w:p w14:paraId="159CAF85">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1.9.3 除招标人的原因外，投标人自行负责在踏勘现场中所发生的人员伤亡和财产损失。</w:t>
      </w:r>
    </w:p>
    <w:p w14:paraId="3EBBC29D">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1.9.4 招标人在踏勘现场中介绍的工程场地和相关的周边环境情况，供投标人在编制投标文件时参考，招标人不对投标人据此作出的判断和决策负责。</w:t>
      </w:r>
    </w:p>
    <w:p w14:paraId="0630F216">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1.10 投标预备会</w:t>
      </w:r>
    </w:p>
    <w:p w14:paraId="3F259BFF">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1.10.1 投标人须知前附表规定召开投标预备会的，招标人按投标人须知前附表规定的时间和地点召开投标预备会，澄清投标人提出的问题。</w:t>
      </w:r>
    </w:p>
    <w:p w14:paraId="32DB821E">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1.10.2 投标人应在投标人须知前附表规定的时间前，以交易系统电子化形式将提出的问题进行提出。</w:t>
      </w:r>
    </w:p>
    <w:p w14:paraId="4ADCE3F6">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1.10.3 投标预备会后，招标人在投标人须知前附表规定的时间内，将对投标人所提问题的澄清通知所有购买招标文件的投标人。该澄清内容为招标文件的组成部分。</w:t>
      </w:r>
    </w:p>
    <w:p w14:paraId="573328FA">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1.11 分包</w:t>
      </w:r>
    </w:p>
    <w:p w14:paraId="39A94EC5">
      <w:pPr>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（1）设计：主体、关键性工作不允许分包。</w:t>
      </w:r>
    </w:p>
    <w:p w14:paraId="4D80D2E4">
      <w:pPr>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（2）施工：主体、关键性工作不允许分包。</w:t>
      </w:r>
    </w:p>
    <w:p w14:paraId="0D82E98D">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1.12 偏离</w:t>
      </w:r>
    </w:p>
    <w:p w14:paraId="0C7DA82F">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投标人须知前附表允许投标文件偏离招标文件某些要求的，偏离应当符合招标文件规定的偏离范围和幅度。</w:t>
      </w:r>
    </w:p>
    <w:p w14:paraId="4060FD82">
      <w:pPr>
        <w:pStyle w:val="135"/>
        <w:spacing w:line="520" w:lineRule="exact"/>
        <w:rPr>
          <w:rFonts w:cs="宋体" w:asciiTheme="majorEastAsia" w:hAnsiTheme="majorEastAsia" w:eastAsiaTheme="majorEastAsia"/>
          <w:szCs w:val="24"/>
          <w:highlight w:val="none"/>
        </w:rPr>
      </w:pPr>
      <w:bookmarkStart w:id="169" w:name="_Toc318105128"/>
      <w:bookmarkStart w:id="170" w:name="_Toc184635072"/>
      <w:r>
        <w:rPr>
          <w:rFonts w:hint="eastAsia" w:cs="宋体" w:asciiTheme="majorEastAsia" w:hAnsiTheme="majorEastAsia" w:eastAsiaTheme="majorEastAsia"/>
          <w:szCs w:val="24"/>
          <w:highlight w:val="none"/>
        </w:rPr>
        <w:t>2、招标文件</w:t>
      </w:r>
      <w:bookmarkEnd w:id="169"/>
      <w:bookmarkEnd w:id="170"/>
    </w:p>
    <w:p w14:paraId="2B8210AE">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2.1 招标文件的组成</w:t>
      </w:r>
    </w:p>
    <w:p w14:paraId="05CECE51">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本招标文件包括：</w:t>
      </w:r>
    </w:p>
    <w:p w14:paraId="746FB436">
      <w:pPr>
        <w:spacing w:line="520" w:lineRule="exact"/>
        <w:ind w:left="482"/>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（1）</w:t>
      </w:r>
      <w:r>
        <w:rPr>
          <w:rStyle w:val="74"/>
          <w:rFonts w:hint="eastAsia" w:cs="宋体" w:asciiTheme="majorEastAsia" w:hAnsiTheme="majorEastAsia" w:eastAsiaTheme="majorEastAsia"/>
          <w:color w:val="auto"/>
          <w:highlight w:val="none"/>
          <w:u w:val="none"/>
        </w:rPr>
        <w:t>招标公告；</w:t>
      </w:r>
    </w:p>
    <w:p w14:paraId="2099A44F">
      <w:pPr>
        <w:spacing w:line="520" w:lineRule="exact"/>
        <w:ind w:left="482"/>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（2）投标人须知；</w:t>
      </w:r>
    </w:p>
    <w:p w14:paraId="48CCD224">
      <w:pPr>
        <w:spacing w:line="520" w:lineRule="exact"/>
        <w:ind w:left="482"/>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（3）评标方法（综合评估法）；</w:t>
      </w:r>
    </w:p>
    <w:p w14:paraId="77AA5EE3">
      <w:pPr>
        <w:spacing w:line="520" w:lineRule="exact"/>
        <w:ind w:left="482"/>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（4）合同条款及格式；</w:t>
      </w:r>
    </w:p>
    <w:p w14:paraId="3A37F262">
      <w:pPr>
        <w:spacing w:line="520" w:lineRule="exact"/>
        <w:ind w:left="482"/>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（5）规范及标准；</w:t>
      </w:r>
    </w:p>
    <w:p w14:paraId="7279EDC1">
      <w:pPr>
        <w:spacing w:line="520" w:lineRule="exact"/>
        <w:ind w:left="482"/>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（6）发包人提供的资料；</w:t>
      </w:r>
    </w:p>
    <w:p w14:paraId="3E355716">
      <w:pPr>
        <w:spacing w:line="520" w:lineRule="exact"/>
        <w:ind w:left="482"/>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（7）投标文件格式；</w:t>
      </w:r>
    </w:p>
    <w:p w14:paraId="5CBC4D04">
      <w:pPr>
        <w:spacing w:line="520" w:lineRule="exact"/>
        <w:ind w:left="482"/>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（8）投标人须知前附表规定的其他资料。</w:t>
      </w:r>
    </w:p>
    <w:p w14:paraId="05604E5D">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根据本章第1.10 款、第2.2 款和第2.3 款对招标文件所作的澄清、修改，构成招标文件的组成部分。</w:t>
      </w:r>
    </w:p>
    <w:p w14:paraId="2D1318AA">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2.2 招标文件的澄清</w:t>
      </w:r>
    </w:p>
    <w:p w14:paraId="6DA5F285">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2.2.1投标人应仔细阅读和检查招标文件文件的全部内容。如发现缺页或附件不全，应及时向招标人提出，以便补齐。如有疑问，应在投标人须知前附表规定的时间前以在线提交，要求招标人对招标文件予以澄清。</w:t>
      </w:r>
    </w:p>
    <w:p w14:paraId="35DA9D34">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2.2.2所有获取了招标文件的投标人凭企业数字证书（CA）登录</w:t>
      </w:r>
      <w:r>
        <w:rPr>
          <w:rFonts w:hint="eastAsia" w:hAnsi="宋体"/>
          <w:highlight w:val="none"/>
        </w:rPr>
        <w:t>“云南省公共资源交易信息网（网址：https://ggzy.yn.gov.cn/#/homePage，点击切换至“普洱市”）”</w:t>
      </w:r>
      <w:r>
        <w:rPr>
          <w:rFonts w:hint="eastAsia" w:cs="宋体" w:asciiTheme="majorEastAsia" w:hAnsiTheme="majorEastAsia" w:eastAsiaTheme="majorEastAsia"/>
          <w:highlight w:val="none"/>
        </w:rPr>
        <w:t>，通过在线方式进行不署名提问。</w:t>
      </w:r>
    </w:p>
    <w:p w14:paraId="310AE01B">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2.3 招标文件的修改</w:t>
      </w:r>
    </w:p>
    <w:p w14:paraId="11D12B7E">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2.3.1 在投标截止时间15天前，招标人可以修改招标文件内容，将同时发布补遗文件进行说明，以保证各投标人都能重新下载并用于编制电子投标文件。如果修改招标文件的时间距投标截止时间不足15天且影响投标文件编制的，相应延长投标截止时间。</w:t>
      </w:r>
    </w:p>
    <w:p w14:paraId="582179DB">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2.3.2投标人应在投标截止时间前及时登录</w:t>
      </w:r>
      <w:r>
        <w:rPr>
          <w:rFonts w:hint="eastAsia" w:hAnsi="宋体"/>
          <w:highlight w:val="none"/>
        </w:rPr>
        <w:t>“云南省公共资源交易信息网（网址：https://ggzy.yn.gov.cn/#/homePage，点击切换至“普洱市”）”</w:t>
      </w:r>
      <w:r>
        <w:rPr>
          <w:rFonts w:hint="eastAsia" w:cs="宋体" w:asciiTheme="majorEastAsia" w:hAnsiTheme="majorEastAsia" w:eastAsiaTheme="majorEastAsia"/>
          <w:highlight w:val="none"/>
        </w:rPr>
        <w:t>中查看有关该工程投标文件的答疑、补遗内容。否则，后果自负。</w:t>
      </w:r>
    </w:p>
    <w:p w14:paraId="23CA2968">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2.3.3招标文件澄清、招标文件修改文件内容均以网上电子文件为准，当招标文件、招标文件澄清、招标文件修改文件内容后前相互矛盾时，以最后发出的为准。</w:t>
      </w:r>
    </w:p>
    <w:p w14:paraId="088AF49C">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2.3.4投标人或者其他利害关系人对招标文件有异议的，应当在投标截止时间10日前提出。招标人应当自收到异议之日起3日内作出答复；作出答复前，应当暂停招标投标活动。</w:t>
      </w:r>
    </w:p>
    <w:p w14:paraId="0B3A3302">
      <w:pPr>
        <w:pStyle w:val="135"/>
        <w:spacing w:line="520" w:lineRule="exact"/>
        <w:rPr>
          <w:rFonts w:cs="宋体" w:asciiTheme="majorEastAsia" w:hAnsiTheme="majorEastAsia" w:eastAsiaTheme="majorEastAsia"/>
          <w:szCs w:val="24"/>
          <w:highlight w:val="none"/>
        </w:rPr>
      </w:pPr>
      <w:bookmarkStart w:id="171" w:name="_Toc184635073"/>
      <w:bookmarkStart w:id="172" w:name="_Toc318105129"/>
      <w:r>
        <w:rPr>
          <w:rFonts w:hint="eastAsia" w:cs="宋体" w:asciiTheme="majorEastAsia" w:hAnsiTheme="majorEastAsia" w:eastAsiaTheme="majorEastAsia"/>
          <w:szCs w:val="24"/>
          <w:highlight w:val="none"/>
        </w:rPr>
        <w:t>3、投标文件</w:t>
      </w:r>
      <w:bookmarkEnd w:id="171"/>
      <w:bookmarkEnd w:id="172"/>
    </w:p>
    <w:p w14:paraId="28D0EEEC">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3.1投标文件内容</w:t>
      </w:r>
    </w:p>
    <w:p w14:paraId="6381B83E">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3.1.1投标文件应包括第</w:t>
      </w:r>
      <w:r>
        <w:rPr>
          <w:rFonts w:hint="eastAsia" w:cs="宋体" w:asciiTheme="majorEastAsia" w:hAnsiTheme="majorEastAsia" w:eastAsiaTheme="majorEastAsia"/>
          <w:highlight w:val="none"/>
          <w:lang w:val="en-US" w:eastAsia="zh-CN"/>
        </w:rPr>
        <w:t>六</w:t>
      </w:r>
      <w:r>
        <w:rPr>
          <w:rFonts w:hint="eastAsia" w:cs="宋体" w:asciiTheme="majorEastAsia" w:hAnsiTheme="majorEastAsia" w:eastAsiaTheme="majorEastAsia"/>
          <w:highlight w:val="none"/>
        </w:rPr>
        <w:t>章《投标文件格式》所列内容。</w:t>
      </w:r>
    </w:p>
    <w:p w14:paraId="650B1366">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3.2 招标控制价与投标报价</w:t>
      </w:r>
    </w:p>
    <w:p w14:paraId="1A514587">
      <w:pPr>
        <w:widowControl w:val="0"/>
        <w:autoSpaceDE w:val="0"/>
        <w:autoSpaceDN w:val="0"/>
        <w:adjustRightInd w:val="0"/>
        <w:spacing w:line="520" w:lineRule="exact"/>
        <w:ind w:firstLine="480" w:firstLineChars="200"/>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3.2.1招标控制价：见投标人须知前附表。</w:t>
      </w:r>
    </w:p>
    <w:p w14:paraId="7BAE8525">
      <w:pPr>
        <w:widowControl w:val="0"/>
        <w:autoSpaceDE w:val="0"/>
        <w:autoSpaceDN w:val="0"/>
        <w:adjustRightInd w:val="0"/>
        <w:spacing w:line="520" w:lineRule="exact"/>
        <w:ind w:firstLine="480" w:firstLineChars="200"/>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3.2.2投标报价：见投标人须知前附表。</w:t>
      </w:r>
    </w:p>
    <w:p w14:paraId="702E3847">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3.3 投标有效期</w:t>
      </w:r>
    </w:p>
    <w:p w14:paraId="224E7D5A">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3.3.1 在投标人须知前附表规定的投标有效期内，投标人不得要求撤销或修改其投标文件。</w:t>
      </w:r>
    </w:p>
    <w:p w14:paraId="662F7575">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3.3.2 出现特殊情况需要延长投标有效期的，招标人以书面形式通知所有投标人延长投标有效期。投标人同意延长的，但不得要求或被允许修改或撤销其投标文件；投标人拒绝延长的，其投标失效。</w:t>
      </w:r>
    </w:p>
    <w:p w14:paraId="4E034C45">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3.4 投标保证金</w:t>
      </w:r>
    </w:p>
    <w:p w14:paraId="3F1AA91A">
      <w:pPr>
        <w:pStyle w:val="186"/>
        <w:spacing w:line="520" w:lineRule="exact"/>
        <w:ind w:firstLine="240" w:firstLineChars="100"/>
        <w:outlineLvl w:val="9"/>
        <w:rPr>
          <w:rFonts w:cs="宋体" w:asciiTheme="majorEastAsia" w:hAnsiTheme="majorEastAsia" w:eastAsiaTheme="majorEastAsia"/>
          <w:b w:val="0"/>
          <w:kern w:val="0"/>
          <w:szCs w:val="24"/>
          <w:highlight w:val="none"/>
        </w:rPr>
      </w:pPr>
      <w:r>
        <w:rPr>
          <w:rFonts w:hint="eastAsia" w:cs="宋体" w:asciiTheme="majorEastAsia" w:hAnsiTheme="majorEastAsia" w:eastAsiaTheme="majorEastAsia"/>
          <w:b w:val="0"/>
          <w:kern w:val="0"/>
          <w:szCs w:val="24"/>
          <w:highlight w:val="none"/>
          <w:lang w:val="en-US" w:eastAsia="zh-CN"/>
        </w:rPr>
        <w:t>见投标人须知前附表。</w:t>
      </w:r>
    </w:p>
    <w:p w14:paraId="7F5B6774">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3.5 资格审查文件的编制要求</w:t>
      </w:r>
    </w:p>
    <w:p w14:paraId="355C6E5E">
      <w:pPr>
        <w:spacing w:line="520" w:lineRule="exact"/>
        <w:ind w:firstLine="480" w:firstLineChars="200"/>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3.5.1 “投标人基本情况表”应附投标人营业执照副本、资质证书副本等材料的扫描件。</w:t>
      </w:r>
    </w:p>
    <w:p w14:paraId="63EB481F">
      <w:pPr>
        <w:adjustRightInd w:val="0"/>
        <w:snapToGrid w:val="0"/>
        <w:spacing w:line="520" w:lineRule="exact"/>
        <w:ind w:firstLine="480" w:firstLineChars="200"/>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3.5.2“</w:t>
      </w:r>
      <w:r>
        <w:rPr>
          <w:rFonts w:hint="eastAsia" w:cs="宋体" w:asciiTheme="majorEastAsia" w:hAnsiTheme="majorEastAsia" w:eastAsiaTheme="majorEastAsia"/>
          <w:highlight w:val="none"/>
          <w:lang w:val="en-US" w:eastAsia="zh-CN"/>
        </w:rPr>
        <w:t>2022年至2024年</w:t>
      </w:r>
      <w:r>
        <w:rPr>
          <w:rFonts w:hint="eastAsia" w:cs="宋体" w:asciiTheme="majorEastAsia" w:hAnsiTheme="majorEastAsia" w:eastAsiaTheme="majorEastAsia"/>
          <w:highlight w:val="none"/>
        </w:rPr>
        <w:t>财务状况表” 应附</w:t>
      </w:r>
      <w:r>
        <w:rPr>
          <w:rFonts w:hint="eastAsia" w:cs="宋体" w:asciiTheme="majorEastAsia" w:hAnsiTheme="majorEastAsia" w:eastAsiaTheme="majorEastAsia"/>
          <w:highlight w:val="none"/>
          <w:lang w:val="en-US" w:eastAsia="zh-CN"/>
        </w:rPr>
        <w:t>2022年至2024年</w:t>
      </w:r>
      <w:r>
        <w:rPr>
          <w:rFonts w:hint="eastAsia" w:cs="宋体" w:asciiTheme="majorEastAsia" w:hAnsiTheme="majorEastAsia" w:eastAsiaTheme="majorEastAsia"/>
          <w:highlight w:val="none"/>
        </w:rPr>
        <w:t>经第三方审计的审计报告</w:t>
      </w:r>
      <w:r>
        <w:rPr>
          <w:rFonts w:hint="eastAsia" w:cs="宋体" w:asciiTheme="majorEastAsia" w:hAnsiTheme="majorEastAsia" w:eastAsiaTheme="majorEastAsia"/>
          <w:highlight w:val="none"/>
          <w:lang w:val="en-US" w:eastAsia="zh-CN"/>
        </w:rPr>
        <w:t>或</w:t>
      </w:r>
      <w:r>
        <w:rPr>
          <w:rFonts w:hint="eastAsia" w:cs="宋体" w:asciiTheme="majorEastAsia" w:hAnsiTheme="majorEastAsia" w:eastAsiaTheme="majorEastAsia"/>
          <w:highlight w:val="none"/>
        </w:rPr>
        <w:t>财务报表（包括资产负债表、利润表、现金流量表），成立不满3年的，提供自成立至今经第三方审计的审计报告</w:t>
      </w:r>
      <w:r>
        <w:rPr>
          <w:rFonts w:hint="eastAsia" w:cs="宋体" w:asciiTheme="majorEastAsia" w:hAnsiTheme="majorEastAsia" w:eastAsiaTheme="majorEastAsia"/>
          <w:highlight w:val="none"/>
          <w:lang w:val="en-US" w:eastAsia="zh-CN"/>
        </w:rPr>
        <w:t>或</w:t>
      </w:r>
      <w:r>
        <w:rPr>
          <w:rFonts w:hint="eastAsia" w:cs="宋体" w:asciiTheme="majorEastAsia" w:hAnsiTheme="majorEastAsia" w:eastAsiaTheme="majorEastAsia"/>
          <w:highlight w:val="none"/>
        </w:rPr>
        <w:t>财务报表（包括资产负债表、利润表、现金流量表），成立不满1年的，提供自成立至今自行编制的财务报表（包括资产负债表、利润表、现金流量表），若为联合体投标的，</w:t>
      </w:r>
      <w:r>
        <w:rPr>
          <w:rFonts w:hint="eastAsia" w:asciiTheme="majorEastAsia" w:hAnsiTheme="majorEastAsia" w:eastAsiaTheme="majorEastAsia"/>
          <w:highlight w:val="none"/>
        </w:rPr>
        <w:t>联合体</w:t>
      </w:r>
      <w:r>
        <w:rPr>
          <w:rFonts w:hint="eastAsia" w:asciiTheme="majorEastAsia" w:hAnsiTheme="majorEastAsia" w:eastAsiaTheme="majorEastAsia"/>
          <w:highlight w:val="none"/>
          <w:lang w:val="en-US" w:eastAsia="zh-CN"/>
        </w:rPr>
        <w:t>牵头人</w:t>
      </w:r>
      <w:r>
        <w:rPr>
          <w:rFonts w:hint="eastAsia" w:asciiTheme="majorEastAsia" w:hAnsiTheme="majorEastAsia" w:eastAsiaTheme="majorEastAsia"/>
          <w:highlight w:val="none"/>
        </w:rPr>
        <w:t>提供</w:t>
      </w:r>
      <w:r>
        <w:rPr>
          <w:rFonts w:hint="eastAsia" w:cs="宋体" w:asciiTheme="majorEastAsia" w:hAnsiTheme="majorEastAsia" w:eastAsiaTheme="majorEastAsia"/>
          <w:highlight w:val="none"/>
        </w:rPr>
        <w:t>。</w:t>
      </w:r>
    </w:p>
    <w:p w14:paraId="3E721F75">
      <w:pPr>
        <w:spacing w:line="520" w:lineRule="exact"/>
        <w:ind w:firstLine="480" w:firstLineChars="200"/>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3.5.</w:t>
      </w:r>
      <w:r>
        <w:rPr>
          <w:rFonts w:hint="eastAsia" w:cs="宋体" w:asciiTheme="majorEastAsia" w:hAnsiTheme="majorEastAsia" w:eastAsiaTheme="majorEastAsia"/>
          <w:highlight w:val="none"/>
          <w:lang w:val="en-US" w:eastAsia="zh-CN"/>
        </w:rPr>
        <w:t>3</w:t>
      </w:r>
      <w:r>
        <w:rPr>
          <w:rFonts w:hint="eastAsia" w:cs="宋体" w:asciiTheme="majorEastAsia" w:hAnsiTheme="majorEastAsia" w:eastAsiaTheme="majorEastAsia"/>
          <w:highlight w:val="none"/>
        </w:rPr>
        <w:t>投标人须知前附表规定接受联合体投标的，本章第3.5.1项至第3.5.</w:t>
      </w:r>
      <w:r>
        <w:rPr>
          <w:rFonts w:hint="eastAsia" w:cs="宋体" w:asciiTheme="majorEastAsia" w:hAnsiTheme="majorEastAsia" w:eastAsiaTheme="majorEastAsia"/>
          <w:highlight w:val="none"/>
          <w:lang w:val="en-US" w:eastAsia="zh-CN"/>
        </w:rPr>
        <w:t>2</w:t>
      </w:r>
      <w:r>
        <w:rPr>
          <w:rFonts w:hint="eastAsia" w:cs="宋体" w:asciiTheme="majorEastAsia" w:hAnsiTheme="majorEastAsia" w:eastAsiaTheme="majorEastAsia"/>
          <w:highlight w:val="none"/>
        </w:rPr>
        <w:t>项规定的表格和资料应包括联合体各方相关情况。</w:t>
      </w:r>
    </w:p>
    <w:p w14:paraId="78552849">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3.6 备选投标方案</w:t>
      </w:r>
    </w:p>
    <w:p w14:paraId="0ADE581C">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除投标人须知前附表另有规定外，投标人不得递交备选投标方案。</w:t>
      </w:r>
    </w:p>
    <w:p w14:paraId="235151C9">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3.7 投标文件的编制</w:t>
      </w:r>
    </w:p>
    <w:p w14:paraId="5F3A221F">
      <w:pPr>
        <w:pStyle w:val="144"/>
        <w:spacing w:line="520" w:lineRule="exact"/>
        <w:ind w:firstLine="480" w:firstLineChars="200"/>
        <w:jc w:val="both"/>
        <w:rPr>
          <w:rFonts w:cs="宋体" w:asciiTheme="majorEastAsia" w:hAnsiTheme="majorEastAsia" w:eastAsiaTheme="majorEastAsia"/>
          <w:color w:val="auto"/>
          <w:sz w:val="24"/>
          <w:szCs w:val="24"/>
          <w:highlight w:val="none"/>
        </w:rPr>
      </w:pPr>
      <w:bookmarkStart w:id="173" w:name="_Toc318105130"/>
      <w:bookmarkStart w:id="174" w:name="_Toc184635074"/>
      <w:r>
        <w:rPr>
          <w:rFonts w:hint="eastAsia" w:cs="宋体" w:asciiTheme="majorEastAsia" w:hAnsiTheme="majorEastAsia" w:eastAsiaTheme="majorEastAsia"/>
          <w:color w:val="auto"/>
          <w:sz w:val="24"/>
          <w:szCs w:val="24"/>
          <w:highlight w:val="none"/>
        </w:rPr>
        <w:t xml:space="preserve">投标人应按文件要求，编制完整的投标文件，并由投标人的法定代表人或其委托代理人电子签章。投标文件中的任何改动之处应加盖单位章或由投标人的法定代表人或其委托代理人签字确认。 </w:t>
      </w:r>
    </w:p>
    <w:p w14:paraId="043915B7">
      <w:pPr>
        <w:pStyle w:val="135"/>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4、投标</w:t>
      </w:r>
      <w:bookmarkEnd w:id="173"/>
      <w:bookmarkEnd w:id="174"/>
    </w:p>
    <w:p w14:paraId="2D296484">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4.1 投标文件的递交</w:t>
      </w:r>
    </w:p>
    <w:p w14:paraId="233C71CC">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4.2.1 投标人应在本章投标人须知前附表第2.2.2 项规定的投标截止时间前递交投标文件。</w:t>
      </w:r>
    </w:p>
    <w:p w14:paraId="2BBC2511">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4.2.2 除投标人须知前附表另有规定外，投标人所递交的投标文件不予退还。</w:t>
      </w:r>
    </w:p>
    <w:p w14:paraId="576D2D0A">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4.2 投标文件的修改与撤回</w:t>
      </w:r>
    </w:p>
    <w:p w14:paraId="7B8E3067">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在本章投标人须知前附表第2.2.2 项规定的投标截止时间前，投标人可以修改或撤回已递交的投标文件。</w:t>
      </w:r>
    </w:p>
    <w:p w14:paraId="2AF991CC">
      <w:pPr>
        <w:pStyle w:val="135"/>
        <w:spacing w:line="520" w:lineRule="exact"/>
        <w:rPr>
          <w:rFonts w:cs="宋体" w:asciiTheme="majorEastAsia" w:hAnsiTheme="majorEastAsia" w:eastAsiaTheme="majorEastAsia"/>
          <w:szCs w:val="24"/>
          <w:highlight w:val="none"/>
        </w:rPr>
      </w:pPr>
      <w:bookmarkStart w:id="175" w:name="_Toc184635075"/>
      <w:bookmarkStart w:id="176" w:name="_Toc318105131"/>
      <w:r>
        <w:rPr>
          <w:rFonts w:hint="eastAsia" w:cs="宋体" w:asciiTheme="majorEastAsia" w:hAnsiTheme="majorEastAsia" w:eastAsiaTheme="majorEastAsia"/>
          <w:szCs w:val="24"/>
          <w:highlight w:val="none"/>
        </w:rPr>
        <w:t>5、开标</w:t>
      </w:r>
      <w:bookmarkEnd w:id="175"/>
      <w:bookmarkEnd w:id="176"/>
    </w:p>
    <w:p w14:paraId="5399A776">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5.1 开标时间和地点</w:t>
      </w:r>
    </w:p>
    <w:p w14:paraId="2985B4FD">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招标人在本章投标人须知前附表第2.2.2 项规定的投标截止时间和投标人须知前附表规定的地点公开开标，并邀请所有投标人的法定代表人（若为联合体，联合体牵头单位法定代表人）或授权委托人（若为联合体，联合体牵头单位授权委托人）准时参加。</w:t>
      </w:r>
    </w:p>
    <w:p w14:paraId="2F2FD985">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5.2 开标程序</w:t>
      </w:r>
    </w:p>
    <w:p w14:paraId="4260C38A">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主持人按下列程序进行开标：</w:t>
      </w:r>
    </w:p>
    <w:p w14:paraId="5422E801">
      <w:pPr>
        <w:pStyle w:val="186"/>
        <w:spacing w:line="520" w:lineRule="exact"/>
        <w:ind w:firstLine="482"/>
        <w:outlineLvl w:val="9"/>
        <w:rPr>
          <w:rFonts w:cs="宋体" w:asciiTheme="majorEastAsia" w:hAnsiTheme="majorEastAsia" w:eastAsiaTheme="majorEastAsia"/>
          <w:b w:val="0"/>
          <w:kern w:val="0"/>
          <w:szCs w:val="24"/>
          <w:highlight w:val="none"/>
        </w:rPr>
      </w:pPr>
      <w:r>
        <w:rPr>
          <w:rFonts w:hint="eastAsia" w:cs="宋体" w:asciiTheme="majorEastAsia" w:hAnsiTheme="majorEastAsia" w:eastAsiaTheme="majorEastAsia"/>
          <w:b w:val="0"/>
          <w:kern w:val="0"/>
          <w:szCs w:val="24"/>
          <w:highlight w:val="none"/>
        </w:rPr>
        <w:t>（1）宣布开标纪律；</w:t>
      </w:r>
    </w:p>
    <w:p w14:paraId="7126712D">
      <w:pPr>
        <w:pStyle w:val="186"/>
        <w:spacing w:line="520" w:lineRule="exact"/>
        <w:ind w:firstLine="482"/>
        <w:outlineLvl w:val="9"/>
        <w:rPr>
          <w:rFonts w:cs="宋体" w:asciiTheme="majorEastAsia" w:hAnsiTheme="majorEastAsia" w:eastAsiaTheme="majorEastAsia"/>
          <w:b w:val="0"/>
          <w:kern w:val="0"/>
          <w:szCs w:val="24"/>
          <w:highlight w:val="none"/>
        </w:rPr>
      </w:pPr>
      <w:r>
        <w:rPr>
          <w:rFonts w:hint="eastAsia" w:cs="宋体" w:asciiTheme="majorEastAsia" w:hAnsiTheme="majorEastAsia" w:eastAsiaTheme="majorEastAsia"/>
          <w:b w:val="0"/>
          <w:kern w:val="0"/>
          <w:szCs w:val="24"/>
          <w:highlight w:val="none"/>
        </w:rPr>
        <w:t>（2）公布在投标截止时间前递交投标文件的投标人名称；</w:t>
      </w:r>
    </w:p>
    <w:p w14:paraId="050725AD">
      <w:pPr>
        <w:pStyle w:val="186"/>
        <w:spacing w:line="520" w:lineRule="exact"/>
        <w:ind w:firstLine="482"/>
        <w:outlineLvl w:val="9"/>
        <w:rPr>
          <w:rFonts w:cs="宋体" w:asciiTheme="majorEastAsia" w:hAnsiTheme="majorEastAsia" w:eastAsiaTheme="majorEastAsia"/>
          <w:b w:val="0"/>
          <w:kern w:val="0"/>
          <w:szCs w:val="24"/>
          <w:highlight w:val="none"/>
        </w:rPr>
      </w:pPr>
      <w:r>
        <w:rPr>
          <w:rFonts w:hint="eastAsia" w:cs="宋体" w:asciiTheme="majorEastAsia" w:hAnsiTheme="majorEastAsia" w:eastAsiaTheme="majorEastAsia"/>
          <w:b w:val="0"/>
          <w:kern w:val="0"/>
          <w:szCs w:val="24"/>
          <w:highlight w:val="none"/>
        </w:rPr>
        <w:t>（3）宣布开标人、唱标人、记录人、监标人等有关人员；</w:t>
      </w:r>
    </w:p>
    <w:p w14:paraId="6708FB22">
      <w:pPr>
        <w:pStyle w:val="186"/>
        <w:spacing w:line="520" w:lineRule="exact"/>
        <w:ind w:firstLine="482"/>
        <w:outlineLvl w:val="9"/>
        <w:rPr>
          <w:rFonts w:cs="宋体" w:asciiTheme="majorEastAsia" w:hAnsiTheme="majorEastAsia" w:eastAsiaTheme="majorEastAsia"/>
          <w:b w:val="0"/>
          <w:kern w:val="0"/>
          <w:szCs w:val="24"/>
          <w:highlight w:val="none"/>
        </w:rPr>
      </w:pPr>
      <w:r>
        <w:rPr>
          <w:rFonts w:hint="eastAsia" w:cs="宋体" w:asciiTheme="majorEastAsia" w:hAnsiTheme="majorEastAsia" w:eastAsiaTheme="majorEastAsia"/>
          <w:b w:val="0"/>
          <w:kern w:val="0"/>
          <w:szCs w:val="24"/>
          <w:highlight w:val="none"/>
        </w:rPr>
        <w:t>（4）</w:t>
      </w:r>
      <w:r>
        <w:rPr>
          <w:rFonts w:hint="eastAsia" w:cs="宋体" w:asciiTheme="majorEastAsia" w:hAnsiTheme="majorEastAsia" w:eastAsiaTheme="majorEastAsia"/>
          <w:b w:val="0"/>
          <w:szCs w:val="24"/>
          <w:highlight w:val="none"/>
        </w:rPr>
        <w:t>相关人员检查投标文件的密封情况；</w:t>
      </w:r>
    </w:p>
    <w:p w14:paraId="02166984">
      <w:pPr>
        <w:pStyle w:val="186"/>
        <w:spacing w:line="520" w:lineRule="exact"/>
        <w:ind w:firstLine="482"/>
        <w:outlineLvl w:val="9"/>
        <w:rPr>
          <w:rFonts w:cs="宋体" w:asciiTheme="majorEastAsia" w:hAnsiTheme="majorEastAsia" w:eastAsiaTheme="majorEastAsia"/>
          <w:b w:val="0"/>
          <w:kern w:val="0"/>
          <w:szCs w:val="24"/>
          <w:highlight w:val="none"/>
        </w:rPr>
      </w:pPr>
      <w:r>
        <w:rPr>
          <w:rFonts w:hint="eastAsia" w:cs="宋体" w:asciiTheme="majorEastAsia" w:hAnsiTheme="majorEastAsia" w:eastAsiaTheme="majorEastAsia"/>
          <w:b w:val="0"/>
          <w:kern w:val="0"/>
          <w:szCs w:val="24"/>
          <w:highlight w:val="none"/>
        </w:rPr>
        <w:t>（5）宣布投标文件（解密）开标顺序；</w:t>
      </w:r>
    </w:p>
    <w:p w14:paraId="428485DF">
      <w:pPr>
        <w:pStyle w:val="186"/>
        <w:spacing w:line="520" w:lineRule="exact"/>
        <w:ind w:firstLine="482"/>
        <w:outlineLvl w:val="9"/>
        <w:rPr>
          <w:rFonts w:cs="宋体" w:asciiTheme="majorEastAsia" w:hAnsiTheme="majorEastAsia" w:eastAsiaTheme="majorEastAsia"/>
          <w:b w:val="0"/>
          <w:kern w:val="0"/>
          <w:szCs w:val="24"/>
          <w:highlight w:val="none"/>
        </w:rPr>
      </w:pPr>
      <w:r>
        <w:rPr>
          <w:rFonts w:hint="eastAsia" w:cs="宋体" w:asciiTheme="majorEastAsia" w:hAnsiTheme="majorEastAsia" w:eastAsiaTheme="majorEastAsia"/>
          <w:b w:val="0"/>
          <w:kern w:val="0"/>
          <w:szCs w:val="24"/>
          <w:highlight w:val="none"/>
        </w:rPr>
        <w:t>（6）按照宣布的解密顺序当众开标，公布投标人相关内容并记录；</w:t>
      </w:r>
    </w:p>
    <w:p w14:paraId="752F96DA">
      <w:pPr>
        <w:pStyle w:val="186"/>
        <w:spacing w:line="520" w:lineRule="exact"/>
        <w:ind w:firstLine="482"/>
        <w:outlineLvl w:val="9"/>
        <w:rPr>
          <w:rFonts w:cs="宋体" w:asciiTheme="majorEastAsia" w:hAnsiTheme="majorEastAsia" w:eastAsiaTheme="majorEastAsia"/>
          <w:b w:val="0"/>
          <w:kern w:val="0"/>
          <w:szCs w:val="24"/>
          <w:highlight w:val="none"/>
        </w:rPr>
      </w:pPr>
      <w:r>
        <w:rPr>
          <w:rFonts w:hint="eastAsia" w:cs="宋体" w:asciiTheme="majorEastAsia" w:hAnsiTheme="majorEastAsia" w:eastAsiaTheme="majorEastAsia"/>
          <w:b w:val="0"/>
          <w:kern w:val="0"/>
          <w:szCs w:val="24"/>
          <w:highlight w:val="none"/>
        </w:rPr>
        <w:t>（7）投标人代表、监标人、记录人等有关人员在开标记录上签字确认；</w:t>
      </w:r>
    </w:p>
    <w:p w14:paraId="528783D3">
      <w:pPr>
        <w:pStyle w:val="186"/>
        <w:spacing w:line="520" w:lineRule="exact"/>
        <w:ind w:firstLine="482"/>
        <w:outlineLvl w:val="9"/>
        <w:rPr>
          <w:rFonts w:cs="宋体" w:asciiTheme="majorEastAsia" w:hAnsiTheme="majorEastAsia" w:eastAsiaTheme="majorEastAsia"/>
          <w:b w:val="0"/>
          <w:kern w:val="0"/>
          <w:szCs w:val="24"/>
          <w:highlight w:val="none"/>
        </w:rPr>
      </w:pPr>
      <w:r>
        <w:rPr>
          <w:rFonts w:hint="eastAsia" w:cs="宋体" w:asciiTheme="majorEastAsia" w:hAnsiTheme="majorEastAsia" w:eastAsiaTheme="majorEastAsia"/>
          <w:b w:val="0"/>
          <w:kern w:val="0"/>
          <w:szCs w:val="24"/>
          <w:highlight w:val="none"/>
        </w:rPr>
        <w:t>（8）宣布注意事项，开标结束。</w:t>
      </w:r>
    </w:p>
    <w:p w14:paraId="60C3A972">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5.3 开标异议</w:t>
      </w:r>
    </w:p>
    <w:p w14:paraId="6A2E2830">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投标人对开标有异议的，应当在开标现场提出，招标人当场作出答复，并制作记录。</w:t>
      </w:r>
    </w:p>
    <w:p w14:paraId="217BA70E">
      <w:pPr>
        <w:pStyle w:val="135"/>
        <w:spacing w:line="520" w:lineRule="exact"/>
        <w:rPr>
          <w:rFonts w:cs="宋体" w:asciiTheme="majorEastAsia" w:hAnsiTheme="majorEastAsia" w:eastAsiaTheme="majorEastAsia"/>
          <w:szCs w:val="24"/>
          <w:highlight w:val="none"/>
        </w:rPr>
      </w:pPr>
      <w:bookmarkStart w:id="177" w:name="_Toc184635076"/>
      <w:bookmarkStart w:id="178" w:name="_Toc318105132"/>
      <w:r>
        <w:rPr>
          <w:rFonts w:hint="eastAsia" w:cs="宋体" w:asciiTheme="majorEastAsia" w:hAnsiTheme="majorEastAsia" w:eastAsiaTheme="majorEastAsia"/>
          <w:szCs w:val="24"/>
          <w:highlight w:val="none"/>
        </w:rPr>
        <w:t>6、评标</w:t>
      </w:r>
      <w:bookmarkEnd w:id="177"/>
      <w:bookmarkEnd w:id="178"/>
    </w:p>
    <w:p w14:paraId="192CCF0D">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6.1 评标委员会</w:t>
      </w:r>
    </w:p>
    <w:p w14:paraId="6175E0D2">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6.1.1 评标由招标人依法组建的评标委员会负责。评标委员会成员人数以及技术、经济等方面专家的确定方式见投标人须知前附表。</w:t>
      </w:r>
    </w:p>
    <w:p w14:paraId="51D9ACE2">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6.1.2 评标委员会成员有下列情形之一的，应当回避：</w:t>
      </w:r>
    </w:p>
    <w:p w14:paraId="52A289E8">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（1）招标人或投标人的主要负责人的近亲属；</w:t>
      </w:r>
    </w:p>
    <w:p w14:paraId="469E288C">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（2）项目主管部门或者行政监督部门的人员：</w:t>
      </w:r>
    </w:p>
    <w:p w14:paraId="20E0FFA7">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（3）与投标人有经济利益关系，可能影响对投标公正评审的；</w:t>
      </w:r>
    </w:p>
    <w:p w14:paraId="2EF15C6B">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（4）曾因在招标、评标以及其他与招标投标有关活动中从事违法行为而受过行政处罚或刑事处罚的。</w:t>
      </w:r>
    </w:p>
    <w:p w14:paraId="7293E809">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（5）与其中任何一个投标人系一个单位的人员。</w:t>
      </w:r>
    </w:p>
    <w:p w14:paraId="683E9818">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6.2 评标原则</w:t>
      </w:r>
    </w:p>
    <w:p w14:paraId="5AF5E52D">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评标活动遵循公平、公正、科学和择优的原则。</w:t>
      </w:r>
    </w:p>
    <w:p w14:paraId="39B4EAC8">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6.3 评标</w:t>
      </w:r>
    </w:p>
    <w:p w14:paraId="264EEDE3">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评标委员会按照第三章“评标办法”规定的方法、评审因素、标准和程序对投标文件进行评审。第三章“评标办法”没有规定的方法、评审因素和标准，不作为评标依据。</w:t>
      </w:r>
    </w:p>
    <w:p w14:paraId="62525081">
      <w:pPr>
        <w:pStyle w:val="135"/>
        <w:spacing w:line="520" w:lineRule="exact"/>
        <w:rPr>
          <w:rFonts w:cs="宋体" w:asciiTheme="majorEastAsia" w:hAnsiTheme="majorEastAsia" w:eastAsiaTheme="majorEastAsia"/>
          <w:szCs w:val="24"/>
          <w:highlight w:val="none"/>
        </w:rPr>
      </w:pPr>
      <w:bookmarkStart w:id="179" w:name="_Toc318105133"/>
      <w:bookmarkStart w:id="180" w:name="_Toc184635077"/>
      <w:r>
        <w:rPr>
          <w:rFonts w:hint="eastAsia" w:cs="宋体" w:asciiTheme="majorEastAsia" w:hAnsiTheme="majorEastAsia" w:eastAsiaTheme="majorEastAsia"/>
          <w:szCs w:val="24"/>
          <w:highlight w:val="none"/>
        </w:rPr>
        <w:t>7、合同授予</w:t>
      </w:r>
      <w:bookmarkEnd w:id="179"/>
      <w:bookmarkEnd w:id="180"/>
    </w:p>
    <w:p w14:paraId="19F42E0B">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7.1 定标方式</w:t>
      </w:r>
    </w:p>
    <w:p w14:paraId="402D02C1">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除投标人须知前附表规定评标委员会直接确定中标人外，招标人依据评标委员会推荐的中标候选人确定中标人，评标委员会推荐中标候选人的人数见投标人须知前附表。</w:t>
      </w:r>
    </w:p>
    <w:p w14:paraId="56F9D66B">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7.2 中标候选人公示</w:t>
      </w:r>
    </w:p>
    <w:p w14:paraId="2364C1CF">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招标人在投标人须知前附表规定的媒介公示中标候选人。</w:t>
      </w:r>
    </w:p>
    <w:p w14:paraId="33AEB2D6">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7.3 中标通知书</w:t>
      </w:r>
    </w:p>
    <w:p w14:paraId="0A638BB5">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在本章第3.3款规定的投标有效期内，招标人以书面形式向中标人发出中标通知书，同时将中标结果通知未中标的投标人。</w:t>
      </w:r>
    </w:p>
    <w:p w14:paraId="311B0BD5">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7.4 签订合同</w:t>
      </w:r>
    </w:p>
    <w:p w14:paraId="6F234954">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7.4.1招标人和中标人应当自中标通知书发出之日起30天内，根据招标文件和中标人的投标文件订立书面合同。中标人无正当理由拒签合同的，招标人取消其中标资格。</w:t>
      </w:r>
    </w:p>
    <w:p w14:paraId="75200868">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7.4.2 发出中标通知书后，招标人无正当理由拒签合同，给中标人造成损失的，还应当赔偿损失。</w:t>
      </w:r>
    </w:p>
    <w:p w14:paraId="3FDAEBAC">
      <w:pPr>
        <w:pStyle w:val="135"/>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8、重新招标和不再招标</w:t>
      </w:r>
    </w:p>
    <w:p w14:paraId="39AF13F1">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8.1 重新招标</w:t>
      </w:r>
    </w:p>
    <w:p w14:paraId="1F664A88">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有下列情形之一的，招标人将重新招标：</w:t>
      </w:r>
    </w:p>
    <w:p w14:paraId="3D6622DC">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（1）投标截止时间止，</w:t>
      </w:r>
      <w:r>
        <w:rPr>
          <w:rFonts w:hint="eastAsia" w:cs="宋体" w:asciiTheme="majorEastAsia" w:hAnsiTheme="majorEastAsia" w:eastAsiaTheme="majorEastAsia"/>
          <w:highlight w:val="none"/>
          <w:lang w:val="en-US" w:eastAsia="zh-CN"/>
        </w:rPr>
        <w:t>递交投标文件的</w:t>
      </w:r>
      <w:r>
        <w:rPr>
          <w:rFonts w:hint="eastAsia" w:cs="宋体" w:asciiTheme="majorEastAsia" w:hAnsiTheme="majorEastAsia" w:eastAsiaTheme="majorEastAsia"/>
          <w:highlight w:val="none"/>
        </w:rPr>
        <w:t>少于3个的；</w:t>
      </w:r>
    </w:p>
    <w:p w14:paraId="398969E9">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（2）经评标委员会评审后否决所有投标的。</w:t>
      </w:r>
    </w:p>
    <w:p w14:paraId="3114D7DE">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8.2 不再招标</w:t>
      </w:r>
    </w:p>
    <w:p w14:paraId="20DD48A0">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重新招标后投标人仍少于3个或者所有投标被否决的，属于必须审批或核准的工程建设项目，经原审批或核准部门批准后不再进行招标。</w:t>
      </w:r>
    </w:p>
    <w:p w14:paraId="311C5094">
      <w:pPr>
        <w:pStyle w:val="135"/>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9、纪律和监督</w:t>
      </w:r>
    </w:p>
    <w:p w14:paraId="79B3AE04">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9.1 对招标人的纪律要求</w:t>
      </w:r>
    </w:p>
    <w:p w14:paraId="40648FAC">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招标人不得泄漏招标投标活动中应当保密的情况和资料，不得与投标人串通损害国家利益、社会公共利益或者他人合法权益。</w:t>
      </w:r>
    </w:p>
    <w:p w14:paraId="3E8FA2B1">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9.2 对投标人的纪律要求</w:t>
      </w:r>
    </w:p>
    <w:p w14:paraId="2CBE03F4">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5D265864">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9.3 对评标委员会成员的纪律要求</w:t>
      </w:r>
    </w:p>
    <w:p w14:paraId="5188662F">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0C9E0885">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9.4 对与评标活动有关的工作人员的纪律要求</w:t>
      </w:r>
    </w:p>
    <w:p w14:paraId="4D9BDB95">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657A7365">
      <w:pPr>
        <w:pStyle w:val="186"/>
        <w:spacing w:line="520" w:lineRule="exact"/>
        <w:rPr>
          <w:rFonts w:cs="宋体" w:asciiTheme="majorEastAsia" w:hAnsiTheme="majorEastAsia" w:eastAsiaTheme="majorEastAsia"/>
          <w:szCs w:val="24"/>
          <w:highlight w:val="none"/>
        </w:rPr>
      </w:pPr>
      <w:bookmarkStart w:id="181" w:name="_Toc184635080"/>
      <w:bookmarkStart w:id="182" w:name="_Toc318105136"/>
      <w:r>
        <w:rPr>
          <w:rFonts w:hint="eastAsia" w:cs="宋体" w:asciiTheme="majorEastAsia" w:hAnsiTheme="majorEastAsia" w:eastAsiaTheme="majorEastAsia"/>
          <w:szCs w:val="24"/>
          <w:highlight w:val="none"/>
        </w:rPr>
        <w:t>9.5异议</w:t>
      </w:r>
    </w:p>
    <w:p w14:paraId="6877368E">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9.5.1潜在投标人或者其他利害关系人对招标文件有异议的，应当在投标截止时间10日前以书面形式向招标人或招标代理公司提出。招标人在收到异议之日起3日内作出书面答复；作出答复前，暂停招标投标活动。</w:t>
      </w:r>
    </w:p>
    <w:p w14:paraId="2A137328">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9.5.2投标人认为开标不符合有关规定的，应当在开标现场提出异议。招标人应当场对异议给予书面答复或者处理。异议和答复应记入开标记录或者制作专门记录以存档备查。</w:t>
      </w:r>
    </w:p>
    <w:p w14:paraId="3022CE9F">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9.5.3投标人及其他利害关系人对评标结果有异议的，应当在中标候选人公示期内以书面形式向招标人或招标代理公司提出。招标人将在收到异议之日起3日内作出书面答复；作出答复前，暂停招标投标活动。</w:t>
      </w:r>
    </w:p>
    <w:p w14:paraId="719E5438">
      <w:pPr>
        <w:pStyle w:val="186"/>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9.6投诉</w:t>
      </w:r>
    </w:p>
    <w:p w14:paraId="49DCDA78">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人和其他利害关系人认为招标投标活动不符合法律、法规和规章规定的，有权依法向有关行政监督部门投诉。其他利害关系人是指投标人以外的，与招标项目或者招标活动有直接和间接利益关系的法人、其他组织和个人。</w:t>
      </w:r>
    </w:p>
    <w:p w14:paraId="4275D2B2">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9.6.1投诉人应当在知道或者应当知道其权益受到侵害之日起10日内提出书面投诉。投诉书应当包括：投诉人的名称、地址及有效联系方式；被投诉人的名称、地址及有效联系方式；投诉事项的基本事实；相关请求及主张；有效线索和相关证明材料。</w:t>
      </w:r>
    </w:p>
    <w:p w14:paraId="6C55564A">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投诉人是法人的，投诉书必须由其法定代表人或者授权代表签字并盖章；其他组织或者个人投诉的，投诉书必须由其主要负责人或者投诉人本人签字，并附有效身份证明复印件。</w:t>
      </w:r>
    </w:p>
    <w:p w14:paraId="64D799E7">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9.6.2有下列情形之一的投诉不予受理：投诉人不是所投诉招标投标活动的参与者，或者与投诉项目无任何利害关系；投诉事项不具体，且未提供有效线索，难以查证的；投诉书未署具投诉人真实姓名、签字和有效联系方式的；以法人名义投诉的，投诉书未经法定代表人签字并加盖公章的；超过投诉时效的；已经作出处理决定，并且投诉人没有提出新的证据；投诉事项已进入行政复议或者行政诉讼程序的。</w:t>
      </w:r>
    </w:p>
    <w:p w14:paraId="502D333E">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9.6.3投标人以他人名义投标或者以其他方式弄虚作假骗取中标的，中标无效；未中标的投标人有此情形，按照国家法律法规也给予相应的处罚。</w:t>
      </w:r>
    </w:p>
    <w:p w14:paraId="2C9D3BB3">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9.6.4未尽事宜，按国家有关法律法规、七部委11号令《工程建设项目招标投标活动投诉处理办法》和《云南省招标投标活动投诉处理办法》的规定执行。</w:t>
      </w:r>
    </w:p>
    <w:p w14:paraId="25E6505E">
      <w:pPr>
        <w:pStyle w:val="135"/>
        <w:spacing w:line="520" w:lineRule="exact"/>
        <w:rPr>
          <w:rFonts w:cs="宋体" w:asciiTheme="majorEastAsia" w:hAnsiTheme="majorEastAsia" w:eastAsiaTheme="majorEastAsia"/>
          <w:szCs w:val="24"/>
          <w:highlight w:val="none"/>
        </w:rPr>
      </w:pPr>
      <w:r>
        <w:rPr>
          <w:rFonts w:hint="eastAsia" w:cs="宋体" w:asciiTheme="majorEastAsia" w:hAnsiTheme="majorEastAsia" w:eastAsiaTheme="majorEastAsia"/>
          <w:szCs w:val="24"/>
          <w:highlight w:val="none"/>
        </w:rPr>
        <w:t>10、需要补充的其他内容</w:t>
      </w:r>
      <w:bookmarkEnd w:id="181"/>
      <w:bookmarkEnd w:id="182"/>
    </w:p>
    <w:p w14:paraId="41EBC7C8">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需要补充的其他内容：见投标人须知前附表。</w:t>
      </w:r>
    </w:p>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14:paraId="0844D8D2">
      <w:pPr>
        <w:rPr>
          <w:rFonts w:asciiTheme="majorEastAsia" w:hAnsiTheme="majorEastAsia" w:eastAsiaTheme="majorEastAsia"/>
          <w:highlight w:val="none"/>
        </w:rPr>
      </w:pPr>
      <w:bookmarkStart w:id="183" w:name="_Toc478646328"/>
      <w:r>
        <w:rPr>
          <w:rFonts w:hint="eastAsia" w:cs="宋体" w:asciiTheme="majorEastAsia" w:hAnsiTheme="majorEastAsia" w:eastAsiaTheme="majorEastAsia"/>
          <w:highlight w:val="none"/>
        </w:rPr>
        <w:br w:type="page"/>
      </w:r>
    </w:p>
    <w:p w14:paraId="29225203">
      <w:pPr>
        <w:rPr>
          <w:rFonts w:cs="宋体" w:asciiTheme="majorEastAsia" w:hAnsiTheme="majorEastAsia" w:eastAsiaTheme="majorEastAsia"/>
          <w:highlight w:val="none"/>
        </w:rPr>
      </w:pPr>
    </w:p>
    <w:p w14:paraId="22118A96">
      <w:pPr>
        <w:pStyle w:val="346"/>
        <w:spacing w:before="120" w:after="120" w:line="800" w:lineRule="exact"/>
        <w:rPr>
          <w:rFonts w:cs="宋体" w:asciiTheme="majorEastAsia" w:hAnsiTheme="majorEastAsia" w:eastAsiaTheme="majorEastAsia"/>
          <w:b/>
          <w:sz w:val="52"/>
          <w:szCs w:val="52"/>
          <w:highlight w:val="none"/>
        </w:rPr>
      </w:pPr>
      <w:bookmarkStart w:id="184" w:name="_Toc13376"/>
      <w:r>
        <w:rPr>
          <w:rFonts w:hint="eastAsia" w:cs="宋体" w:asciiTheme="majorEastAsia" w:hAnsiTheme="majorEastAsia" w:eastAsiaTheme="majorEastAsia"/>
          <w:b/>
          <w:sz w:val="52"/>
          <w:szCs w:val="52"/>
          <w:highlight w:val="none"/>
        </w:rPr>
        <w:t>第三章  评标方法（综合评估法）</w:t>
      </w:r>
      <w:bookmarkEnd w:id="183"/>
      <w:bookmarkEnd w:id="184"/>
    </w:p>
    <w:p w14:paraId="749C6F83">
      <w:pPr>
        <w:pStyle w:val="110"/>
        <w:spacing w:line="600" w:lineRule="exact"/>
        <w:jc w:val="center"/>
        <w:rPr>
          <w:rFonts w:cs="宋体" w:asciiTheme="majorEastAsia" w:hAnsiTheme="majorEastAsia" w:eastAsiaTheme="majorEastAsia"/>
          <w:b/>
          <w:color w:val="auto"/>
          <w:sz w:val="30"/>
          <w:szCs w:val="30"/>
          <w:highlight w:val="none"/>
        </w:rPr>
      </w:pPr>
      <w:bookmarkStart w:id="185" w:name="_Toc437684752"/>
      <w:bookmarkStart w:id="186" w:name="_Toc478646329"/>
      <w:bookmarkStart w:id="187" w:name="_Toc318105138"/>
      <w:r>
        <w:rPr>
          <w:rFonts w:hint="eastAsia" w:cs="宋体" w:asciiTheme="majorEastAsia" w:hAnsiTheme="majorEastAsia" w:eastAsiaTheme="majorEastAsia"/>
          <w:b/>
          <w:color w:val="auto"/>
          <w:sz w:val="30"/>
          <w:szCs w:val="30"/>
          <w:highlight w:val="none"/>
        </w:rPr>
        <w:t>评标办法前附表</w:t>
      </w:r>
      <w:bookmarkEnd w:id="185"/>
      <w:bookmarkEnd w:id="186"/>
    </w:p>
    <w:tbl>
      <w:tblPr>
        <w:tblStyle w:val="63"/>
        <w:tblW w:w="99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7"/>
        <w:gridCol w:w="1242"/>
        <w:gridCol w:w="2713"/>
        <w:gridCol w:w="4944"/>
      </w:tblGrid>
      <w:tr w14:paraId="37EA1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2319" w:type="dxa"/>
            <w:gridSpan w:val="2"/>
            <w:vAlign w:val="center"/>
          </w:tcPr>
          <w:p w14:paraId="7F8F6A47">
            <w:pPr>
              <w:spacing w:line="32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条款号</w:t>
            </w:r>
          </w:p>
        </w:tc>
        <w:tc>
          <w:tcPr>
            <w:tcW w:w="2713" w:type="dxa"/>
            <w:vAlign w:val="center"/>
          </w:tcPr>
          <w:p w14:paraId="03934CAB">
            <w:pPr>
              <w:spacing w:line="32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评审因素</w:t>
            </w:r>
          </w:p>
        </w:tc>
        <w:tc>
          <w:tcPr>
            <w:tcW w:w="4944" w:type="dxa"/>
            <w:vAlign w:val="center"/>
          </w:tcPr>
          <w:p w14:paraId="3DC344B8">
            <w:pPr>
              <w:spacing w:line="32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评审标准</w:t>
            </w:r>
          </w:p>
        </w:tc>
      </w:tr>
      <w:tr w14:paraId="144F4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restart"/>
            <w:vAlign w:val="center"/>
          </w:tcPr>
          <w:p w14:paraId="73C9C89D">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2.1.1</w:t>
            </w:r>
          </w:p>
        </w:tc>
        <w:tc>
          <w:tcPr>
            <w:tcW w:w="1242" w:type="dxa"/>
            <w:vMerge w:val="restart"/>
            <w:vAlign w:val="center"/>
          </w:tcPr>
          <w:p w14:paraId="41EAE704">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形式评审标准</w:t>
            </w:r>
          </w:p>
        </w:tc>
        <w:tc>
          <w:tcPr>
            <w:tcW w:w="2713" w:type="dxa"/>
            <w:vAlign w:val="center"/>
          </w:tcPr>
          <w:p w14:paraId="3578F6EA">
            <w:pPr>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投标人名称</w:t>
            </w:r>
          </w:p>
        </w:tc>
        <w:tc>
          <w:tcPr>
            <w:tcW w:w="4944" w:type="dxa"/>
            <w:vAlign w:val="center"/>
          </w:tcPr>
          <w:p w14:paraId="072771F9">
            <w:pPr>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与营业执照、资质证书一致</w:t>
            </w:r>
          </w:p>
        </w:tc>
      </w:tr>
      <w:tr w14:paraId="6E5A7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vAlign w:val="center"/>
          </w:tcPr>
          <w:p w14:paraId="53060F75">
            <w:pPr>
              <w:spacing w:line="320" w:lineRule="exact"/>
              <w:jc w:val="center"/>
              <w:rPr>
                <w:rFonts w:cs="宋体" w:asciiTheme="majorEastAsia" w:hAnsiTheme="majorEastAsia" w:eastAsiaTheme="majorEastAsia"/>
                <w:highlight w:val="none"/>
              </w:rPr>
            </w:pPr>
          </w:p>
        </w:tc>
        <w:tc>
          <w:tcPr>
            <w:tcW w:w="1242" w:type="dxa"/>
            <w:vMerge w:val="continue"/>
            <w:vAlign w:val="center"/>
          </w:tcPr>
          <w:p w14:paraId="475E727F">
            <w:pPr>
              <w:spacing w:line="320" w:lineRule="exact"/>
              <w:jc w:val="center"/>
              <w:rPr>
                <w:rFonts w:cs="宋体" w:asciiTheme="majorEastAsia" w:hAnsiTheme="majorEastAsia" w:eastAsiaTheme="majorEastAsia"/>
                <w:highlight w:val="none"/>
              </w:rPr>
            </w:pPr>
          </w:p>
        </w:tc>
        <w:tc>
          <w:tcPr>
            <w:tcW w:w="2713" w:type="dxa"/>
            <w:vAlign w:val="center"/>
          </w:tcPr>
          <w:p w14:paraId="6512FBD7">
            <w:pPr>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投标函及投标函附录</w:t>
            </w:r>
          </w:p>
        </w:tc>
        <w:tc>
          <w:tcPr>
            <w:tcW w:w="4944" w:type="dxa"/>
            <w:vAlign w:val="center"/>
          </w:tcPr>
          <w:p w14:paraId="00A8C60F">
            <w:pPr>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有法定代表人或其委托代理人签字或电子签章</w:t>
            </w:r>
          </w:p>
        </w:tc>
      </w:tr>
      <w:tr w14:paraId="46967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vAlign w:val="center"/>
          </w:tcPr>
          <w:p w14:paraId="66BE8861">
            <w:pPr>
              <w:spacing w:line="320" w:lineRule="exact"/>
              <w:jc w:val="center"/>
              <w:rPr>
                <w:rFonts w:cs="宋体" w:asciiTheme="majorEastAsia" w:hAnsiTheme="majorEastAsia" w:eastAsiaTheme="majorEastAsia"/>
                <w:highlight w:val="none"/>
              </w:rPr>
            </w:pPr>
          </w:p>
        </w:tc>
        <w:tc>
          <w:tcPr>
            <w:tcW w:w="1242" w:type="dxa"/>
            <w:vMerge w:val="continue"/>
            <w:vAlign w:val="center"/>
          </w:tcPr>
          <w:p w14:paraId="54DAC221">
            <w:pPr>
              <w:spacing w:line="320" w:lineRule="exact"/>
              <w:jc w:val="center"/>
              <w:rPr>
                <w:rFonts w:cs="宋体" w:asciiTheme="majorEastAsia" w:hAnsiTheme="majorEastAsia" w:eastAsiaTheme="majorEastAsia"/>
                <w:highlight w:val="none"/>
              </w:rPr>
            </w:pPr>
          </w:p>
        </w:tc>
        <w:tc>
          <w:tcPr>
            <w:tcW w:w="2713" w:type="dxa"/>
            <w:vAlign w:val="center"/>
          </w:tcPr>
          <w:p w14:paraId="264000FA">
            <w:pPr>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投标文件格式</w:t>
            </w:r>
          </w:p>
        </w:tc>
        <w:tc>
          <w:tcPr>
            <w:tcW w:w="4944" w:type="dxa"/>
            <w:vAlign w:val="center"/>
          </w:tcPr>
          <w:p w14:paraId="78140D95">
            <w:pPr>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符合第</w:t>
            </w:r>
            <w:r>
              <w:rPr>
                <w:rFonts w:hint="eastAsia" w:cs="宋体" w:asciiTheme="majorEastAsia" w:hAnsiTheme="majorEastAsia" w:eastAsiaTheme="majorEastAsia"/>
                <w:highlight w:val="none"/>
                <w:lang w:val="en-US" w:eastAsia="zh-CN"/>
              </w:rPr>
              <w:t>六</w:t>
            </w:r>
            <w:r>
              <w:rPr>
                <w:rFonts w:hint="eastAsia" w:cs="宋体" w:asciiTheme="majorEastAsia" w:hAnsiTheme="majorEastAsia" w:eastAsiaTheme="majorEastAsia"/>
                <w:highlight w:val="none"/>
              </w:rPr>
              <w:t>章“投标文件格式”及招标文件的要求</w:t>
            </w:r>
          </w:p>
        </w:tc>
      </w:tr>
      <w:tr w14:paraId="71421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vAlign w:val="center"/>
          </w:tcPr>
          <w:p w14:paraId="004D9714">
            <w:pPr>
              <w:spacing w:line="320" w:lineRule="exact"/>
              <w:jc w:val="center"/>
              <w:rPr>
                <w:rFonts w:cs="宋体" w:asciiTheme="majorEastAsia" w:hAnsiTheme="majorEastAsia" w:eastAsiaTheme="majorEastAsia"/>
                <w:highlight w:val="none"/>
              </w:rPr>
            </w:pPr>
          </w:p>
        </w:tc>
        <w:tc>
          <w:tcPr>
            <w:tcW w:w="1242" w:type="dxa"/>
            <w:vMerge w:val="continue"/>
            <w:vAlign w:val="center"/>
          </w:tcPr>
          <w:p w14:paraId="4B54F56C">
            <w:pPr>
              <w:spacing w:line="320" w:lineRule="exact"/>
              <w:jc w:val="center"/>
              <w:rPr>
                <w:rFonts w:cs="宋体" w:asciiTheme="majorEastAsia" w:hAnsiTheme="majorEastAsia" w:eastAsiaTheme="majorEastAsia"/>
                <w:highlight w:val="none"/>
              </w:rPr>
            </w:pPr>
          </w:p>
        </w:tc>
        <w:tc>
          <w:tcPr>
            <w:tcW w:w="2713" w:type="dxa"/>
            <w:vAlign w:val="center"/>
          </w:tcPr>
          <w:p w14:paraId="4ADB3D4E">
            <w:pPr>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报价唯一</w:t>
            </w:r>
          </w:p>
        </w:tc>
        <w:tc>
          <w:tcPr>
            <w:tcW w:w="4944" w:type="dxa"/>
            <w:vAlign w:val="center"/>
          </w:tcPr>
          <w:p w14:paraId="56CC4F69">
            <w:pPr>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只能有一个有效报价</w:t>
            </w:r>
          </w:p>
        </w:tc>
      </w:tr>
      <w:tr w14:paraId="735CF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restart"/>
            <w:vAlign w:val="center"/>
          </w:tcPr>
          <w:p w14:paraId="2D6E1D9B">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2.1.2</w:t>
            </w:r>
          </w:p>
        </w:tc>
        <w:tc>
          <w:tcPr>
            <w:tcW w:w="1242" w:type="dxa"/>
            <w:vMerge w:val="restart"/>
            <w:vAlign w:val="center"/>
          </w:tcPr>
          <w:p w14:paraId="11F876BA">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资格评审标准</w:t>
            </w:r>
          </w:p>
        </w:tc>
        <w:tc>
          <w:tcPr>
            <w:tcW w:w="2713" w:type="dxa"/>
            <w:vAlign w:val="center"/>
          </w:tcPr>
          <w:p w14:paraId="67791EA0">
            <w:pPr>
              <w:pStyle w:val="56"/>
              <w:spacing w:line="320" w:lineRule="exact"/>
              <w:ind w:right="153"/>
              <w:rPr>
                <w:rFonts w:cs="宋体" w:asciiTheme="majorEastAsia" w:hAnsiTheme="majorEastAsia" w:eastAsiaTheme="majorEastAsia"/>
                <w:highlight w:val="none"/>
              </w:rPr>
            </w:pPr>
            <w:r>
              <w:rPr>
                <w:rFonts w:hint="eastAsia" w:cs="宋体" w:asciiTheme="majorEastAsia" w:hAnsiTheme="majorEastAsia" w:eastAsiaTheme="majorEastAsia"/>
                <w:highlight w:val="none"/>
              </w:rPr>
              <w:t>营业执照</w:t>
            </w:r>
          </w:p>
        </w:tc>
        <w:tc>
          <w:tcPr>
            <w:tcW w:w="4944" w:type="dxa"/>
            <w:vAlign w:val="center"/>
          </w:tcPr>
          <w:p w14:paraId="16A2A52F">
            <w:pPr>
              <w:pStyle w:val="56"/>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具备有效的营业执照（审查投标文件内扫描件）</w:t>
            </w:r>
          </w:p>
        </w:tc>
      </w:tr>
      <w:tr w14:paraId="42C7F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tcPr>
          <w:p w14:paraId="337508AE">
            <w:pPr>
              <w:spacing w:line="320" w:lineRule="exact"/>
              <w:jc w:val="center"/>
              <w:rPr>
                <w:rFonts w:cs="宋体" w:asciiTheme="majorEastAsia" w:hAnsiTheme="majorEastAsia" w:eastAsiaTheme="majorEastAsia"/>
                <w:highlight w:val="none"/>
              </w:rPr>
            </w:pPr>
          </w:p>
        </w:tc>
        <w:tc>
          <w:tcPr>
            <w:tcW w:w="1242" w:type="dxa"/>
            <w:vMerge w:val="continue"/>
          </w:tcPr>
          <w:p w14:paraId="652A2E82">
            <w:pPr>
              <w:spacing w:line="320" w:lineRule="exact"/>
              <w:jc w:val="center"/>
              <w:rPr>
                <w:rFonts w:cs="宋体" w:asciiTheme="majorEastAsia" w:hAnsiTheme="majorEastAsia" w:eastAsiaTheme="majorEastAsia"/>
                <w:highlight w:val="none"/>
              </w:rPr>
            </w:pPr>
          </w:p>
        </w:tc>
        <w:tc>
          <w:tcPr>
            <w:tcW w:w="2713" w:type="dxa"/>
            <w:vAlign w:val="center"/>
          </w:tcPr>
          <w:p w14:paraId="401ABDF6">
            <w:pPr>
              <w:pStyle w:val="56"/>
              <w:spacing w:line="320" w:lineRule="exact"/>
              <w:ind w:right="153"/>
              <w:rPr>
                <w:rFonts w:cs="宋体" w:asciiTheme="majorEastAsia" w:hAnsiTheme="majorEastAsia" w:eastAsiaTheme="majorEastAsia"/>
                <w:highlight w:val="none"/>
              </w:rPr>
            </w:pPr>
            <w:r>
              <w:rPr>
                <w:rFonts w:hint="eastAsia" w:cs="宋体" w:asciiTheme="majorEastAsia" w:hAnsiTheme="majorEastAsia" w:eastAsiaTheme="majorEastAsia"/>
                <w:highlight w:val="none"/>
              </w:rPr>
              <w:t>资质证书</w:t>
            </w:r>
          </w:p>
        </w:tc>
        <w:tc>
          <w:tcPr>
            <w:tcW w:w="4944" w:type="dxa"/>
            <w:vAlign w:val="center"/>
          </w:tcPr>
          <w:p w14:paraId="4F649C58">
            <w:pPr>
              <w:pStyle w:val="56"/>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具备有效的资质证书（设计单位审查投标文件内扫描件；施工单位审查投标文件内扫描件）</w:t>
            </w:r>
          </w:p>
        </w:tc>
      </w:tr>
      <w:tr w14:paraId="2095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tcPr>
          <w:p w14:paraId="18EB0CF1">
            <w:pPr>
              <w:spacing w:line="320" w:lineRule="exact"/>
              <w:jc w:val="center"/>
              <w:rPr>
                <w:rFonts w:cs="宋体" w:asciiTheme="majorEastAsia" w:hAnsiTheme="majorEastAsia" w:eastAsiaTheme="majorEastAsia"/>
                <w:highlight w:val="none"/>
              </w:rPr>
            </w:pPr>
          </w:p>
        </w:tc>
        <w:tc>
          <w:tcPr>
            <w:tcW w:w="1242" w:type="dxa"/>
            <w:vMerge w:val="continue"/>
          </w:tcPr>
          <w:p w14:paraId="5E14E357">
            <w:pPr>
              <w:spacing w:line="320" w:lineRule="exact"/>
              <w:jc w:val="center"/>
              <w:rPr>
                <w:rFonts w:cs="宋体" w:asciiTheme="majorEastAsia" w:hAnsiTheme="majorEastAsia" w:eastAsiaTheme="majorEastAsia"/>
                <w:highlight w:val="none"/>
              </w:rPr>
            </w:pPr>
          </w:p>
        </w:tc>
        <w:tc>
          <w:tcPr>
            <w:tcW w:w="2713" w:type="dxa"/>
            <w:vAlign w:val="center"/>
          </w:tcPr>
          <w:p w14:paraId="40E0A450">
            <w:pPr>
              <w:pStyle w:val="56"/>
              <w:spacing w:line="320" w:lineRule="exact"/>
              <w:ind w:right="153"/>
              <w:rPr>
                <w:rFonts w:cs="宋体" w:asciiTheme="majorEastAsia" w:hAnsiTheme="majorEastAsia" w:eastAsiaTheme="majorEastAsia"/>
                <w:highlight w:val="none"/>
              </w:rPr>
            </w:pPr>
            <w:r>
              <w:rPr>
                <w:rFonts w:hint="eastAsia" w:cs="宋体" w:asciiTheme="majorEastAsia" w:hAnsiTheme="majorEastAsia" w:eastAsiaTheme="majorEastAsia"/>
                <w:highlight w:val="none"/>
              </w:rPr>
              <w:t>安全生产许可证</w:t>
            </w:r>
          </w:p>
        </w:tc>
        <w:tc>
          <w:tcPr>
            <w:tcW w:w="4944" w:type="dxa"/>
            <w:vAlign w:val="center"/>
          </w:tcPr>
          <w:p w14:paraId="0009CCB4">
            <w:pPr>
              <w:pStyle w:val="56"/>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具备有效的安全生产许可证（审查投标文件内扫描件，施工企业提供）</w:t>
            </w:r>
          </w:p>
        </w:tc>
      </w:tr>
      <w:tr w14:paraId="078BA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vAlign w:val="center"/>
          </w:tcPr>
          <w:p w14:paraId="4D2B3BE6">
            <w:pPr>
              <w:spacing w:line="320" w:lineRule="exact"/>
              <w:jc w:val="center"/>
              <w:rPr>
                <w:rFonts w:cs="宋体" w:asciiTheme="majorEastAsia" w:hAnsiTheme="majorEastAsia" w:eastAsiaTheme="majorEastAsia"/>
                <w:highlight w:val="none"/>
              </w:rPr>
            </w:pPr>
          </w:p>
        </w:tc>
        <w:tc>
          <w:tcPr>
            <w:tcW w:w="1242" w:type="dxa"/>
            <w:vMerge w:val="continue"/>
            <w:vAlign w:val="center"/>
          </w:tcPr>
          <w:p w14:paraId="545B1388">
            <w:pPr>
              <w:spacing w:line="320" w:lineRule="exact"/>
              <w:jc w:val="center"/>
              <w:rPr>
                <w:rFonts w:cs="宋体" w:asciiTheme="majorEastAsia" w:hAnsiTheme="majorEastAsia" w:eastAsiaTheme="majorEastAsia"/>
                <w:highlight w:val="none"/>
              </w:rPr>
            </w:pPr>
          </w:p>
        </w:tc>
        <w:tc>
          <w:tcPr>
            <w:tcW w:w="2713" w:type="dxa"/>
            <w:vAlign w:val="center"/>
          </w:tcPr>
          <w:p w14:paraId="20F63E00">
            <w:pPr>
              <w:pStyle w:val="56"/>
              <w:spacing w:line="320" w:lineRule="exact"/>
              <w:ind w:right="153"/>
              <w:rPr>
                <w:rFonts w:cs="宋体" w:asciiTheme="majorEastAsia" w:hAnsiTheme="majorEastAsia" w:eastAsiaTheme="majorEastAsia"/>
                <w:highlight w:val="none"/>
              </w:rPr>
            </w:pPr>
            <w:r>
              <w:rPr>
                <w:rFonts w:hint="eastAsia" w:cs="宋体" w:asciiTheme="majorEastAsia" w:hAnsiTheme="majorEastAsia" w:eastAsiaTheme="majorEastAsia"/>
                <w:highlight w:val="none"/>
              </w:rPr>
              <w:t>项目总负责人</w:t>
            </w:r>
          </w:p>
        </w:tc>
        <w:tc>
          <w:tcPr>
            <w:tcW w:w="4944" w:type="dxa"/>
            <w:vAlign w:val="center"/>
          </w:tcPr>
          <w:p w14:paraId="5DCDCD10">
            <w:pPr>
              <w:pStyle w:val="56"/>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shd w:val="clear" w:color="auto" w:fill="FFFFFF"/>
              </w:rPr>
              <w:t>具备</w:t>
            </w:r>
            <w:r>
              <w:rPr>
                <w:rFonts w:hint="eastAsia" w:cs="宋体" w:asciiTheme="majorEastAsia" w:hAnsiTheme="majorEastAsia" w:eastAsiaTheme="majorEastAsia"/>
                <w:highlight w:val="none"/>
                <w:shd w:val="clear" w:color="auto" w:fill="FFFFFF"/>
                <w:lang w:val="en-US" w:eastAsia="zh-CN"/>
              </w:rPr>
              <w:t>贰</w:t>
            </w:r>
            <w:r>
              <w:rPr>
                <w:rFonts w:hint="eastAsia" w:cs="宋体" w:asciiTheme="majorEastAsia" w:hAnsiTheme="majorEastAsia" w:eastAsiaTheme="majorEastAsia"/>
                <w:highlight w:val="none"/>
                <w:shd w:val="clear" w:color="auto" w:fill="FFFFFF"/>
              </w:rPr>
              <w:t>级</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含贰级</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以上</w:t>
            </w:r>
            <w:r>
              <w:rPr>
                <w:rFonts w:hint="eastAsia" w:cs="宋体" w:asciiTheme="majorEastAsia" w:hAnsiTheme="majorEastAsia" w:eastAsiaTheme="majorEastAsia"/>
                <w:highlight w:val="none"/>
                <w:shd w:val="clear" w:color="auto" w:fill="FFFFFF"/>
              </w:rPr>
              <w:t>注册建造师证，专业为</w:t>
            </w:r>
            <w:r>
              <w:rPr>
                <w:rFonts w:hint="eastAsia" w:cs="宋体" w:asciiTheme="majorEastAsia" w:hAnsiTheme="majorEastAsia" w:eastAsiaTheme="majorEastAsia"/>
                <w:highlight w:val="none"/>
                <w:shd w:val="clear" w:color="auto" w:fill="FFFFFF"/>
                <w:lang w:val="en-US" w:eastAsia="zh-CN"/>
              </w:rPr>
              <w:t>建筑</w:t>
            </w:r>
            <w:r>
              <w:rPr>
                <w:rFonts w:hint="eastAsia" w:cs="宋体" w:asciiTheme="majorEastAsia" w:hAnsiTheme="majorEastAsia" w:eastAsiaTheme="majorEastAsia"/>
                <w:highlight w:val="none"/>
                <w:shd w:val="clear" w:color="auto" w:fill="FFFFFF"/>
              </w:rPr>
              <w:t>工程，具有安全考核合格证B证，且不得担任其他在建项目的项目负责人，项目总负责人必须是投标人本单位在职员工，并提供社保证明材料</w:t>
            </w:r>
            <w:r>
              <w:rPr>
                <w:rFonts w:hint="eastAsia" w:cs="宋体" w:asciiTheme="majorEastAsia" w:hAnsiTheme="majorEastAsia" w:eastAsiaTheme="majorEastAsia"/>
                <w:highlight w:val="none"/>
              </w:rPr>
              <w:t>（审查投标文件内扫描件）</w:t>
            </w:r>
          </w:p>
        </w:tc>
      </w:tr>
      <w:tr w14:paraId="1DCD4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vAlign w:val="center"/>
          </w:tcPr>
          <w:p w14:paraId="31416866">
            <w:pPr>
              <w:spacing w:line="320" w:lineRule="exact"/>
              <w:jc w:val="center"/>
              <w:rPr>
                <w:rFonts w:cs="宋体" w:asciiTheme="majorEastAsia" w:hAnsiTheme="majorEastAsia" w:eastAsiaTheme="majorEastAsia"/>
                <w:highlight w:val="none"/>
              </w:rPr>
            </w:pPr>
          </w:p>
        </w:tc>
        <w:tc>
          <w:tcPr>
            <w:tcW w:w="1242" w:type="dxa"/>
            <w:vMerge w:val="continue"/>
            <w:vAlign w:val="center"/>
          </w:tcPr>
          <w:p w14:paraId="464BA189">
            <w:pPr>
              <w:spacing w:line="320" w:lineRule="exact"/>
              <w:jc w:val="center"/>
              <w:rPr>
                <w:rFonts w:cs="宋体" w:asciiTheme="majorEastAsia" w:hAnsiTheme="majorEastAsia" w:eastAsiaTheme="majorEastAsia"/>
                <w:highlight w:val="none"/>
              </w:rPr>
            </w:pPr>
          </w:p>
        </w:tc>
        <w:tc>
          <w:tcPr>
            <w:tcW w:w="2713" w:type="dxa"/>
            <w:vAlign w:val="center"/>
          </w:tcPr>
          <w:p w14:paraId="62D8DF7C">
            <w:pPr>
              <w:pStyle w:val="56"/>
              <w:spacing w:line="320" w:lineRule="exact"/>
              <w:ind w:right="153"/>
              <w:rPr>
                <w:rFonts w:cs="宋体" w:asciiTheme="majorEastAsia" w:hAnsiTheme="majorEastAsia" w:eastAsiaTheme="majorEastAsia"/>
                <w:highlight w:val="none"/>
              </w:rPr>
            </w:pPr>
            <w:r>
              <w:rPr>
                <w:rFonts w:hint="eastAsia" w:cs="宋体" w:asciiTheme="majorEastAsia" w:hAnsiTheme="majorEastAsia" w:eastAsiaTheme="majorEastAsia"/>
                <w:highlight w:val="none"/>
              </w:rPr>
              <w:t>设计负责人</w:t>
            </w:r>
          </w:p>
        </w:tc>
        <w:tc>
          <w:tcPr>
            <w:tcW w:w="4944" w:type="dxa"/>
            <w:vAlign w:val="center"/>
          </w:tcPr>
          <w:p w14:paraId="46518644">
            <w:pPr>
              <w:pStyle w:val="56"/>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shd w:val="clear" w:color="auto" w:fill="FFFFFF"/>
              </w:rPr>
              <w:t>具备国家</w:t>
            </w:r>
            <w:r>
              <w:rPr>
                <w:rFonts w:hint="eastAsia" w:cs="宋体" w:asciiTheme="majorEastAsia" w:hAnsiTheme="majorEastAsia" w:eastAsiaTheme="majorEastAsia"/>
                <w:highlight w:val="none"/>
                <w:shd w:val="clear" w:color="auto" w:fill="FFFFFF"/>
                <w:lang w:val="en-US" w:eastAsia="zh-CN"/>
              </w:rPr>
              <w:t>二</w:t>
            </w:r>
            <w:r>
              <w:rPr>
                <w:rFonts w:hint="eastAsia" w:cs="宋体" w:asciiTheme="majorEastAsia" w:hAnsiTheme="majorEastAsia" w:eastAsiaTheme="majorEastAsia"/>
                <w:highlight w:val="none"/>
                <w:shd w:val="clear" w:color="auto" w:fill="FFFFFF"/>
              </w:rPr>
              <w:t>级</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含二级</w:t>
            </w:r>
            <w:r>
              <w:rPr>
                <w:rFonts w:hint="eastAsia" w:cs="宋体" w:asciiTheme="majorEastAsia" w:hAnsiTheme="majorEastAsia" w:eastAsiaTheme="majorEastAsia"/>
                <w:highlight w:val="none"/>
                <w:shd w:val="clear" w:color="auto" w:fill="FFFFFF"/>
                <w:lang w:eastAsia="zh-CN"/>
              </w:rPr>
              <w:t>）</w:t>
            </w:r>
            <w:r>
              <w:rPr>
                <w:rFonts w:hint="eastAsia" w:cs="宋体" w:asciiTheme="majorEastAsia" w:hAnsiTheme="majorEastAsia" w:eastAsiaTheme="majorEastAsia"/>
                <w:highlight w:val="none"/>
                <w:shd w:val="clear" w:color="auto" w:fill="FFFFFF"/>
                <w:lang w:val="en-US" w:eastAsia="zh-CN"/>
              </w:rPr>
              <w:t>及以上</w:t>
            </w:r>
            <w:r>
              <w:rPr>
                <w:rFonts w:hint="eastAsia" w:cs="宋体" w:asciiTheme="majorEastAsia" w:hAnsiTheme="majorEastAsia" w:eastAsiaTheme="majorEastAsia"/>
                <w:highlight w:val="none"/>
                <w:shd w:val="clear" w:color="auto" w:fill="FFFFFF"/>
              </w:rPr>
              <w:t>注册建筑师资格，设计负责人必须是投标人本单位在职员工，并提供社保证明材料（</w:t>
            </w:r>
            <w:r>
              <w:rPr>
                <w:rFonts w:hint="eastAsia" w:cs="宋体" w:asciiTheme="majorEastAsia" w:hAnsiTheme="majorEastAsia" w:eastAsiaTheme="majorEastAsia"/>
                <w:highlight w:val="none"/>
              </w:rPr>
              <w:t>审查投标文件内扫描件）</w:t>
            </w:r>
          </w:p>
        </w:tc>
      </w:tr>
      <w:tr w14:paraId="1F0EC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vAlign w:val="center"/>
          </w:tcPr>
          <w:p w14:paraId="2F66E37C">
            <w:pPr>
              <w:spacing w:line="320" w:lineRule="exact"/>
              <w:jc w:val="center"/>
              <w:rPr>
                <w:rFonts w:cs="宋体" w:asciiTheme="majorEastAsia" w:hAnsiTheme="majorEastAsia" w:eastAsiaTheme="majorEastAsia"/>
                <w:highlight w:val="none"/>
              </w:rPr>
            </w:pPr>
          </w:p>
        </w:tc>
        <w:tc>
          <w:tcPr>
            <w:tcW w:w="1242" w:type="dxa"/>
            <w:vMerge w:val="continue"/>
            <w:vAlign w:val="center"/>
          </w:tcPr>
          <w:p w14:paraId="0C0A5099">
            <w:pPr>
              <w:spacing w:line="320" w:lineRule="exact"/>
              <w:jc w:val="center"/>
              <w:rPr>
                <w:rFonts w:cs="宋体" w:asciiTheme="majorEastAsia" w:hAnsiTheme="majorEastAsia" w:eastAsiaTheme="majorEastAsia"/>
                <w:highlight w:val="none"/>
              </w:rPr>
            </w:pPr>
          </w:p>
        </w:tc>
        <w:tc>
          <w:tcPr>
            <w:tcW w:w="2713" w:type="dxa"/>
            <w:vAlign w:val="center"/>
          </w:tcPr>
          <w:p w14:paraId="58241335">
            <w:pPr>
              <w:pStyle w:val="56"/>
              <w:spacing w:line="320" w:lineRule="exact"/>
              <w:ind w:right="153"/>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人员配置要求</w:t>
            </w:r>
          </w:p>
        </w:tc>
        <w:tc>
          <w:tcPr>
            <w:tcW w:w="4944" w:type="dxa"/>
            <w:vAlign w:val="center"/>
          </w:tcPr>
          <w:p w14:paraId="2754724B">
            <w:pPr>
              <w:pStyle w:val="56"/>
              <w:spacing w:line="320" w:lineRule="exact"/>
              <w:rPr>
                <w:rFonts w:hint="eastAsia"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rPr>
              <w:t>符合第二章“投标人须知”第1.4.1 项规定（审查投标文件内扫描件）</w:t>
            </w:r>
          </w:p>
        </w:tc>
      </w:tr>
      <w:tr w14:paraId="4D4C4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vAlign w:val="center"/>
          </w:tcPr>
          <w:p w14:paraId="3ED6AD90">
            <w:pPr>
              <w:spacing w:line="320" w:lineRule="exact"/>
              <w:jc w:val="center"/>
              <w:rPr>
                <w:rFonts w:cs="宋体" w:asciiTheme="majorEastAsia" w:hAnsiTheme="majorEastAsia" w:eastAsiaTheme="majorEastAsia"/>
                <w:highlight w:val="none"/>
              </w:rPr>
            </w:pPr>
          </w:p>
        </w:tc>
        <w:tc>
          <w:tcPr>
            <w:tcW w:w="1242" w:type="dxa"/>
            <w:vMerge w:val="continue"/>
            <w:vAlign w:val="center"/>
          </w:tcPr>
          <w:p w14:paraId="67E7754C">
            <w:pPr>
              <w:spacing w:line="320" w:lineRule="exact"/>
              <w:jc w:val="center"/>
              <w:rPr>
                <w:rFonts w:cs="宋体" w:asciiTheme="majorEastAsia" w:hAnsiTheme="majorEastAsia" w:eastAsiaTheme="majorEastAsia"/>
                <w:highlight w:val="none"/>
              </w:rPr>
            </w:pPr>
          </w:p>
        </w:tc>
        <w:tc>
          <w:tcPr>
            <w:tcW w:w="2713" w:type="dxa"/>
            <w:vAlign w:val="center"/>
          </w:tcPr>
          <w:p w14:paraId="4D60EDDE">
            <w:pPr>
              <w:pStyle w:val="56"/>
              <w:spacing w:line="320" w:lineRule="exact"/>
              <w:ind w:right="153"/>
              <w:rPr>
                <w:rFonts w:hint="eastAsia" w:cs="宋体" w:asciiTheme="majorEastAsia" w:hAnsiTheme="majorEastAsia" w:eastAsiaTheme="majorEastAsia"/>
                <w:highlight w:val="none"/>
                <w:lang w:val="en-US" w:eastAsia="zh-CN"/>
              </w:rPr>
            </w:pPr>
            <w:r>
              <w:rPr>
                <w:rFonts w:hint="eastAsia" w:cs="宋体" w:asciiTheme="majorEastAsia" w:hAnsiTheme="majorEastAsia" w:eastAsiaTheme="majorEastAsia"/>
                <w:highlight w:val="none"/>
              </w:rPr>
              <w:t>信誉</w:t>
            </w:r>
            <w:r>
              <w:rPr>
                <w:rFonts w:hint="eastAsia" w:cs="宋体" w:asciiTheme="majorEastAsia" w:hAnsiTheme="majorEastAsia" w:eastAsiaTheme="majorEastAsia"/>
                <w:highlight w:val="none"/>
                <w:lang w:val="en-US" w:eastAsia="zh-CN"/>
              </w:rPr>
              <w:t>要求</w:t>
            </w:r>
          </w:p>
        </w:tc>
        <w:tc>
          <w:tcPr>
            <w:tcW w:w="4944" w:type="dxa"/>
            <w:vAlign w:val="center"/>
          </w:tcPr>
          <w:p w14:paraId="25D0675F">
            <w:pPr>
              <w:pStyle w:val="56"/>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符合第二章“投标人须知”第1.4.1 项规定</w:t>
            </w:r>
          </w:p>
        </w:tc>
      </w:tr>
      <w:tr w14:paraId="70473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vAlign w:val="center"/>
          </w:tcPr>
          <w:p w14:paraId="0DB5659D">
            <w:pPr>
              <w:spacing w:line="320" w:lineRule="exact"/>
              <w:jc w:val="center"/>
              <w:rPr>
                <w:rFonts w:cs="宋体" w:asciiTheme="majorEastAsia" w:hAnsiTheme="majorEastAsia" w:eastAsiaTheme="majorEastAsia"/>
                <w:highlight w:val="none"/>
              </w:rPr>
            </w:pPr>
          </w:p>
        </w:tc>
        <w:tc>
          <w:tcPr>
            <w:tcW w:w="1242" w:type="dxa"/>
            <w:vMerge w:val="continue"/>
            <w:vAlign w:val="center"/>
          </w:tcPr>
          <w:p w14:paraId="3E9A2419">
            <w:pPr>
              <w:spacing w:line="320" w:lineRule="exact"/>
              <w:jc w:val="center"/>
              <w:rPr>
                <w:rFonts w:cs="宋体" w:asciiTheme="majorEastAsia" w:hAnsiTheme="majorEastAsia" w:eastAsiaTheme="majorEastAsia"/>
                <w:highlight w:val="none"/>
              </w:rPr>
            </w:pPr>
          </w:p>
        </w:tc>
        <w:tc>
          <w:tcPr>
            <w:tcW w:w="2713" w:type="dxa"/>
            <w:vAlign w:val="center"/>
          </w:tcPr>
          <w:p w14:paraId="432BEED6">
            <w:pPr>
              <w:pStyle w:val="56"/>
              <w:spacing w:line="320" w:lineRule="exact"/>
              <w:ind w:right="153"/>
              <w:rPr>
                <w:rFonts w:cs="宋体" w:asciiTheme="majorEastAsia" w:hAnsiTheme="majorEastAsia" w:eastAsiaTheme="majorEastAsia"/>
                <w:highlight w:val="none"/>
              </w:rPr>
            </w:pPr>
            <w:r>
              <w:rPr>
                <w:rFonts w:hint="eastAsia" w:cs="宋体" w:asciiTheme="majorEastAsia" w:hAnsiTheme="majorEastAsia" w:eastAsiaTheme="majorEastAsia"/>
                <w:highlight w:val="none"/>
              </w:rPr>
              <w:t>财务状况</w:t>
            </w:r>
          </w:p>
        </w:tc>
        <w:tc>
          <w:tcPr>
            <w:tcW w:w="4944" w:type="dxa"/>
            <w:vAlign w:val="center"/>
          </w:tcPr>
          <w:p w14:paraId="063B11BC">
            <w:pPr>
              <w:pStyle w:val="56"/>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符合第二章“投标人须知”第1.4.1项规定（审查投标文件内扫描件）</w:t>
            </w:r>
          </w:p>
        </w:tc>
      </w:tr>
      <w:tr w14:paraId="21088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vAlign w:val="center"/>
          </w:tcPr>
          <w:p w14:paraId="22BD42E9">
            <w:pPr>
              <w:spacing w:line="320" w:lineRule="exact"/>
              <w:jc w:val="center"/>
              <w:rPr>
                <w:rFonts w:cs="宋体" w:asciiTheme="majorEastAsia" w:hAnsiTheme="majorEastAsia" w:eastAsiaTheme="majorEastAsia"/>
                <w:highlight w:val="none"/>
              </w:rPr>
            </w:pPr>
          </w:p>
        </w:tc>
        <w:tc>
          <w:tcPr>
            <w:tcW w:w="1242" w:type="dxa"/>
            <w:vMerge w:val="continue"/>
            <w:vAlign w:val="center"/>
          </w:tcPr>
          <w:p w14:paraId="0A829A05">
            <w:pPr>
              <w:spacing w:line="320" w:lineRule="exact"/>
              <w:jc w:val="center"/>
              <w:rPr>
                <w:rFonts w:cs="宋体" w:asciiTheme="majorEastAsia" w:hAnsiTheme="majorEastAsia" w:eastAsiaTheme="majorEastAsia"/>
                <w:highlight w:val="none"/>
              </w:rPr>
            </w:pPr>
          </w:p>
        </w:tc>
        <w:tc>
          <w:tcPr>
            <w:tcW w:w="2713" w:type="dxa"/>
            <w:vAlign w:val="center"/>
          </w:tcPr>
          <w:p w14:paraId="484B3B89">
            <w:pPr>
              <w:tabs>
                <w:tab w:val="center" w:pos="4153"/>
                <w:tab w:val="right" w:pos="8306"/>
              </w:tabs>
              <w:snapToGrid w:val="0"/>
              <w:spacing w:line="32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联合体投标人</w:t>
            </w:r>
          </w:p>
        </w:tc>
        <w:tc>
          <w:tcPr>
            <w:tcW w:w="4944" w:type="dxa"/>
            <w:vAlign w:val="center"/>
          </w:tcPr>
          <w:p w14:paraId="484C42C2">
            <w:pPr>
              <w:tabs>
                <w:tab w:val="center" w:pos="4153"/>
                <w:tab w:val="right" w:pos="8306"/>
              </w:tabs>
              <w:snapToGrid w:val="0"/>
              <w:spacing w:line="32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提交联合体协议书，并明确联合体牵头人</w:t>
            </w:r>
          </w:p>
        </w:tc>
      </w:tr>
      <w:tr w14:paraId="0BAFA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vAlign w:val="center"/>
          </w:tcPr>
          <w:p w14:paraId="76B2665C">
            <w:pPr>
              <w:spacing w:line="320" w:lineRule="exact"/>
              <w:jc w:val="center"/>
              <w:rPr>
                <w:rFonts w:cs="宋体" w:asciiTheme="majorEastAsia" w:hAnsiTheme="majorEastAsia" w:eastAsiaTheme="majorEastAsia"/>
                <w:highlight w:val="none"/>
              </w:rPr>
            </w:pPr>
          </w:p>
        </w:tc>
        <w:tc>
          <w:tcPr>
            <w:tcW w:w="1242" w:type="dxa"/>
            <w:vMerge w:val="continue"/>
            <w:vAlign w:val="center"/>
          </w:tcPr>
          <w:p w14:paraId="5FD66A8D">
            <w:pPr>
              <w:spacing w:line="320" w:lineRule="exact"/>
              <w:jc w:val="center"/>
              <w:rPr>
                <w:rFonts w:cs="宋体" w:asciiTheme="majorEastAsia" w:hAnsiTheme="majorEastAsia" w:eastAsiaTheme="majorEastAsia"/>
                <w:highlight w:val="none"/>
              </w:rPr>
            </w:pPr>
          </w:p>
        </w:tc>
        <w:tc>
          <w:tcPr>
            <w:tcW w:w="2713" w:type="dxa"/>
            <w:vAlign w:val="center"/>
          </w:tcPr>
          <w:p w14:paraId="5B6BA49F">
            <w:pPr>
              <w:pStyle w:val="56"/>
              <w:spacing w:line="320" w:lineRule="exact"/>
              <w:ind w:right="153"/>
              <w:rPr>
                <w:rFonts w:cs="宋体" w:asciiTheme="majorEastAsia" w:hAnsiTheme="majorEastAsia" w:eastAsiaTheme="majorEastAsia"/>
                <w:highlight w:val="none"/>
              </w:rPr>
            </w:pPr>
            <w:r>
              <w:rPr>
                <w:rFonts w:hint="eastAsia" w:cs="宋体" w:asciiTheme="majorEastAsia" w:hAnsiTheme="majorEastAsia" w:eastAsiaTheme="majorEastAsia"/>
                <w:highlight w:val="none"/>
              </w:rPr>
              <w:t>其他要求</w:t>
            </w:r>
          </w:p>
        </w:tc>
        <w:tc>
          <w:tcPr>
            <w:tcW w:w="4944" w:type="dxa"/>
            <w:vAlign w:val="center"/>
          </w:tcPr>
          <w:p w14:paraId="097D4789">
            <w:pPr>
              <w:pStyle w:val="56"/>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符合第二章“投标人须知”第1.4.1 项规定</w:t>
            </w:r>
          </w:p>
        </w:tc>
      </w:tr>
      <w:tr w14:paraId="208A0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restart"/>
            <w:vAlign w:val="center"/>
          </w:tcPr>
          <w:p w14:paraId="4D48F182">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2.1.3</w:t>
            </w:r>
          </w:p>
        </w:tc>
        <w:tc>
          <w:tcPr>
            <w:tcW w:w="1242" w:type="dxa"/>
            <w:vMerge w:val="restart"/>
            <w:vAlign w:val="center"/>
          </w:tcPr>
          <w:p w14:paraId="23E6484C">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响应性评审标准</w:t>
            </w:r>
          </w:p>
        </w:tc>
        <w:tc>
          <w:tcPr>
            <w:tcW w:w="2713" w:type="dxa"/>
            <w:vAlign w:val="center"/>
          </w:tcPr>
          <w:p w14:paraId="6098BAB6">
            <w:pPr>
              <w:tabs>
                <w:tab w:val="center" w:pos="4153"/>
                <w:tab w:val="right" w:pos="8306"/>
              </w:tabs>
              <w:snapToGrid w:val="0"/>
              <w:spacing w:line="32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投标内容</w:t>
            </w:r>
          </w:p>
        </w:tc>
        <w:tc>
          <w:tcPr>
            <w:tcW w:w="4944" w:type="dxa"/>
            <w:vAlign w:val="center"/>
          </w:tcPr>
          <w:p w14:paraId="3B036965">
            <w:pPr>
              <w:pStyle w:val="56"/>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符合第二章“投标人须知”第1.3.2项规定。</w:t>
            </w:r>
          </w:p>
        </w:tc>
      </w:tr>
      <w:tr w14:paraId="3F521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vAlign w:val="center"/>
          </w:tcPr>
          <w:p w14:paraId="7C16B46D">
            <w:pPr>
              <w:spacing w:line="320" w:lineRule="exact"/>
              <w:jc w:val="center"/>
              <w:rPr>
                <w:rFonts w:cs="宋体" w:asciiTheme="majorEastAsia" w:hAnsiTheme="majorEastAsia" w:eastAsiaTheme="majorEastAsia"/>
                <w:highlight w:val="none"/>
              </w:rPr>
            </w:pPr>
          </w:p>
        </w:tc>
        <w:tc>
          <w:tcPr>
            <w:tcW w:w="1242" w:type="dxa"/>
            <w:vMerge w:val="continue"/>
            <w:vAlign w:val="center"/>
          </w:tcPr>
          <w:p w14:paraId="36A06B9B">
            <w:pPr>
              <w:spacing w:line="320" w:lineRule="exact"/>
              <w:jc w:val="center"/>
              <w:rPr>
                <w:rFonts w:cs="宋体" w:asciiTheme="majorEastAsia" w:hAnsiTheme="majorEastAsia" w:eastAsiaTheme="majorEastAsia"/>
                <w:highlight w:val="none"/>
              </w:rPr>
            </w:pPr>
          </w:p>
        </w:tc>
        <w:tc>
          <w:tcPr>
            <w:tcW w:w="2713" w:type="dxa"/>
            <w:vAlign w:val="center"/>
          </w:tcPr>
          <w:p w14:paraId="295F04ED">
            <w:pPr>
              <w:tabs>
                <w:tab w:val="center" w:pos="4153"/>
                <w:tab w:val="right" w:pos="8306"/>
              </w:tabs>
              <w:snapToGrid w:val="0"/>
              <w:spacing w:line="32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计划工期</w:t>
            </w:r>
          </w:p>
        </w:tc>
        <w:tc>
          <w:tcPr>
            <w:tcW w:w="4944" w:type="dxa"/>
            <w:vAlign w:val="center"/>
          </w:tcPr>
          <w:p w14:paraId="5FCAFB7E">
            <w:pPr>
              <w:tabs>
                <w:tab w:val="center" w:pos="4153"/>
                <w:tab w:val="right" w:pos="8306"/>
              </w:tabs>
              <w:snapToGrid w:val="0"/>
              <w:spacing w:line="32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color w:val="auto"/>
                <w:highlight w:val="none"/>
                <w:shd w:val="clear" w:color="auto" w:fill="FFFFFF"/>
                <w:lang w:val="en-US" w:eastAsia="zh-CN"/>
              </w:rPr>
              <w:t>180日历天（其中施工图自签订合同之日起30日历天内完成，施工工期150日历天。具体开工日期以合同约定时间为准）</w:t>
            </w:r>
            <w:r>
              <w:rPr>
                <w:rFonts w:hint="eastAsia" w:cs="宋体" w:asciiTheme="majorEastAsia" w:hAnsiTheme="majorEastAsia" w:eastAsiaTheme="majorEastAsia"/>
                <w:highlight w:val="none"/>
              </w:rPr>
              <w:t>。</w:t>
            </w:r>
          </w:p>
        </w:tc>
      </w:tr>
      <w:tr w14:paraId="33938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vAlign w:val="center"/>
          </w:tcPr>
          <w:p w14:paraId="6D004A93">
            <w:pPr>
              <w:spacing w:line="320" w:lineRule="exact"/>
              <w:jc w:val="center"/>
              <w:rPr>
                <w:rFonts w:cs="宋体" w:asciiTheme="majorEastAsia" w:hAnsiTheme="majorEastAsia" w:eastAsiaTheme="majorEastAsia"/>
                <w:highlight w:val="none"/>
              </w:rPr>
            </w:pPr>
          </w:p>
        </w:tc>
        <w:tc>
          <w:tcPr>
            <w:tcW w:w="1242" w:type="dxa"/>
            <w:vMerge w:val="continue"/>
            <w:vAlign w:val="center"/>
          </w:tcPr>
          <w:p w14:paraId="07D1126C">
            <w:pPr>
              <w:spacing w:line="320" w:lineRule="exact"/>
              <w:jc w:val="center"/>
              <w:rPr>
                <w:rFonts w:cs="宋体" w:asciiTheme="majorEastAsia" w:hAnsiTheme="majorEastAsia" w:eastAsiaTheme="majorEastAsia"/>
                <w:highlight w:val="none"/>
              </w:rPr>
            </w:pPr>
          </w:p>
        </w:tc>
        <w:tc>
          <w:tcPr>
            <w:tcW w:w="2713" w:type="dxa"/>
            <w:vAlign w:val="center"/>
          </w:tcPr>
          <w:p w14:paraId="1EDB9578">
            <w:pPr>
              <w:tabs>
                <w:tab w:val="center" w:pos="4153"/>
                <w:tab w:val="right" w:pos="8306"/>
              </w:tabs>
              <w:snapToGrid w:val="0"/>
              <w:spacing w:line="32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质量要求</w:t>
            </w:r>
          </w:p>
        </w:tc>
        <w:tc>
          <w:tcPr>
            <w:tcW w:w="4944" w:type="dxa"/>
            <w:vAlign w:val="center"/>
          </w:tcPr>
          <w:p w14:paraId="6C8E4FEC">
            <w:pPr>
              <w:tabs>
                <w:tab w:val="center" w:pos="4153"/>
                <w:tab w:val="right" w:pos="8306"/>
              </w:tabs>
              <w:snapToGrid w:val="0"/>
              <w:spacing w:line="32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color w:val="auto"/>
                <w:highlight w:val="none"/>
                <w:shd w:val="clear" w:color="auto" w:fill="FFFFFF"/>
              </w:rPr>
              <w:t>（</w:t>
            </w:r>
            <w:r>
              <w:rPr>
                <w:rFonts w:hint="eastAsia" w:cs="宋体" w:asciiTheme="majorEastAsia" w:hAnsiTheme="majorEastAsia" w:eastAsiaTheme="majorEastAsia"/>
                <w:color w:val="auto"/>
                <w:highlight w:val="none"/>
                <w:shd w:val="clear" w:color="auto" w:fill="FFFFFF"/>
                <w:lang w:val="en-US" w:eastAsia="zh-CN"/>
              </w:rPr>
              <w:t>1</w:t>
            </w:r>
            <w:r>
              <w:rPr>
                <w:rFonts w:hint="eastAsia" w:cs="宋体" w:asciiTheme="majorEastAsia" w:hAnsiTheme="majorEastAsia" w:eastAsiaTheme="majorEastAsia"/>
                <w:color w:val="auto"/>
                <w:highlight w:val="none"/>
                <w:shd w:val="clear" w:color="auto" w:fill="FFFFFF"/>
              </w:rPr>
              <w:t>）设计质量要求：符合《建筑工</w:t>
            </w:r>
            <w:r>
              <w:rPr>
                <w:rFonts w:hint="eastAsia" w:cs="宋体" w:asciiTheme="majorEastAsia" w:hAnsiTheme="majorEastAsia" w:eastAsiaTheme="majorEastAsia"/>
                <w:highlight w:val="none"/>
                <w:shd w:val="clear" w:color="auto" w:fill="FFFFFF"/>
              </w:rPr>
              <w:t>程设计文件编制深度规定》（201</w:t>
            </w:r>
            <w:r>
              <w:rPr>
                <w:rFonts w:cs="宋体" w:asciiTheme="majorEastAsia" w:hAnsiTheme="majorEastAsia" w:eastAsiaTheme="majorEastAsia"/>
                <w:highlight w:val="none"/>
                <w:shd w:val="clear" w:color="auto" w:fill="FFFFFF"/>
              </w:rPr>
              <w:t>6</w:t>
            </w:r>
            <w:r>
              <w:rPr>
                <w:rFonts w:hint="eastAsia" w:cs="宋体" w:asciiTheme="majorEastAsia" w:hAnsiTheme="majorEastAsia" w:eastAsiaTheme="majorEastAsia"/>
                <w:highlight w:val="none"/>
                <w:shd w:val="clear" w:color="auto" w:fill="FFFFFF"/>
              </w:rPr>
              <w:t>年版）及国家、地方及行业现行的设计标准、规范和规程的要求，确保施工图成果资料完整、真实准确、清晰有据，确保施工图成果资料通过相关行政主管部门的审批，并取得相关行政主管部门的批复文件，并对所提供的成果质量负终身责任；（</w:t>
            </w:r>
            <w:r>
              <w:rPr>
                <w:rFonts w:hint="eastAsia" w:cs="宋体" w:asciiTheme="majorEastAsia" w:hAnsiTheme="majorEastAsia" w:eastAsiaTheme="majorEastAsia"/>
                <w:highlight w:val="none"/>
                <w:shd w:val="clear" w:color="auto" w:fill="FFFFFF"/>
                <w:lang w:val="en-US" w:eastAsia="zh-CN"/>
              </w:rPr>
              <w:t>2</w:t>
            </w:r>
            <w:r>
              <w:rPr>
                <w:rFonts w:hint="eastAsia" w:cs="宋体" w:asciiTheme="majorEastAsia" w:hAnsiTheme="majorEastAsia" w:eastAsiaTheme="majorEastAsia"/>
                <w:highlight w:val="none"/>
                <w:shd w:val="clear" w:color="auto" w:fill="FFFFFF"/>
              </w:rPr>
              <w:t>）施工质量要求：符合《建设工程质量管理条例》、《建筑工程施工质量验收统一标准》（GB50300-2013）及国家（行业）现行的相关质量标准，确保工程一次性验收合格</w:t>
            </w:r>
            <w:r>
              <w:rPr>
                <w:rFonts w:hint="eastAsia" w:cs="宋体" w:asciiTheme="majorEastAsia" w:hAnsiTheme="majorEastAsia" w:eastAsiaTheme="majorEastAsia"/>
                <w:highlight w:val="none"/>
                <w:shd w:val="clear" w:color="auto" w:fill="FFFFFF"/>
                <w:lang w:eastAsia="zh-CN"/>
              </w:rPr>
              <w:t>；</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lang w:eastAsia="zh-CN"/>
              </w:rPr>
              <w:t>）运营</w:t>
            </w:r>
            <w:r>
              <w:rPr>
                <w:rFonts w:hint="eastAsia" w:cs="宋体" w:asciiTheme="majorEastAsia" w:hAnsiTheme="majorEastAsia" w:eastAsiaTheme="majorEastAsia"/>
                <w:highlight w:val="none"/>
                <w:shd w:val="clear" w:color="auto" w:fill="FFFFFF"/>
              </w:rPr>
              <w:t>质量要求</w:t>
            </w:r>
            <w:r>
              <w:rPr>
                <w:rFonts w:hint="eastAsia" w:ascii="宋体" w:hAnsi="宋体" w:eastAsia="宋体" w:cs="宋体"/>
                <w:b w:val="0"/>
                <w:bCs w:val="0"/>
                <w:sz w:val="24"/>
                <w:szCs w:val="24"/>
                <w:highlight w:val="none"/>
                <w:lang w:eastAsia="zh-CN"/>
              </w:rPr>
              <w:t>：</w:t>
            </w:r>
            <w:r>
              <w:rPr>
                <w:rFonts w:hint="eastAsia" w:ascii="宋体" w:hAnsi="宋体" w:cs="宋体"/>
                <w:b w:val="0"/>
                <w:bCs w:val="0"/>
                <w:sz w:val="24"/>
                <w:szCs w:val="24"/>
                <w:highlight w:val="none"/>
                <w:lang w:eastAsia="zh-CN"/>
              </w:rPr>
              <w:t>按招标人确定运营方式进行管理，并按招标人确定的项目开展运营工作。</w:t>
            </w:r>
          </w:p>
        </w:tc>
      </w:tr>
      <w:tr w14:paraId="3EFAF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vAlign w:val="center"/>
          </w:tcPr>
          <w:p w14:paraId="76B2A180">
            <w:pPr>
              <w:spacing w:line="320" w:lineRule="exact"/>
              <w:jc w:val="center"/>
              <w:rPr>
                <w:rFonts w:cs="宋体" w:asciiTheme="majorEastAsia" w:hAnsiTheme="majorEastAsia" w:eastAsiaTheme="majorEastAsia"/>
                <w:highlight w:val="none"/>
              </w:rPr>
            </w:pPr>
          </w:p>
        </w:tc>
        <w:tc>
          <w:tcPr>
            <w:tcW w:w="1242" w:type="dxa"/>
            <w:vMerge w:val="continue"/>
            <w:vAlign w:val="center"/>
          </w:tcPr>
          <w:p w14:paraId="370FF6A7">
            <w:pPr>
              <w:spacing w:line="320" w:lineRule="exact"/>
              <w:jc w:val="center"/>
              <w:rPr>
                <w:rFonts w:cs="宋体" w:asciiTheme="majorEastAsia" w:hAnsiTheme="majorEastAsia" w:eastAsiaTheme="majorEastAsia"/>
                <w:highlight w:val="none"/>
              </w:rPr>
            </w:pPr>
          </w:p>
        </w:tc>
        <w:tc>
          <w:tcPr>
            <w:tcW w:w="2713" w:type="dxa"/>
            <w:vAlign w:val="center"/>
          </w:tcPr>
          <w:p w14:paraId="374736EE">
            <w:pPr>
              <w:tabs>
                <w:tab w:val="center" w:pos="4153"/>
                <w:tab w:val="right" w:pos="8306"/>
              </w:tabs>
              <w:snapToGrid w:val="0"/>
              <w:spacing w:line="32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投标有效期</w:t>
            </w:r>
          </w:p>
        </w:tc>
        <w:tc>
          <w:tcPr>
            <w:tcW w:w="4944" w:type="dxa"/>
            <w:vAlign w:val="center"/>
          </w:tcPr>
          <w:p w14:paraId="3DC30CD0">
            <w:pPr>
              <w:tabs>
                <w:tab w:val="center" w:pos="4153"/>
                <w:tab w:val="right" w:pos="8306"/>
              </w:tabs>
              <w:snapToGrid w:val="0"/>
              <w:spacing w:line="32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90日历天（从投标截止之日起）</w:t>
            </w:r>
          </w:p>
        </w:tc>
      </w:tr>
      <w:tr w14:paraId="6DAD3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vAlign w:val="center"/>
          </w:tcPr>
          <w:p w14:paraId="4AB0DD3E">
            <w:pPr>
              <w:spacing w:line="320" w:lineRule="exact"/>
              <w:jc w:val="center"/>
              <w:rPr>
                <w:rFonts w:cs="宋体" w:asciiTheme="majorEastAsia" w:hAnsiTheme="majorEastAsia" w:eastAsiaTheme="majorEastAsia"/>
                <w:highlight w:val="none"/>
              </w:rPr>
            </w:pPr>
          </w:p>
        </w:tc>
        <w:tc>
          <w:tcPr>
            <w:tcW w:w="1242" w:type="dxa"/>
            <w:vMerge w:val="continue"/>
            <w:vAlign w:val="center"/>
          </w:tcPr>
          <w:p w14:paraId="559A7C99">
            <w:pPr>
              <w:spacing w:line="320" w:lineRule="exact"/>
              <w:jc w:val="center"/>
              <w:rPr>
                <w:rFonts w:cs="宋体" w:asciiTheme="majorEastAsia" w:hAnsiTheme="majorEastAsia" w:eastAsiaTheme="majorEastAsia"/>
                <w:highlight w:val="none"/>
              </w:rPr>
            </w:pPr>
          </w:p>
        </w:tc>
        <w:tc>
          <w:tcPr>
            <w:tcW w:w="2713" w:type="dxa"/>
            <w:vAlign w:val="center"/>
          </w:tcPr>
          <w:p w14:paraId="0BE9C82B">
            <w:pPr>
              <w:tabs>
                <w:tab w:val="center" w:pos="4153"/>
                <w:tab w:val="right" w:pos="8306"/>
              </w:tabs>
              <w:snapToGrid w:val="0"/>
              <w:spacing w:line="32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权利义务</w:t>
            </w:r>
          </w:p>
        </w:tc>
        <w:tc>
          <w:tcPr>
            <w:tcW w:w="4944" w:type="dxa"/>
            <w:vAlign w:val="center"/>
          </w:tcPr>
          <w:p w14:paraId="100E66C7">
            <w:pPr>
              <w:tabs>
                <w:tab w:val="center" w:pos="4153"/>
                <w:tab w:val="right" w:pos="8306"/>
              </w:tabs>
              <w:snapToGrid w:val="0"/>
              <w:spacing w:line="32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符合第四章“合同条款及格式”规定</w:t>
            </w:r>
          </w:p>
        </w:tc>
      </w:tr>
      <w:tr w14:paraId="6E475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7" w:type="dxa"/>
            <w:vMerge w:val="continue"/>
            <w:vAlign w:val="center"/>
          </w:tcPr>
          <w:p w14:paraId="585F47F5">
            <w:pPr>
              <w:spacing w:line="320" w:lineRule="exact"/>
              <w:jc w:val="center"/>
              <w:rPr>
                <w:rFonts w:cs="宋体" w:asciiTheme="majorEastAsia" w:hAnsiTheme="majorEastAsia" w:eastAsiaTheme="majorEastAsia"/>
                <w:highlight w:val="none"/>
              </w:rPr>
            </w:pPr>
          </w:p>
        </w:tc>
        <w:tc>
          <w:tcPr>
            <w:tcW w:w="1242" w:type="dxa"/>
            <w:vMerge w:val="continue"/>
            <w:vAlign w:val="center"/>
          </w:tcPr>
          <w:p w14:paraId="76022067">
            <w:pPr>
              <w:spacing w:line="320" w:lineRule="exact"/>
              <w:jc w:val="center"/>
              <w:rPr>
                <w:rFonts w:cs="宋体" w:asciiTheme="majorEastAsia" w:hAnsiTheme="majorEastAsia" w:eastAsiaTheme="majorEastAsia"/>
                <w:highlight w:val="none"/>
              </w:rPr>
            </w:pPr>
          </w:p>
        </w:tc>
        <w:tc>
          <w:tcPr>
            <w:tcW w:w="2713" w:type="dxa"/>
            <w:vAlign w:val="center"/>
          </w:tcPr>
          <w:p w14:paraId="6651F112">
            <w:pPr>
              <w:tabs>
                <w:tab w:val="center" w:pos="4153"/>
                <w:tab w:val="right" w:pos="8306"/>
              </w:tabs>
              <w:snapToGrid w:val="0"/>
              <w:spacing w:line="32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kern w:val="2"/>
                <w:highlight w:val="none"/>
              </w:rPr>
              <w:t>技术标准和要求</w:t>
            </w:r>
          </w:p>
        </w:tc>
        <w:tc>
          <w:tcPr>
            <w:tcW w:w="4944" w:type="dxa"/>
            <w:vAlign w:val="center"/>
          </w:tcPr>
          <w:p w14:paraId="7EFA87AD">
            <w:pPr>
              <w:tabs>
                <w:tab w:val="center" w:pos="4153"/>
                <w:tab w:val="right" w:pos="8306"/>
              </w:tabs>
              <w:snapToGrid w:val="0"/>
              <w:spacing w:line="32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符合第五章“规范及标准”规定</w:t>
            </w:r>
          </w:p>
        </w:tc>
      </w:tr>
    </w:tbl>
    <w:p w14:paraId="474B7303">
      <w:pPr>
        <w:rPr>
          <w:rFonts w:cs="宋体" w:asciiTheme="majorEastAsia" w:hAnsiTheme="majorEastAsia" w:eastAsiaTheme="majorEastAsia"/>
          <w:highlight w:val="none"/>
        </w:rPr>
      </w:pPr>
    </w:p>
    <w:p w14:paraId="0CE39111">
      <w:pPr>
        <w:rPr>
          <w:rFonts w:cs="宋体" w:asciiTheme="majorEastAsia" w:hAnsiTheme="majorEastAsia" w:eastAsiaTheme="majorEastAsia"/>
          <w:highlight w:val="none"/>
        </w:rPr>
      </w:pPr>
      <w:r>
        <w:rPr>
          <w:rFonts w:hint="eastAsia" w:cs="宋体" w:asciiTheme="majorEastAsia" w:hAnsiTheme="majorEastAsia" w:eastAsiaTheme="majorEastAsia"/>
          <w:highlight w:val="none"/>
        </w:rPr>
        <w:br w:type="page"/>
      </w:r>
      <w:bookmarkStart w:id="188" w:name="_Toc247527625"/>
      <w:bookmarkStart w:id="189" w:name="_Toc247514024"/>
      <w:bookmarkStart w:id="190" w:name="_Toc482878084"/>
      <w:bookmarkStart w:id="191" w:name="_Toc437684753"/>
      <w:bookmarkStart w:id="192" w:name="_Toc478646330"/>
    </w:p>
    <w:tbl>
      <w:tblPr>
        <w:tblStyle w:val="64"/>
        <w:tblW w:w="99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6"/>
        <w:gridCol w:w="1448"/>
        <w:gridCol w:w="970"/>
        <w:gridCol w:w="282"/>
        <w:gridCol w:w="1039"/>
        <w:gridCol w:w="5114"/>
      </w:tblGrid>
      <w:tr w14:paraId="6D32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7" w:hRule="atLeast"/>
        </w:trPr>
        <w:tc>
          <w:tcPr>
            <w:tcW w:w="1076" w:type="dxa"/>
            <w:vAlign w:val="center"/>
          </w:tcPr>
          <w:p w14:paraId="3B3FA03F">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2.2.1</w:t>
            </w:r>
          </w:p>
        </w:tc>
        <w:tc>
          <w:tcPr>
            <w:tcW w:w="2418" w:type="dxa"/>
            <w:gridSpan w:val="2"/>
            <w:vAlign w:val="center"/>
          </w:tcPr>
          <w:p w14:paraId="719D7B77">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分值构成</w:t>
            </w:r>
          </w:p>
          <w:p w14:paraId="30F60FF5">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（总分100分）</w:t>
            </w:r>
          </w:p>
        </w:tc>
        <w:tc>
          <w:tcPr>
            <w:tcW w:w="6435" w:type="dxa"/>
            <w:gridSpan w:val="3"/>
            <w:vAlign w:val="center"/>
          </w:tcPr>
          <w:p w14:paraId="0779D287">
            <w:pPr>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最终得分分值构成：投标人最终得分计算公式：Z＝S＋J</w:t>
            </w:r>
          </w:p>
          <w:p w14:paraId="27A2E5A2">
            <w:pPr>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其中：Z为投标人最终得分；</w:t>
            </w:r>
          </w:p>
          <w:p w14:paraId="41DFC45C">
            <w:pPr>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S为投标人的商务部分总得分；</w:t>
            </w:r>
          </w:p>
          <w:p w14:paraId="45870AA1">
            <w:pPr>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J为投标人的技术部分总得分；</w:t>
            </w:r>
          </w:p>
          <w:p w14:paraId="368B52F0">
            <w:pPr>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注：</w:t>
            </w:r>
          </w:p>
          <w:p w14:paraId="497BF9F2">
            <w:pPr>
              <w:spacing w:line="320" w:lineRule="exact"/>
              <w:rPr>
                <w:rFonts w:hint="default" w:cs="宋体" w:asciiTheme="majorEastAsia" w:hAnsiTheme="majorEastAsia" w:eastAsiaTheme="majorEastAsia"/>
                <w:highlight w:val="none"/>
                <w:lang w:val="en-US" w:eastAsia="zh-CN"/>
              </w:rPr>
            </w:pPr>
            <w:r>
              <w:rPr>
                <w:rFonts w:hint="eastAsia" w:cs="宋体" w:asciiTheme="majorEastAsia" w:hAnsiTheme="majorEastAsia" w:eastAsiaTheme="majorEastAsia"/>
                <w:highlight w:val="none"/>
              </w:rPr>
              <w:t>（1）技术部分：满分100分，权重为</w:t>
            </w:r>
            <w:r>
              <w:rPr>
                <w:rFonts w:hint="eastAsia" w:cs="宋体" w:asciiTheme="majorEastAsia" w:hAnsiTheme="majorEastAsia" w:eastAsiaTheme="majorEastAsia"/>
                <w:highlight w:val="none"/>
                <w:lang w:val="en-US" w:eastAsia="zh-CN"/>
              </w:rPr>
              <w:t>0.90</w:t>
            </w:r>
          </w:p>
          <w:p w14:paraId="5B052000">
            <w:pPr>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a设计部分评审：满分</w:t>
            </w:r>
            <w:r>
              <w:rPr>
                <w:rFonts w:hint="eastAsia" w:cs="宋体" w:asciiTheme="majorEastAsia" w:hAnsiTheme="majorEastAsia" w:eastAsiaTheme="majorEastAsia"/>
                <w:highlight w:val="none"/>
                <w:lang w:val="en-US" w:eastAsia="zh-CN"/>
              </w:rPr>
              <w:t>40</w:t>
            </w:r>
            <w:r>
              <w:rPr>
                <w:rFonts w:hint="eastAsia" w:cs="宋体" w:asciiTheme="majorEastAsia" w:hAnsiTheme="majorEastAsia" w:eastAsiaTheme="majorEastAsia"/>
                <w:highlight w:val="none"/>
              </w:rPr>
              <w:t>分；</w:t>
            </w:r>
          </w:p>
          <w:p w14:paraId="0101EE09">
            <w:pPr>
              <w:spacing w:line="320" w:lineRule="exact"/>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b</w:t>
            </w:r>
            <w:r>
              <w:rPr>
                <w:rFonts w:hint="eastAsia" w:cs="宋体" w:asciiTheme="majorEastAsia" w:hAnsiTheme="majorEastAsia" w:eastAsiaTheme="majorEastAsia"/>
                <w:highlight w:val="none"/>
              </w:rPr>
              <w:t>施工部分评审：满分</w:t>
            </w:r>
            <w:r>
              <w:rPr>
                <w:rFonts w:hint="eastAsia" w:cs="宋体" w:asciiTheme="majorEastAsia" w:hAnsiTheme="majorEastAsia" w:eastAsiaTheme="majorEastAsia"/>
                <w:highlight w:val="none"/>
                <w:lang w:val="en-US" w:eastAsia="zh-CN"/>
              </w:rPr>
              <w:t>40</w:t>
            </w:r>
            <w:r>
              <w:rPr>
                <w:rFonts w:hint="eastAsia" w:cs="宋体" w:asciiTheme="majorEastAsia" w:hAnsiTheme="majorEastAsia" w:eastAsiaTheme="majorEastAsia"/>
                <w:highlight w:val="none"/>
              </w:rPr>
              <w:t>分；</w:t>
            </w:r>
          </w:p>
          <w:p w14:paraId="7D22BFB2">
            <w:pPr>
              <w:spacing w:line="320" w:lineRule="exact"/>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c运营</w:t>
            </w:r>
            <w:r>
              <w:rPr>
                <w:rFonts w:hint="eastAsia" w:cs="宋体" w:asciiTheme="majorEastAsia" w:hAnsiTheme="majorEastAsia" w:eastAsiaTheme="majorEastAsia"/>
                <w:highlight w:val="none"/>
              </w:rPr>
              <w:t>部分评审：满分</w:t>
            </w:r>
            <w:r>
              <w:rPr>
                <w:rFonts w:hint="eastAsia" w:cs="宋体" w:asciiTheme="majorEastAsia" w:hAnsiTheme="majorEastAsia" w:eastAsiaTheme="majorEastAsia"/>
                <w:highlight w:val="none"/>
                <w:lang w:val="en-US" w:eastAsia="zh-CN"/>
              </w:rPr>
              <w:t>20</w:t>
            </w:r>
            <w:r>
              <w:rPr>
                <w:rFonts w:hint="eastAsia" w:cs="宋体" w:asciiTheme="majorEastAsia" w:hAnsiTheme="majorEastAsia" w:eastAsiaTheme="majorEastAsia"/>
                <w:highlight w:val="none"/>
              </w:rPr>
              <w:t>分；</w:t>
            </w:r>
          </w:p>
          <w:p w14:paraId="65F7541F">
            <w:pPr>
              <w:spacing w:line="32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（2）商务部分总分为满分100分，权重为0.</w:t>
            </w:r>
            <w:r>
              <w:rPr>
                <w:rFonts w:hint="eastAsia" w:cs="宋体" w:asciiTheme="majorEastAsia" w:hAnsiTheme="majorEastAsia" w:eastAsiaTheme="majorEastAsia"/>
                <w:highlight w:val="none"/>
                <w:lang w:val="en-US" w:eastAsia="zh-CN"/>
              </w:rPr>
              <w:t>10</w:t>
            </w:r>
            <w:r>
              <w:rPr>
                <w:rFonts w:hint="eastAsia" w:cs="宋体" w:asciiTheme="majorEastAsia" w:hAnsiTheme="majorEastAsia" w:eastAsiaTheme="majorEastAsia"/>
                <w:highlight w:val="none"/>
              </w:rPr>
              <w:t>。</w:t>
            </w:r>
          </w:p>
        </w:tc>
      </w:tr>
      <w:tr w14:paraId="489CF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076" w:type="dxa"/>
            <w:vAlign w:val="center"/>
          </w:tcPr>
          <w:p w14:paraId="1045C028">
            <w:pPr>
              <w:spacing w:line="32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2.2.2</w:t>
            </w:r>
          </w:p>
        </w:tc>
        <w:tc>
          <w:tcPr>
            <w:tcW w:w="8853" w:type="dxa"/>
            <w:gridSpan w:val="5"/>
            <w:vAlign w:val="center"/>
          </w:tcPr>
          <w:p w14:paraId="7FD5E94C">
            <w:pPr>
              <w:spacing w:line="32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评分标准</w:t>
            </w:r>
          </w:p>
        </w:tc>
      </w:tr>
      <w:tr w14:paraId="5EE84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076" w:type="dxa"/>
            <w:vAlign w:val="center"/>
          </w:tcPr>
          <w:p w14:paraId="74998218">
            <w:pPr>
              <w:spacing w:line="320" w:lineRule="exact"/>
              <w:jc w:val="center"/>
              <w:rPr>
                <w:rFonts w:cs="宋体" w:asciiTheme="majorEastAsia" w:hAnsiTheme="majorEastAsia" w:eastAsiaTheme="majorEastAsia"/>
                <w:b/>
                <w:highlight w:val="none"/>
              </w:rPr>
            </w:pPr>
            <w:r>
              <w:rPr>
                <w:rFonts w:cs="宋体" w:asciiTheme="majorEastAsia" w:hAnsiTheme="majorEastAsia" w:eastAsiaTheme="majorEastAsia"/>
                <w:b/>
                <w:highlight w:val="none"/>
              </w:rPr>
              <w:t>条款号</w:t>
            </w:r>
          </w:p>
        </w:tc>
        <w:tc>
          <w:tcPr>
            <w:tcW w:w="2700" w:type="dxa"/>
            <w:gridSpan w:val="3"/>
            <w:vAlign w:val="center"/>
          </w:tcPr>
          <w:p w14:paraId="3DEA2C9B">
            <w:pPr>
              <w:spacing w:line="32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评审项目</w:t>
            </w:r>
          </w:p>
        </w:tc>
        <w:tc>
          <w:tcPr>
            <w:tcW w:w="1039" w:type="dxa"/>
            <w:vAlign w:val="center"/>
          </w:tcPr>
          <w:p w14:paraId="246C1138">
            <w:pPr>
              <w:spacing w:line="32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评审因素分值</w:t>
            </w:r>
          </w:p>
        </w:tc>
        <w:tc>
          <w:tcPr>
            <w:tcW w:w="5114" w:type="dxa"/>
            <w:vAlign w:val="center"/>
          </w:tcPr>
          <w:p w14:paraId="7F904064">
            <w:pPr>
              <w:spacing w:line="32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评审标准</w:t>
            </w:r>
          </w:p>
        </w:tc>
      </w:tr>
      <w:tr w14:paraId="03706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929" w:type="dxa"/>
            <w:gridSpan w:val="6"/>
            <w:vAlign w:val="center"/>
          </w:tcPr>
          <w:p w14:paraId="4601CFA4">
            <w:pPr>
              <w:spacing w:line="32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注：评委根据投标人的投标文件情况进行评审。</w:t>
            </w:r>
          </w:p>
        </w:tc>
      </w:tr>
      <w:tr w14:paraId="77B1C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7" w:hRule="atLeast"/>
        </w:trPr>
        <w:tc>
          <w:tcPr>
            <w:tcW w:w="1076" w:type="dxa"/>
            <w:vMerge w:val="restart"/>
            <w:vAlign w:val="center"/>
          </w:tcPr>
          <w:p w14:paraId="5FD56C8E">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2.2.2（1）</w:t>
            </w:r>
          </w:p>
        </w:tc>
        <w:tc>
          <w:tcPr>
            <w:tcW w:w="1448" w:type="dxa"/>
            <w:vMerge w:val="restart"/>
            <w:vAlign w:val="center"/>
          </w:tcPr>
          <w:p w14:paraId="7270C230">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设计部分（</w:t>
            </w:r>
            <w:r>
              <w:rPr>
                <w:rFonts w:hint="eastAsia" w:cs="宋体" w:asciiTheme="majorEastAsia" w:hAnsiTheme="majorEastAsia" w:eastAsiaTheme="majorEastAsia"/>
                <w:highlight w:val="none"/>
                <w:lang w:val="en-US" w:eastAsia="zh-CN"/>
              </w:rPr>
              <w:t>40</w:t>
            </w:r>
            <w:r>
              <w:rPr>
                <w:rFonts w:cs="宋体" w:asciiTheme="majorEastAsia" w:hAnsiTheme="majorEastAsia" w:eastAsiaTheme="majorEastAsia"/>
                <w:highlight w:val="none"/>
              </w:rPr>
              <w:t>分</w:t>
            </w:r>
            <w:r>
              <w:rPr>
                <w:rFonts w:hint="eastAsia" w:cs="宋体" w:asciiTheme="majorEastAsia" w:hAnsiTheme="majorEastAsia" w:eastAsiaTheme="majorEastAsia"/>
                <w:highlight w:val="none"/>
              </w:rPr>
              <w:t>）</w:t>
            </w:r>
          </w:p>
        </w:tc>
        <w:tc>
          <w:tcPr>
            <w:tcW w:w="1252" w:type="dxa"/>
            <w:gridSpan w:val="2"/>
            <w:vMerge w:val="restart"/>
            <w:vAlign w:val="center"/>
          </w:tcPr>
          <w:p w14:paraId="346A667D">
            <w:pPr>
              <w:pStyle w:val="521"/>
              <w:spacing w:line="360" w:lineRule="auto"/>
              <w:jc w:val="center"/>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val="en-US" w:eastAsia="zh-CN"/>
              </w:rPr>
              <w:t>设计</w:t>
            </w:r>
            <w:r>
              <w:rPr>
                <w:rFonts w:hint="eastAsia" w:asciiTheme="minorEastAsia" w:hAnsiTheme="minorEastAsia" w:eastAsiaTheme="minorEastAsia"/>
                <w:color w:val="000000"/>
                <w:sz w:val="24"/>
                <w:szCs w:val="24"/>
              </w:rPr>
              <w:t>图、设计方案</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设计目标控制</w:t>
            </w:r>
            <w:r>
              <w:rPr>
                <w:rFonts w:hint="eastAsia" w:asciiTheme="minorEastAsia" w:hAnsiTheme="minorEastAsia" w:eastAsiaTheme="minorEastAsia"/>
                <w:color w:val="000000"/>
                <w:sz w:val="24"/>
                <w:szCs w:val="24"/>
              </w:rPr>
              <w:t>评分</w:t>
            </w:r>
          </w:p>
          <w:p w14:paraId="16C02CA0">
            <w:pPr>
              <w:spacing w:line="320" w:lineRule="exact"/>
              <w:jc w:val="center"/>
              <w:rPr>
                <w:rFonts w:cs="宋体" w:asciiTheme="majorEastAsia" w:hAnsiTheme="majorEastAsia" w:eastAsiaTheme="majorEastAsia"/>
                <w:strike/>
                <w:highlight w:val="none"/>
              </w:rPr>
            </w:pPr>
          </w:p>
        </w:tc>
        <w:tc>
          <w:tcPr>
            <w:tcW w:w="1039" w:type="dxa"/>
            <w:vAlign w:val="center"/>
          </w:tcPr>
          <w:p w14:paraId="083EC01D">
            <w:pPr>
              <w:tabs>
                <w:tab w:val="center" w:pos="4153"/>
                <w:tab w:val="right" w:pos="8306"/>
              </w:tabs>
              <w:snapToGrid w:val="0"/>
              <w:spacing w:line="320" w:lineRule="exact"/>
              <w:jc w:val="center"/>
              <w:rPr>
                <w:rFonts w:hint="eastAsia" w:asciiTheme="minorEastAsia" w:hAnsiTheme="minorEastAsia" w:eastAsiaTheme="minorEastAsia"/>
                <w:color w:val="000000"/>
                <w:lang w:val="en-US" w:eastAsia="zh-CN"/>
              </w:rPr>
            </w:pPr>
            <w:r>
              <w:rPr>
                <w:rFonts w:hint="eastAsia" w:asciiTheme="minorEastAsia" w:hAnsiTheme="minorEastAsia" w:eastAsiaTheme="minorEastAsia"/>
                <w:color w:val="000000"/>
                <w:sz w:val="24"/>
                <w:szCs w:val="24"/>
                <w:lang w:val="en-US" w:eastAsia="zh-CN"/>
              </w:rPr>
              <w:t>设计</w:t>
            </w:r>
            <w:r>
              <w:rPr>
                <w:rFonts w:hint="eastAsia" w:asciiTheme="minorEastAsia" w:hAnsiTheme="minorEastAsia" w:eastAsiaTheme="minorEastAsia"/>
                <w:color w:val="000000"/>
                <w:sz w:val="24"/>
                <w:szCs w:val="24"/>
              </w:rPr>
              <w:t>图</w:t>
            </w:r>
            <w:r>
              <w:rPr>
                <w:rFonts w:hint="eastAsia" w:asciiTheme="minorEastAsia" w:hAnsiTheme="minorEastAsia" w:eastAsiaTheme="minorEastAsia"/>
                <w:color w:val="000000"/>
                <w:sz w:val="24"/>
                <w:szCs w:val="24"/>
                <w:lang w:val="en-US" w:eastAsia="zh-CN"/>
              </w:rPr>
              <w:t>评审</w:t>
            </w:r>
          </w:p>
          <w:p w14:paraId="5E841806">
            <w:pPr>
              <w:tabs>
                <w:tab w:val="center" w:pos="4153"/>
                <w:tab w:val="right" w:pos="8306"/>
              </w:tabs>
              <w:snapToGrid w:val="0"/>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lang w:val="en-US" w:eastAsia="zh-CN"/>
              </w:rPr>
              <w:t>20</w:t>
            </w:r>
            <w:r>
              <w:rPr>
                <w:rFonts w:cs="宋体" w:asciiTheme="majorEastAsia" w:hAnsiTheme="majorEastAsia" w:eastAsiaTheme="majorEastAsia"/>
              </w:rPr>
              <w:t>分</w:t>
            </w:r>
          </w:p>
        </w:tc>
        <w:tc>
          <w:tcPr>
            <w:tcW w:w="5114" w:type="dxa"/>
            <w:vAlign w:val="center"/>
          </w:tcPr>
          <w:p w14:paraId="32A23776">
            <w:pPr>
              <w:tabs>
                <w:tab w:val="center" w:pos="4153"/>
                <w:tab w:val="right" w:pos="8306"/>
              </w:tabs>
              <w:adjustRightInd w:val="0"/>
              <w:snapToGrid w:val="0"/>
              <w:spacing w:line="360" w:lineRule="auto"/>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lang w:val="en-US" w:eastAsia="zh-CN"/>
              </w:rPr>
              <w:t>1、</w:t>
            </w:r>
            <w:r>
              <w:rPr>
                <w:rFonts w:hint="eastAsia" w:asciiTheme="minorEastAsia" w:hAnsiTheme="minorEastAsia" w:eastAsiaTheme="minorEastAsia"/>
                <w:color w:val="000000"/>
                <w:sz w:val="24"/>
                <w:szCs w:val="24"/>
                <w:lang w:val="en-US" w:eastAsia="zh-CN"/>
              </w:rPr>
              <w:t>设计</w:t>
            </w:r>
            <w:r>
              <w:rPr>
                <w:rFonts w:hint="eastAsia" w:asciiTheme="minorEastAsia" w:hAnsiTheme="minorEastAsia" w:eastAsiaTheme="minorEastAsia"/>
                <w:color w:val="000000"/>
                <w:sz w:val="24"/>
                <w:szCs w:val="24"/>
              </w:rPr>
              <w:t>图</w:t>
            </w:r>
            <w:r>
              <w:rPr>
                <w:rFonts w:hint="eastAsia" w:cs="宋体" w:asciiTheme="majorEastAsia" w:hAnsiTheme="majorEastAsia" w:eastAsiaTheme="majorEastAsia"/>
                <w:highlight w:val="none"/>
              </w:rPr>
              <w:t>能够指导现场施工，</w:t>
            </w:r>
            <w:r>
              <w:rPr>
                <w:rFonts w:hint="eastAsia" w:cs="宋体" w:asciiTheme="majorEastAsia" w:hAnsiTheme="majorEastAsia" w:eastAsiaTheme="majorEastAsia"/>
                <w:highlight w:val="none"/>
                <w:lang w:val="en-US" w:eastAsia="zh-CN"/>
              </w:rPr>
              <w:t>设计深度较深，提供图纸齐全</w:t>
            </w:r>
            <w:r>
              <w:rPr>
                <w:rFonts w:hint="eastAsia" w:cs="宋体" w:asciiTheme="majorEastAsia" w:hAnsiTheme="majorEastAsia" w:eastAsiaTheme="majorEastAsia"/>
                <w:highlight w:val="none"/>
              </w:rPr>
              <w:t>且针对性强、</w:t>
            </w:r>
            <w:r>
              <w:rPr>
                <w:rFonts w:hint="eastAsia" w:asciiTheme="minorEastAsia" w:hAnsiTheme="minorEastAsia" w:eastAsiaTheme="minorEastAsia"/>
                <w:color w:val="000000"/>
                <w:sz w:val="24"/>
                <w:szCs w:val="24"/>
                <w:lang w:val="en-US" w:eastAsia="zh-CN"/>
              </w:rPr>
              <w:t>设计</w:t>
            </w:r>
            <w:r>
              <w:rPr>
                <w:rFonts w:hint="eastAsia" w:asciiTheme="minorEastAsia" w:hAnsiTheme="minorEastAsia" w:eastAsiaTheme="minorEastAsia"/>
                <w:color w:val="000000"/>
                <w:sz w:val="24"/>
                <w:szCs w:val="24"/>
              </w:rPr>
              <w:t>图</w:t>
            </w:r>
            <w:r>
              <w:rPr>
                <w:rFonts w:hint="eastAsia" w:cs="宋体" w:asciiTheme="majorEastAsia" w:hAnsiTheme="majorEastAsia" w:eastAsiaTheme="majorEastAsia"/>
                <w:highlight w:val="none"/>
              </w:rPr>
              <w:t>计划、重点、难点突出</w:t>
            </w:r>
            <w:r>
              <w:rPr>
                <w:rFonts w:hint="eastAsia" w:cs="宋体" w:asciiTheme="majorEastAsia" w:hAnsiTheme="majorEastAsia" w:eastAsiaTheme="majorEastAsia"/>
                <w:highlight w:val="none"/>
                <w:lang w:val="en-US" w:eastAsia="zh-CN"/>
              </w:rPr>
              <w:t>的</w:t>
            </w:r>
            <w:r>
              <w:rPr>
                <w:rFonts w:hint="eastAsia" w:cs="宋体" w:asciiTheme="majorEastAsia" w:hAnsiTheme="majorEastAsia" w:eastAsiaTheme="majorEastAsia"/>
                <w:highlight w:val="none"/>
              </w:rPr>
              <w:t>，得</w:t>
            </w:r>
            <w:r>
              <w:rPr>
                <w:rFonts w:hint="eastAsia" w:cs="宋体" w:asciiTheme="majorEastAsia" w:hAnsiTheme="majorEastAsia" w:eastAsiaTheme="majorEastAsia"/>
                <w:highlight w:val="none"/>
                <w:lang w:val="en-US" w:eastAsia="zh-CN"/>
              </w:rPr>
              <w:t>13</w:t>
            </w:r>
            <w:r>
              <w:rPr>
                <w:rFonts w:hint="eastAsia" w:cs="宋体" w:asciiTheme="majorEastAsia" w:hAnsiTheme="majorEastAsia" w:eastAsiaTheme="majorEastAsia"/>
                <w:highlight w:val="none"/>
              </w:rPr>
              <w:t>-</w:t>
            </w:r>
            <w:r>
              <w:rPr>
                <w:rFonts w:hint="eastAsia" w:cs="宋体" w:asciiTheme="majorEastAsia" w:hAnsiTheme="majorEastAsia" w:eastAsiaTheme="majorEastAsia"/>
                <w:highlight w:val="none"/>
                <w:lang w:val="en-US" w:eastAsia="zh-CN"/>
              </w:rPr>
              <w:t>20</w:t>
            </w:r>
            <w:r>
              <w:rPr>
                <w:rFonts w:hint="eastAsia" w:cs="宋体" w:asciiTheme="majorEastAsia" w:hAnsiTheme="majorEastAsia" w:eastAsiaTheme="majorEastAsia"/>
                <w:highlight w:val="none"/>
              </w:rPr>
              <w:t>分</w:t>
            </w:r>
            <w:r>
              <w:rPr>
                <w:rFonts w:hint="eastAsia" w:cs="宋体" w:asciiTheme="majorEastAsia" w:hAnsiTheme="majorEastAsia" w:eastAsiaTheme="majorEastAsia"/>
                <w:highlight w:val="none"/>
                <w:lang w:eastAsia="zh-CN"/>
              </w:rPr>
              <w:t>；</w:t>
            </w:r>
          </w:p>
          <w:p w14:paraId="238E82C1">
            <w:pPr>
              <w:tabs>
                <w:tab w:val="center" w:pos="4153"/>
                <w:tab w:val="right" w:pos="8306"/>
              </w:tabs>
              <w:adjustRightInd w:val="0"/>
              <w:snapToGrid w:val="0"/>
              <w:spacing w:line="360" w:lineRule="auto"/>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lang w:val="en-US" w:eastAsia="zh-CN"/>
              </w:rPr>
              <w:t>2、</w:t>
            </w:r>
            <w:r>
              <w:rPr>
                <w:rFonts w:hint="eastAsia" w:asciiTheme="minorEastAsia" w:hAnsiTheme="minorEastAsia" w:eastAsiaTheme="minorEastAsia"/>
                <w:color w:val="000000"/>
                <w:sz w:val="24"/>
                <w:szCs w:val="24"/>
                <w:lang w:val="en-US" w:eastAsia="zh-CN"/>
              </w:rPr>
              <w:t>设计</w:t>
            </w:r>
            <w:r>
              <w:rPr>
                <w:rFonts w:hint="eastAsia" w:asciiTheme="minorEastAsia" w:hAnsiTheme="minorEastAsia" w:eastAsiaTheme="minorEastAsia"/>
                <w:color w:val="000000"/>
                <w:sz w:val="24"/>
                <w:szCs w:val="24"/>
              </w:rPr>
              <w:t>图</w:t>
            </w:r>
            <w:r>
              <w:rPr>
                <w:rFonts w:hint="eastAsia" w:cs="宋体" w:asciiTheme="majorEastAsia" w:hAnsiTheme="majorEastAsia" w:eastAsiaTheme="majorEastAsia"/>
                <w:highlight w:val="none"/>
              </w:rPr>
              <w:t>能够指导现场施工，</w:t>
            </w:r>
            <w:r>
              <w:rPr>
                <w:rFonts w:hint="eastAsia"/>
                <w:highlight w:val="none"/>
                <w:lang w:val="en-US" w:eastAsia="zh-CN"/>
              </w:rPr>
              <w:t>设计深度一般，提供的图纸</w:t>
            </w:r>
            <w:r>
              <w:rPr>
                <w:rFonts w:hint="eastAsia" w:cs="宋体" w:asciiTheme="majorEastAsia" w:hAnsiTheme="majorEastAsia" w:eastAsiaTheme="majorEastAsia"/>
                <w:highlight w:val="none"/>
                <w:lang w:val="en-US" w:eastAsia="zh-CN"/>
              </w:rPr>
              <w:t>齐</w:t>
            </w:r>
            <w:r>
              <w:rPr>
                <w:rFonts w:hint="eastAsia"/>
                <w:highlight w:val="none"/>
                <w:lang w:val="en-US" w:eastAsia="zh-CN"/>
              </w:rPr>
              <w:t>全</w:t>
            </w:r>
            <w:r>
              <w:rPr>
                <w:rFonts w:hint="eastAsia" w:cs="宋体" w:asciiTheme="majorEastAsia" w:hAnsiTheme="majorEastAsia" w:eastAsiaTheme="majorEastAsia"/>
                <w:highlight w:val="none"/>
              </w:rPr>
              <w:t>且针对性一般、</w:t>
            </w:r>
            <w:r>
              <w:rPr>
                <w:rFonts w:hint="eastAsia" w:asciiTheme="minorEastAsia" w:hAnsiTheme="minorEastAsia" w:eastAsiaTheme="minorEastAsia"/>
                <w:color w:val="000000"/>
                <w:sz w:val="24"/>
                <w:szCs w:val="24"/>
                <w:lang w:val="en-US" w:eastAsia="zh-CN"/>
              </w:rPr>
              <w:t>设计</w:t>
            </w:r>
            <w:r>
              <w:rPr>
                <w:rFonts w:hint="eastAsia" w:asciiTheme="minorEastAsia" w:hAnsiTheme="minorEastAsia" w:eastAsiaTheme="minorEastAsia"/>
                <w:color w:val="000000"/>
                <w:sz w:val="24"/>
                <w:szCs w:val="24"/>
              </w:rPr>
              <w:t>图</w:t>
            </w:r>
            <w:r>
              <w:rPr>
                <w:rFonts w:hint="eastAsia" w:cs="宋体" w:asciiTheme="majorEastAsia" w:hAnsiTheme="majorEastAsia" w:eastAsiaTheme="majorEastAsia"/>
                <w:highlight w:val="none"/>
              </w:rPr>
              <w:t>计划、重点、难点突出效果一般的，得</w:t>
            </w:r>
            <w:r>
              <w:rPr>
                <w:rFonts w:hint="eastAsia" w:cs="宋体" w:asciiTheme="majorEastAsia" w:hAnsiTheme="majorEastAsia" w:eastAsiaTheme="majorEastAsia"/>
                <w:highlight w:val="none"/>
                <w:lang w:val="en-US" w:eastAsia="zh-CN"/>
              </w:rPr>
              <w:t>6</w:t>
            </w:r>
            <w:r>
              <w:rPr>
                <w:rFonts w:cs="宋体" w:asciiTheme="majorEastAsia" w:hAnsiTheme="majorEastAsia" w:eastAsiaTheme="majorEastAsia"/>
                <w:highlight w:val="none"/>
              </w:rPr>
              <w:t>-</w:t>
            </w:r>
            <w:r>
              <w:rPr>
                <w:rFonts w:hint="eastAsia" w:cs="宋体" w:asciiTheme="majorEastAsia" w:hAnsiTheme="majorEastAsia" w:eastAsiaTheme="majorEastAsia"/>
                <w:highlight w:val="none"/>
                <w:lang w:val="en-US" w:eastAsia="zh-CN"/>
              </w:rPr>
              <w:t>12</w:t>
            </w:r>
            <w:r>
              <w:rPr>
                <w:rFonts w:hint="eastAsia" w:cs="宋体" w:asciiTheme="majorEastAsia" w:hAnsiTheme="majorEastAsia" w:eastAsiaTheme="majorEastAsia"/>
                <w:highlight w:val="none"/>
              </w:rPr>
              <w:t>分</w:t>
            </w:r>
            <w:r>
              <w:rPr>
                <w:rFonts w:hint="eastAsia" w:cs="宋体" w:asciiTheme="majorEastAsia" w:hAnsiTheme="majorEastAsia" w:eastAsiaTheme="majorEastAsia"/>
                <w:highlight w:val="none"/>
                <w:lang w:eastAsia="zh-CN"/>
              </w:rPr>
              <w:t>；</w:t>
            </w:r>
          </w:p>
          <w:p w14:paraId="57DEC1DF">
            <w:pPr>
              <w:tabs>
                <w:tab w:val="center" w:pos="4153"/>
                <w:tab w:val="right" w:pos="8306"/>
              </w:tabs>
              <w:adjustRightInd w:val="0"/>
              <w:snapToGrid w:val="0"/>
              <w:spacing w:line="360" w:lineRule="auto"/>
              <w:rPr>
                <w:rFonts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3、</w:t>
            </w:r>
            <w:r>
              <w:rPr>
                <w:rFonts w:hint="eastAsia" w:asciiTheme="minorEastAsia" w:hAnsiTheme="minorEastAsia" w:eastAsiaTheme="minorEastAsia"/>
                <w:color w:val="000000"/>
                <w:sz w:val="24"/>
                <w:szCs w:val="24"/>
                <w:lang w:val="en-US" w:eastAsia="zh-CN"/>
              </w:rPr>
              <w:t>设计</w:t>
            </w:r>
            <w:r>
              <w:rPr>
                <w:rFonts w:hint="eastAsia" w:asciiTheme="minorEastAsia" w:hAnsiTheme="minorEastAsia" w:eastAsiaTheme="minorEastAsia"/>
                <w:color w:val="000000"/>
                <w:sz w:val="24"/>
                <w:szCs w:val="24"/>
              </w:rPr>
              <w:t>图</w:t>
            </w:r>
            <w:r>
              <w:rPr>
                <w:rFonts w:hint="eastAsia" w:cs="宋体" w:asciiTheme="majorEastAsia" w:hAnsiTheme="majorEastAsia" w:eastAsiaTheme="majorEastAsia"/>
                <w:highlight w:val="none"/>
              </w:rPr>
              <w:t>能够指导现场施工，</w:t>
            </w:r>
            <w:r>
              <w:rPr>
                <w:rFonts w:hint="eastAsia" w:cs="宋体" w:asciiTheme="majorEastAsia" w:hAnsiTheme="majorEastAsia" w:eastAsiaTheme="majorEastAsia"/>
                <w:highlight w:val="none"/>
                <w:lang w:val="en-US" w:eastAsia="zh-CN"/>
              </w:rPr>
              <w:t>设计深度差，提供的图纸不全</w:t>
            </w:r>
            <w:r>
              <w:rPr>
                <w:rFonts w:hint="eastAsia" w:cs="宋体" w:asciiTheme="majorEastAsia" w:hAnsiTheme="majorEastAsia" w:eastAsiaTheme="majorEastAsia"/>
                <w:highlight w:val="none"/>
              </w:rPr>
              <w:t>且针对性较差、</w:t>
            </w:r>
            <w:r>
              <w:rPr>
                <w:rFonts w:hint="eastAsia" w:asciiTheme="minorEastAsia" w:hAnsiTheme="minorEastAsia" w:eastAsiaTheme="minorEastAsia"/>
                <w:color w:val="000000"/>
                <w:sz w:val="24"/>
                <w:szCs w:val="24"/>
                <w:lang w:val="en-US" w:eastAsia="zh-CN"/>
              </w:rPr>
              <w:t>设计</w:t>
            </w:r>
            <w:r>
              <w:rPr>
                <w:rFonts w:hint="eastAsia" w:asciiTheme="minorEastAsia" w:hAnsiTheme="minorEastAsia" w:eastAsiaTheme="minorEastAsia"/>
                <w:color w:val="000000"/>
                <w:sz w:val="24"/>
                <w:szCs w:val="24"/>
              </w:rPr>
              <w:t>图</w:t>
            </w:r>
            <w:r>
              <w:rPr>
                <w:rFonts w:hint="eastAsia" w:cs="宋体" w:asciiTheme="majorEastAsia" w:hAnsiTheme="majorEastAsia" w:eastAsiaTheme="majorEastAsia"/>
                <w:highlight w:val="none"/>
              </w:rPr>
              <w:t>计划、重点、难点突出效果较差的，得1-</w:t>
            </w:r>
            <w:r>
              <w:rPr>
                <w:rFonts w:hint="eastAsia" w:cs="宋体" w:asciiTheme="majorEastAsia" w:hAnsiTheme="majorEastAsia" w:eastAsiaTheme="majorEastAsia"/>
                <w:highlight w:val="none"/>
                <w:lang w:val="en-US" w:eastAsia="zh-CN"/>
              </w:rPr>
              <w:t>5</w:t>
            </w:r>
            <w:r>
              <w:rPr>
                <w:rFonts w:hint="eastAsia" w:cs="宋体" w:asciiTheme="majorEastAsia" w:hAnsiTheme="majorEastAsia" w:eastAsiaTheme="majorEastAsia"/>
                <w:highlight w:val="none"/>
              </w:rPr>
              <w:t>分。</w:t>
            </w:r>
          </w:p>
        </w:tc>
      </w:tr>
      <w:tr w14:paraId="2797A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5" w:hRule="atLeast"/>
        </w:trPr>
        <w:tc>
          <w:tcPr>
            <w:tcW w:w="1076" w:type="dxa"/>
            <w:vMerge w:val="continue"/>
            <w:vAlign w:val="center"/>
          </w:tcPr>
          <w:p w14:paraId="6F47285B">
            <w:pPr>
              <w:spacing w:line="320" w:lineRule="exact"/>
              <w:jc w:val="center"/>
              <w:rPr>
                <w:rFonts w:cs="宋体" w:asciiTheme="majorEastAsia" w:hAnsiTheme="majorEastAsia" w:eastAsiaTheme="majorEastAsia"/>
                <w:highlight w:val="none"/>
              </w:rPr>
            </w:pPr>
          </w:p>
        </w:tc>
        <w:tc>
          <w:tcPr>
            <w:tcW w:w="1448" w:type="dxa"/>
            <w:vMerge w:val="continue"/>
            <w:vAlign w:val="center"/>
          </w:tcPr>
          <w:p w14:paraId="3B4721D7">
            <w:pPr>
              <w:spacing w:line="320" w:lineRule="exact"/>
              <w:jc w:val="center"/>
              <w:rPr>
                <w:rFonts w:cs="宋体" w:asciiTheme="majorEastAsia" w:hAnsiTheme="majorEastAsia" w:eastAsiaTheme="majorEastAsia"/>
                <w:highlight w:val="none"/>
              </w:rPr>
            </w:pPr>
          </w:p>
        </w:tc>
        <w:tc>
          <w:tcPr>
            <w:tcW w:w="1252" w:type="dxa"/>
            <w:gridSpan w:val="2"/>
            <w:vMerge w:val="continue"/>
            <w:vAlign w:val="center"/>
          </w:tcPr>
          <w:p w14:paraId="498137DB">
            <w:pPr>
              <w:spacing w:line="320" w:lineRule="exact"/>
              <w:jc w:val="center"/>
              <w:rPr>
                <w:highlight w:val="none"/>
              </w:rPr>
            </w:pPr>
          </w:p>
        </w:tc>
        <w:tc>
          <w:tcPr>
            <w:tcW w:w="1039" w:type="dxa"/>
            <w:vAlign w:val="center"/>
          </w:tcPr>
          <w:p w14:paraId="27098B4C">
            <w:pPr>
              <w:tabs>
                <w:tab w:val="center" w:pos="4153"/>
                <w:tab w:val="right" w:pos="8306"/>
              </w:tabs>
              <w:snapToGrid w:val="0"/>
              <w:spacing w:line="320" w:lineRule="exact"/>
              <w:jc w:val="center"/>
              <w:rPr>
                <w:rFonts w:cs="宋体" w:asciiTheme="majorEastAsia" w:hAnsiTheme="majorEastAsia" w:eastAsiaTheme="majorEastAsia"/>
                <w:highlight w:val="none"/>
              </w:rPr>
            </w:pPr>
            <w:r>
              <w:rPr>
                <w:rFonts w:hint="eastAsia" w:asciiTheme="minorEastAsia" w:hAnsiTheme="minorEastAsia" w:eastAsiaTheme="minorEastAsia"/>
                <w:color w:val="000000"/>
              </w:rPr>
              <w:t>设计方案评审</w:t>
            </w:r>
            <w:r>
              <w:rPr>
                <w:rFonts w:hint="eastAsia" w:cs="宋体" w:asciiTheme="majorEastAsia" w:hAnsiTheme="majorEastAsia" w:eastAsiaTheme="majorEastAsia"/>
                <w:lang w:val="en-US" w:eastAsia="zh-CN"/>
              </w:rPr>
              <w:t>15</w:t>
            </w:r>
            <w:r>
              <w:rPr>
                <w:rFonts w:cs="宋体" w:asciiTheme="majorEastAsia" w:hAnsiTheme="majorEastAsia" w:eastAsiaTheme="majorEastAsia"/>
              </w:rPr>
              <w:t>分</w:t>
            </w:r>
          </w:p>
        </w:tc>
        <w:tc>
          <w:tcPr>
            <w:tcW w:w="5114" w:type="dxa"/>
            <w:vAlign w:val="center"/>
          </w:tcPr>
          <w:p w14:paraId="39864292">
            <w:pPr>
              <w:spacing w:line="360" w:lineRule="auto"/>
              <w:jc w:val="both"/>
              <w:rPr>
                <w:rFonts w:hint="eastAsia" w:asciiTheme="minorEastAsia" w:hAnsiTheme="minorEastAsia" w:eastAsiaTheme="minorEastAsia"/>
                <w:color w:val="000000"/>
                <w:lang w:eastAsia="zh-CN"/>
              </w:rPr>
            </w:pPr>
            <w:r>
              <w:rPr>
                <w:rFonts w:hint="eastAsia" w:asciiTheme="minorEastAsia" w:hAnsiTheme="minorEastAsia" w:eastAsiaTheme="minorEastAsia"/>
                <w:color w:val="000000"/>
                <w:lang w:val="en-US" w:eastAsia="zh-CN"/>
              </w:rPr>
              <w:t>1、</w:t>
            </w:r>
            <w:r>
              <w:rPr>
                <w:rFonts w:asciiTheme="minorEastAsia" w:hAnsiTheme="minorEastAsia" w:eastAsiaTheme="minorEastAsia"/>
                <w:color w:val="000000"/>
              </w:rPr>
              <w:t>总体设计思路较为清晰，重点突出，有较好的设计理念，具体的设计方案比较符合项目的定位并切实可行，思路充分体现项目特点及招标人需求，对招标项目的特点、重点分析到位，设计方案内容充实、系统性强、表现力强，工程经济技术指标控制科学合理可行性强的得</w:t>
            </w:r>
            <w:r>
              <w:rPr>
                <w:rFonts w:hint="eastAsia" w:asciiTheme="minorEastAsia" w:hAnsiTheme="minorEastAsia" w:eastAsiaTheme="minorEastAsia"/>
                <w:color w:val="000000"/>
                <w:lang w:val="en-US" w:eastAsia="zh-CN"/>
              </w:rPr>
              <w:t>10</w:t>
            </w:r>
            <w:r>
              <w:rPr>
                <w:rFonts w:hint="eastAsia" w:asciiTheme="minorEastAsia" w:hAnsiTheme="minorEastAsia" w:eastAsiaTheme="minorEastAsia"/>
                <w:color w:val="000000"/>
              </w:rPr>
              <w:t>-</w:t>
            </w:r>
            <w:r>
              <w:rPr>
                <w:rFonts w:hint="eastAsia" w:asciiTheme="minorEastAsia" w:hAnsiTheme="minorEastAsia" w:eastAsiaTheme="minorEastAsia"/>
                <w:color w:val="000000"/>
                <w:lang w:val="en-US" w:eastAsia="zh-CN"/>
              </w:rPr>
              <w:t>15</w:t>
            </w:r>
            <w:r>
              <w:rPr>
                <w:rFonts w:asciiTheme="minorEastAsia" w:hAnsiTheme="minorEastAsia" w:eastAsiaTheme="minorEastAsia"/>
                <w:color w:val="000000"/>
              </w:rPr>
              <w:t>分</w:t>
            </w:r>
            <w:r>
              <w:rPr>
                <w:rFonts w:hint="eastAsia" w:asciiTheme="minorEastAsia" w:hAnsiTheme="minorEastAsia" w:eastAsiaTheme="minorEastAsia"/>
                <w:color w:val="000000"/>
                <w:lang w:eastAsia="zh-CN"/>
              </w:rPr>
              <w:t>；</w:t>
            </w:r>
          </w:p>
          <w:p w14:paraId="6EAAD694">
            <w:pPr>
              <w:spacing w:line="360" w:lineRule="auto"/>
              <w:jc w:val="both"/>
              <w:rPr>
                <w:rFonts w:hint="eastAsia" w:asciiTheme="minorEastAsia" w:hAnsiTheme="minorEastAsia" w:eastAsiaTheme="minorEastAsia"/>
                <w:color w:val="000000"/>
                <w:lang w:eastAsia="zh-CN"/>
              </w:rPr>
            </w:pPr>
            <w:r>
              <w:rPr>
                <w:rFonts w:hint="eastAsia" w:asciiTheme="minorEastAsia" w:hAnsiTheme="minorEastAsia" w:eastAsiaTheme="minorEastAsia"/>
                <w:color w:val="000000"/>
                <w:lang w:val="en-US" w:eastAsia="zh-CN"/>
              </w:rPr>
              <w:t>2、</w:t>
            </w:r>
            <w:r>
              <w:rPr>
                <w:rFonts w:asciiTheme="minorEastAsia" w:hAnsiTheme="minorEastAsia" w:eastAsiaTheme="minorEastAsia"/>
                <w:color w:val="000000"/>
              </w:rPr>
              <w:t>总体设计思路，设计重点，设计理念，具体的设计方案基本符合项目的定位并较为可行，设计思路基本体现项目特点及招标人需求，对招标项目的特点、重点分析基本到位，设计内容、方案表现力基本满足要求，工程经济技术指标控制基本可行的得</w:t>
            </w:r>
            <w:r>
              <w:rPr>
                <w:rFonts w:hint="eastAsia" w:asciiTheme="minorEastAsia" w:hAnsiTheme="minorEastAsia" w:eastAsiaTheme="minorEastAsia"/>
                <w:color w:val="000000"/>
                <w:lang w:val="en-US" w:eastAsia="zh-CN"/>
              </w:rPr>
              <w:t>5</w:t>
            </w:r>
            <w:r>
              <w:rPr>
                <w:rFonts w:asciiTheme="minorEastAsia" w:hAnsiTheme="minorEastAsia" w:eastAsiaTheme="minorEastAsia"/>
                <w:color w:val="000000"/>
              </w:rPr>
              <w:t>-</w:t>
            </w:r>
            <w:r>
              <w:rPr>
                <w:rFonts w:hint="eastAsia" w:asciiTheme="minorEastAsia" w:hAnsiTheme="minorEastAsia" w:eastAsiaTheme="minorEastAsia"/>
                <w:color w:val="000000"/>
                <w:lang w:val="en-US" w:eastAsia="zh-CN"/>
              </w:rPr>
              <w:t>9</w:t>
            </w:r>
            <w:r>
              <w:rPr>
                <w:rFonts w:asciiTheme="minorEastAsia" w:hAnsiTheme="minorEastAsia" w:eastAsiaTheme="minorEastAsia"/>
                <w:color w:val="000000"/>
              </w:rPr>
              <w:t>分</w:t>
            </w:r>
            <w:r>
              <w:rPr>
                <w:rFonts w:hint="eastAsia" w:asciiTheme="minorEastAsia" w:hAnsiTheme="minorEastAsia" w:eastAsiaTheme="minorEastAsia"/>
                <w:color w:val="000000"/>
                <w:lang w:eastAsia="zh-CN"/>
              </w:rPr>
              <w:t>；</w:t>
            </w:r>
          </w:p>
          <w:p w14:paraId="6B845A35">
            <w:pPr>
              <w:spacing w:line="360" w:lineRule="auto"/>
              <w:jc w:val="both"/>
              <w:rPr>
                <w:rFonts w:hint="eastAsia" w:cs="Times New Roman" w:asciiTheme="minorEastAsia" w:hAnsiTheme="minorEastAsia" w:eastAsiaTheme="minorEastAsia"/>
                <w:color w:val="000000"/>
                <w:sz w:val="24"/>
                <w:szCs w:val="24"/>
                <w:highlight w:val="none"/>
                <w:lang w:val="en-US" w:eastAsia="zh-CN" w:bidi="ar-SA"/>
              </w:rPr>
            </w:pPr>
            <w:r>
              <w:rPr>
                <w:rFonts w:hint="eastAsia" w:asciiTheme="minorEastAsia" w:hAnsiTheme="minorEastAsia" w:eastAsiaTheme="minorEastAsia"/>
                <w:color w:val="000000"/>
                <w:lang w:val="en-US" w:eastAsia="zh-CN"/>
              </w:rPr>
              <w:t>3、</w:t>
            </w:r>
            <w:r>
              <w:rPr>
                <w:rFonts w:asciiTheme="minorEastAsia" w:hAnsiTheme="minorEastAsia" w:eastAsiaTheme="minorEastAsia"/>
                <w:color w:val="000000"/>
              </w:rPr>
              <w:t>总体设计思路基本清晰，重点一般，设计理念一般、设计方案基本符合项目的定位且一般，总体设计思路能体现项目特点及招标人需求，工程经济技术指标控制一般的得</w:t>
            </w:r>
            <w:r>
              <w:rPr>
                <w:rFonts w:hint="eastAsia" w:asciiTheme="minorEastAsia" w:hAnsiTheme="minorEastAsia" w:eastAsiaTheme="minorEastAsia"/>
                <w:color w:val="000000"/>
                <w:lang w:val="en-US" w:eastAsia="zh-CN"/>
              </w:rPr>
              <w:t>1</w:t>
            </w:r>
            <w:r>
              <w:rPr>
                <w:rFonts w:hint="eastAsia" w:asciiTheme="minorEastAsia" w:hAnsiTheme="minorEastAsia" w:eastAsiaTheme="minorEastAsia"/>
                <w:color w:val="000000"/>
              </w:rPr>
              <w:t>-</w:t>
            </w:r>
            <w:r>
              <w:rPr>
                <w:rFonts w:hint="eastAsia" w:asciiTheme="minorEastAsia" w:hAnsiTheme="minorEastAsia" w:eastAsiaTheme="minorEastAsia"/>
                <w:color w:val="000000"/>
                <w:lang w:val="en-US" w:eastAsia="zh-CN"/>
              </w:rPr>
              <w:t>4</w:t>
            </w:r>
            <w:r>
              <w:rPr>
                <w:rFonts w:asciiTheme="minorEastAsia" w:hAnsiTheme="minorEastAsia" w:eastAsiaTheme="minorEastAsia"/>
                <w:color w:val="000000"/>
              </w:rPr>
              <w:t>分</w:t>
            </w:r>
            <w:r>
              <w:rPr>
                <w:rFonts w:hint="eastAsia" w:asciiTheme="minorEastAsia" w:hAnsiTheme="minorEastAsia" w:eastAsiaTheme="minorEastAsia"/>
                <w:color w:val="000000"/>
                <w:lang w:eastAsia="zh-CN"/>
              </w:rPr>
              <w:t>。</w:t>
            </w:r>
          </w:p>
        </w:tc>
      </w:tr>
      <w:tr w14:paraId="11217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5" w:hRule="atLeast"/>
        </w:trPr>
        <w:tc>
          <w:tcPr>
            <w:tcW w:w="1076" w:type="dxa"/>
            <w:vMerge w:val="continue"/>
            <w:vAlign w:val="center"/>
          </w:tcPr>
          <w:p w14:paraId="617A7C09">
            <w:pPr>
              <w:spacing w:line="320" w:lineRule="exact"/>
              <w:jc w:val="center"/>
              <w:rPr>
                <w:rFonts w:cs="宋体" w:asciiTheme="majorEastAsia" w:hAnsiTheme="majorEastAsia" w:eastAsiaTheme="majorEastAsia"/>
                <w:highlight w:val="none"/>
              </w:rPr>
            </w:pPr>
          </w:p>
        </w:tc>
        <w:tc>
          <w:tcPr>
            <w:tcW w:w="1448" w:type="dxa"/>
            <w:vMerge w:val="continue"/>
            <w:vAlign w:val="center"/>
          </w:tcPr>
          <w:p w14:paraId="58065CF7">
            <w:pPr>
              <w:spacing w:line="320" w:lineRule="exact"/>
              <w:jc w:val="center"/>
              <w:rPr>
                <w:rFonts w:cs="宋体" w:asciiTheme="majorEastAsia" w:hAnsiTheme="majorEastAsia" w:eastAsiaTheme="majorEastAsia"/>
                <w:highlight w:val="none"/>
              </w:rPr>
            </w:pPr>
          </w:p>
        </w:tc>
        <w:tc>
          <w:tcPr>
            <w:tcW w:w="1252" w:type="dxa"/>
            <w:gridSpan w:val="2"/>
            <w:vMerge w:val="continue"/>
            <w:vAlign w:val="center"/>
          </w:tcPr>
          <w:p w14:paraId="74C96FA5">
            <w:pPr>
              <w:spacing w:line="320" w:lineRule="exact"/>
              <w:jc w:val="center"/>
              <w:rPr>
                <w:highlight w:val="none"/>
              </w:rPr>
            </w:pPr>
          </w:p>
        </w:tc>
        <w:tc>
          <w:tcPr>
            <w:tcW w:w="1039" w:type="dxa"/>
            <w:vAlign w:val="center"/>
          </w:tcPr>
          <w:p w14:paraId="2E7B5AAA">
            <w:pPr>
              <w:tabs>
                <w:tab w:val="center" w:pos="4153"/>
                <w:tab w:val="right" w:pos="8306"/>
              </w:tabs>
              <w:snapToGrid w:val="0"/>
              <w:spacing w:line="320" w:lineRule="exact"/>
              <w:jc w:val="center"/>
              <w:rPr>
                <w:rFonts w:cs="宋体" w:asciiTheme="majorEastAsia" w:hAnsiTheme="majorEastAsia" w:eastAsiaTheme="majorEastAsia"/>
              </w:rPr>
            </w:pPr>
            <w:r>
              <w:rPr>
                <w:rFonts w:hint="eastAsia" w:cs="宋体" w:asciiTheme="majorEastAsia" w:hAnsiTheme="majorEastAsia" w:eastAsiaTheme="majorEastAsia"/>
              </w:rPr>
              <w:t>设计目标控制</w:t>
            </w:r>
          </w:p>
          <w:p w14:paraId="7B1F1D4F">
            <w:pPr>
              <w:tabs>
                <w:tab w:val="center" w:pos="4153"/>
                <w:tab w:val="right" w:pos="8306"/>
              </w:tabs>
              <w:snapToGrid w:val="0"/>
              <w:spacing w:line="320" w:lineRule="exact"/>
              <w:jc w:val="center"/>
              <w:rPr>
                <w:rFonts w:hint="eastAsia" w:asciiTheme="minorEastAsia" w:hAnsiTheme="minorEastAsia" w:eastAsiaTheme="minorEastAsia"/>
                <w:color w:val="000000"/>
              </w:rPr>
            </w:pPr>
            <w:r>
              <w:rPr>
                <w:rFonts w:hint="eastAsia" w:cs="宋体" w:asciiTheme="majorEastAsia" w:hAnsiTheme="majorEastAsia" w:eastAsiaTheme="majorEastAsia"/>
                <w:lang w:val="en-US" w:eastAsia="zh-CN"/>
              </w:rPr>
              <w:t>5</w:t>
            </w:r>
            <w:r>
              <w:rPr>
                <w:rFonts w:hint="eastAsia" w:cs="宋体" w:asciiTheme="majorEastAsia" w:hAnsiTheme="majorEastAsia" w:eastAsiaTheme="majorEastAsia"/>
              </w:rPr>
              <w:t>分</w:t>
            </w:r>
          </w:p>
        </w:tc>
        <w:tc>
          <w:tcPr>
            <w:tcW w:w="5114" w:type="dxa"/>
            <w:vAlign w:val="center"/>
          </w:tcPr>
          <w:p w14:paraId="0631C9A0">
            <w:pPr>
              <w:tabs>
                <w:tab w:val="center" w:pos="4153"/>
                <w:tab w:val="right" w:pos="8306"/>
              </w:tabs>
              <w:adjustRightInd w:val="0"/>
              <w:snapToGrid w:val="0"/>
              <w:spacing w:line="360" w:lineRule="auto"/>
              <w:rPr>
                <w:rFonts w:cs="宋体" w:asciiTheme="majorEastAsia" w:hAnsiTheme="majorEastAsia" w:eastAsiaTheme="majorEastAsia"/>
              </w:rPr>
            </w:pPr>
            <w:r>
              <w:rPr>
                <w:rFonts w:cs="宋体" w:asciiTheme="majorEastAsia" w:hAnsiTheme="majorEastAsia" w:eastAsiaTheme="majorEastAsia"/>
              </w:rPr>
              <w:t>1、能根据招标文件编制设计目标控制工作流程</w:t>
            </w:r>
            <w:r>
              <w:rPr>
                <w:rFonts w:hint="eastAsia" w:cs="宋体" w:asciiTheme="majorEastAsia" w:hAnsiTheme="majorEastAsia" w:eastAsiaTheme="majorEastAsia"/>
              </w:rPr>
              <w:t>，</w:t>
            </w:r>
            <w:r>
              <w:rPr>
                <w:rFonts w:cs="宋体" w:asciiTheme="majorEastAsia" w:hAnsiTheme="majorEastAsia" w:eastAsiaTheme="majorEastAsia"/>
              </w:rPr>
              <w:t>清晰详细，方法科学合理，能很好的保证设计质量、工期等目标</w:t>
            </w:r>
            <w:r>
              <w:rPr>
                <w:rFonts w:hint="eastAsia" w:cs="宋体" w:asciiTheme="majorEastAsia" w:hAnsiTheme="majorEastAsia" w:eastAsiaTheme="majorEastAsia"/>
              </w:rPr>
              <w:t>得</w:t>
            </w:r>
            <w:r>
              <w:rPr>
                <w:rFonts w:hint="eastAsia" w:cs="宋体" w:asciiTheme="majorEastAsia" w:hAnsiTheme="majorEastAsia" w:eastAsiaTheme="majorEastAsia"/>
                <w:lang w:val="en-US" w:eastAsia="zh-CN"/>
              </w:rPr>
              <w:t>3</w:t>
            </w:r>
            <w:r>
              <w:rPr>
                <w:rFonts w:cs="宋体" w:asciiTheme="majorEastAsia" w:hAnsiTheme="majorEastAsia" w:eastAsiaTheme="majorEastAsia"/>
              </w:rPr>
              <w:t>-</w:t>
            </w:r>
            <w:r>
              <w:rPr>
                <w:rFonts w:hint="eastAsia" w:cs="宋体" w:asciiTheme="majorEastAsia" w:hAnsiTheme="majorEastAsia" w:eastAsiaTheme="majorEastAsia"/>
                <w:lang w:val="en-US" w:eastAsia="zh-CN"/>
              </w:rPr>
              <w:t>5</w:t>
            </w:r>
            <w:r>
              <w:rPr>
                <w:rFonts w:cs="宋体" w:asciiTheme="majorEastAsia" w:hAnsiTheme="majorEastAsia" w:eastAsiaTheme="majorEastAsia"/>
              </w:rPr>
              <w:t>分；</w:t>
            </w:r>
          </w:p>
          <w:p w14:paraId="76067EB1">
            <w:pPr>
              <w:tabs>
                <w:tab w:val="center" w:pos="4153"/>
                <w:tab w:val="right" w:pos="8306"/>
              </w:tabs>
              <w:adjustRightInd w:val="0"/>
              <w:snapToGrid w:val="0"/>
              <w:spacing w:line="360" w:lineRule="auto"/>
              <w:rPr>
                <w:rFonts w:cs="宋体" w:asciiTheme="majorEastAsia" w:hAnsiTheme="majorEastAsia" w:eastAsiaTheme="majorEastAsia"/>
              </w:rPr>
            </w:pPr>
            <w:r>
              <w:rPr>
                <w:rFonts w:cs="宋体" w:asciiTheme="majorEastAsia" w:hAnsiTheme="majorEastAsia" w:eastAsiaTheme="majorEastAsia"/>
              </w:rPr>
              <w:t>2、能根据招标文件编制设计目标控制工作流程</w:t>
            </w:r>
            <w:r>
              <w:rPr>
                <w:rFonts w:hint="eastAsia" w:cs="宋体" w:asciiTheme="majorEastAsia" w:hAnsiTheme="majorEastAsia" w:eastAsiaTheme="majorEastAsia"/>
              </w:rPr>
              <w:t>，</w:t>
            </w:r>
            <w:r>
              <w:rPr>
                <w:rFonts w:cs="宋体" w:asciiTheme="majorEastAsia" w:hAnsiTheme="majorEastAsia" w:eastAsiaTheme="majorEastAsia"/>
              </w:rPr>
              <w:t>基本清晰，方法基本合理，基本能保证设计质量、工期等目标的得1-</w:t>
            </w:r>
            <w:r>
              <w:rPr>
                <w:rFonts w:hint="eastAsia" w:cs="宋体" w:asciiTheme="majorEastAsia" w:hAnsiTheme="majorEastAsia" w:eastAsiaTheme="majorEastAsia"/>
                <w:lang w:val="en-US" w:eastAsia="zh-CN"/>
              </w:rPr>
              <w:t>2</w:t>
            </w:r>
            <w:r>
              <w:rPr>
                <w:rFonts w:cs="宋体" w:asciiTheme="majorEastAsia" w:hAnsiTheme="majorEastAsia" w:eastAsiaTheme="majorEastAsia"/>
              </w:rPr>
              <w:t>分；</w:t>
            </w:r>
          </w:p>
          <w:p w14:paraId="5837B259">
            <w:pPr>
              <w:spacing w:line="360" w:lineRule="auto"/>
              <w:jc w:val="both"/>
              <w:rPr>
                <w:rFonts w:hint="eastAsia" w:asciiTheme="minorEastAsia" w:hAnsiTheme="minorEastAsia" w:eastAsiaTheme="minorEastAsia"/>
                <w:color w:val="000000"/>
                <w:lang w:val="en-US" w:eastAsia="zh-CN"/>
              </w:rPr>
            </w:pPr>
            <w:r>
              <w:rPr>
                <w:rFonts w:cs="宋体" w:asciiTheme="majorEastAsia" w:hAnsiTheme="majorEastAsia" w:eastAsiaTheme="majorEastAsia"/>
              </w:rPr>
              <w:t>3</w:t>
            </w:r>
            <w:r>
              <w:rPr>
                <w:rFonts w:hint="eastAsia" w:cs="宋体" w:asciiTheme="majorEastAsia" w:hAnsiTheme="majorEastAsia" w:eastAsiaTheme="majorEastAsia"/>
              </w:rPr>
              <w:t>、对编制设计目标控制工作流程及方法说明简单或无说明的不得分。</w:t>
            </w:r>
          </w:p>
        </w:tc>
      </w:tr>
      <w:tr w14:paraId="3DEDE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1076" w:type="dxa"/>
            <w:vMerge w:val="continue"/>
            <w:vAlign w:val="center"/>
          </w:tcPr>
          <w:p w14:paraId="3AD9C249">
            <w:pPr>
              <w:spacing w:line="320" w:lineRule="exact"/>
              <w:jc w:val="center"/>
              <w:rPr>
                <w:rFonts w:cs="宋体" w:asciiTheme="majorEastAsia" w:hAnsiTheme="majorEastAsia" w:eastAsiaTheme="majorEastAsia"/>
                <w:highlight w:val="none"/>
              </w:rPr>
            </w:pPr>
          </w:p>
        </w:tc>
        <w:tc>
          <w:tcPr>
            <w:tcW w:w="1448" w:type="dxa"/>
            <w:vMerge w:val="restart"/>
            <w:vAlign w:val="center"/>
          </w:tcPr>
          <w:p w14:paraId="1FC0071F">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施工部分（</w:t>
            </w:r>
            <w:r>
              <w:rPr>
                <w:rFonts w:hint="eastAsia" w:cs="宋体" w:asciiTheme="majorEastAsia" w:hAnsiTheme="majorEastAsia" w:eastAsiaTheme="majorEastAsia"/>
                <w:highlight w:val="none"/>
                <w:lang w:val="en-US" w:eastAsia="zh-CN"/>
              </w:rPr>
              <w:t>40</w:t>
            </w:r>
            <w:r>
              <w:rPr>
                <w:rFonts w:hint="eastAsia" w:cs="宋体" w:asciiTheme="majorEastAsia" w:hAnsiTheme="majorEastAsia" w:eastAsiaTheme="majorEastAsia"/>
                <w:highlight w:val="none"/>
              </w:rPr>
              <w:t>分）</w:t>
            </w:r>
          </w:p>
        </w:tc>
        <w:tc>
          <w:tcPr>
            <w:tcW w:w="1252" w:type="dxa"/>
            <w:gridSpan w:val="2"/>
            <w:vAlign w:val="center"/>
          </w:tcPr>
          <w:p w14:paraId="2EDB3E17">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施工技术方案</w:t>
            </w:r>
          </w:p>
        </w:tc>
        <w:tc>
          <w:tcPr>
            <w:tcW w:w="1039" w:type="dxa"/>
            <w:vAlign w:val="center"/>
          </w:tcPr>
          <w:p w14:paraId="1B0D3419">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施工技术方案</w:t>
            </w:r>
            <w:r>
              <w:rPr>
                <w:rFonts w:hint="eastAsia" w:cs="宋体" w:asciiTheme="majorEastAsia" w:hAnsiTheme="majorEastAsia" w:eastAsiaTheme="majorEastAsia"/>
                <w:highlight w:val="none"/>
                <w:lang w:val="en-US" w:eastAsia="zh-CN"/>
              </w:rPr>
              <w:t>10</w:t>
            </w:r>
            <w:r>
              <w:rPr>
                <w:rFonts w:hint="eastAsia" w:cs="宋体" w:asciiTheme="majorEastAsia" w:hAnsiTheme="majorEastAsia" w:eastAsiaTheme="majorEastAsia"/>
                <w:highlight w:val="none"/>
              </w:rPr>
              <w:t>分</w:t>
            </w:r>
          </w:p>
        </w:tc>
        <w:tc>
          <w:tcPr>
            <w:tcW w:w="5114" w:type="dxa"/>
            <w:vAlign w:val="center"/>
          </w:tcPr>
          <w:p w14:paraId="1A9804CA">
            <w:pPr>
              <w:tabs>
                <w:tab w:val="center" w:pos="4153"/>
                <w:tab w:val="right" w:pos="8306"/>
              </w:tabs>
              <w:adjustRightInd w:val="0"/>
              <w:snapToGrid w:val="0"/>
              <w:spacing w:line="360" w:lineRule="auto"/>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rPr>
              <w:t>1、施工技术方案、施工程序及施工大纲合理且能指导施工，施工措施具体，合理性和科学性强，施工部署（包含施工机械配置及施工总平面图布置等）全面，能满足项目需求的得</w:t>
            </w:r>
            <w:r>
              <w:rPr>
                <w:rFonts w:hint="eastAsia" w:cs="宋体" w:asciiTheme="majorEastAsia" w:hAnsiTheme="majorEastAsia" w:eastAsiaTheme="majorEastAsia"/>
                <w:highlight w:val="none"/>
                <w:lang w:val="en-US" w:eastAsia="zh-CN"/>
              </w:rPr>
              <w:t>6</w:t>
            </w:r>
            <w:r>
              <w:rPr>
                <w:rFonts w:hint="eastAsia" w:cs="宋体" w:asciiTheme="majorEastAsia" w:hAnsiTheme="majorEastAsia" w:eastAsiaTheme="majorEastAsia"/>
                <w:highlight w:val="none"/>
              </w:rPr>
              <w:t>-</w:t>
            </w:r>
            <w:r>
              <w:rPr>
                <w:rFonts w:hint="eastAsia" w:cs="宋体" w:asciiTheme="majorEastAsia" w:hAnsiTheme="majorEastAsia" w:eastAsiaTheme="majorEastAsia"/>
                <w:highlight w:val="none"/>
                <w:lang w:val="en-US" w:eastAsia="zh-CN"/>
              </w:rPr>
              <w:t>10</w:t>
            </w:r>
            <w:r>
              <w:rPr>
                <w:rFonts w:hint="eastAsia" w:cs="宋体" w:asciiTheme="majorEastAsia" w:hAnsiTheme="majorEastAsia" w:eastAsiaTheme="majorEastAsia"/>
                <w:highlight w:val="none"/>
              </w:rPr>
              <w:t>分；</w:t>
            </w:r>
          </w:p>
          <w:p w14:paraId="15EA3EF8">
            <w:pPr>
              <w:tabs>
                <w:tab w:val="center" w:pos="4153"/>
                <w:tab w:val="right" w:pos="8306"/>
              </w:tabs>
              <w:adjustRightInd w:val="0"/>
              <w:snapToGrid w:val="0"/>
              <w:spacing w:line="360" w:lineRule="auto"/>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rPr>
              <w:t>2、施工技术方案、施工程序及施工大纲合理但对施工指导性一般，施工措施具体但针对性一般，施工部署（包含施工机械配置及施工总平面图布置等）全面，基本满足本项目需求的得</w:t>
            </w:r>
            <w:r>
              <w:rPr>
                <w:rFonts w:hint="eastAsia" w:cs="宋体" w:asciiTheme="majorEastAsia" w:hAnsiTheme="majorEastAsia" w:eastAsiaTheme="majorEastAsia"/>
                <w:highlight w:val="none"/>
                <w:lang w:val="en-US" w:eastAsia="zh-CN"/>
              </w:rPr>
              <w:t>3</w:t>
            </w:r>
            <w:r>
              <w:rPr>
                <w:rFonts w:hint="eastAsia" w:cs="宋体" w:asciiTheme="majorEastAsia" w:hAnsiTheme="majorEastAsia" w:eastAsiaTheme="majorEastAsia"/>
                <w:highlight w:val="none"/>
              </w:rPr>
              <w:t>-</w:t>
            </w:r>
            <w:r>
              <w:rPr>
                <w:rFonts w:hint="eastAsia" w:cs="宋体" w:asciiTheme="majorEastAsia" w:hAnsiTheme="majorEastAsia" w:eastAsiaTheme="majorEastAsia"/>
                <w:highlight w:val="none"/>
                <w:lang w:val="en-US" w:eastAsia="zh-CN"/>
              </w:rPr>
              <w:t>5</w:t>
            </w:r>
            <w:r>
              <w:rPr>
                <w:rFonts w:hint="eastAsia" w:cs="宋体" w:asciiTheme="majorEastAsia" w:hAnsiTheme="majorEastAsia" w:eastAsiaTheme="majorEastAsia"/>
                <w:highlight w:val="none"/>
              </w:rPr>
              <w:t>分；</w:t>
            </w:r>
          </w:p>
          <w:p w14:paraId="2B6AC605">
            <w:pPr>
              <w:tabs>
                <w:tab w:val="center" w:pos="4153"/>
                <w:tab w:val="right" w:pos="8306"/>
              </w:tabs>
              <w:adjustRightInd w:val="0"/>
              <w:snapToGrid w:val="0"/>
              <w:spacing w:line="360" w:lineRule="auto"/>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rPr>
              <w:t>3、施工技术方案、施工程序、施工大纲、施工措施、施工部署（包含施工机械配置及施工总平面图布置等）不全面、不具体的得1-</w:t>
            </w:r>
            <w:r>
              <w:rPr>
                <w:rFonts w:hint="eastAsia" w:cs="宋体" w:asciiTheme="majorEastAsia" w:hAnsiTheme="majorEastAsia" w:eastAsiaTheme="majorEastAsia"/>
                <w:highlight w:val="none"/>
                <w:lang w:val="en-US" w:eastAsia="zh-CN"/>
              </w:rPr>
              <w:t>2</w:t>
            </w:r>
            <w:r>
              <w:rPr>
                <w:rFonts w:hint="eastAsia" w:cs="宋体" w:asciiTheme="majorEastAsia" w:hAnsiTheme="majorEastAsia" w:eastAsiaTheme="majorEastAsia"/>
                <w:highlight w:val="none"/>
              </w:rPr>
              <w:t>分；</w:t>
            </w:r>
          </w:p>
          <w:p w14:paraId="2B0002A6">
            <w:pPr>
              <w:tabs>
                <w:tab w:val="center" w:pos="4153"/>
                <w:tab w:val="right" w:pos="8306"/>
              </w:tabs>
              <w:adjustRightInd w:val="0"/>
              <w:snapToGrid w:val="0"/>
              <w:spacing w:line="360" w:lineRule="auto"/>
              <w:rPr>
                <w:rFonts w:ascii="宋体" w:hAnsi="宋体" w:cs="宋体"/>
                <w:highlight w:val="none"/>
              </w:rPr>
            </w:pPr>
            <w:r>
              <w:rPr>
                <w:rFonts w:hint="eastAsia" w:cs="宋体" w:asciiTheme="majorEastAsia" w:hAnsiTheme="majorEastAsia" w:eastAsiaTheme="majorEastAsia"/>
                <w:highlight w:val="none"/>
              </w:rPr>
              <w:t>4、未提供施工技术方案的不得分。</w:t>
            </w:r>
          </w:p>
        </w:tc>
      </w:tr>
      <w:tr w14:paraId="380B8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1076" w:type="dxa"/>
            <w:vMerge w:val="continue"/>
            <w:vAlign w:val="center"/>
          </w:tcPr>
          <w:p w14:paraId="213D1231">
            <w:pPr>
              <w:spacing w:line="320" w:lineRule="exact"/>
              <w:jc w:val="center"/>
              <w:rPr>
                <w:rFonts w:cs="宋体" w:asciiTheme="majorEastAsia" w:hAnsiTheme="majorEastAsia" w:eastAsiaTheme="majorEastAsia"/>
                <w:highlight w:val="none"/>
              </w:rPr>
            </w:pPr>
          </w:p>
        </w:tc>
        <w:tc>
          <w:tcPr>
            <w:tcW w:w="1448" w:type="dxa"/>
            <w:vMerge w:val="continue"/>
            <w:vAlign w:val="center"/>
          </w:tcPr>
          <w:p w14:paraId="0EA4F18A">
            <w:pPr>
              <w:spacing w:line="320" w:lineRule="exact"/>
              <w:jc w:val="center"/>
              <w:rPr>
                <w:rFonts w:hint="eastAsia" w:cs="宋体" w:asciiTheme="majorEastAsia" w:hAnsiTheme="majorEastAsia" w:eastAsiaTheme="majorEastAsia"/>
                <w:highlight w:val="none"/>
              </w:rPr>
            </w:pPr>
          </w:p>
        </w:tc>
        <w:tc>
          <w:tcPr>
            <w:tcW w:w="1252" w:type="dxa"/>
            <w:gridSpan w:val="2"/>
            <w:vAlign w:val="center"/>
          </w:tcPr>
          <w:p w14:paraId="4FDEAAEE">
            <w:pPr>
              <w:spacing w:line="320" w:lineRule="exact"/>
              <w:jc w:val="center"/>
              <w:rPr>
                <w:rFonts w:hint="eastAsia" w:cs="宋体" w:asciiTheme="majorEastAsia" w:hAnsiTheme="majorEastAsia" w:eastAsiaTheme="majorEastAsia"/>
                <w:highlight w:val="none"/>
              </w:rPr>
            </w:pPr>
            <w:r>
              <w:rPr>
                <w:rFonts w:hint="eastAsia" w:ascii="宋体" w:hAnsi="宋体"/>
                <w:highlight w:val="none"/>
              </w:rPr>
              <w:t>项目管理人员配置</w:t>
            </w:r>
          </w:p>
        </w:tc>
        <w:tc>
          <w:tcPr>
            <w:tcW w:w="1039" w:type="dxa"/>
            <w:vAlign w:val="center"/>
          </w:tcPr>
          <w:p w14:paraId="399DD958">
            <w:pPr>
              <w:spacing w:line="320" w:lineRule="exact"/>
              <w:jc w:val="center"/>
              <w:rPr>
                <w:rFonts w:hint="eastAsia" w:ascii="宋体" w:hAnsi="宋体"/>
                <w:highlight w:val="none"/>
              </w:rPr>
            </w:pPr>
            <w:r>
              <w:rPr>
                <w:rFonts w:hint="eastAsia" w:ascii="宋体" w:hAnsi="宋体"/>
                <w:highlight w:val="none"/>
              </w:rPr>
              <w:t>项目管理人员配置</w:t>
            </w:r>
          </w:p>
          <w:p w14:paraId="2603FCF0">
            <w:pPr>
              <w:spacing w:line="320" w:lineRule="exact"/>
              <w:jc w:val="center"/>
              <w:rPr>
                <w:rFonts w:hint="default" w:eastAsia="宋体" w:cs="宋体" w:asciiTheme="majorEastAsia" w:hAnsiTheme="majorEastAsia"/>
                <w:highlight w:val="none"/>
                <w:lang w:val="en-US" w:eastAsia="zh-CN"/>
              </w:rPr>
            </w:pPr>
            <w:r>
              <w:rPr>
                <w:rFonts w:hint="eastAsia" w:ascii="宋体" w:hAnsi="宋体"/>
                <w:highlight w:val="none"/>
                <w:lang w:val="en-US" w:eastAsia="zh-CN"/>
              </w:rPr>
              <w:t>10分</w:t>
            </w:r>
          </w:p>
        </w:tc>
        <w:tc>
          <w:tcPr>
            <w:tcW w:w="5114" w:type="dxa"/>
            <w:vAlign w:val="center"/>
          </w:tcPr>
          <w:p w14:paraId="63FD2502">
            <w:pPr>
              <w:tabs>
                <w:tab w:val="center" w:pos="4153"/>
                <w:tab w:val="right" w:pos="8306"/>
              </w:tabs>
              <w:adjustRightInd w:val="0"/>
              <w:snapToGrid w:val="0"/>
              <w:spacing w:line="360" w:lineRule="auto"/>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1、</w:t>
            </w:r>
            <w:r>
              <w:rPr>
                <w:rFonts w:hint="eastAsia" w:cs="宋体" w:asciiTheme="majorEastAsia" w:hAnsiTheme="majorEastAsia" w:eastAsiaTheme="majorEastAsia"/>
                <w:highlight w:val="none"/>
              </w:rPr>
              <w:t>投标人拟定的项目负责人符合招标文件规定项目负责人的资格条件，项目负责人资质证书年检合格，项目管理人员配置针对工程实际且合理，能满足工程管理需要的得</w:t>
            </w:r>
            <w:r>
              <w:rPr>
                <w:rFonts w:hint="eastAsia" w:cs="宋体" w:asciiTheme="majorEastAsia" w:hAnsiTheme="majorEastAsia" w:eastAsiaTheme="majorEastAsia"/>
                <w:highlight w:val="none"/>
                <w:lang w:val="en-US" w:eastAsia="zh-CN"/>
              </w:rPr>
              <w:t>5-10</w:t>
            </w:r>
            <w:r>
              <w:rPr>
                <w:rFonts w:hint="eastAsia" w:cs="宋体" w:asciiTheme="majorEastAsia" w:hAnsiTheme="majorEastAsia" w:eastAsiaTheme="majorEastAsia"/>
                <w:highlight w:val="none"/>
              </w:rPr>
              <w:t>分；</w:t>
            </w:r>
          </w:p>
          <w:p w14:paraId="7EE434EE">
            <w:pPr>
              <w:tabs>
                <w:tab w:val="center" w:pos="4153"/>
                <w:tab w:val="right" w:pos="8306"/>
              </w:tabs>
              <w:adjustRightInd w:val="0"/>
              <w:snapToGrid w:val="0"/>
              <w:spacing w:line="360" w:lineRule="auto"/>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2、</w:t>
            </w:r>
            <w:r>
              <w:rPr>
                <w:rFonts w:hint="eastAsia" w:cs="宋体" w:asciiTheme="majorEastAsia" w:hAnsiTheme="majorEastAsia" w:eastAsiaTheme="majorEastAsia"/>
                <w:highlight w:val="none"/>
              </w:rPr>
              <w:t>投标人拟定的项目负责人符合招标文件规定项目负责人的资格条件，项目负责人资质证书年检合格，项目管理人员配置基本合理，基本满足工程管理需要，但专业配置没有针对性的得</w:t>
            </w:r>
            <w:r>
              <w:rPr>
                <w:rFonts w:hint="eastAsia" w:cs="宋体" w:asciiTheme="majorEastAsia" w:hAnsiTheme="majorEastAsia" w:eastAsiaTheme="majorEastAsia"/>
                <w:highlight w:val="none"/>
                <w:lang w:val="en-US" w:eastAsia="zh-CN"/>
              </w:rPr>
              <w:t>1-4</w:t>
            </w:r>
            <w:r>
              <w:rPr>
                <w:rFonts w:hint="eastAsia" w:cs="宋体" w:asciiTheme="majorEastAsia" w:hAnsiTheme="majorEastAsia" w:eastAsiaTheme="majorEastAsia"/>
                <w:highlight w:val="none"/>
              </w:rPr>
              <w:t>分；</w:t>
            </w:r>
          </w:p>
          <w:p w14:paraId="7C004671">
            <w:pPr>
              <w:tabs>
                <w:tab w:val="center" w:pos="4153"/>
                <w:tab w:val="right" w:pos="8306"/>
              </w:tabs>
              <w:adjustRightInd w:val="0"/>
              <w:snapToGrid w:val="0"/>
              <w:spacing w:line="360" w:lineRule="auto"/>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3、</w:t>
            </w:r>
            <w:r>
              <w:rPr>
                <w:rFonts w:hint="eastAsia" w:cs="宋体" w:asciiTheme="majorEastAsia" w:hAnsiTheme="majorEastAsia" w:eastAsiaTheme="majorEastAsia"/>
                <w:highlight w:val="none"/>
              </w:rPr>
              <w:t>投标人拟定的项目负责人不符合招标文件规定项目负责人的资格条件、项目负责人资质证书年检不合格、对项目管理人员没有说明的不得分。</w:t>
            </w:r>
          </w:p>
        </w:tc>
      </w:tr>
      <w:tr w14:paraId="47784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076" w:type="dxa"/>
            <w:vMerge w:val="continue"/>
            <w:vAlign w:val="center"/>
          </w:tcPr>
          <w:p w14:paraId="71C0ABA0">
            <w:pPr>
              <w:spacing w:line="320" w:lineRule="exact"/>
              <w:jc w:val="center"/>
              <w:rPr>
                <w:rFonts w:cs="宋体" w:asciiTheme="majorEastAsia" w:hAnsiTheme="majorEastAsia" w:eastAsiaTheme="majorEastAsia"/>
                <w:highlight w:val="none"/>
              </w:rPr>
            </w:pPr>
          </w:p>
        </w:tc>
        <w:tc>
          <w:tcPr>
            <w:tcW w:w="1448" w:type="dxa"/>
            <w:vMerge w:val="continue"/>
            <w:vAlign w:val="center"/>
          </w:tcPr>
          <w:p w14:paraId="718B1AFF">
            <w:pPr>
              <w:spacing w:line="320" w:lineRule="exact"/>
              <w:jc w:val="center"/>
              <w:rPr>
                <w:rFonts w:cs="宋体" w:asciiTheme="majorEastAsia" w:hAnsiTheme="majorEastAsia" w:eastAsiaTheme="majorEastAsia"/>
                <w:highlight w:val="none"/>
              </w:rPr>
            </w:pPr>
          </w:p>
        </w:tc>
        <w:tc>
          <w:tcPr>
            <w:tcW w:w="1252" w:type="dxa"/>
            <w:gridSpan w:val="2"/>
            <w:vAlign w:val="center"/>
          </w:tcPr>
          <w:p w14:paraId="19BD035F">
            <w:pPr>
              <w:jc w:val="center"/>
              <w:rPr>
                <w:rFonts w:cs="宋体" w:asciiTheme="majorEastAsia" w:hAnsiTheme="majorEastAsia" w:eastAsiaTheme="majorEastAsia"/>
                <w:highlight w:val="none"/>
              </w:rPr>
            </w:pPr>
            <w:r>
              <w:rPr>
                <w:rFonts w:hint="eastAsia" w:asciiTheme="minorEastAsia" w:hAnsiTheme="minorEastAsia" w:eastAsiaTheme="minorEastAsia"/>
                <w:color w:val="000000"/>
                <w:highlight w:val="none"/>
              </w:rPr>
              <w:t>工期承诺及保证措施</w:t>
            </w:r>
          </w:p>
        </w:tc>
        <w:tc>
          <w:tcPr>
            <w:tcW w:w="1039" w:type="dxa"/>
            <w:vAlign w:val="center"/>
          </w:tcPr>
          <w:p w14:paraId="7E0E3989">
            <w:pPr>
              <w:spacing w:line="320" w:lineRule="exact"/>
              <w:jc w:val="center"/>
              <w:rPr>
                <w:rFonts w:cs="宋体" w:asciiTheme="majorEastAsia" w:hAnsiTheme="majorEastAsia" w:eastAsiaTheme="majorEastAsia"/>
                <w:highlight w:val="none"/>
              </w:rPr>
            </w:pPr>
            <w:r>
              <w:rPr>
                <w:rFonts w:hint="eastAsia" w:asciiTheme="minorEastAsia" w:hAnsiTheme="minorEastAsia" w:eastAsiaTheme="minorEastAsia"/>
                <w:color w:val="000000"/>
                <w:highlight w:val="none"/>
              </w:rPr>
              <w:t>工期承诺及保证措施</w:t>
            </w:r>
            <w:r>
              <w:rPr>
                <w:rFonts w:hint="eastAsia" w:cs="宋体" w:asciiTheme="majorEastAsia" w:hAnsiTheme="majorEastAsia" w:eastAsiaTheme="majorEastAsia"/>
                <w:highlight w:val="none"/>
              </w:rPr>
              <w:t>10分</w:t>
            </w:r>
          </w:p>
        </w:tc>
        <w:tc>
          <w:tcPr>
            <w:tcW w:w="5114" w:type="dxa"/>
            <w:vAlign w:val="center"/>
          </w:tcPr>
          <w:p w14:paraId="4E169B0B">
            <w:pPr>
              <w:tabs>
                <w:tab w:val="center" w:pos="4153"/>
                <w:tab w:val="right" w:pos="8306"/>
              </w:tabs>
              <w:adjustRightInd w:val="0"/>
              <w:snapToGrid w:val="0"/>
              <w:spacing w:line="360" w:lineRule="auto"/>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1、</w:t>
            </w:r>
            <w:r>
              <w:rPr>
                <w:rFonts w:hint="eastAsia" w:cs="宋体" w:asciiTheme="majorEastAsia" w:hAnsiTheme="majorEastAsia" w:eastAsiaTheme="majorEastAsia"/>
                <w:highlight w:val="none"/>
              </w:rPr>
              <w:t>工期承诺及保证措施满足招标文件且有具体的违约责任承诺，有施工进度计划，且能保证工期的得</w:t>
            </w:r>
            <w:r>
              <w:rPr>
                <w:rFonts w:hint="eastAsia" w:cs="宋体" w:asciiTheme="majorEastAsia" w:hAnsiTheme="majorEastAsia" w:eastAsiaTheme="majorEastAsia"/>
                <w:highlight w:val="none"/>
                <w:lang w:val="en-US" w:eastAsia="zh-CN"/>
              </w:rPr>
              <w:t>5</w:t>
            </w:r>
            <w:r>
              <w:rPr>
                <w:rFonts w:hint="eastAsia" w:cs="宋体" w:asciiTheme="majorEastAsia" w:hAnsiTheme="majorEastAsia" w:eastAsiaTheme="majorEastAsia"/>
                <w:highlight w:val="none"/>
              </w:rPr>
              <w:t>-10分；</w:t>
            </w:r>
          </w:p>
          <w:p w14:paraId="382CAC68">
            <w:pPr>
              <w:tabs>
                <w:tab w:val="center" w:pos="4153"/>
                <w:tab w:val="right" w:pos="8306"/>
              </w:tabs>
              <w:adjustRightInd w:val="0"/>
              <w:snapToGrid w:val="0"/>
              <w:spacing w:line="360" w:lineRule="auto"/>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2、</w:t>
            </w:r>
            <w:r>
              <w:rPr>
                <w:rFonts w:hint="eastAsia" w:cs="宋体" w:asciiTheme="majorEastAsia" w:hAnsiTheme="majorEastAsia" w:eastAsiaTheme="majorEastAsia"/>
                <w:highlight w:val="none"/>
              </w:rPr>
              <w:t>工期承诺满足招标文件且有奖罚条件和有施工进度计划，但不具体或有错误的得1-</w:t>
            </w:r>
            <w:r>
              <w:rPr>
                <w:rFonts w:hint="eastAsia" w:cs="宋体" w:asciiTheme="majorEastAsia" w:hAnsiTheme="majorEastAsia" w:eastAsiaTheme="majorEastAsia"/>
                <w:highlight w:val="none"/>
                <w:lang w:val="en-US" w:eastAsia="zh-CN"/>
              </w:rPr>
              <w:t>4</w:t>
            </w:r>
            <w:r>
              <w:rPr>
                <w:rFonts w:hint="eastAsia" w:cs="宋体" w:asciiTheme="majorEastAsia" w:hAnsiTheme="majorEastAsia" w:eastAsiaTheme="majorEastAsia"/>
                <w:highlight w:val="none"/>
              </w:rPr>
              <w:t>分；</w:t>
            </w:r>
          </w:p>
          <w:p w14:paraId="6D52BDC6">
            <w:pPr>
              <w:tabs>
                <w:tab w:val="center" w:pos="4153"/>
                <w:tab w:val="right" w:pos="8306"/>
              </w:tabs>
              <w:adjustRightInd w:val="0"/>
              <w:snapToGrid w:val="0"/>
              <w:spacing w:line="360" w:lineRule="auto"/>
              <w:rPr>
                <w:rFonts w:ascii="宋体" w:hAnsi="宋体" w:cs="宋体" w:eastAsiaTheme="majorEastAsia"/>
                <w:highlight w:val="none"/>
              </w:rPr>
            </w:pPr>
            <w:r>
              <w:rPr>
                <w:rFonts w:hint="eastAsia" w:cs="宋体" w:asciiTheme="majorEastAsia" w:hAnsiTheme="majorEastAsia" w:eastAsiaTheme="majorEastAsia"/>
                <w:highlight w:val="none"/>
                <w:lang w:val="en-US" w:eastAsia="zh-CN"/>
              </w:rPr>
              <w:t>3、</w:t>
            </w:r>
            <w:r>
              <w:rPr>
                <w:rFonts w:hint="eastAsia" w:cs="宋体" w:asciiTheme="majorEastAsia" w:hAnsiTheme="majorEastAsia" w:eastAsiaTheme="majorEastAsia"/>
                <w:highlight w:val="none"/>
              </w:rPr>
              <w:t>工期承诺基本满足招标文件，无奖罚条件及施工进度计划的得0分。</w:t>
            </w:r>
          </w:p>
        </w:tc>
      </w:tr>
      <w:tr w14:paraId="6E78D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6" w:hRule="atLeast"/>
        </w:trPr>
        <w:tc>
          <w:tcPr>
            <w:tcW w:w="1076" w:type="dxa"/>
            <w:vMerge w:val="continue"/>
            <w:vAlign w:val="center"/>
          </w:tcPr>
          <w:p w14:paraId="0CBFDE9D">
            <w:pPr>
              <w:spacing w:line="320" w:lineRule="exact"/>
              <w:jc w:val="center"/>
              <w:rPr>
                <w:rFonts w:cs="宋体" w:asciiTheme="majorEastAsia" w:hAnsiTheme="majorEastAsia" w:eastAsiaTheme="majorEastAsia"/>
                <w:highlight w:val="none"/>
              </w:rPr>
            </w:pPr>
          </w:p>
        </w:tc>
        <w:tc>
          <w:tcPr>
            <w:tcW w:w="1448" w:type="dxa"/>
            <w:vMerge w:val="continue"/>
            <w:vAlign w:val="center"/>
          </w:tcPr>
          <w:p w14:paraId="5047A0BC">
            <w:pPr>
              <w:spacing w:line="320" w:lineRule="exact"/>
              <w:jc w:val="center"/>
              <w:rPr>
                <w:rFonts w:cs="宋体" w:asciiTheme="majorEastAsia" w:hAnsiTheme="majorEastAsia" w:eastAsiaTheme="majorEastAsia"/>
                <w:highlight w:val="none"/>
              </w:rPr>
            </w:pPr>
          </w:p>
        </w:tc>
        <w:tc>
          <w:tcPr>
            <w:tcW w:w="1252" w:type="dxa"/>
            <w:gridSpan w:val="2"/>
            <w:vAlign w:val="center"/>
          </w:tcPr>
          <w:p w14:paraId="5EA75118">
            <w:pPr>
              <w:jc w:val="center"/>
              <w:rPr>
                <w:rFonts w:cs="宋体" w:asciiTheme="majorEastAsia" w:hAnsiTheme="majorEastAsia" w:eastAsiaTheme="majorEastAsia"/>
                <w:highlight w:val="none"/>
              </w:rPr>
            </w:pPr>
            <w:r>
              <w:rPr>
                <w:rFonts w:hint="eastAsia" w:asciiTheme="minorEastAsia" w:hAnsiTheme="minorEastAsia" w:eastAsiaTheme="minorEastAsia"/>
                <w:color w:val="000000"/>
                <w:highlight w:val="none"/>
              </w:rPr>
              <w:t>施工机械</w:t>
            </w:r>
          </w:p>
        </w:tc>
        <w:tc>
          <w:tcPr>
            <w:tcW w:w="1039" w:type="dxa"/>
            <w:vAlign w:val="center"/>
          </w:tcPr>
          <w:p w14:paraId="47B8F242">
            <w:pPr>
              <w:spacing w:line="320" w:lineRule="exact"/>
              <w:jc w:val="center"/>
              <w:rPr>
                <w:rFonts w:hint="eastAsia"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施工机械</w:t>
            </w:r>
          </w:p>
          <w:p w14:paraId="4B954646">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10</w:t>
            </w:r>
            <w:r>
              <w:rPr>
                <w:rFonts w:hint="eastAsia" w:cs="宋体" w:asciiTheme="majorEastAsia" w:hAnsiTheme="majorEastAsia" w:eastAsiaTheme="majorEastAsia"/>
                <w:highlight w:val="none"/>
              </w:rPr>
              <w:t>分</w:t>
            </w:r>
          </w:p>
        </w:tc>
        <w:tc>
          <w:tcPr>
            <w:tcW w:w="5114" w:type="dxa"/>
            <w:vAlign w:val="center"/>
          </w:tcPr>
          <w:p w14:paraId="51894012">
            <w:pPr>
              <w:tabs>
                <w:tab w:val="center" w:pos="4153"/>
                <w:tab w:val="right" w:pos="8306"/>
              </w:tabs>
              <w:adjustRightInd w:val="0"/>
              <w:snapToGrid w:val="0"/>
              <w:spacing w:line="360" w:lineRule="auto"/>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1、</w:t>
            </w:r>
            <w:r>
              <w:rPr>
                <w:rFonts w:hint="eastAsia" w:cs="宋体" w:asciiTheme="majorEastAsia" w:hAnsiTheme="majorEastAsia" w:eastAsiaTheme="majorEastAsia"/>
                <w:highlight w:val="none"/>
              </w:rPr>
              <w:t>投入的施工机械能满足施工要求，且搭配适当的得</w:t>
            </w:r>
            <w:r>
              <w:rPr>
                <w:rFonts w:hint="eastAsia" w:cs="宋体" w:asciiTheme="majorEastAsia" w:hAnsiTheme="majorEastAsia" w:eastAsiaTheme="majorEastAsia"/>
                <w:highlight w:val="none"/>
                <w:lang w:val="en-US" w:eastAsia="zh-CN"/>
              </w:rPr>
              <w:t>5</w:t>
            </w:r>
            <w:r>
              <w:rPr>
                <w:rFonts w:hint="eastAsia" w:cs="宋体" w:asciiTheme="majorEastAsia" w:hAnsiTheme="majorEastAsia" w:eastAsiaTheme="majorEastAsia"/>
                <w:highlight w:val="none"/>
              </w:rPr>
              <w:t>-</w:t>
            </w:r>
            <w:r>
              <w:rPr>
                <w:rFonts w:hint="eastAsia" w:cs="宋体" w:asciiTheme="majorEastAsia" w:hAnsiTheme="majorEastAsia" w:eastAsiaTheme="majorEastAsia"/>
                <w:highlight w:val="none"/>
                <w:lang w:val="en-US" w:eastAsia="zh-CN"/>
              </w:rPr>
              <w:t>10</w:t>
            </w:r>
            <w:r>
              <w:rPr>
                <w:rFonts w:hint="eastAsia" w:cs="宋体" w:asciiTheme="majorEastAsia" w:hAnsiTheme="majorEastAsia" w:eastAsiaTheme="majorEastAsia"/>
                <w:highlight w:val="none"/>
              </w:rPr>
              <w:t>分；</w:t>
            </w:r>
          </w:p>
          <w:p w14:paraId="60B4E8A2">
            <w:pPr>
              <w:tabs>
                <w:tab w:val="center" w:pos="4153"/>
                <w:tab w:val="right" w:pos="8306"/>
              </w:tabs>
              <w:adjustRightInd w:val="0"/>
              <w:snapToGrid w:val="0"/>
              <w:spacing w:line="360" w:lineRule="auto"/>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2、</w:t>
            </w:r>
            <w:r>
              <w:rPr>
                <w:rFonts w:hint="eastAsia" w:cs="宋体" w:asciiTheme="majorEastAsia" w:hAnsiTheme="majorEastAsia" w:eastAsiaTheme="majorEastAsia"/>
                <w:highlight w:val="none"/>
              </w:rPr>
              <w:t>投入的施工机械基本能满足施工要求，但搭配不当的得1-</w:t>
            </w:r>
            <w:r>
              <w:rPr>
                <w:rFonts w:hint="eastAsia" w:cs="宋体" w:asciiTheme="majorEastAsia" w:hAnsiTheme="majorEastAsia" w:eastAsiaTheme="majorEastAsia"/>
                <w:highlight w:val="none"/>
                <w:lang w:val="en-US" w:eastAsia="zh-CN"/>
              </w:rPr>
              <w:t>4</w:t>
            </w:r>
            <w:r>
              <w:rPr>
                <w:rFonts w:hint="eastAsia" w:cs="宋体" w:asciiTheme="majorEastAsia" w:hAnsiTheme="majorEastAsia" w:eastAsiaTheme="majorEastAsia"/>
                <w:highlight w:val="none"/>
              </w:rPr>
              <w:t>分；</w:t>
            </w:r>
          </w:p>
          <w:p w14:paraId="1E589260">
            <w:pPr>
              <w:tabs>
                <w:tab w:val="center" w:pos="4153"/>
                <w:tab w:val="right" w:pos="8306"/>
              </w:tabs>
              <w:adjustRightInd w:val="0"/>
              <w:snapToGrid w:val="0"/>
              <w:spacing w:line="360" w:lineRule="auto"/>
              <w:rPr>
                <w:rFonts w:ascii="宋体" w:hAnsi="宋体" w:cs="宋体"/>
                <w:highlight w:val="none"/>
              </w:rPr>
            </w:pPr>
            <w:r>
              <w:rPr>
                <w:rFonts w:hint="eastAsia" w:cs="宋体" w:asciiTheme="majorEastAsia" w:hAnsiTheme="majorEastAsia" w:eastAsiaTheme="majorEastAsia"/>
                <w:highlight w:val="none"/>
                <w:lang w:val="en-US" w:eastAsia="zh-CN"/>
              </w:rPr>
              <w:t>3、</w:t>
            </w:r>
            <w:r>
              <w:rPr>
                <w:rFonts w:hint="eastAsia" w:cs="宋体" w:asciiTheme="majorEastAsia" w:hAnsiTheme="majorEastAsia" w:eastAsiaTheme="majorEastAsia"/>
                <w:highlight w:val="none"/>
              </w:rPr>
              <w:t>投入的施工主要机械不能满足工程要求的不得分。</w:t>
            </w:r>
          </w:p>
        </w:tc>
      </w:tr>
      <w:tr w14:paraId="16094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076" w:type="dxa"/>
            <w:vMerge w:val="continue"/>
            <w:vAlign w:val="center"/>
          </w:tcPr>
          <w:p w14:paraId="1ACA3E73">
            <w:pPr>
              <w:spacing w:line="320" w:lineRule="exact"/>
              <w:jc w:val="center"/>
              <w:rPr>
                <w:rFonts w:cs="宋体" w:asciiTheme="majorEastAsia" w:hAnsiTheme="majorEastAsia" w:eastAsiaTheme="majorEastAsia"/>
                <w:highlight w:val="none"/>
              </w:rPr>
            </w:pPr>
          </w:p>
        </w:tc>
        <w:tc>
          <w:tcPr>
            <w:tcW w:w="1448" w:type="dxa"/>
            <w:vAlign w:val="center"/>
          </w:tcPr>
          <w:p w14:paraId="0942DCB4">
            <w:pPr>
              <w:spacing w:line="320" w:lineRule="exact"/>
              <w:jc w:val="center"/>
              <w:rPr>
                <w:rFonts w:hint="default" w:cs="宋体" w:asciiTheme="majorEastAsia" w:hAnsiTheme="majorEastAsia" w:eastAsiaTheme="majorEastAsia"/>
                <w:highlight w:val="none"/>
                <w:lang w:val="en-US" w:eastAsia="zh-CN"/>
              </w:rPr>
            </w:pPr>
            <w:r>
              <w:rPr>
                <w:rFonts w:hint="eastAsia" w:cs="宋体" w:asciiTheme="majorEastAsia" w:hAnsiTheme="majorEastAsia" w:eastAsiaTheme="majorEastAsia"/>
                <w:highlight w:val="none"/>
                <w:lang w:val="en-US" w:eastAsia="zh-CN"/>
              </w:rPr>
              <w:t>运营部分（20分）</w:t>
            </w:r>
          </w:p>
        </w:tc>
        <w:tc>
          <w:tcPr>
            <w:tcW w:w="1252" w:type="dxa"/>
            <w:gridSpan w:val="2"/>
            <w:vAlign w:val="center"/>
          </w:tcPr>
          <w:p w14:paraId="75E4D26C">
            <w:pPr>
              <w:spacing w:line="320" w:lineRule="exact"/>
              <w:jc w:val="center"/>
              <w:rPr>
                <w:rFonts w:hint="default" w:eastAsia="宋体"/>
                <w:highlight w:val="none"/>
                <w:lang w:val="en-US" w:eastAsia="zh-CN"/>
              </w:rPr>
            </w:pPr>
            <w:r>
              <w:rPr>
                <w:rFonts w:hint="eastAsia"/>
                <w:highlight w:val="none"/>
                <w:lang w:val="en-US" w:eastAsia="zh-CN"/>
              </w:rPr>
              <w:t>运营方案</w:t>
            </w:r>
          </w:p>
        </w:tc>
        <w:tc>
          <w:tcPr>
            <w:tcW w:w="1039" w:type="dxa"/>
            <w:vAlign w:val="center"/>
          </w:tcPr>
          <w:p w14:paraId="13A40F29">
            <w:pPr>
              <w:spacing w:line="320" w:lineRule="exact"/>
              <w:jc w:val="center"/>
              <w:rPr>
                <w:rFonts w:hint="eastAsia"/>
                <w:highlight w:val="none"/>
                <w:lang w:val="en-US" w:eastAsia="zh-CN"/>
              </w:rPr>
            </w:pPr>
            <w:r>
              <w:rPr>
                <w:rFonts w:hint="eastAsia"/>
                <w:highlight w:val="none"/>
                <w:lang w:val="en-US" w:eastAsia="zh-CN"/>
              </w:rPr>
              <w:t>运营方案</w:t>
            </w:r>
          </w:p>
          <w:p w14:paraId="46F1A7C5">
            <w:pPr>
              <w:spacing w:line="320" w:lineRule="exact"/>
              <w:jc w:val="center"/>
              <w:rPr>
                <w:rFonts w:hint="default" w:cs="宋体" w:asciiTheme="majorEastAsia" w:hAnsiTheme="majorEastAsia" w:eastAsiaTheme="majorEastAsia"/>
                <w:highlight w:val="none"/>
                <w:lang w:val="en-US" w:eastAsia="zh-CN"/>
              </w:rPr>
            </w:pPr>
            <w:r>
              <w:rPr>
                <w:rFonts w:hint="eastAsia" w:cs="宋体" w:asciiTheme="majorEastAsia" w:hAnsiTheme="majorEastAsia" w:eastAsiaTheme="majorEastAsia"/>
                <w:highlight w:val="none"/>
                <w:lang w:val="en-US" w:eastAsia="zh-CN"/>
              </w:rPr>
              <w:t>20分</w:t>
            </w:r>
          </w:p>
        </w:tc>
        <w:tc>
          <w:tcPr>
            <w:tcW w:w="5114" w:type="dxa"/>
            <w:vAlign w:val="center"/>
          </w:tcPr>
          <w:p w14:paraId="2900AA69">
            <w:pPr>
              <w:tabs>
                <w:tab w:val="center" w:pos="4153"/>
                <w:tab w:val="right" w:pos="8306"/>
              </w:tabs>
              <w:adjustRightInd w:val="0"/>
              <w:snapToGrid w:val="0"/>
              <w:spacing w:line="360" w:lineRule="auto"/>
              <w:rPr>
                <w:rFonts w:hint="eastAsia" w:cs="宋体" w:asciiTheme="majorEastAsia" w:hAnsiTheme="majorEastAsia" w:eastAsiaTheme="majorEastAsia"/>
                <w:highlight w:val="none"/>
                <w:lang w:val="en-US" w:eastAsia="zh-CN"/>
              </w:rPr>
            </w:pPr>
            <w:r>
              <w:rPr>
                <w:rFonts w:hint="eastAsia" w:cs="宋体" w:asciiTheme="majorEastAsia" w:hAnsiTheme="majorEastAsia" w:eastAsiaTheme="majorEastAsia"/>
                <w:highlight w:val="none"/>
                <w:lang w:val="en-US" w:eastAsia="zh-CN"/>
              </w:rPr>
              <w:t>1、运营方案组织合理、管理科学，针对运营管理具有先进的设施、设备和技术密集型的管理特点，有健全的运营管理制度且针对本项目的特点具有较强的针对性的，得12-20分；</w:t>
            </w:r>
          </w:p>
          <w:p w14:paraId="447B6029">
            <w:pPr>
              <w:tabs>
                <w:tab w:val="center" w:pos="4153"/>
                <w:tab w:val="right" w:pos="8306"/>
              </w:tabs>
              <w:adjustRightInd w:val="0"/>
              <w:snapToGrid w:val="0"/>
              <w:spacing w:line="360" w:lineRule="auto"/>
              <w:rPr>
                <w:rFonts w:hint="eastAsia" w:cs="宋体" w:asciiTheme="majorEastAsia" w:hAnsiTheme="majorEastAsia" w:eastAsiaTheme="majorEastAsia"/>
                <w:highlight w:val="none"/>
                <w:lang w:val="en-US" w:eastAsia="zh-CN"/>
              </w:rPr>
            </w:pPr>
            <w:r>
              <w:rPr>
                <w:rFonts w:hint="eastAsia" w:cs="宋体" w:asciiTheme="majorEastAsia" w:hAnsiTheme="majorEastAsia" w:eastAsiaTheme="majorEastAsia"/>
                <w:highlight w:val="none"/>
                <w:lang w:val="en-US" w:eastAsia="zh-CN"/>
              </w:rPr>
              <w:t>2、运营方案组织一般、管理科学，针对运营管理设施、设备一般、运营管理制度针对本项目的特点针对性一般的，得6-11分。</w:t>
            </w:r>
          </w:p>
          <w:p w14:paraId="4C4DF2B2">
            <w:pPr>
              <w:tabs>
                <w:tab w:val="center" w:pos="4153"/>
                <w:tab w:val="right" w:pos="8306"/>
              </w:tabs>
              <w:adjustRightInd w:val="0"/>
              <w:snapToGrid w:val="0"/>
              <w:spacing w:line="360" w:lineRule="auto"/>
              <w:rPr>
                <w:rFonts w:hint="default"/>
                <w:highlight w:val="none"/>
                <w:lang w:val="en-US" w:eastAsia="zh-CN"/>
              </w:rPr>
            </w:pPr>
            <w:r>
              <w:rPr>
                <w:rFonts w:hint="eastAsia" w:cs="宋体" w:asciiTheme="majorEastAsia" w:hAnsiTheme="majorEastAsia" w:eastAsiaTheme="majorEastAsia"/>
                <w:highlight w:val="none"/>
                <w:lang w:val="en-US" w:eastAsia="zh-CN"/>
              </w:rPr>
              <w:t>3、运营方案组织较差、管理一般，针对运营管理设施、设备较差、运营管理制度针对本项目的特点针对性较差的，得1-5分。</w:t>
            </w:r>
          </w:p>
        </w:tc>
      </w:tr>
      <w:tr w14:paraId="0E716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1076" w:type="dxa"/>
            <w:vAlign w:val="center"/>
          </w:tcPr>
          <w:p w14:paraId="3EA3B42A">
            <w:pPr>
              <w:spacing w:line="320" w:lineRule="exact"/>
              <w:jc w:val="center"/>
              <w:rPr>
                <w:rFonts w:cs="宋体" w:asciiTheme="majorEastAsia" w:hAnsiTheme="majorEastAsia" w:eastAsiaTheme="majorEastAsia"/>
                <w:b/>
                <w:highlight w:val="none"/>
              </w:rPr>
            </w:pPr>
            <w:r>
              <w:rPr>
                <w:rFonts w:cs="宋体" w:asciiTheme="majorEastAsia" w:hAnsiTheme="majorEastAsia" w:eastAsiaTheme="majorEastAsia"/>
                <w:b/>
                <w:highlight w:val="none"/>
              </w:rPr>
              <w:t>条款号</w:t>
            </w:r>
          </w:p>
        </w:tc>
        <w:tc>
          <w:tcPr>
            <w:tcW w:w="2700" w:type="dxa"/>
            <w:gridSpan w:val="3"/>
            <w:vAlign w:val="center"/>
          </w:tcPr>
          <w:p w14:paraId="26F32C6C">
            <w:pPr>
              <w:spacing w:line="32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评审项目</w:t>
            </w:r>
          </w:p>
        </w:tc>
        <w:tc>
          <w:tcPr>
            <w:tcW w:w="1039" w:type="dxa"/>
            <w:vAlign w:val="center"/>
          </w:tcPr>
          <w:p w14:paraId="5BFE6FFB">
            <w:pPr>
              <w:spacing w:line="32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评审因素分值</w:t>
            </w:r>
          </w:p>
        </w:tc>
        <w:tc>
          <w:tcPr>
            <w:tcW w:w="5114" w:type="dxa"/>
            <w:vAlign w:val="center"/>
          </w:tcPr>
          <w:p w14:paraId="69DA2F8C">
            <w:pPr>
              <w:spacing w:line="32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评审标准</w:t>
            </w:r>
          </w:p>
        </w:tc>
      </w:tr>
      <w:tr w14:paraId="42F0F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trPr>
        <w:tc>
          <w:tcPr>
            <w:tcW w:w="1076" w:type="dxa"/>
            <w:vMerge w:val="restart"/>
            <w:vAlign w:val="center"/>
          </w:tcPr>
          <w:p w14:paraId="1350B3F9">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2.2.2（2）</w:t>
            </w:r>
          </w:p>
        </w:tc>
        <w:tc>
          <w:tcPr>
            <w:tcW w:w="2700" w:type="dxa"/>
            <w:gridSpan w:val="3"/>
            <w:vMerge w:val="restart"/>
            <w:vAlign w:val="center"/>
          </w:tcPr>
          <w:p w14:paraId="50C1E64E">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商务部分评分标准（满分100分，权重为0.</w:t>
            </w:r>
            <w:r>
              <w:rPr>
                <w:rFonts w:hint="eastAsia" w:cs="宋体" w:asciiTheme="majorEastAsia" w:hAnsiTheme="majorEastAsia" w:eastAsiaTheme="majorEastAsia"/>
                <w:highlight w:val="none"/>
                <w:lang w:val="en-US" w:eastAsia="zh-CN"/>
              </w:rPr>
              <w:t>1</w:t>
            </w:r>
            <w:r>
              <w:rPr>
                <w:rFonts w:hint="eastAsia" w:cs="宋体" w:asciiTheme="majorEastAsia" w:hAnsiTheme="majorEastAsia" w:eastAsiaTheme="majorEastAsia"/>
                <w:highlight w:val="none"/>
              </w:rPr>
              <w:t>0）</w:t>
            </w:r>
          </w:p>
        </w:tc>
        <w:tc>
          <w:tcPr>
            <w:tcW w:w="1039" w:type="dxa"/>
            <w:vAlign w:val="center"/>
          </w:tcPr>
          <w:p w14:paraId="53AB498D">
            <w:pPr>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施工部分报价</w:t>
            </w:r>
            <w:r>
              <w:rPr>
                <w:rFonts w:hint="eastAsia" w:cs="宋体" w:asciiTheme="majorEastAsia" w:hAnsiTheme="majorEastAsia" w:eastAsiaTheme="majorEastAsia"/>
                <w:highlight w:val="none"/>
              </w:rPr>
              <w:t>报价（</w:t>
            </w:r>
            <w:r>
              <w:rPr>
                <w:rFonts w:hint="eastAsia" w:cs="宋体" w:asciiTheme="majorEastAsia" w:hAnsiTheme="majorEastAsia" w:eastAsiaTheme="majorEastAsia"/>
                <w:highlight w:val="none"/>
                <w:lang w:val="en-US" w:eastAsia="zh-CN"/>
              </w:rPr>
              <w:t>70</w:t>
            </w:r>
            <w:r>
              <w:rPr>
                <w:rFonts w:hint="eastAsia" w:cs="宋体" w:asciiTheme="majorEastAsia" w:hAnsiTheme="majorEastAsia" w:eastAsiaTheme="majorEastAsia"/>
                <w:highlight w:val="none"/>
              </w:rPr>
              <w:t>分）</w:t>
            </w:r>
          </w:p>
        </w:tc>
        <w:tc>
          <w:tcPr>
            <w:tcW w:w="5114" w:type="dxa"/>
            <w:vAlign w:val="center"/>
          </w:tcPr>
          <w:p w14:paraId="61D51038">
            <w:pPr>
              <w:widowControl w:val="0"/>
              <w:spacing w:line="360" w:lineRule="auto"/>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以有效投标人投标报价（下浮率）的平均价为评标基准价，投标人投标报价（下浮率）等于评标基准价的得满分</w:t>
            </w:r>
            <w:r>
              <w:rPr>
                <w:rFonts w:hint="eastAsia" w:cs="宋体" w:asciiTheme="minorEastAsia" w:hAnsiTheme="minorEastAsia" w:eastAsiaTheme="minorEastAsia"/>
                <w:color w:val="000000"/>
                <w:highlight w:val="none"/>
                <w:lang w:val="en-US" w:eastAsia="zh-CN"/>
              </w:rPr>
              <w:t>70</w:t>
            </w:r>
            <w:r>
              <w:rPr>
                <w:rFonts w:hint="eastAsia" w:cs="宋体" w:asciiTheme="minorEastAsia" w:hAnsiTheme="minorEastAsia" w:eastAsiaTheme="minorEastAsia"/>
                <w:color w:val="000000"/>
                <w:highlight w:val="none"/>
              </w:rPr>
              <w:t>分，投标人的投标报价与评标基准价相比（计算差值），每向上或向下浮动1%的扣0.1分，分数扣完为止(扣减分值中间值用插入法，小数点后保留两位，小数点后第三位“四舍五入”)。</w:t>
            </w:r>
          </w:p>
          <w:p w14:paraId="5ECF0EB5">
            <w:pPr>
              <w:spacing w:line="276" w:lineRule="auto"/>
              <w:rPr>
                <w:rFonts w:cs="宋体" w:asciiTheme="minorEastAsia" w:hAnsiTheme="minorEastAsia" w:eastAsiaTheme="minorEastAsia"/>
                <w:b/>
                <w:color w:val="000000"/>
                <w:highlight w:val="none"/>
              </w:rPr>
            </w:pPr>
            <w:r>
              <w:rPr>
                <w:rFonts w:hint="eastAsia" w:cs="宋体" w:asciiTheme="minorEastAsia" w:hAnsiTheme="minorEastAsia" w:eastAsiaTheme="minorEastAsia"/>
                <w:b/>
                <w:color w:val="000000"/>
                <w:highlight w:val="none"/>
              </w:rPr>
              <w:t>平均价的计算公式：</w:t>
            </w:r>
          </w:p>
          <w:p w14:paraId="2682CE1D">
            <w:pPr>
              <w:adjustRightInd w:val="0"/>
              <w:snapToGrid w:val="0"/>
              <w:spacing w:line="276" w:lineRule="auto"/>
              <w:rPr>
                <w:rFonts w:cs="宋体" w:asciiTheme="minorEastAsia" w:hAnsiTheme="minorEastAsia" w:eastAsiaTheme="minorEastAsia"/>
                <w:b/>
                <w:color w:val="000000"/>
                <w:highlight w:val="none"/>
              </w:rPr>
            </w:pPr>
            <w:r>
              <w:rPr>
                <w:rFonts w:hint="eastAsia" w:cs="宋体" w:asciiTheme="minorEastAsia" w:hAnsiTheme="minorEastAsia" w:eastAsiaTheme="minorEastAsia"/>
                <w:b/>
                <w:color w:val="000000"/>
                <w:highlight w:val="none"/>
              </w:rPr>
              <w:t>公式一：（适用于当投标报价个数n≥7时）</w:t>
            </w:r>
          </w:p>
          <w:p w14:paraId="4EEBB875">
            <w:pPr>
              <w:adjustRightInd w:val="0"/>
              <w:snapToGrid w:val="0"/>
              <w:spacing w:line="276" w:lineRule="auto"/>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P= [(tmax-1×0.5+tmin+1×0.5) + t1 + t2 +… tn-4]/（n-3）</w:t>
            </w:r>
          </w:p>
          <w:p w14:paraId="72F61890">
            <w:pPr>
              <w:adjustRightInd w:val="0"/>
              <w:snapToGrid w:val="0"/>
              <w:spacing w:line="276" w:lineRule="auto"/>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t为投标报价；tmax-1指投标报价中第二高值；tmin+1指投标报价中第二低值；t1、t2、…、tn-4指分别去掉一个第一、第二高值和一个第一、第二低值后的投标报价。</w:t>
            </w:r>
          </w:p>
          <w:p w14:paraId="0B94D21D">
            <w:pPr>
              <w:adjustRightInd w:val="0"/>
              <w:snapToGrid w:val="0"/>
              <w:spacing w:line="276" w:lineRule="auto"/>
              <w:rPr>
                <w:rFonts w:cs="宋体" w:asciiTheme="minorEastAsia" w:hAnsiTheme="minorEastAsia" w:eastAsiaTheme="minorEastAsia"/>
                <w:b/>
                <w:color w:val="000000"/>
                <w:highlight w:val="none"/>
              </w:rPr>
            </w:pPr>
            <w:r>
              <w:rPr>
                <w:rFonts w:hint="eastAsia" w:cs="宋体" w:asciiTheme="minorEastAsia" w:hAnsiTheme="minorEastAsia" w:eastAsiaTheme="minorEastAsia"/>
                <w:b/>
                <w:color w:val="000000"/>
                <w:highlight w:val="none"/>
              </w:rPr>
              <w:t>公式二：（适用于当投标报价个数n在7＞n≥5范围时）</w:t>
            </w:r>
          </w:p>
          <w:p w14:paraId="0DF8E390">
            <w:pPr>
              <w:adjustRightInd w:val="0"/>
              <w:snapToGrid w:val="0"/>
              <w:spacing w:line="276" w:lineRule="auto"/>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P= （t1 + t2 + … tn-2）/（n-2）</w:t>
            </w:r>
          </w:p>
          <w:p w14:paraId="53E56B5B">
            <w:pPr>
              <w:adjustRightInd w:val="0"/>
              <w:snapToGrid w:val="0"/>
              <w:spacing w:line="276" w:lineRule="auto"/>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其中：t1、t2、…、tn-2指去掉一个最高值和一个最低值后的投标报价。</w:t>
            </w:r>
          </w:p>
          <w:p w14:paraId="3957F572">
            <w:pPr>
              <w:adjustRightInd w:val="0"/>
              <w:snapToGrid w:val="0"/>
              <w:spacing w:line="276" w:lineRule="auto"/>
              <w:rPr>
                <w:rFonts w:cs="宋体" w:asciiTheme="minorEastAsia" w:hAnsiTheme="minorEastAsia" w:eastAsiaTheme="minorEastAsia"/>
                <w:b/>
                <w:color w:val="000000"/>
                <w:highlight w:val="none"/>
              </w:rPr>
            </w:pPr>
            <w:r>
              <w:rPr>
                <w:rFonts w:hint="eastAsia" w:cs="宋体" w:asciiTheme="minorEastAsia" w:hAnsiTheme="minorEastAsia" w:eastAsiaTheme="minorEastAsia"/>
                <w:b/>
                <w:color w:val="000000"/>
                <w:highlight w:val="none"/>
              </w:rPr>
              <w:t>公式三：（适用于当投标报价个数n在5＞n≥3范围时）</w:t>
            </w:r>
          </w:p>
          <w:p w14:paraId="7E100D11">
            <w:pPr>
              <w:adjustRightInd w:val="0"/>
              <w:snapToGrid w:val="0"/>
              <w:spacing w:line="276" w:lineRule="auto"/>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P= （t1 + t2 + … tn）/n</w:t>
            </w:r>
          </w:p>
          <w:p w14:paraId="5E5F7C29">
            <w:pPr>
              <w:spacing w:line="320" w:lineRule="exact"/>
              <w:jc w:val="center"/>
              <w:rPr>
                <w:rFonts w:hint="eastAsia" w:cs="宋体" w:asciiTheme="minorEastAsia" w:hAnsiTheme="minorEastAsia" w:eastAsiaTheme="minorEastAsia"/>
                <w:color w:val="000000"/>
                <w:szCs w:val="24"/>
                <w:highlight w:val="none"/>
              </w:rPr>
            </w:pPr>
            <w:r>
              <w:rPr>
                <w:rFonts w:hint="eastAsia" w:cs="宋体" w:asciiTheme="minorEastAsia" w:hAnsiTheme="minorEastAsia" w:eastAsiaTheme="minorEastAsia"/>
                <w:color w:val="000000"/>
                <w:szCs w:val="24"/>
                <w:highlight w:val="none"/>
              </w:rPr>
              <w:t>其中：t1、t2、…tn指投标报价。</w:t>
            </w:r>
          </w:p>
          <w:p w14:paraId="2A806117">
            <w:pPr>
              <w:spacing w:line="320" w:lineRule="exact"/>
              <w:jc w:val="left"/>
              <w:rPr>
                <w:rFonts w:hint="eastAsia" w:cs="宋体" w:asciiTheme="minorEastAsia" w:hAnsiTheme="minorEastAsia" w:eastAsiaTheme="minorEastAsia"/>
                <w:color w:val="000000"/>
                <w:szCs w:val="24"/>
                <w:highlight w:val="none"/>
              </w:rPr>
            </w:pPr>
            <w:r>
              <w:rPr>
                <w:rFonts w:hint="eastAsia" w:ascii="宋体" w:hAnsi="宋体" w:eastAsia="宋体" w:cs="宋体"/>
                <w:b/>
                <w:sz w:val="24"/>
                <w:szCs w:val="24"/>
              </w:rPr>
              <w:t>注:该部分投标报价以投标人填报的建安工程费投标下浮率作为计算依据。</w:t>
            </w:r>
          </w:p>
        </w:tc>
      </w:tr>
      <w:tr w14:paraId="5D9CE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trPr>
        <w:tc>
          <w:tcPr>
            <w:tcW w:w="1076" w:type="dxa"/>
            <w:vMerge w:val="continue"/>
            <w:vAlign w:val="center"/>
          </w:tcPr>
          <w:p w14:paraId="4708CD24">
            <w:pPr>
              <w:spacing w:line="320" w:lineRule="exact"/>
              <w:jc w:val="center"/>
              <w:rPr>
                <w:rFonts w:hint="eastAsia" w:cs="宋体" w:asciiTheme="majorEastAsia" w:hAnsiTheme="majorEastAsia" w:eastAsiaTheme="majorEastAsia"/>
                <w:highlight w:val="none"/>
              </w:rPr>
            </w:pPr>
          </w:p>
        </w:tc>
        <w:tc>
          <w:tcPr>
            <w:tcW w:w="2700" w:type="dxa"/>
            <w:gridSpan w:val="3"/>
            <w:vMerge w:val="continue"/>
            <w:vAlign w:val="center"/>
          </w:tcPr>
          <w:p w14:paraId="397E5E7C">
            <w:pPr>
              <w:spacing w:line="320" w:lineRule="exact"/>
              <w:jc w:val="center"/>
              <w:rPr>
                <w:rFonts w:hint="eastAsia" w:cs="宋体" w:asciiTheme="majorEastAsia" w:hAnsiTheme="majorEastAsia" w:eastAsiaTheme="majorEastAsia"/>
                <w:highlight w:val="none"/>
              </w:rPr>
            </w:pPr>
          </w:p>
        </w:tc>
        <w:tc>
          <w:tcPr>
            <w:tcW w:w="1039" w:type="dxa"/>
            <w:vAlign w:val="center"/>
          </w:tcPr>
          <w:p w14:paraId="772121E8">
            <w:pPr>
              <w:spacing w:line="320" w:lineRule="exact"/>
              <w:jc w:val="center"/>
              <w:rPr>
                <w:rFonts w:hint="default" w:cs="宋体" w:asciiTheme="majorEastAsia" w:hAnsiTheme="majorEastAsia" w:eastAsiaTheme="majorEastAsia"/>
                <w:highlight w:val="none"/>
                <w:lang w:val="en-US" w:eastAsia="zh-CN"/>
              </w:rPr>
            </w:pPr>
            <w:r>
              <w:rPr>
                <w:rFonts w:hint="eastAsia" w:cs="宋体" w:asciiTheme="majorEastAsia" w:hAnsiTheme="majorEastAsia" w:eastAsiaTheme="majorEastAsia"/>
                <w:highlight w:val="none"/>
                <w:lang w:val="en-US" w:eastAsia="zh-CN"/>
              </w:rPr>
              <w:t>设计部分报价（30分）</w:t>
            </w:r>
          </w:p>
        </w:tc>
        <w:tc>
          <w:tcPr>
            <w:tcW w:w="5114" w:type="dxa"/>
            <w:vAlign w:val="center"/>
          </w:tcPr>
          <w:p w14:paraId="09183B02">
            <w:pPr>
              <w:widowControl w:val="0"/>
              <w:spacing w:line="360" w:lineRule="auto"/>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以有效投标人投标报价（下浮率）的平均价为评标基准价，投标人投标报价（下浮率）等于评标基准价的得满分</w:t>
            </w:r>
            <w:r>
              <w:rPr>
                <w:rFonts w:hint="eastAsia" w:cs="宋体" w:asciiTheme="minorEastAsia" w:hAnsiTheme="minorEastAsia" w:eastAsiaTheme="minorEastAsia"/>
                <w:color w:val="000000"/>
                <w:highlight w:val="none"/>
                <w:lang w:val="en-US" w:eastAsia="zh-CN"/>
              </w:rPr>
              <w:t>30</w:t>
            </w:r>
            <w:r>
              <w:rPr>
                <w:rFonts w:hint="eastAsia" w:cs="宋体" w:asciiTheme="minorEastAsia" w:hAnsiTheme="minorEastAsia" w:eastAsiaTheme="minorEastAsia"/>
                <w:color w:val="000000"/>
                <w:highlight w:val="none"/>
              </w:rPr>
              <w:t>分，投标人的投标报价与评标基准价相比（计算差值），每向上或向下浮动1%的扣0.1分，分数扣完为止(扣减分值中间值用插入法，小数点后保留两位，小数点后第三位“四舍五入”)。</w:t>
            </w:r>
          </w:p>
          <w:p w14:paraId="5C217BE4">
            <w:pPr>
              <w:spacing w:line="276" w:lineRule="auto"/>
              <w:rPr>
                <w:rFonts w:cs="宋体" w:asciiTheme="minorEastAsia" w:hAnsiTheme="minorEastAsia" w:eastAsiaTheme="minorEastAsia"/>
                <w:b/>
                <w:color w:val="000000"/>
                <w:highlight w:val="none"/>
              </w:rPr>
            </w:pPr>
            <w:r>
              <w:rPr>
                <w:rFonts w:hint="eastAsia" w:cs="宋体" w:asciiTheme="minorEastAsia" w:hAnsiTheme="minorEastAsia" w:eastAsiaTheme="minorEastAsia"/>
                <w:b/>
                <w:color w:val="000000"/>
                <w:highlight w:val="none"/>
              </w:rPr>
              <w:t>平均价的计算公式：</w:t>
            </w:r>
          </w:p>
          <w:p w14:paraId="2DAE222D">
            <w:pPr>
              <w:adjustRightInd w:val="0"/>
              <w:snapToGrid w:val="0"/>
              <w:spacing w:line="276" w:lineRule="auto"/>
              <w:rPr>
                <w:rFonts w:cs="宋体" w:asciiTheme="minorEastAsia" w:hAnsiTheme="minorEastAsia" w:eastAsiaTheme="minorEastAsia"/>
                <w:b/>
                <w:color w:val="000000"/>
                <w:highlight w:val="none"/>
              </w:rPr>
            </w:pPr>
            <w:r>
              <w:rPr>
                <w:rFonts w:hint="eastAsia" w:cs="宋体" w:asciiTheme="minorEastAsia" w:hAnsiTheme="minorEastAsia" w:eastAsiaTheme="minorEastAsia"/>
                <w:b/>
                <w:color w:val="000000"/>
                <w:highlight w:val="none"/>
              </w:rPr>
              <w:t>公式一：（适用于当投标报价个数n≥7时）</w:t>
            </w:r>
          </w:p>
          <w:p w14:paraId="1CCD45FC">
            <w:pPr>
              <w:adjustRightInd w:val="0"/>
              <w:snapToGrid w:val="0"/>
              <w:spacing w:line="276" w:lineRule="auto"/>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P= [(tmax-1×0.5+tmin+1×0.5) + t1 + t2 +… tn-4]/（n-3）</w:t>
            </w:r>
          </w:p>
          <w:p w14:paraId="238E2EE1">
            <w:pPr>
              <w:adjustRightInd w:val="0"/>
              <w:snapToGrid w:val="0"/>
              <w:spacing w:line="276" w:lineRule="auto"/>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t为投标报价；tmax-1指投标报价中第二高值；tmin+1指投标报价中第二低值；t1、t2、…、tn-4指分别去掉一个第一、第二高值和一个第一、第二低值后的投标报价。</w:t>
            </w:r>
          </w:p>
          <w:p w14:paraId="57279420">
            <w:pPr>
              <w:adjustRightInd w:val="0"/>
              <w:snapToGrid w:val="0"/>
              <w:spacing w:line="276" w:lineRule="auto"/>
              <w:rPr>
                <w:rFonts w:cs="宋体" w:asciiTheme="minorEastAsia" w:hAnsiTheme="minorEastAsia" w:eastAsiaTheme="minorEastAsia"/>
                <w:b/>
                <w:color w:val="000000"/>
                <w:highlight w:val="none"/>
              </w:rPr>
            </w:pPr>
            <w:r>
              <w:rPr>
                <w:rFonts w:hint="eastAsia" w:cs="宋体" w:asciiTheme="minorEastAsia" w:hAnsiTheme="minorEastAsia" w:eastAsiaTheme="minorEastAsia"/>
                <w:b/>
                <w:color w:val="000000"/>
                <w:highlight w:val="none"/>
              </w:rPr>
              <w:t>公式二：（适用于当投标报价个数n在7＞n≥5范围时）</w:t>
            </w:r>
          </w:p>
          <w:p w14:paraId="6651AD67">
            <w:pPr>
              <w:adjustRightInd w:val="0"/>
              <w:snapToGrid w:val="0"/>
              <w:spacing w:line="276" w:lineRule="auto"/>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P= （t1 + t2 + … tn-2）/（n-2）</w:t>
            </w:r>
          </w:p>
          <w:p w14:paraId="17BB27B9">
            <w:pPr>
              <w:adjustRightInd w:val="0"/>
              <w:snapToGrid w:val="0"/>
              <w:spacing w:line="276" w:lineRule="auto"/>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其中：t1、t2、…、tn-2指去掉一个最高值和一个最低值后的投标报价。</w:t>
            </w:r>
          </w:p>
          <w:p w14:paraId="0F7BD013">
            <w:pPr>
              <w:adjustRightInd w:val="0"/>
              <w:snapToGrid w:val="0"/>
              <w:spacing w:line="276" w:lineRule="auto"/>
              <w:rPr>
                <w:rFonts w:cs="宋体" w:asciiTheme="minorEastAsia" w:hAnsiTheme="minorEastAsia" w:eastAsiaTheme="minorEastAsia"/>
                <w:b/>
                <w:color w:val="000000"/>
                <w:highlight w:val="none"/>
              </w:rPr>
            </w:pPr>
            <w:r>
              <w:rPr>
                <w:rFonts w:hint="eastAsia" w:cs="宋体" w:asciiTheme="minorEastAsia" w:hAnsiTheme="minorEastAsia" w:eastAsiaTheme="minorEastAsia"/>
                <w:b/>
                <w:color w:val="000000"/>
                <w:highlight w:val="none"/>
              </w:rPr>
              <w:t>公式三：（适用于当投标报价个数n在5＞n≥3范围时）</w:t>
            </w:r>
          </w:p>
          <w:p w14:paraId="16A81CF4">
            <w:pPr>
              <w:adjustRightInd w:val="0"/>
              <w:snapToGrid w:val="0"/>
              <w:spacing w:line="276" w:lineRule="auto"/>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P= （t1 + t2 + … tn）/n</w:t>
            </w:r>
          </w:p>
          <w:p w14:paraId="6F1B3345">
            <w:pPr>
              <w:spacing w:line="320" w:lineRule="exact"/>
              <w:jc w:val="center"/>
              <w:rPr>
                <w:rFonts w:hint="eastAsia" w:cs="宋体" w:asciiTheme="minorEastAsia" w:hAnsiTheme="minorEastAsia" w:eastAsiaTheme="minorEastAsia"/>
                <w:color w:val="000000"/>
                <w:szCs w:val="24"/>
                <w:highlight w:val="none"/>
              </w:rPr>
            </w:pPr>
            <w:r>
              <w:rPr>
                <w:rFonts w:hint="eastAsia" w:cs="宋体" w:asciiTheme="minorEastAsia" w:hAnsiTheme="minorEastAsia" w:eastAsiaTheme="minorEastAsia"/>
                <w:color w:val="000000"/>
                <w:szCs w:val="24"/>
                <w:highlight w:val="none"/>
              </w:rPr>
              <w:t>其中：t1、t2、…tn指投标报价。</w:t>
            </w:r>
          </w:p>
          <w:p w14:paraId="30B3562A">
            <w:pPr>
              <w:spacing w:line="320" w:lineRule="exact"/>
              <w:jc w:val="left"/>
              <w:rPr>
                <w:rFonts w:hint="eastAsia" w:cs="宋体" w:asciiTheme="minorEastAsia" w:hAnsiTheme="minorEastAsia" w:eastAsiaTheme="minorEastAsia"/>
                <w:color w:val="000000"/>
                <w:szCs w:val="24"/>
                <w:highlight w:val="none"/>
              </w:rPr>
            </w:pPr>
            <w:r>
              <w:rPr>
                <w:rFonts w:hint="eastAsia" w:ascii="宋体" w:hAnsi="宋体" w:eastAsia="宋体" w:cs="宋体"/>
                <w:b/>
                <w:sz w:val="24"/>
                <w:szCs w:val="24"/>
              </w:rPr>
              <w:t>注:该部分投标报价以投标人填报的设计费投标下浮率作为计算依据。</w:t>
            </w:r>
          </w:p>
        </w:tc>
      </w:tr>
    </w:tbl>
    <w:p w14:paraId="6B626E1E">
      <w:pPr>
        <w:rPr>
          <w:rFonts w:cs="宋体" w:asciiTheme="majorEastAsia" w:hAnsiTheme="majorEastAsia" w:eastAsiaTheme="majorEastAsia"/>
          <w:highlight w:val="none"/>
        </w:rPr>
      </w:pPr>
    </w:p>
    <w:tbl>
      <w:tblPr>
        <w:tblStyle w:val="63"/>
        <w:tblpPr w:leftFromText="180" w:rightFromText="180" w:vertAnchor="text" w:tblpX="13192" w:tblpY="-12499"/>
        <w:tblW w:w="14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6"/>
      </w:tblGrid>
      <w:tr w14:paraId="594AA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 w:hRule="atLeast"/>
        </w:trPr>
        <w:tc>
          <w:tcPr>
            <w:tcW w:w="1486" w:type="dxa"/>
          </w:tcPr>
          <w:p w14:paraId="060672D0">
            <w:pPr>
              <w:rPr>
                <w:rFonts w:cs="宋体" w:asciiTheme="majorEastAsia" w:hAnsiTheme="majorEastAsia" w:eastAsiaTheme="majorEastAsia"/>
                <w:highlight w:val="none"/>
              </w:rPr>
            </w:pPr>
            <w:r>
              <w:rPr>
                <w:rFonts w:cs="宋体" w:asciiTheme="majorEastAsia" w:hAnsiTheme="majorEastAsia" w:eastAsiaTheme="majorEastAsia"/>
                <w:highlight w:val="none"/>
              </w:rPr>
              <w:br w:type="page"/>
            </w:r>
          </w:p>
        </w:tc>
      </w:tr>
    </w:tbl>
    <w:tbl>
      <w:tblPr>
        <w:tblStyle w:val="63"/>
        <w:tblpPr w:leftFromText="180" w:rightFromText="180" w:vertAnchor="text" w:tblpX="13176" w:tblpY="-12423"/>
        <w:tblW w:w="14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1"/>
      </w:tblGrid>
      <w:tr w14:paraId="4AFFB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 w:hRule="atLeast"/>
        </w:trPr>
        <w:tc>
          <w:tcPr>
            <w:tcW w:w="1471" w:type="dxa"/>
          </w:tcPr>
          <w:p w14:paraId="545E14BF">
            <w:pPr>
              <w:rPr>
                <w:rFonts w:cs="宋体" w:asciiTheme="majorEastAsia" w:hAnsiTheme="majorEastAsia" w:eastAsiaTheme="majorEastAsia"/>
                <w:highlight w:val="none"/>
              </w:rPr>
            </w:pPr>
          </w:p>
        </w:tc>
      </w:tr>
    </w:tbl>
    <w:tbl>
      <w:tblPr>
        <w:tblStyle w:val="63"/>
        <w:tblpPr w:leftFromText="180" w:rightFromText="180" w:vertAnchor="text" w:tblpX="13222" w:tblpY="-12484"/>
        <w:tblW w:w="1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tblGrid>
      <w:tr w14:paraId="436B6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1440" w:type="dxa"/>
          </w:tcPr>
          <w:p w14:paraId="7506608F">
            <w:pPr>
              <w:rPr>
                <w:rFonts w:cs="宋体" w:asciiTheme="majorEastAsia" w:hAnsiTheme="majorEastAsia" w:eastAsiaTheme="majorEastAsia"/>
                <w:highlight w:val="none"/>
              </w:rPr>
            </w:pPr>
          </w:p>
        </w:tc>
      </w:tr>
    </w:tbl>
    <w:p w14:paraId="4B115C8C">
      <w:pPr>
        <w:rPr>
          <w:rFonts w:hint="eastAsia" w:asciiTheme="majorEastAsia" w:hAnsiTheme="majorEastAsia" w:eastAsiaTheme="majorEastAsia"/>
          <w:b/>
          <w:highlight w:val="none"/>
        </w:rPr>
      </w:pPr>
      <w:r>
        <w:rPr>
          <w:rFonts w:hint="eastAsia" w:asciiTheme="majorEastAsia" w:hAnsiTheme="majorEastAsia" w:eastAsiaTheme="majorEastAsia"/>
          <w:b/>
          <w:highlight w:val="none"/>
        </w:rPr>
        <w:br w:type="page"/>
      </w:r>
    </w:p>
    <w:p w14:paraId="75AD852F">
      <w:pPr>
        <w:spacing w:line="520" w:lineRule="exact"/>
        <w:rPr>
          <w:rFonts w:asciiTheme="majorEastAsia" w:hAnsiTheme="majorEastAsia" w:eastAsiaTheme="majorEastAsia"/>
          <w:b/>
          <w:highlight w:val="none"/>
        </w:rPr>
      </w:pPr>
      <w:r>
        <w:rPr>
          <w:rFonts w:hint="eastAsia" w:asciiTheme="majorEastAsia" w:hAnsiTheme="majorEastAsia" w:eastAsiaTheme="majorEastAsia"/>
          <w:b/>
          <w:highlight w:val="none"/>
        </w:rPr>
        <w:t>1、评标方法</w:t>
      </w:r>
      <w:bookmarkEnd w:id="188"/>
      <w:bookmarkEnd w:id="189"/>
      <w:bookmarkEnd w:id="190"/>
    </w:p>
    <w:p w14:paraId="545B1C89">
      <w:pPr>
        <w:spacing w:line="520" w:lineRule="exact"/>
        <w:ind w:firstLine="480" w:firstLineChars="200"/>
        <w:rPr>
          <w:rFonts w:cs="宋体" w:asciiTheme="majorEastAsia" w:hAnsiTheme="majorEastAsia" w:eastAsiaTheme="majorEastAsia"/>
          <w:sz w:val="24"/>
          <w:szCs w:val="24"/>
          <w:highlight w:val="none"/>
        </w:rPr>
      </w:pPr>
      <w:r>
        <w:rPr>
          <w:rFonts w:hint="eastAsia" w:cs="宋体" w:asciiTheme="majorEastAsia" w:hAnsiTheme="majorEastAsia" w:eastAsiaTheme="majorEastAsia"/>
          <w:sz w:val="24"/>
          <w:szCs w:val="24"/>
          <w:highlight w:val="none"/>
        </w:rPr>
        <w:t>本次评标采用综合评估法。评标委员会对满足招标文件实质性要求的投标文件，按照本章第2.2款规定的评分标准进行打分，并按得分由高到低顺序推荐1-3名中标候选人，综合评分（最终得分）相等时，以商务部分得分由高到低的顺序进行推荐，商务部分得分也相等的；以技术部分得分由高到低的顺序进行推荐，技术部分得分也相等的；由评标委员会采取不记名投票形式投票确定。</w:t>
      </w:r>
    </w:p>
    <w:p w14:paraId="65806C8C">
      <w:pPr>
        <w:spacing w:line="520" w:lineRule="exact"/>
        <w:rPr>
          <w:rFonts w:asciiTheme="majorEastAsia" w:hAnsiTheme="majorEastAsia" w:eastAsiaTheme="majorEastAsia"/>
          <w:b/>
          <w:highlight w:val="none"/>
        </w:rPr>
      </w:pPr>
      <w:bookmarkStart w:id="193" w:name="_Toc247514025"/>
      <w:bookmarkStart w:id="194" w:name="_Toc482878085"/>
      <w:bookmarkStart w:id="195" w:name="_Toc247527626"/>
      <w:r>
        <w:rPr>
          <w:rFonts w:hint="eastAsia" w:asciiTheme="majorEastAsia" w:hAnsiTheme="majorEastAsia" w:eastAsiaTheme="majorEastAsia"/>
          <w:b/>
          <w:highlight w:val="none"/>
        </w:rPr>
        <w:t>2、评审标准</w:t>
      </w:r>
      <w:bookmarkEnd w:id="193"/>
      <w:bookmarkEnd w:id="194"/>
      <w:bookmarkEnd w:id="195"/>
    </w:p>
    <w:p w14:paraId="7CB09FDA">
      <w:pPr>
        <w:spacing w:line="520" w:lineRule="exact"/>
        <w:rPr>
          <w:rFonts w:asciiTheme="majorEastAsia" w:hAnsiTheme="majorEastAsia" w:eastAsiaTheme="majorEastAsia"/>
          <w:b/>
          <w:highlight w:val="none"/>
        </w:rPr>
      </w:pPr>
      <w:bookmarkStart w:id="196" w:name="_Toc247527627"/>
      <w:bookmarkStart w:id="197" w:name="_Toc482878086"/>
      <w:bookmarkStart w:id="198" w:name="_Toc247514026"/>
      <w:r>
        <w:rPr>
          <w:rFonts w:hint="eastAsia" w:asciiTheme="majorEastAsia" w:hAnsiTheme="majorEastAsia" w:eastAsiaTheme="majorEastAsia"/>
          <w:b/>
          <w:highlight w:val="none"/>
        </w:rPr>
        <w:t>2.1初步评审标准</w:t>
      </w:r>
      <w:bookmarkEnd w:id="196"/>
      <w:bookmarkEnd w:id="197"/>
      <w:bookmarkEnd w:id="198"/>
    </w:p>
    <w:p w14:paraId="5CB7FFB0">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2.1.1 形式评审标准：见评标办法前附表。</w:t>
      </w:r>
    </w:p>
    <w:p w14:paraId="2D269D6D">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2.1.2资格性评审标准：见评标办法前附表。</w:t>
      </w:r>
    </w:p>
    <w:p w14:paraId="238C25D4">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2.1.3 响应性评审标准：见评标办法前附表。</w:t>
      </w:r>
    </w:p>
    <w:p w14:paraId="4CEA5B3E">
      <w:pPr>
        <w:spacing w:line="520" w:lineRule="exact"/>
        <w:rPr>
          <w:rFonts w:asciiTheme="majorEastAsia" w:hAnsiTheme="majorEastAsia" w:eastAsiaTheme="majorEastAsia"/>
          <w:b/>
          <w:highlight w:val="none"/>
        </w:rPr>
      </w:pPr>
      <w:bookmarkStart w:id="199" w:name="_Toc482878087"/>
      <w:bookmarkStart w:id="200" w:name="_Toc247514027"/>
      <w:bookmarkStart w:id="201" w:name="_Toc247527628"/>
      <w:r>
        <w:rPr>
          <w:rFonts w:hint="eastAsia" w:asciiTheme="majorEastAsia" w:hAnsiTheme="majorEastAsia" w:eastAsiaTheme="majorEastAsia"/>
          <w:b/>
          <w:highlight w:val="none"/>
        </w:rPr>
        <w:t>2.2分值构成与评分标准</w:t>
      </w:r>
      <w:bookmarkEnd w:id="199"/>
      <w:bookmarkEnd w:id="200"/>
      <w:bookmarkEnd w:id="201"/>
    </w:p>
    <w:p w14:paraId="399C80D1">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2.2.1 分值构成</w:t>
      </w:r>
    </w:p>
    <w:p w14:paraId="36D8A294">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投标人最终得分分值构成：投标人最终得分计算公式：Z＝S＋J</w:t>
      </w:r>
    </w:p>
    <w:p w14:paraId="4C318F43">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其中：Z为投标人最终得分；</w:t>
      </w:r>
    </w:p>
    <w:p w14:paraId="1D949CA8">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S为投标人的商务部分总得分；</w:t>
      </w:r>
    </w:p>
    <w:p w14:paraId="7558C446">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J为投标人的技术部分总得分。</w:t>
      </w:r>
    </w:p>
    <w:p w14:paraId="285C66F8">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2.2.2评分标准</w:t>
      </w:r>
    </w:p>
    <w:p w14:paraId="7631FC75">
      <w:pPr>
        <w:spacing w:line="520" w:lineRule="exact"/>
        <w:ind w:firstLine="482" w:firstLineChars="200"/>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技术部分评分标准</w:t>
      </w:r>
    </w:p>
    <w:p w14:paraId="0B18A77D">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（1）设计部分评审标准：见评标办法前附表。</w:t>
      </w:r>
    </w:p>
    <w:p w14:paraId="425BDEE7">
      <w:pPr>
        <w:spacing w:line="520" w:lineRule="exact"/>
        <w:ind w:firstLine="480" w:firstLineChars="200"/>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rPr>
        <w:t>（</w:t>
      </w:r>
      <w:r>
        <w:rPr>
          <w:rFonts w:hint="eastAsia" w:cs="宋体" w:asciiTheme="majorEastAsia" w:hAnsiTheme="majorEastAsia" w:eastAsiaTheme="majorEastAsia"/>
          <w:highlight w:val="none"/>
          <w:lang w:val="en-US" w:eastAsia="zh-CN"/>
        </w:rPr>
        <w:t>2</w:t>
      </w:r>
      <w:r>
        <w:rPr>
          <w:rFonts w:hint="eastAsia" w:cs="宋体" w:asciiTheme="majorEastAsia" w:hAnsiTheme="majorEastAsia" w:eastAsiaTheme="majorEastAsia"/>
          <w:highlight w:val="none"/>
        </w:rPr>
        <w:t>）施工部分评审标准：见评标办法前附表。</w:t>
      </w:r>
    </w:p>
    <w:p w14:paraId="64779D59">
      <w:pPr>
        <w:spacing w:line="520" w:lineRule="exact"/>
        <w:ind w:firstLine="480" w:firstLineChars="200"/>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rPr>
        <w:t>（</w:t>
      </w:r>
      <w:r>
        <w:rPr>
          <w:rFonts w:hint="eastAsia" w:cs="宋体" w:asciiTheme="majorEastAsia" w:hAnsiTheme="majorEastAsia" w:eastAsiaTheme="majorEastAsia"/>
          <w:highlight w:val="none"/>
          <w:lang w:val="en-US" w:eastAsia="zh-CN"/>
        </w:rPr>
        <w:t>3</w:t>
      </w:r>
      <w:r>
        <w:rPr>
          <w:rFonts w:hint="eastAsia" w:cs="宋体" w:asciiTheme="majorEastAsia" w:hAnsiTheme="majorEastAsia" w:eastAsiaTheme="majorEastAsia"/>
          <w:highlight w:val="none"/>
        </w:rPr>
        <w:t>）</w:t>
      </w:r>
      <w:r>
        <w:rPr>
          <w:rFonts w:hint="eastAsia" w:cs="宋体" w:asciiTheme="majorEastAsia" w:hAnsiTheme="majorEastAsia" w:eastAsiaTheme="majorEastAsia"/>
          <w:highlight w:val="none"/>
          <w:lang w:val="en-US" w:eastAsia="zh-CN"/>
        </w:rPr>
        <w:t>运营</w:t>
      </w:r>
      <w:r>
        <w:rPr>
          <w:rFonts w:hint="eastAsia" w:cs="宋体" w:asciiTheme="majorEastAsia" w:hAnsiTheme="majorEastAsia" w:eastAsiaTheme="majorEastAsia"/>
          <w:highlight w:val="none"/>
        </w:rPr>
        <w:t>部分评审标准：见评标办法前附表。</w:t>
      </w:r>
    </w:p>
    <w:p w14:paraId="54D4BAB8">
      <w:pPr>
        <w:spacing w:line="520" w:lineRule="exact"/>
        <w:ind w:firstLine="482" w:firstLineChars="200"/>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商务部分评分标准</w:t>
      </w:r>
    </w:p>
    <w:p w14:paraId="3991F233">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商务部分评审标准：见评标办法前附表。</w:t>
      </w:r>
    </w:p>
    <w:p w14:paraId="13CD26C0">
      <w:pPr>
        <w:spacing w:line="520" w:lineRule="exact"/>
        <w:rPr>
          <w:rFonts w:asciiTheme="majorEastAsia" w:hAnsiTheme="majorEastAsia" w:eastAsiaTheme="majorEastAsia"/>
          <w:b/>
          <w:highlight w:val="none"/>
        </w:rPr>
      </w:pPr>
      <w:bookmarkStart w:id="202" w:name="_Toc247527629"/>
      <w:bookmarkStart w:id="203" w:name="_Toc247514028"/>
      <w:bookmarkStart w:id="204" w:name="_Toc482878088"/>
      <w:r>
        <w:rPr>
          <w:rFonts w:hint="eastAsia" w:asciiTheme="majorEastAsia" w:hAnsiTheme="majorEastAsia" w:eastAsiaTheme="majorEastAsia"/>
          <w:b/>
          <w:highlight w:val="none"/>
        </w:rPr>
        <w:t>3、评标程序</w:t>
      </w:r>
      <w:bookmarkEnd w:id="202"/>
      <w:bookmarkEnd w:id="203"/>
      <w:bookmarkEnd w:id="204"/>
    </w:p>
    <w:p w14:paraId="49FCDC0D">
      <w:pPr>
        <w:spacing w:line="520" w:lineRule="exact"/>
        <w:rPr>
          <w:rFonts w:asciiTheme="majorEastAsia" w:hAnsiTheme="majorEastAsia" w:eastAsiaTheme="majorEastAsia"/>
          <w:b/>
          <w:highlight w:val="none"/>
        </w:rPr>
      </w:pPr>
      <w:bookmarkStart w:id="205" w:name="_Toc482878089"/>
      <w:bookmarkStart w:id="206" w:name="_Toc247514029"/>
      <w:bookmarkStart w:id="207" w:name="_Toc247527630"/>
      <w:r>
        <w:rPr>
          <w:rFonts w:hint="eastAsia" w:asciiTheme="majorEastAsia" w:hAnsiTheme="majorEastAsia" w:eastAsiaTheme="majorEastAsia"/>
          <w:b/>
          <w:highlight w:val="none"/>
        </w:rPr>
        <w:t>3.1初步评审</w:t>
      </w:r>
      <w:bookmarkEnd w:id="205"/>
      <w:bookmarkEnd w:id="206"/>
      <w:bookmarkEnd w:id="207"/>
    </w:p>
    <w:p w14:paraId="23159CB9">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3.1.1评标委员会依据本章第2.1款规定的标准对投标文件进行初步评审。有一项不符合评审标准的，评标委员会应当否决其投标。</w:t>
      </w:r>
    </w:p>
    <w:p w14:paraId="19E050B3">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3.1.2 投标人有以下情形之一的，评标委员会应当否决其投标：</w:t>
      </w:r>
    </w:p>
    <w:p w14:paraId="56FA54E2">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（1）有第二章“投标人须知”第1.4.3项规定的任何一种情形的；</w:t>
      </w:r>
    </w:p>
    <w:p w14:paraId="1D41CE58">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（2）无单位电子签章、无法定代表人或其授权代理人电子签章的；</w:t>
      </w:r>
    </w:p>
    <w:p w14:paraId="443C8A3C">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（3）在形式评审、资格评审、响应性评审，评标委员会认定的投标人的投标不符合评标办法前附表规定的任何一项评审标准的；</w:t>
      </w:r>
    </w:p>
    <w:p w14:paraId="2AB31DB4">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（4）未按规定的格式填写，内容不全或关键字迹模糊、无法辨认的；</w:t>
      </w:r>
    </w:p>
    <w:p w14:paraId="27370F05">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（5）投标人递交两份或多份内容不同的投标文件，或在一份投标文件中有两个或多个报价，且未声明哪一个有效的；</w:t>
      </w:r>
    </w:p>
    <w:p w14:paraId="429CE2AD">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w:t>
      </w:r>
      <w:r>
        <w:rPr>
          <w:rFonts w:hint="eastAsia" w:cs="宋体" w:asciiTheme="majorEastAsia" w:hAnsiTheme="majorEastAsia" w:eastAsiaTheme="majorEastAsia"/>
          <w:highlight w:val="none"/>
          <w:lang w:val="en-US" w:eastAsia="zh-CN"/>
        </w:rPr>
        <w:t>6</w:t>
      </w:r>
      <w:r>
        <w:rPr>
          <w:rFonts w:hint="eastAsia" w:cs="宋体" w:asciiTheme="majorEastAsia" w:hAnsiTheme="majorEastAsia" w:eastAsiaTheme="majorEastAsia"/>
          <w:highlight w:val="none"/>
        </w:rPr>
        <w:t>）明显不符合技术规格、技术标准的要求的；</w:t>
      </w:r>
    </w:p>
    <w:p w14:paraId="6CF436FB">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w:t>
      </w:r>
      <w:r>
        <w:rPr>
          <w:rFonts w:hint="eastAsia" w:cs="宋体" w:asciiTheme="majorEastAsia" w:hAnsiTheme="majorEastAsia" w:eastAsiaTheme="majorEastAsia"/>
          <w:highlight w:val="none"/>
          <w:lang w:val="en-US" w:eastAsia="zh-CN"/>
        </w:rPr>
        <w:t>7</w:t>
      </w:r>
      <w:r>
        <w:rPr>
          <w:rFonts w:hint="eastAsia" w:cs="宋体" w:asciiTheme="majorEastAsia" w:hAnsiTheme="majorEastAsia" w:eastAsiaTheme="majorEastAsia"/>
          <w:highlight w:val="none"/>
        </w:rPr>
        <w:t>）在投标过程中有商业贿赂行为的；</w:t>
      </w:r>
    </w:p>
    <w:p w14:paraId="3CCC373B">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w:t>
      </w:r>
      <w:r>
        <w:rPr>
          <w:rFonts w:hint="eastAsia" w:cs="宋体" w:asciiTheme="majorEastAsia" w:hAnsiTheme="majorEastAsia" w:eastAsiaTheme="majorEastAsia"/>
          <w:highlight w:val="none"/>
          <w:lang w:val="en-US" w:eastAsia="zh-CN"/>
        </w:rPr>
        <w:t>8</w:t>
      </w:r>
      <w:r>
        <w:rPr>
          <w:rFonts w:hint="eastAsia" w:cs="宋体" w:asciiTheme="majorEastAsia" w:hAnsiTheme="majorEastAsia" w:eastAsiaTheme="majorEastAsia"/>
          <w:highlight w:val="none"/>
        </w:rPr>
        <w:t>）与其他投标人串通投标，或者与招标人串通投标的；</w:t>
      </w:r>
    </w:p>
    <w:p w14:paraId="122CA64C">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w:t>
      </w:r>
      <w:r>
        <w:rPr>
          <w:rFonts w:hint="eastAsia" w:cs="宋体" w:asciiTheme="majorEastAsia" w:hAnsiTheme="majorEastAsia" w:eastAsiaTheme="majorEastAsia"/>
          <w:highlight w:val="none"/>
          <w:lang w:val="en-US" w:eastAsia="zh-CN"/>
        </w:rPr>
        <w:t>9</w:t>
      </w:r>
      <w:r>
        <w:rPr>
          <w:rFonts w:hint="eastAsia" w:cs="宋体" w:asciiTheme="majorEastAsia" w:hAnsiTheme="majorEastAsia" w:eastAsiaTheme="majorEastAsia"/>
          <w:highlight w:val="none"/>
        </w:rPr>
        <w:t>）以他人名义投标，或者以其他方式弄虚作假的；</w:t>
      </w:r>
    </w:p>
    <w:p w14:paraId="34B5BC94">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w:t>
      </w:r>
      <w:r>
        <w:rPr>
          <w:rFonts w:hint="eastAsia" w:cs="宋体" w:asciiTheme="majorEastAsia" w:hAnsiTheme="majorEastAsia" w:eastAsiaTheme="majorEastAsia"/>
          <w:highlight w:val="none"/>
          <w:lang w:val="en-US" w:eastAsia="zh-CN"/>
        </w:rPr>
        <w:t>0</w:t>
      </w:r>
      <w:r>
        <w:rPr>
          <w:rFonts w:hint="eastAsia" w:cs="宋体" w:asciiTheme="majorEastAsia" w:hAnsiTheme="majorEastAsia" w:eastAsiaTheme="majorEastAsia"/>
          <w:highlight w:val="none"/>
        </w:rPr>
        <w:t>）投标文件中承诺的投标有效期短于招标文件规定的；</w:t>
      </w:r>
    </w:p>
    <w:p w14:paraId="05066B3D">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w:t>
      </w:r>
      <w:r>
        <w:rPr>
          <w:rFonts w:hint="eastAsia" w:cs="宋体" w:asciiTheme="majorEastAsia" w:hAnsiTheme="majorEastAsia" w:eastAsiaTheme="majorEastAsia"/>
          <w:highlight w:val="none"/>
          <w:lang w:val="en-US" w:eastAsia="zh-CN"/>
        </w:rPr>
        <w:t>1</w:t>
      </w:r>
      <w:r>
        <w:rPr>
          <w:rFonts w:hint="eastAsia" w:cs="宋体" w:asciiTheme="majorEastAsia" w:hAnsiTheme="majorEastAsia" w:eastAsiaTheme="majorEastAsia"/>
          <w:highlight w:val="none"/>
        </w:rPr>
        <w:t>）各分项总价、下浮率高于招标人设定的上限值的；</w:t>
      </w:r>
    </w:p>
    <w:p w14:paraId="387645CA">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w:t>
      </w:r>
      <w:r>
        <w:rPr>
          <w:rFonts w:hint="eastAsia" w:cs="宋体" w:asciiTheme="majorEastAsia" w:hAnsiTheme="majorEastAsia" w:eastAsiaTheme="majorEastAsia"/>
          <w:highlight w:val="none"/>
          <w:lang w:val="en-US" w:eastAsia="zh-CN"/>
        </w:rPr>
        <w:t>2</w:t>
      </w:r>
      <w:r>
        <w:rPr>
          <w:rFonts w:hint="eastAsia" w:cs="宋体" w:asciiTheme="majorEastAsia" w:hAnsiTheme="majorEastAsia" w:eastAsiaTheme="majorEastAsia"/>
          <w:highlight w:val="none"/>
        </w:rPr>
        <w:t>）主要注册人员受聘单位与投标单位不符的；</w:t>
      </w:r>
    </w:p>
    <w:p w14:paraId="4D3C9ED9">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w:t>
      </w:r>
      <w:r>
        <w:rPr>
          <w:rFonts w:hint="eastAsia" w:cs="宋体" w:asciiTheme="majorEastAsia" w:hAnsiTheme="majorEastAsia" w:eastAsiaTheme="majorEastAsia"/>
          <w:highlight w:val="none"/>
          <w:lang w:val="en-US" w:eastAsia="zh-CN"/>
        </w:rPr>
        <w:t>3</w:t>
      </w:r>
      <w:r>
        <w:rPr>
          <w:rFonts w:hint="eastAsia" w:cs="宋体" w:asciiTheme="majorEastAsia" w:hAnsiTheme="majorEastAsia" w:eastAsiaTheme="majorEastAsia"/>
          <w:highlight w:val="none"/>
        </w:rPr>
        <w:t>）投标文件载明的招标项目完成期限超过招标文件规定的期限；</w:t>
      </w:r>
    </w:p>
    <w:p w14:paraId="6D9A6C22">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w:t>
      </w:r>
      <w:r>
        <w:rPr>
          <w:rFonts w:hint="eastAsia" w:cs="宋体" w:asciiTheme="majorEastAsia" w:hAnsiTheme="majorEastAsia" w:eastAsiaTheme="majorEastAsia"/>
          <w:highlight w:val="none"/>
          <w:lang w:val="en-US" w:eastAsia="zh-CN"/>
        </w:rPr>
        <w:t>4</w:t>
      </w:r>
      <w:r>
        <w:rPr>
          <w:rFonts w:hint="eastAsia" w:cs="宋体" w:asciiTheme="majorEastAsia" w:hAnsiTheme="majorEastAsia" w:eastAsiaTheme="majorEastAsia"/>
          <w:highlight w:val="none"/>
        </w:rPr>
        <w:t>）拒绝修正算术错误的；</w:t>
      </w:r>
    </w:p>
    <w:p w14:paraId="6237FC70">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w:t>
      </w:r>
      <w:r>
        <w:rPr>
          <w:rFonts w:hint="eastAsia" w:cs="宋体" w:asciiTheme="majorEastAsia" w:hAnsiTheme="majorEastAsia" w:eastAsiaTheme="majorEastAsia"/>
          <w:highlight w:val="none"/>
          <w:lang w:val="en-US" w:eastAsia="zh-CN"/>
        </w:rPr>
        <w:t>5</w:t>
      </w:r>
      <w:r>
        <w:rPr>
          <w:rFonts w:hint="eastAsia" w:cs="宋体" w:asciiTheme="majorEastAsia" w:hAnsiTheme="majorEastAsia" w:eastAsiaTheme="majorEastAsia"/>
          <w:highlight w:val="none"/>
        </w:rPr>
        <w:t>）投标文件附有招标人不能接受的条件的；</w:t>
      </w:r>
    </w:p>
    <w:p w14:paraId="788DC432">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w:t>
      </w:r>
      <w:r>
        <w:rPr>
          <w:rFonts w:hint="eastAsia" w:cs="宋体" w:asciiTheme="majorEastAsia" w:hAnsiTheme="majorEastAsia" w:eastAsiaTheme="majorEastAsia"/>
          <w:highlight w:val="none"/>
          <w:lang w:val="en-US" w:eastAsia="zh-CN"/>
        </w:rPr>
        <w:t>6</w:t>
      </w:r>
      <w:r>
        <w:rPr>
          <w:rFonts w:hint="eastAsia" w:cs="宋体" w:asciiTheme="majorEastAsia" w:hAnsiTheme="majorEastAsia" w:eastAsiaTheme="majorEastAsia"/>
          <w:highlight w:val="none"/>
        </w:rPr>
        <w:t>）不符合招标文件中规定的其他实质性要求的。</w:t>
      </w:r>
    </w:p>
    <w:p w14:paraId="77CFCA74">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3.1.3 投标报价有算术错误的，评标委员会按以下原则对投标报价进行修正，修正的价格经投标人书面确认后具有约束力。投标人不接受修正价格的，评标委员会应当否决其投标。</w:t>
      </w:r>
    </w:p>
    <w:p w14:paraId="1CA4AF86">
      <w:pPr>
        <w:spacing w:line="520" w:lineRule="exact"/>
        <w:ind w:firstLine="480" w:firstLineChars="200"/>
        <w:rPr>
          <w:rFonts w:cs="宋体" w:asciiTheme="majorEastAsia" w:hAnsiTheme="majorEastAsia" w:eastAsiaTheme="majorEastAsia"/>
          <w:highlight w:val="none"/>
        </w:rPr>
      </w:pPr>
      <w:bookmarkStart w:id="208" w:name="_Toc152042383"/>
      <w:r>
        <w:rPr>
          <w:rFonts w:hint="eastAsia" w:cs="宋体" w:asciiTheme="majorEastAsia" w:hAnsiTheme="majorEastAsia" w:eastAsiaTheme="majorEastAsia"/>
          <w:highlight w:val="none"/>
        </w:rPr>
        <w:t>（1）投标文件中的大写金额与小写金额不一致的，以大写金额为准</w:t>
      </w:r>
      <w:bookmarkEnd w:id="208"/>
      <w:r>
        <w:rPr>
          <w:rFonts w:hint="eastAsia" w:cs="宋体" w:asciiTheme="majorEastAsia" w:hAnsiTheme="majorEastAsia" w:eastAsiaTheme="majorEastAsia"/>
          <w:highlight w:val="none"/>
        </w:rPr>
        <w:t>；</w:t>
      </w:r>
    </w:p>
    <w:p w14:paraId="712E80E8">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（2）总价金额与依据单价计算出的结果不一致的，以单价金额为准修正总价，但单价金额小数点有明显错误的除外。</w:t>
      </w:r>
    </w:p>
    <w:p w14:paraId="79EF10C1">
      <w:pPr>
        <w:spacing w:line="520" w:lineRule="exact"/>
        <w:rPr>
          <w:rFonts w:asciiTheme="majorEastAsia" w:hAnsiTheme="majorEastAsia" w:eastAsiaTheme="majorEastAsia"/>
          <w:b/>
          <w:highlight w:val="none"/>
        </w:rPr>
      </w:pPr>
      <w:bookmarkStart w:id="209" w:name="_Toc247527631"/>
      <w:bookmarkStart w:id="210" w:name="_Toc247514030"/>
      <w:bookmarkStart w:id="211" w:name="_Toc482878090"/>
      <w:r>
        <w:rPr>
          <w:rFonts w:hint="eastAsia" w:asciiTheme="majorEastAsia" w:hAnsiTheme="majorEastAsia" w:eastAsiaTheme="majorEastAsia"/>
          <w:b/>
          <w:highlight w:val="none"/>
        </w:rPr>
        <w:t>3.2详细评审</w:t>
      </w:r>
      <w:bookmarkEnd w:id="209"/>
      <w:bookmarkEnd w:id="210"/>
      <w:bookmarkEnd w:id="211"/>
    </w:p>
    <w:p w14:paraId="12028E2C">
      <w:pPr>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3.2.1 评标委员会按本章第2.2款规定的量化因素和分值进行打分，并计算出综合评估得分。</w:t>
      </w:r>
    </w:p>
    <w:p w14:paraId="3ADE35F0">
      <w:pPr>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投标人最终得分分值构成：投标人最终得分计算公式：Z＝S＋J</w:t>
      </w:r>
    </w:p>
    <w:p w14:paraId="313EA2F2">
      <w:pPr>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其中：Z为投标人最终得分；</w:t>
      </w:r>
    </w:p>
    <w:p w14:paraId="53C57F82">
      <w:pPr>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S为投标人的商务部分总得分；</w:t>
      </w:r>
    </w:p>
    <w:p w14:paraId="1887F682">
      <w:pPr>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J为投标人的技术部分总得分。</w:t>
      </w:r>
    </w:p>
    <w:p w14:paraId="07B59F83">
      <w:pPr>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3.2.2 评分分值计算结果保留2位小数，第三位小数四舍五入。</w:t>
      </w:r>
    </w:p>
    <w:p w14:paraId="41E1F233">
      <w:pPr>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3.2.3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14:paraId="00F44F15">
      <w:pPr>
        <w:spacing w:line="520" w:lineRule="exact"/>
        <w:rPr>
          <w:rFonts w:asciiTheme="majorEastAsia" w:hAnsiTheme="majorEastAsia" w:eastAsiaTheme="majorEastAsia"/>
          <w:b/>
          <w:highlight w:val="none"/>
        </w:rPr>
      </w:pPr>
      <w:bookmarkStart w:id="212" w:name="_Toc482878091"/>
      <w:bookmarkStart w:id="213" w:name="_Toc247514031"/>
      <w:bookmarkStart w:id="214" w:name="_Toc247527632"/>
      <w:r>
        <w:rPr>
          <w:rFonts w:hint="eastAsia" w:asciiTheme="majorEastAsia" w:hAnsiTheme="majorEastAsia" w:eastAsiaTheme="majorEastAsia"/>
          <w:b/>
          <w:highlight w:val="none"/>
        </w:rPr>
        <w:t>3.3投标文件的澄清和补正</w:t>
      </w:r>
      <w:bookmarkEnd w:id="212"/>
      <w:bookmarkEnd w:id="213"/>
      <w:bookmarkEnd w:id="214"/>
    </w:p>
    <w:p w14:paraId="6B875D81">
      <w:pPr>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3.3.1 在评标过程中，评标委员会可以书面形式要求投标人对所提交投标文件中不明确的内容进行书面澄清或说明，或者对细微偏差进行补正。评标委员会不接受投标人主动提出的澄清、说明或补正。</w:t>
      </w:r>
    </w:p>
    <w:p w14:paraId="4149E151">
      <w:pPr>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3.3.2 澄清、说明和补正不得改变投标文件的实质性内容。投标人的书面澄清、说明和补正属于投标文件的组成部分。</w:t>
      </w:r>
    </w:p>
    <w:p w14:paraId="380660F3">
      <w:pPr>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3.3.3 评标委员会对投标人提交的澄清、说明或补正有疑问的，可以要求投标人进一步澄清、说明或补正，直至满足评标委员会的要求。</w:t>
      </w:r>
    </w:p>
    <w:p w14:paraId="48827B03">
      <w:pPr>
        <w:spacing w:line="520" w:lineRule="exact"/>
        <w:rPr>
          <w:rFonts w:asciiTheme="majorEastAsia" w:hAnsiTheme="majorEastAsia" w:eastAsiaTheme="majorEastAsia"/>
          <w:b/>
          <w:highlight w:val="none"/>
        </w:rPr>
      </w:pPr>
      <w:bookmarkStart w:id="215" w:name="_Toc247514032"/>
      <w:bookmarkStart w:id="216" w:name="_Toc482878092"/>
      <w:bookmarkStart w:id="217" w:name="_Toc247527633"/>
      <w:r>
        <w:rPr>
          <w:rFonts w:hint="eastAsia" w:asciiTheme="majorEastAsia" w:hAnsiTheme="majorEastAsia" w:eastAsiaTheme="majorEastAsia"/>
          <w:b/>
          <w:highlight w:val="none"/>
        </w:rPr>
        <w:t>3.4评标结果</w:t>
      </w:r>
      <w:bookmarkEnd w:id="215"/>
      <w:bookmarkEnd w:id="216"/>
      <w:bookmarkEnd w:id="217"/>
    </w:p>
    <w:p w14:paraId="2E985F10">
      <w:pPr>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3.4.1 除第二章“投标人须知”前附表授权直接确定中标人外，评标委员会按照得分由高到低的顺序推荐中标候选人。</w:t>
      </w:r>
    </w:p>
    <w:p w14:paraId="3DFBCC66">
      <w:pPr>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3.4.2 评标委员会完成评标后，应当向招标人提交书面评标报告。</w:t>
      </w:r>
    </w:p>
    <w:p w14:paraId="424A0C55">
      <w:pPr>
        <w:spacing w:line="520" w:lineRule="exact"/>
        <w:ind w:firstLine="482" w:firstLineChars="200"/>
        <w:rPr>
          <w:rFonts w:hint="eastAsia" w:ascii="宋体" w:hAnsi="宋体" w:cs="宋体"/>
          <w:b/>
          <w:highlight w:val="none"/>
        </w:rPr>
      </w:pPr>
    </w:p>
    <w:p w14:paraId="2058BB8B">
      <w:pPr>
        <w:spacing w:line="520" w:lineRule="exact"/>
        <w:ind w:firstLine="482" w:firstLineChars="200"/>
        <w:rPr>
          <w:rFonts w:ascii="宋体" w:hAnsi="宋体" w:cs="宋体"/>
          <w:b/>
          <w:highlight w:val="none"/>
        </w:rPr>
      </w:pPr>
      <w:r>
        <w:rPr>
          <w:rFonts w:hint="eastAsia" w:ascii="宋体" w:hAnsi="宋体" w:cs="宋体"/>
          <w:b/>
          <w:highlight w:val="none"/>
        </w:rPr>
        <w:t>注：</w:t>
      </w:r>
    </w:p>
    <w:p w14:paraId="58F79EC9">
      <w:pPr>
        <w:spacing w:line="520" w:lineRule="exact"/>
        <w:ind w:firstLine="482" w:firstLineChars="200"/>
        <w:rPr>
          <w:rFonts w:ascii="宋体" w:hAnsi="宋体" w:cs="宋体"/>
          <w:b/>
          <w:highlight w:val="none"/>
        </w:rPr>
      </w:pPr>
      <w:r>
        <w:rPr>
          <w:rFonts w:hint="eastAsia" w:ascii="宋体" w:hAnsi="宋体" w:cs="宋体"/>
          <w:b/>
          <w:highlight w:val="none"/>
        </w:rPr>
        <w:t>1、如按照本办法确定为实质上响应招标文件要求的投标文件份数少于三份时，如评委会认为投标仍然具有竞争性，评标委员会可以采取综合评议推荐法推荐中标候选人。</w:t>
      </w:r>
    </w:p>
    <w:p w14:paraId="1A1B8F02">
      <w:pPr>
        <w:spacing w:line="520" w:lineRule="exact"/>
        <w:ind w:firstLine="482" w:firstLineChars="200"/>
        <w:rPr>
          <w:rFonts w:ascii="宋体" w:hAnsi="宋体" w:cs="宋体"/>
          <w:b/>
          <w:highlight w:val="none"/>
        </w:rPr>
      </w:pPr>
      <w:r>
        <w:rPr>
          <w:rFonts w:hint="eastAsia" w:ascii="宋体" w:hAnsi="宋体" w:cs="宋体"/>
          <w:b/>
          <w:highlight w:val="none"/>
        </w:rPr>
        <w:t>2、在评标过程中如遇特殊情况，由评委会根据有关法律、法规集体研究决定。</w:t>
      </w:r>
    </w:p>
    <w:p w14:paraId="4FE592A4">
      <w:pPr>
        <w:spacing w:line="520" w:lineRule="exact"/>
        <w:rPr>
          <w:rFonts w:asciiTheme="majorEastAsia" w:hAnsiTheme="majorEastAsia" w:eastAsiaTheme="majorEastAsia"/>
          <w:b/>
          <w:highlight w:val="none"/>
        </w:rPr>
      </w:pPr>
      <w:r>
        <w:rPr>
          <w:rFonts w:hint="eastAsia" w:asciiTheme="majorEastAsia" w:hAnsiTheme="majorEastAsia" w:eastAsiaTheme="majorEastAsia"/>
          <w:b/>
          <w:highlight w:val="none"/>
        </w:rPr>
        <w:t>4、评分要求和统计分数原则</w:t>
      </w:r>
    </w:p>
    <w:p w14:paraId="5BCE040B">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4.1评标委员会评委应首先对各投标人投标书进行评审，并按招标文件规定分值评分，各分档评分中间不得用插入法评分。</w:t>
      </w:r>
    </w:p>
    <w:p w14:paraId="20D9DECE">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4.2技术部分评分中，各评委应自主评分并签字确认。各评委的评分应在评标委员会内进行公示，某个评委对某投标文件评分分值低于（高于）所有评委对该投标文件评分分值去掉一个最高和一个最低分值的平均分值10分以上（含10分）的，该评委须向评标委员会作出明确解释，理由不充分的该评委应对其评分作修正，若拒不修正的，该评委对此投标文件的评分不得参与计算此投标文件的技术部分得分。</w:t>
      </w:r>
    </w:p>
    <w:p w14:paraId="5A324195">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4.3技术部分统计分数原则：</w:t>
      </w:r>
      <w:r>
        <w:rPr>
          <w:rFonts w:hint="eastAsia" w:ascii="宋体" w:hAnsi="宋体"/>
          <w:sz w:val="24"/>
          <w:highlight w:val="none"/>
        </w:rPr>
        <w:t>计算所有评委有效评分的算术平均值为投标人的该项评分因素的得分(保留小数点后两位)。</w:t>
      </w:r>
    </w:p>
    <w:bookmarkEnd w:id="191"/>
    <w:bookmarkEnd w:id="192"/>
    <w:p w14:paraId="1F315903">
      <w:pPr>
        <w:spacing w:line="520" w:lineRule="exact"/>
        <w:rPr>
          <w:rFonts w:cs="宋体" w:asciiTheme="majorEastAsia" w:hAnsiTheme="majorEastAsia" w:eastAsiaTheme="majorEastAsia"/>
          <w:highlight w:val="none"/>
        </w:rPr>
        <w:sectPr>
          <w:pgSz w:w="11906" w:h="16840"/>
          <w:pgMar w:top="1191" w:right="1191" w:bottom="1191" w:left="1191" w:header="720" w:footer="765" w:gutter="0"/>
          <w:cols w:space="0" w:num="1"/>
          <w:docGrid w:linePitch="312" w:charSpace="0"/>
        </w:sectPr>
      </w:pPr>
    </w:p>
    <w:bookmarkEnd w:id="187"/>
    <w:p w14:paraId="2436C156">
      <w:pPr>
        <w:rPr>
          <w:rFonts w:cs="宋体" w:asciiTheme="majorEastAsia" w:hAnsiTheme="majorEastAsia" w:eastAsiaTheme="majorEastAsia"/>
          <w:highlight w:val="none"/>
        </w:rPr>
      </w:pPr>
      <w:bookmarkStart w:id="218" w:name="_第二章_主要合同条款"/>
      <w:bookmarkEnd w:id="218"/>
      <w:bookmarkStart w:id="219" w:name="_Toc145001531"/>
      <w:bookmarkStart w:id="220" w:name="_Toc145014825"/>
    </w:p>
    <w:p w14:paraId="1D2324E2">
      <w:pPr>
        <w:rPr>
          <w:rFonts w:cs="宋体" w:asciiTheme="majorEastAsia" w:hAnsiTheme="majorEastAsia" w:eastAsiaTheme="majorEastAsia"/>
          <w:highlight w:val="none"/>
        </w:rPr>
      </w:pPr>
    </w:p>
    <w:p w14:paraId="2A2EC7BE">
      <w:pPr>
        <w:rPr>
          <w:rFonts w:cs="宋体" w:asciiTheme="majorEastAsia" w:hAnsiTheme="majorEastAsia" w:eastAsiaTheme="majorEastAsia"/>
          <w:highlight w:val="none"/>
        </w:rPr>
      </w:pPr>
    </w:p>
    <w:p w14:paraId="7C2D925E">
      <w:pPr>
        <w:rPr>
          <w:rFonts w:cs="宋体" w:asciiTheme="majorEastAsia" w:hAnsiTheme="majorEastAsia" w:eastAsiaTheme="majorEastAsia"/>
          <w:highlight w:val="none"/>
        </w:rPr>
      </w:pPr>
    </w:p>
    <w:p w14:paraId="6321CAC5">
      <w:pPr>
        <w:rPr>
          <w:rFonts w:cs="宋体" w:asciiTheme="majorEastAsia" w:hAnsiTheme="majorEastAsia" w:eastAsiaTheme="majorEastAsia"/>
          <w:highlight w:val="none"/>
        </w:rPr>
      </w:pPr>
    </w:p>
    <w:p w14:paraId="1D56D8F1">
      <w:pPr>
        <w:rPr>
          <w:rFonts w:cs="宋体" w:asciiTheme="majorEastAsia" w:hAnsiTheme="majorEastAsia" w:eastAsiaTheme="majorEastAsia"/>
          <w:highlight w:val="none"/>
        </w:rPr>
      </w:pPr>
    </w:p>
    <w:p w14:paraId="6C94EB93">
      <w:pPr>
        <w:rPr>
          <w:rFonts w:cs="宋体" w:asciiTheme="majorEastAsia" w:hAnsiTheme="majorEastAsia" w:eastAsiaTheme="majorEastAsia"/>
          <w:highlight w:val="none"/>
        </w:rPr>
      </w:pPr>
    </w:p>
    <w:p w14:paraId="4C9AB848">
      <w:pPr>
        <w:rPr>
          <w:rFonts w:cs="宋体" w:asciiTheme="majorEastAsia" w:hAnsiTheme="majorEastAsia" w:eastAsiaTheme="majorEastAsia"/>
          <w:highlight w:val="none"/>
        </w:rPr>
      </w:pPr>
    </w:p>
    <w:p w14:paraId="2429CC1A">
      <w:pPr>
        <w:rPr>
          <w:rFonts w:cs="宋体" w:asciiTheme="majorEastAsia" w:hAnsiTheme="majorEastAsia" w:eastAsiaTheme="majorEastAsia"/>
          <w:highlight w:val="none"/>
        </w:rPr>
      </w:pPr>
    </w:p>
    <w:p w14:paraId="7D26DBC9">
      <w:pPr>
        <w:rPr>
          <w:rFonts w:cs="宋体" w:asciiTheme="majorEastAsia" w:hAnsiTheme="majorEastAsia" w:eastAsiaTheme="majorEastAsia"/>
          <w:highlight w:val="none"/>
        </w:rPr>
      </w:pPr>
    </w:p>
    <w:p w14:paraId="2397DCEF">
      <w:pPr>
        <w:rPr>
          <w:rFonts w:cs="宋体" w:asciiTheme="majorEastAsia" w:hAnsiTheme="majorEastAsia" w:eastAsiaTheme="majorEastAsia"/>
          <w:highlight w:val="none"/>
        </w:rPr>
      </w:pPr>
    </w:p>
    <w:p w14:paraId="769489EB">
      <w:pPr>
        <w:rPr>
          <w:rFonts w:cs="宋体" w:asciiTheme="majorEastAsia" w:hAnsiTheme="majorEastAsia" w:eastAsiaTheme="majorEastAsia"/>
          <w:highlight w:val="none"/>
        </w:rPr>
      </w:pPr>
    </w:p>
    <w:p w14:paraId="491DE663">
      <w:pPr>
        <w:rPr>
          <w:rFonts w:cs="宋体" w:asciiTheme="majorEastAsia" w:hAnsiTheme="majorEastAsia" w:eastAsiaTheme="majorEastAsia"/>
          <w:highlight w:val="none"/>
        </w:rPr>
      </w:pPr>
    </w:p>
    <w:p w14:paraId="3427CE2A">
      <w:pPr>
        <w:rPr>
          <w:rFonts w:cs="宋体" w:asciiTheme="majorEastAsia" w:hAnsiTheme="majorEastAsia" w:eastAsiaTheme="majorEastAsia"/>
          <w:highlight w:val="none"/>
        </w:rPr>
      </w:pPr>
    </w:p>
    <w:p w14:paraId="5F7F06AC">
      <w:pPr>
        <w:rPr>
          <w:rFonts w:cs="宋体" w:asciiTheme="majorEastAsia" w:hAnsiTheme="majorEastAsia" w:eastAsiaTheme="majorEastAsia"/>
          <w:highlight w:val="none"/>
        </w:rPr>
      </w:pPr>
    </w:p>
    <w:p w14:paraId="52130EC1">
      <w:pPr>
        <w:rPr>
          <w:rFonts w:cs="宋体" w:asciiTheme="majorEastAsia" w:hAnsiTheme="majorEastAsia" w:eastAsiaTheme="majorEastAsia"/>
          <w:highlight w:val="none"/>
        </w:rPr>
      </w:pPr>
    </w:p>
    <w:p w14:paraId="234017A3">
      <w:pPr>
        <w:rPr>
          <w:rFonts w:cs="宋体" w:asciiTheme="majorEastAsia" w:hAnsiTheme="majorEastAsia" w:eastAsiaTheme="majorEastAsia"/>
          <w:highlight w:val="none"/>
        </w:rPr>
      </w:pPr>
    </w:p>
    <w:p w14:paraId="162BBE44">
      <w:pPr>
        <w:rPr>
          <w:rFonts w:cs="宋体" w:asciiTheme="majorEastAsia" w:hAnsiTheme="majorEastAsia" w:eastAsiaTheme="majorEastAsia"/>
          <w:highlight w:val="none"/>
        </w:rPr>
      </w:pPr>
    </w:p>
    <w:p w14:paraId="33C9DC3B">
      <w:pPr>
        <w:pStyle w:val="346"/>
        <w:spacing w:before="120" w:after="120" w:line="800" w:lineRule="exact"/>
        <w:rPr>
          <w:rFonts w:cs="宋体" w:asciiTheme="majorEastAsia" w:hAnsiTheme="majorEastAsia" w:eastAsiaTheme="majorEastAsia"/>
          <w:b/>
          <w:sz w:val="52"/>
          <w:szCs w:val="52"/>
          <w:highlight w:val="none"/>
        </w:rPr>
      </w:pPr>
      <w:bookmarkStart w:id="221" w:name="_Toc478646331"/>
      <w:bookmarkStart w:id="222" w:name="_Toc4163"/>
      <w:r>
        <w:rPr>
          <w:rFonts w:hint="eastAsia" w:cs="宋体" w:asciiTheme="majorEastAsia" w:hAnsiTheme="majorEastAsia" w:eastAsiaTheme="majorEastAsia"/>
          <w:b/>
          <w:sz w:val="52"/>
          <w:szCs w:val="52"/>
          <w:highlight w:val="none"/>
        </w:rPr>
        <w:t xml:space="preserve">第四章 </w:t>
      </w:r>
      <w:bookmarkEnd w:id="219"/>
      <w:bookmarkEnd w:id="220"/>
      <w:r>
        <w:rPr>
          <w:rFonts w:hint="eastAsia" w:cs="宋体" w:asciiTheme="majorEastAsia" w:hAnsiTheme="majorEastAsia" w:eastAsiaTheme="majorEastAsia"/>
          <w:b/>
          <w:sz w:val="52"/>
          <w:szCs w:val="52"/>
          <w:highlight w:val="none"/>
        </w:rPr>
        <w:t xml:space="preserve"> 合同条款及格式</w:t>
      </w:r>
      <w:bookmarkEnd w:id="221"/>
      <w:bookmarkEnd w:id="222"/>
      <w:bookmarkStart w:id="223" w:name="_履约担保"/>
      <w:bookmarkEnd w:id="223"/>
      <w:bookmarkStart w:id="224" w:name="_合同条款"/>
      <w:bookmarkEnd w:id="224"/>
      <w:bookmarkStart w:id="225" w:name="_Toc67731688"/>
      <w:bookmarkStart w:id="226" w:name="_Toc71799404"/>
      <w:bookmarkStart w:id="227" w:name="_Toc69189012"/>
      <w:bookmarkStart w:id="228" w:name="_Toc67731582"/>
      <w:bookmarkStart w:id="229" w:name="_Toc67731380"/>
      <w:bookmarkStart w:id="230" w:name="_Toc68491768"/>
      <w:bookmarkStart w:id="231" w:name="_Toc67734300"/>
      <w:bookmarkStart w:id="232" w:name="_Toc71857080"/>
      <w:bookmarkStart w:id="233" w:name="_Toc67730502"/>
      <w:bookmarkStart w:id="234" w:name="_Toc68491950"/>
      <w:bookmarkStart w:id="235" w:name="_Toc39482935"/>
      <w:bookmarkStart w:id="236" w:name="_Toc68669246"/>
      <w:bookmarkStart w:id="237" w:name="_Toc71798763"/>
      <w:bookmarkStart w:id="238" w:name="_Toc69188787"/>
      <w:bookmarkStart w:id="239" w:name="_Toc67728463"/>
      <w:bookmarkStart w:id="240" w:name="_Toc71799097"/>
      <w:bookmarkStart w:id="241" w:name="_Toc67730903"/>
      <w:bookmarkStart w:id="242" w:name="_Toc71777851"/>
      <w:bookmarkStart w:id="243" w:name="_Toc69115859"/>
      <w:bookmarkStart w:id="244" w:name="_Toc67731263"/>
    </w:p>
    <w:p w14:paraId="71ABBDE6">
      <w:pPr>
        <w:rPr>
          <w:rFonts w:cs="宋体" w:asciiTheme="majorEastAsia" w:hAnsiTheme="majorEastAsia" w:eastAsiaTheme="majorEastAsia"/>
          <w:b/>
          <w:kern w:val="2"/>
          <w:sz w:val="52"/>
          <w:szCs w:val="52"/>
          <w:highlight w:val="none"/>
        </w:rPr>
      </w:pPr>
      <w:r>
        <w:rPr>
          <w:rFonts w:cs="宋体" w:asciiTheme="majorEastAsia" w:hAnsiTheme="majorEastAsia" w:eastAsiaTheme="majorEastAsia"/>
          <w:b/>
          <w:sz w:val="52"/>
          <w:szCs w:val="52"/>
          <w:highlight w:val="none"/>
        </w:rPr>
        <w:br w:type="page"/>
      </w:r>
    </w:p>
    <w:p w14:paraId="0C220357">
      <w:pPr>
        <w:rPr>
          <w:rFonts w:asciiTheme="majorEastAsia" w:hAnsiTheme="majorEastAsia" w:eastAsiaTheme="majorEastAsia"/>
          <w:highlight w:val="none"/>
        </w:rPr>
      </w:pPr>
      <w:bookmarkStart w:id="245" w:name="_Toc54862331"/>
    </w:p>
    <w:p w14:paraId="37F5CA11">
      <w:pPr>
        <w:spacing w:line="700" w:lineRule="exact"/>
        <w:jc w:val="right"/>
        <w:rPr>
          <w:rFonts w:cs="仿宋_GB2312" w:asciiTheme="majorEastAsia" w:hAnsiTheme="majorEastAsia" w:eastAsiaTheme="majorEastAsia"/>
          <w:b/>
          <w:sz w:val="32"/>
          <w:szCs w:val="32"/>
          <w:highlight w:val="none"/>
        </w:rPr>
      </w:pPr>
      <w:r>
        <w:rPr>
          <w:rFonts w:hint="eastAsia" w:cs="仿宋_GB2312" w:asciiTheme="majorEastAsia" w:hAnsiTheme="majorEastAsia" w:eastAsiaTheme="majorEastAsia"/>
          <w:b/>
          <w:sz w:val="32"/>
          <w:szCs w:val="32"/>
          <w:highlight w:val="none"/>
        </w:rPr>
        <w:t>GF-2020-0216</w:t>
      </w:r>
    </w:p>
    <w:p w14:paraId="446DC0CD">
      <w:pPr>
        <w:rPr>
          <w:rFonts w:asciiTheme="majorEastAsia" w:hAnsiTheme="majorEastAsia" w:eastAsiaTheme="majorEastAsia"/>
          <w:highlight w:val="none"/>
        </w:rPr>
      </w:pPr>
    </w:p>
    <w:p w14:paraId="059863BF">
      <w:pPr>
        <w:rPr>
          <w:rFonts w:asciiTheme="majorEastAsia" w:hAnsiTheme="majorEastAsia" w:eastAsiaTheme="majorEastAsia"/>
          <w:highlight w:val="none"/>
        </w:rPr>
      </w:pPr>
    </w:p>
    <w:p w14:paraId="597ED393">
      <w:pPr>
        <w:rPr>
          <w:rFonts w:asciiTheme="majorEastAsia" w:hAnsiTheme="majorEastAsia" w:eastAsiaTheme="majorEastAsia"/>
          <w:highlight w:val="none"/>
        </w:rPr>
      </w:pPr>
    </w:p>
    <w:p w14:paraId="796E2D9A">
      <w:pPr>
        <w:rPr>
          <w:rFonts w:asciiTheme="majorEastAsia" w:hAnsiTheme="majorEastAsia" w:eastAsiaTheme="majorEastAsia"/>
          <w:highlight w:val="none"/>
        </w:rPr>
      </w:pPr>
    </w:p>
    <w:p w14:paraId="6CEB00A3">
      <w:pPr>
        <w:pStyle w:val="560"/>
        <w:spacing w:before="120" w:beforeLines="50" w:after="120" w:line="1100" w:lineRule="exact"/>
        <w:rPr>
          <w:rFonts w:cs="方正小标宋简体" w:asciiTheme="majorEastAsia" w:hAnsiTheme="majorEastAsia" w:eastAsiaTheme="majorEastAsia"/>
          <w:bCs/>
          <w:sz w:val="52"/>
          <w:szCs w:val="52"/>
          <w:highlight w:val="none"/>
        </w:rPr>
      </w:pPr>
      <w:r>
        <w:rPr>
          <w:rFonts w:hint="eastAsia" w:cs="方正小标宋简体" w:asciiTheme="majorEastAsia" w:hAnsiTheme="majorEastAsia" w:eastAsiaTheme="majorEastAsia"/>
          <w:bCs/>
          <w:sz w:val="72"/>
          <w:szCs w:val="72"/>
          <w:highlight w:val="none"/>
        </w:rPr>
        <w:t>建设项目工程总承包合同</w:t>
      </w:r>
    </w:p>
    <w:p w14:paraId="043D0EEA">
      <w:pPr>
        <w:pStyle w:val="560"/>
        <w:spacing w:before="120" w:beforeLines="50" w:after="120" w:line="1100" w:lineRule="exact"/>
        <w:rPr>
          <w:rFonts w:asciiTheme="majorEastAsia" w:hAnsiTheme="majorEastAsia" w:eastAsiaTheme="majorEastAsia"/>
          <w:bCs/>
          <w:sz w:val="52"/>
          <w:szCs w:val="52"/>
          <w:highlight w:val="none"/>
        </w:rPr>
      </w:pPr>
      <w:r>
        <w:rPr>
          <w:rFonts w:hint="eastAsia" w:cs="方正小标宋简体" w:asciiTheme="majorEastAsia" w:hAnsiTheme="majorEastAsia" w:eastAsiaTheme="majorEastAsia"/>
          <w:bCs/>
          <w:sz w:val="52"/>
          <w:szCs w:val="52"/>
          <w:highlight w:val="none"/>
        </w:rPr>
        <w:t>（示范文本）</w:t>
      </w:r>
    </w:p>
    <w:p w14:paraId="180385EB">
      <w:pPr>
        <w:rPr>
          <w:rFonts w:asciiTheme="majorEastAsia" w:hAnsiTheme="majorEastAsia" w:eastAsiaTheme="majorEastAsia"/>
          <w:highlight w:val="none"/>
        </w:rPr>
      </w:pPr>
    </w:p>
    <w:p w14:paraId="42174A02">
      <w:pPr>
        <w:rPr>
          <w:rFonts w:asciiTheme="majorEastAsia" w:hAnsiTheme="majorEastAsia" w:eastAsiaTheme="majorEastAsia"/>
          <w:highlight w:val="none"/>
        </w:rPr>
      </w:pPr>
    </w:p>
    <w:p w14:paraId="3788C5C9">
      <w:pPr>
        <w:rPr>
          <w:rFonts w:asciiTheme="majorEastAsia" w:hAnsiTheme="majorEastAsia" w:eastAsiaTheme="majorEastAsia"/>
          <w:highlight w:val="none"/>
        </w:rPr>
      </w:pPr>
    </w:p>
    <w:p w14:paraId="67A9A4D1">
      <w:pPr>
        <w:pStyle w:val="23"/>
        <w:jc w:val="center"/>
        <w:rPr>
          <w:rFonts w:hint="default" w:eastAsia="宋体" w:asciiTheme="majorEastAsia" w:hAnsiTheme="majorEastAsia"/>
          <w:highlight w:val="none"/>
          <w:lang w:val="en-US" w:eastAsia="zh-CN"/>
        </w:rPr>
      </w:pPr>
      <w:r>
        <w:rPr>
          <w:rFonts w:hint="eastAsia"/>
          <w:highlight w:val="none"/>
          <w:lang w:val="en-US" w:eastAsia="zh-CN"/>
        </w:rPr>
        <w:t>最终以双方签订的合同为准</w:t>
      </w:r>
    </w:p>
    <w:p w14:paraId="4EA8634A">
      <w:pPr>
        <w:rPr>
          <w:rFonts w:asciiTheme="majorEastAsia" w:hAnsiTheme="majorEastAsia" w:eastAsiaTheme="majorEastAsia"/>
          <w:highlight w:val="none"/>
        </w:rPr>
      </w:pPr>
    </w:p>
    <w:p w14:paraId="526E4F3C">
      <w:pPr>
        <w:pStyle w:val="23"/>
        <w:rPr>
          <w:rFonts w:asciiTheme="majorEastAsia" w:hAnsiTheme="majorEastAsia" w:eastAsiaTheme="majorEastAsia"/>
          <w:highlight w:val="none"/>
        </w:rPr>
      </w:pPr>
    </w:p>
    <w:p w14:paraId="2973B91C">
      <w:pPr>
        <w:rPr>
          <w:rFonts w:asciiTheme="majorEastAsia" w:hAnsiTheme="majorEastAsia" w:eastAsiaTheme="majorEastAsia"/>
          <w:highlight w:val="none"/>
        </w:rPr>
      </w:pPr>
    </w:p>
    <w:p w14:paraId="32A128C3">
      <w:pPr>
        <w:pStyle w:val="23"/>
        <w:rPr>
          <w:rFonts w:asciiTheme="majorEastAsia" w:hAnsiTheme="majorEastAsia" w:eastAsiaTheme="majorEastAsia"/>
          <w:highlight w:val="none"/>
        </w:rPr>
      </w:pPr>
    </w:p>
    <w:p w14:paraId="61A51B89">
      <w:pPr>
        <w:rPr>
          <w:rFonts w:asciiTheme="majorEastAsia" w:hAnsiTheme="majorEastAsia" w:eastAsiaTheme="majorEastAsia"/>
          <w:highlight w:val="none"/>
        </w:rPr>
      </w:pPr>
    </w:p>
    <w:p w14:paraId="3439BF41">
      <w:pPr>
        <w:pStyle w:val="23"/>
        <w:rPr>
          <w:rFonts w:asciiTheme="majorEastAsia" w:hAnsiTheme="majorEastAsia" w:eastAsiaTheme="majorEastAsia"/>
          <w:highlight w:val="none"/>
        </w:rPr>
      </w:pPr>
    </w:p>
    <w:p w14:paraId="1E5656DC">
      <w:pPr>
        <w:rPr>
          <w:rFonts w:asciiTheme="majorEastAsia" w:hAnsiTheme="majorEastAsia" w:eastAsiaTheme="majorEastAsia"/>
          <w:highlight w:val="none"/>
        </w:rPr>
      </w:pPr>
    </w:p>
    <w:p w14:paraId="2524CDB8">
      <w:pPr>
        <w:rPr>
          <w:rFonts w:asciiTheme="majorEastAsia" w:hAnsiTheme="majorEastAsia" w:eastAsiaTheme="majorEastAsia"/>
          <w:highlight w:val="none"/>
        </w:rPr>
      </w:pPr>
    </w:p>
    <w:p w14:paraId="34960B0B">
      <w:pPr>
        <w:rPr>
          <w:rFonts w:asciiTheme="majorEastAsia" w:hAnsiTheme="majorEastAsia" w:eastAsiaTheme="majorEastAsia"/>
          <w:highlight w:val="none"/>
        </w:rPr>
      </w:pPr>
    </w:p>
    <w:p w14:paraId="7CCABDBC">
      <w:pPr>
        <w:ind w:firstLine="640"/>
        <w:rPr>
          <w:rFonts w:asciiTheme="majorEastAsia" w:hAnsiTheme="majorEastAsia" w:eastAsiaTheme="majorEastAsia"/>
          <w:sz w:val="32"/>
          <w:szCs w:val="32"/>
          <w:highlight w:val="none"/>
        </w:rPr>
      </w:pPr>
    </w:p>
    <w:p w14:paraId="482526CA">
      <w:pPr>
        <w:spacing w:line="700" w:lineRule="exact"/>
        <w:ind w:right="2494" w:rightChars="1039"/>
        <w:jc w:val="center"/>
        <w:rPr>
          <w:rFonts w:asciiTheme="majorEastAsia" w:hAnsiTheme="majorEastAsia" w:eastAsiaTheme="majorEastAsia"/>
          <w:b/>
          <w:bCs/>
          <w:sz w:val="32"/>
          <w:szCs w:val="32"/>
          <w:highlight w:val="none"/>
        </w:rPr>
      </w:pPr>
      <w:r>
        <w:rPr>
          <w:rFonts w:asciiTheme="majorEastAsia" w:hAnsiTheme="majorEastAsia" w:eastAsiaTheme="majorEastAsia"/>
          <w:highlight w:val="none"/>
        </w:rPr>
        <mc:AlternateContent>
          <mc:Choice Requires="wps">
            <w:drawing>
              <wp:anchor distT="0" distB="0" distL="114300" distR="114300" simplePos="0" relativeHeight="251660288" behindDoc="0" locked="0" layoutInCell="1" allowOverlap="1">
                <wp:simplePos x="0" y="0"/>
                <wp:positionH relativeFrom="column">
                  <wp:posOffset>4625340</wp:posOffset>
                </wp:positionH>
                <wp:positionV relativeFrom="paragraph">
                  <wp:posOffset>351155</wp:posOffset>
                </wp:positionV>
                <wp:extent cx="754380" cy="354965"/>
                <wp:effectExtent l="0" t="0" r="7620" b="635"/>
                <wp:wrapNone/>
                <wp:docPr id="9" name="文本框 5"/>
                <wp:cNvGraphicFramePr/>
                <a:graphic xmlns:a="http://schemas.openxmlformats.org/drawingml/2006/main">
                  <a:graphicData uri="http://schemas.microsoft.com/office/word/2010/wordprocessingShape">
                    <wps:wsp>
                      <wps:cNvSpPr txBox="1">
                        <a:spLocks noChangeArrowheads="1"/>
                      </wps:cNvSpPr>
                      <wps:spPr bwMode="auto">
                        <a:xfrm>
                          <a:off x="0" y="0"/>
                          <a:ext cx="754380" cy="354965"/>
                        </a:xfrm>
                        <a:prstGeom prst="rect">
                          <a:avLst/>
                        </a:prstGeom>
                        <a:solidFill>
                          <a:srgbClr val="FFFFFF"/>
                        </a:solidFill>
                        <a:ln>
                          <a:noFill/>
                        </a:ln>
                        <a:effectLst/>
                      </wps:spPr>
                      <wps:txbx>
                        <w:txbxContent>
                          <w:p w14:paraId="0BBFA546">
                            <w:pPr>
                              <w:jc w:val="center"/>
                              <w:rPr>
                                <w:b/>
                                <w:bCs/>
                                <w:sz w:val="32"/>
                                <w:szCs w:val="32"/>
                              </w:rPr>
                            </w:pPr>
                            <w:r>
                              <w:rPr>
                                <w:rFonts w:hint="eastAsia"/>
                                <w:b/>
                                <w:bCs/>
                                <w:sz w:val="32"/>
                                <w:szCs w:val="32"/>
                              </w:rPr>
                              <w:t>制定</w:t>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文本框 5" o:spid="_x0000_s1026" o:spt="202" type="#_x0000_t202" style="position:absolute;left:0pt;margin-left:364.2pt;margin-top:27.65pt;height:27.95pt;width:59.4pt;z-index:251660288;mso-width-relative:page;mso-height-relative:margin;mso-height-percent:200;" fillcolor="#FFFFFF" filled="t" stroked="f" coordsize="21600,21600" o:gfxdata="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zTvTmdkAAAAKAQAADwAAAAAAAAABACAAAAAiAAAAZHJzL2Rvd25yZXYueG1s&#10;UEsBAhQAFAAAAAgAh07iQJ2ghQcwAgAASwQAAA4AAAAAAAAAAQAgAAAAKAEAAGRycy9lMm9Eb2Mu&#10;eG1sUEsFBgAAAAAGAAYAWQEAAMoFAAAAAA==&#10;">
                <v:fill on="t" focussize="0,0"/>
                <v:stroke on="f"/>
                <v:imagedata o:title=""/>
                <o:lock v:ext="edit" aspectratio="f"/>
                <v:textbox style="mso-fit-shape-to-text:t;">
                  <w:txbxContent>
                    <w:p w14:paraId="0BBFA546">
                      <w:pPr>
                        <w:jc w:val="center"/>
                        <w:rPr>
                          <w:b/>
                          <w:bCs/>
                          <w:sz w:val="32"/>
                          <w:szCs w:val="32"/>
                        </w:rPr>
                      </w:pPr>
                      <w:r>
                        <w:rPr>
                          <w:rFonts w:hint="eastAsia"/>
                          <w:b/>
                          <w:bCs/>
                          <w:sz w:val="32"/>
                          <w:szCs w:val="32"/>
                        </w:rPr>
                        <w:t>制定</w:t>
                      </w:r>
                    </w:p>
                  </w:txbxContent>
                </v:textbox>
              </v:shape>
            </w:pict>
          </mc:Fallback>
        </mc:AlternateContent>
      </w:r>
      <w:r>
        <w:rPr>
          <w:rFonts w:hint="eastAsia" w:asciiTheme="majorEastAsia" w:hAnsiTheme="majorEastAsia" w:eastAsiaTheme="majorEastAsia"/>
          <w:b/>
          <w:bCs/>
          <w:sz w:val="32"/>
          <w:szCs w:val="32"/>
          <w:highlight w:val="none"/>
        </w:rPr>
        <w:t xml:space="preserve">           中华人民共和国</w:t>
      </w:r>
      <w:r>
        <w:rPr>
          <w:rFonts w:asciiTheme="majorEastAsia" w:hAnsiTheme="majorEastAsia" w:eastAsiaTheme="majorEastAsia"/>
          <w:b/>
          <w:bCs/>
          <w:sz w:val="32"/>
          <w:szCs w:val="32"/>
          <w:highlight w:val="none"/>
        </w:rPr>
        <w:t>住房</w:t>
      </w:r>
      <w:r>
        <w:rPr>
          <w:rFonts w:hint="eastAsia" w:asciiTheme="majorEastAsia" w:hAnsiTheme="majorEastAsia" w:eastAsiaTheme="majorEastAsia"/>
          <w:b/>
          <w:bCs/>
          <w:sz w:val="32"/>
          <w:szCs w:val="32"/>
          <w:highlight w:val="none"/>
        </w:rPr>
        <w:t>和</w:t>
      </w:r>
      <w:r>
        <w:rPr>
          <w:rFonts w:asciiTheme="majorEastAsia" w:hAnsiTheme="majorEastAsia" w:eastAsiaTheme="majorEastAsia"/>
          <w:b/>
          <w:bCs/>
          <w:sz w:val="32"/>
          <w:szCs w:val="32"/>
          <w:highlight w:val="none"/>
        </w:rPr>
        <w:t>城乡建设部</w:t>
      </w:r>
    </w:p>
    <w:p w14:paraId="499F1F0E">
      <w:pPr>
        <w:spacing w:line="700" w:lineRule="exact"/>
        <w:ind w:right="2494" w:rightChars="1039"/>
        <w:jc w:val="center"/>
        <w:rPr>
          <w:rFonts w:asciiTheme="majorEastAsia" w:hAnsiTheme="majorEastAsia" w:eastAsiaTheme="majorEastAsia"/>
          <w:b/>
          <w:bCs/>
          <w:sz w:val="32"/>
          <w:szCs w:val="32"/>
          <w:highlight w:val="none"/>
        </w:rPr>
      </w:pPr>
      <w:r>
        <w:rPr>
          <w:rFonts w:hint="eastAsia" w:asciiTheme="majorEastAsia" w:hAnsiTheme="majorEastAsia" w:eastAsiaTheme="majorEastAsia"/>
          <w:b/>
          <w:sz w:val="32"/>
          <w:szCs w:val="28"/>
          <w:highlight w:val="none"/>
        </w:rPr>
        <w:t xml:space="preserve">                   国家</w:t>
      </w:r>
      <w:r>
        <w:rPr>
          <w:rFonts w:hint="eastAsia" w:asciiTheme="majorEastAsia" w:hAnsiTheme="majorEastAsia" w:eastAsiaTheme="majorEastAsia"/>
          <w:b/>
          <w:bCs/>
          <w:sz w:val="32"/>
          <w:szCs w:val="32"/>
          <w:highlight w:val="none"/>
        </w:rPr>
        <w:t>市场监</w:t>
      </w:r>
      <w:r>
        <w:rPr>
          <w:rFonts w:hint="eastAsia" w:asciiTheme="majorEastAsia" w:hAnsiTheme="majorEastAsia" w:eastAsiaTheme="majorEastAsia"/>
          <w:b/>
          <w:sz w:val="32"/>
          <w:szCs w:val="28"/>
          <w:highlight w:val="none"/>
        </w:rPr>
        <w:t>督</w:t>
      </w:r>
      <w:r>
        <w:rPr>
          <w:rFonts w:hint="eastAsia" w:asciiTheme="majorEastAsia" w:hAnsiTheme="majorEastAsia" w:eastAsiaTheme="majorEastAsia"/>
          <w:b/>
          <w:bCs/>
          <w:sz w:val="32"/>
          <w:szCs w:val="32"/>
          <w:highlight w:val="none"/>
        </w:rPr>
        <w:t>管理</w:t>
      </w:r>
      <w:r>
        <w:rPr>
          <w:rFonts w:asciiTheme="majorEastAsia" w:hAnsiTheme="majorEastAsia" w:eastAsiaTheme="majorEastAsia"/>
          <w:b/>
          <w:bCs/>
          <w:sz w:val="32"/>
          <w:szCs w:val="32"/>
          <w:highlight w:val="none"/>
        </w:rPr>
        <w:t>总局</w:t>
      </w:r>
    </w:p>
    <w:p w14:paraId="0FD851C9">
      <w:pPr>
        <w:spacing w:line="700" w:lineRule="exact"/>
        <w:rPr>
          <w:rFonts w:asciiTheme="majorEastAsia" w:hAnsiTheme="majorEastAsia" w:eastAsiaTheme="majorEastAsia"/>
          <w:highlight w:val="none"/>
        </w:rPr>
        <w:sectPr>
          <w:headerReference r:id="rId16" w:type="even"/>
          <w:footerReference r:id="rId17" w:type="even"/>
          <w:pgSz w:w="11906" w:h="16838"/>
          <w:pgMar w:top="1191" w:right="1191" w:bottom="1191" w:left="1191" w:header="720" w:footer="765" w:gutter="0"/>
          <w:cols w:space="0" w:num="1"/>
          <w:docGrid w:linePitch="326" w:charSpace="0"/>
        </w:sectPr>
      </w:pPr>
    </w:p>
    <w:p w14:paraId="4A532B0F">
      <w:pPr>
        <w:rPr>
          <w:rFonts w:asciiTheme="majorEastAsia" w:hAnsiTheme="majorEastAsia" w:eastAsiaTheme="majorEastAsia"/>
          <w:highlight w:val="none"/>
        </w:rPr>
      </w:pPr>
      <w:bookmarkStart w:id="246" w:name="_Toc54862164"/>
    </w:p>
    <w:p w14:paraId="041D626E">
      <w:pPr>
        <w:pStyle w:val="560"/>
        <w:spacing w:afterLines="0" w:line="700" w:lineRule="exact"/>
        <w:rPr>
          <w:rFonts w:ascii="宋体" w:hAnsi="宋体" w:eastAsia="宋体" w:cs="宋体"/>
          <w:sz w:val="44"/>
          <w:szCs w:val="44"/>
          <w:highlight w:val="none"/>
        </w:rPr>
      </w:pPr>
      <w:bookmarkStart w:id="247" w:name="_Toc523410369"/>
      <w:r>
        <w:rPr>
          <w:rFonts w:hint="eastAsia" w:ascii="宋体" w:hAnsi="宋体" w:eastAsia="宋体" w:cs="宋体"/>
          <w:sz w:val="44"/>
          <w:szCs w:val="44"/>
          <w:highlight w:val="none"/>
        </w:rPr>
        <w:t>说 明</w:t>
      </w:r>
      <w:bookmarkEnd w:id="247"/>
    </w:p>
    <w:p w14:paraId="21AF99BF">
      <w:pPr>
        <w:spacing w:line="560" w:lineRule="exact"/>
        <w:ind w:firstLine="600"/>
        <w:rPr>
          <w:rFonts w:ascii="宋体" w:hAnsi="宋体" w:cs="宋体"/>
          <w:highlight w:val="none"/>
        </w:rPr>
      </w:pPr>
      <w:r>
        <w:rPr>
          <w:rFonts w:hint="eastAsia" w:ascii="宋体" w:hAnsi="宋体" w:cs="宋体"/>
          <w:highlight w:val="none"/>
        </w:rPr>
        <w:t>为指导建设项目工程总承包合同当事人的签约行为，维护合同当事人的合法权益，依据《中华人民共和国民法典》、《中华人民共和国建筑法》、《中华人民共和国招标投标法》以及相关法律、法规，住房和城乡建设部、市场监管总局对《建设项目工程总承包合同示范文本（试行）》（GF-2011-0216）进行了修订，制定了《建设项目工程总承包合同（示范文本）》（GF-2020-0216）（以下简称《示范文本》）。现就有关问题说明如下：</w:t>
      </w:r>
    </w:p>
    <w:p w14:paraId="44257E5B">
      <w:pPr>
        <w:pStyle w:val="636"/>
        <w:numPr>
          <w:ilvl w:val="0"/>
          <w:numId w:val="0"/>
        </w:numPr>
        <w:spacing w:afterLines="0" w:line="560" w:lineRule="exact"/>
        <w:ind w:firstLine="480" w:firstLineChars="200"/>
        <w:rPr>
          <w:rFonts w:ascii="宋体" w:hAnsi="宋体" w:eastAsia="宋体" w:cs="宋体"/>
          <w:b w:val="0"/>
          <w:bCs/>
          <w:highlight w:val="none"/>
        </w:rPr>
      </w:pPr>
      <w:bookmarkStart w:id="248" w:name="_Toc521079598"/>
      <w:r>
        <w:rPr>
          <w:rFonts w:hint="eastAsia" w:ascii="宋体" w:hAnsi="宋体" w:eastAsia="宋体" w:cs="宋体"/>
          <w:b w:val="0"/>
          <w:bCs/>
          <w:highlight w:val="none"/>
        </w:rPr>
        <w:t>一、《示范文本》的组成</w:t>
      </w:r>
      <w:bookmarkEnd w:id="248"/>
    </w:p>
    <w:p w14:paraId="371E2E79">
      <w:pPr>
        <w:spacing w:line="560" w:lineRule="exact"/>
        <w:ind w:firstLine="600"/>
        <w:rPr>
          <w:rFonts w:ascii="宋体" w:hAnsi="宋体" w:cs="宋体"/>
          <w:highlight w:val="none"/>
        </w:rPr>
      </w:pPr>
      <w:r>
        <w:rPr>
          <w:rFonts w:hint="eastAsia" w:ascii="宋体" w:hAnsi="宋体" w:cs="宋体"/>
          <w:highlight w:val="none"/>
        </w:rPr>
        <w:t>《示范文本》由合同协议书、通用合同条件和专用合同条件三部分组成。</w:t>
      </w:r>
    </w:p>
    <w:p w14:paraId="39F6A031">
      <w:pPr>
        <w:spacing w:line="560" w:lineRule="exact"/>
        <w:ind w:firstLine="600"/>
        <w:rPr>
          <w:rFonts w:ascii="宋体" w:hAnsi="宋体" w:cs="宋体"/>
          <w:highlight w:val="none"/>
        </w:rPr>
      </w:pPr>
      <w:bookmarkStart w:id="249" w:name="_Toc521079599"/>
      <w:r>
        <w:rPr>
          <w:rFonts w:hint="eastAsia" w:ascii="宋体" w:hAnsi="宋体" w:cs="宋体"/>
          <w:highlight w:val="none"/>
        </w:rPr>
        <w:t>（一）合同协议书</w:t>
      </w:r>
      <w:bookmarkEnd w:id="249"/>
    </w:p>
    <w:p w14:paraId="62017647">
      <w:pPr>
        <w:spacing w:line="560" w:lineRule="exact"/>
        <w:ind w:firstLine="600"/>
        <w:rPr>
          <w:rFonts w:ascii="宋体" w:hAnsi="宋体" w:cs="宋体"/>
          <w:highlight w:val="none"/>
        </w:rPr>
      </w:pPr>
      <w:r>
        <w:rPr>
          <w:rFonts w:hint="eastAsia" w:ascii="宋体" w:hAnsi="宋体" w:cs="宋体"/>
          <w:highlight w:val="none"/>
        </w:rPr>
        <w:t>《示范文本》合同协议书共计11条，主要包括：工程概况、合同工期、质量标准、签约合同价与合同价格形式、工程总承包项目经理、合同文件构成、承诺、订立时间、订立地点、合同生效和合同份数，集中约定了合同当事人基本的合同权利义务。</w:t>
      </w:r>
    </w:p>
    <w:p w14:paraId="16551B07">
      <w:pPr>
        <w:spacing w:line="560" w:lineRule="exact"/>
        <w:ind w:firstLine="600"/>
        <w:rPr>
          <w:rFonts w:ascii="宋体" w:hAnsi="宋体" w:cs="宋体"/>
          <w:highlight w:val="none"/>
        </w:rPr>
      </w:pPr>
      <w:bookmarkStart w:id="250" w:name="_Toc521079600"/>
      <w:r>
        <w:rPr>
          <w:rFonts w:hint="eastAsia" w:ascii="宋体" w:hAnsi="宋体" w:cs="宋体"/>
          <w:highlight w:val="none"/>
        </w:rPr>
        <w:t>（二）通用合同条件</w:t>
      </w:r>
      <w:bookmarkEnd w:id="250"/>
    </w:p>
    <w:p w14:paraId="2B8C14B7">
      <w:pPr>
        <w:spacing w:line="560" w:lineRule="exact"/>
        <w:ind w:firstLine="600"/>
        <w:rPr>
          <w:rFonts w:ascii="宋体" w:hAnsi="宋体" w:cs="宋体"/>
          <w:highlight w:val="none"/>
        </w:rPr>
      </w:pPr>
      <w:r>
        <w:rPr>
          <w:rFonts w:hint="eastAsia" w:ascii="宋体" w:hAnsi="宋体" w:cs="宋体"/>
          <w:highlight w:val="none"/>
        </w:rPr>
        <w:t>通用合同条件是合同当事人根据《中华人民共和国民法典》、《中华人民共和国建筑法》等法律法规的规定，就工程总承包项目的实施及相关事项，对合同当事人的权利义务作出的原则性约定。通用合同条件共计20条，具体条款分别为：</w:t>
      </w:r>
      <w:bookmarkStart w:id="251" w:name="_Hlk54448922"/>
      <w:r>
        <w:rPr>
          <w:rFonts w:hint="eastAsia" w:ascii="宋体" w:hAnsi="宋体" w:cs="宋体"/>
          <w:highlight w:val="none"/>
        </w:rPr>
        <w:t>第1条 一般约定，第2条 发包人，第3条 发包人的管理，第4条 承包人，第5条 设计，第6条 材料、工程设备，第7条 施工，第8条 工期和进度，第9条 竣工试验，第10条 验收和工程接收，第11条 缺陷责任与保修，第12条 竣工后试验，第13条 变更与调整，第14条 合同价格与支付，第15条 违约，第16条 合同解除，第17条 不可抗力，第18条 保险，第19条 索赔，第20条 争议解决。</w:t>
      </w:r>
      <w:bookmarkEnd w:id="251"/>
      <w:r>
        <w:rPr>
          <w:rFonts w:hint="eastAsia" w:ascii="宋体" w:hAnsi="宋体" w:cs="宋体"/>
          <w:highlight w:val="none"/>
        </w:rPr>
        <w:t>前述条款安排既考虑了现行法律法规对工程总承包活动的有关要求，也考虑了工程总承包项目管理的实际需要。</w:t>
      </w:r>
    </w:p>
    <w:p w14:paraId="0DEF9CD4">
      <w:pPr>
        <w:spacing w:line="560" w:lineRule="exact"/>
        <w:ind w:firstLine="600"/>
        <w:rPr>
          <w:rFonts w:ascii="宋体" w:hAnsi="宋体" w:cs="宋体"/>
          <w:highlight w:val="none"/>
        </w:rPr>
      </w:pPr>
      <w:bookmarkStart w:id="252" w:name="_Toc521079601"/>
      <w:r>
        <w:rPr>
          <w:rFonts w:hint="eastAsia" w:ascii="宋体" w:hAnsi="宋体" w:cs="宋体"/>
          <w:highlight w:val="none"/>
        </w:rPr>
        <w:t>（三）专用合同条件</w:t>
      </w:r>
      <w:bookmarkEnd w:id="252"/>
    </w:p>
    <w:p w14:paraId="2EC725A9">
      <w:pPr>
        <w:spacing w:line="560" w:lineRule="exact"/>
        <w:ind w:firstLine="600"/>
        <w:rPr>
          <w:rFonts w:ascii="宋体" w:hAnsi="宋体" w:cs="宋体"/>
          <w:highlight w:val="none"/>
        </w:rPr>
      </w:pPr>
      <w:r>
        <w:rPr>
          <w:rFonts w:hint="eastAsia" w:ascii="宋体" w:hAnsi="宋体" w:cs="宋体"/>
          <w:highlight w:val="none"/>
        </w:rPr>
        <w:t>专用合同条件是合同当事人根据不同建设项目的特点及具体情况，通过双方的谈判、协商对通用合同条件原则性约定细化、完善、补充、修改或另行约定的合同条件。在编写专用合同条件时，应注意以下事项：</w:t>
      </w:r>
    </w:p>
    <w:p w14:paraId="2A05E370">
      <w:pPr>
        <w:spacing w:line="560" w:lineRule="exact"/>
        <w:ind w:firstLine="600"/>
        <w:rPr>
          <w:rFonts w:ascii="宋体" w:hAnsi="宋体" w:cs="宋体"/>
          <w:highlight w:val="none"/>
        </w:rPr>
      </w:pPr>
      <w:r>
        <w:rPr>
          <w:rFonts w:hint="eastAsia" w:ascii="宋体" w:hAnsi="宋体" w:cs="宋体"/>
          <w:highlight w:val="none"/>
        </w:rPr>
        <w:t>1、专用合同条件的编号应与相应的通用合同条件的编号一致；</w:t>
      </w:r>
    </w:p>
    <w:p w14:paraId="7B35A98C">
      <w:pPr>
        <w:spacing w:line="560" w:lineRule="exact"/>
        <w:ind w:firstLine="600"/>
        <w:rPr>
          <w:rFonts w:ascii="宋体" w:hAnsi="宋体" w:cs="宋体"/>
          <w:highlight w:val="none"/>
        </w:rPr>
      </w:pPr>
      <w:r>
        <w:rPr>
          <w:rFonts w:hint="eastAsia" w:ascii="宋体" w:hAnsi="宋体" w:cs="宋体"/>
          <w:highlight w:val="none"/>
        </w:rPr>
        <w:t>2、在专用合同条件中有横道线的地方，合同当事人可针对相应的通用合同条件进行细化、完善、补充、修改或另行约定；如无细化、完善、补充、修改或另行约定，则填写“无”或划“/”；</w:t>
      </w:r>
    </w:p>
    <w:p w14:paraId="325CFD94">
      <w:pPr>
        <w:spacing w:line="560" w:lineRule="exact"/>
        <w:ind w:firstLine="600"/>
        <w:rPr>
          <w:rFonts w:ascii="宋体" w:hAnsi="宋体" w:cs="宋体"/>
          <w:highlight w:val="none"/>
        </w:rPr>
      </w:pPr>
      <w:r>
        <w:rPr>
          <w:rFonts w:hint="eastAsia" w:ascii="宋体" w:hAnsi="宋体" w:cs="宋体"/>
          <w:highlight w:val="none"/>
        </w:rPr>
        <w:t>3、对于在专用合同条件中未列出的通用合同条件中的条款，合同当事人根据建设项目的具体情况认为需要进行细化、完善、补充、修改或另行约定的，可在专用合同条件中，以同一条款号增加相关条款的内容。</w:t>
      </w:r>
    </w:p>
    <w:p w14:paraId="3B7CEA5A">
      <w:pPr>
        <w:pStyle w:val="636"/>
        <w:numPr>
          <w:ilvl w:val="0"/>
          <w:numId w:val="0"/>
        </w:numPr>
        <w:spacing w:afterLines="0" w:line="560" w:lineRule="exact"/>
        <w:rPr>
          <w:rFonts w:ascii="宋体" w:hAnsi="宋体" w:eastAsia="宋体" w:cs="宋体"/>
          <w:b w:val="0"/>
          <w:bCs/>
          <w:highlight w:val="none"/>
        </w:rPr>
      </w:pPr>
      <w:bookmarkStart w:id="253" w:name="_Toc521079602"/>
      <w:r>
        <w:rPr>
          <w:rFonts w:hint="eastAsia" w:ascii="宋体" w:hAnsi="宋体" w:eastAsia="宋体" w:cs="宋体"/>
          <w:b w:val="0"/>
          <w:bCs/>
          <w:highlight w:val="none"/>
        </w:rPr>
        <w:t>二、《示范文本》的适用范围</w:t>
      </w:r>
      <w:bookmarkEnd w:id="253"/>
    </w:p>
    <w:p w14:paraId="548915BA">
      <w:pPr>
        <w:spacing w:line="560" w:lineRule="exact"/>
        <w:ind w:firstLine="600"/>
        <w:rPr>
          <w:rFonts w:ascii="宋体" w:hAnsi="宋体" w:cs="宋体"/>
          <w:highlight w:val="none"/>
        </w:rPr>
      </w:pPr>
      <w:r>
        <w:rPr>
          <w:rFonts w:hint="eastAsia" w:ascii="宋体" w:hAnsi="宋体" w:cs="宋体"/>
          <w:highlight w:val="none"/>
        </w:rPr>
        <w:t>《示范文本》适用于房屋建筑和市政基础设施项目工程总承包承发包活动。</w:t>
      </w:r>
    </w:p>
    <w:p w14:paraId="045EBC85">
      <w:pPr>
        <w:pStyle w:val="636"/>
        <w:numPr>
          <w:ilvl w:val="0"/>
          <w:numId w:val="0"/>
        </w:numPr>
        <w:spacing w:afterLines="0" w:line="560" w:lineRule="exact"/>
        <w:rPr>
          <w:rFonts w:ascii="宋体" w:hAnsi="宋体" w:eastAsia="宋体" w:cs="宋体"/>
          <w:b w:val="0"/>
          <w:bCs/>
          <w:highlight w:val="none"/>
        </w:rPr>
      </w:pPr>
      <w:r>
        <w:rPr>
          <w:rFonts w:hint="eastAsia" w:ascii="宋体" w:hAnsi="宋体" w:eastAsia="宋体" w:cs="宋体"/>
          <w:b w:val="0"/>
          <w:bCs/>
          <w:highlight w:val="none"/>
        </w:rPr>
        <w:t>三、《示范文本》的性质</w:t>
      </w:r>
    </w:p>
    <w:p w14:paraId="6E838089">
      <w:pPr>
        <w:spacing w:line="560" w:lineRule="exact"/>
        <w:ind w:firstLine="600"/>
        <w:rPr>
          <w:rFonts w:ascii="宋体" w:hAnsi="宋体" w:cs="宋体"/>
          <w:highlight w:val="none"/>
        </w:rPr>
      </w:pPr>
      <w:r>
        <w:rPr>
          <w:rFonts w:hint="eastAsia" w:ascii="宋体" w:hAnsi="宋体" w:cs="宋体"/>
          <w:highlight w:val="none"/>
        </w:rPr>
        <w:t>《示范文本》为推荐使用的非强制性使用文本。合同当事人可结合建设工程具体情况，参照《示范文本》订立合同，并按照法律法规和合同约定承担相应的法律责任及合同权利义务。</w:t>
      </w:r>
    </w:p>
    <w:p w14:paraId="68E3A838">
      <w:pPr>
        <w:pStyle w:val="23"/>
        <w:rPr>
          <w:rFonts w:ascii="仿宋_GB2312" w:eastAsia="仿宋_GB2312"/>
          <w:sz w:val="30"/>
          <w:szCs w:val="30"/>
          <w:highlight w:val="none"/>
        </w:rPr>
      </w:pPr>
    </w:p>
    <w:p w14:paraId="6302967F">
      <w:pPr>
        <w:rPr>
          <w:highlight w:val="none"/>
        </w:rPr>
        <w:sectPr>
          <w:footerReference r:id="rId19" w:type="first"/>
          <w:footerReference r:id="rId18" w:type="default"/>
          <w:pgSz w:w="11906" w:h="16838"/>
          <w:pgMar w:top="1191" w:right="1191" w:bottom="1191" w:left="1191" w:header="720" w:footer="765" w:gutter="0"/>
          <w:cols w:space="0" w:num="1"/>
          <w:docGrid w:linePitch="326" w:charSpace="0"/>
        </w:sectPr>
      </w:pPr>
    </w:p>
    <w:p w14:paraId="201057F0">
      <w:pPr>
        <w:rPr>
          <w:rFonts w:asciiTheme="majorEastAsia" w:hAnsiTheme="majorEastAsia" w:eastAsiaTheme="majorEastAsia"/>
          <w:highlight w:val="none"/>
        </w:rPr>
      </w:pPr>
    </w:p>
    <w:p w14:paraId="2DD28FC5">
      <w:pPr>
        <w:spacing w:line="700" w:lineRule="exact"/>
        <w:jc w:val="center"/>
        <w:rPr>
          <w:rFonts w:ascii="宋体" w:hAnsi="宋体" w:cs="宋体"/>
          <w:b/>
          <w:bCs/>
          <w:kern w:val="44"/>
          <w:sz w:val="44"/>
          <w:szCs w:val="44"/>
          <w:highlight w:val="none"/>
          <w:lang w:val="zh-CN"/>
        </w:rPr>
      </w:pPr>
      <w:bookmarkStart w:id="254" w:name="_Toc521267369"/>
      <w:r>
        <w:rPr>
          <w:rFonts w:hint="eastAsia" w:ascii="宋体" w:hAnsi="宋体" w:cs="宋体"/>
          <w:b/>
          <w:bCs/>
          <w:kern w:val="44"/>
          <w:sz w:val="44"/>
          <w:szCs w:val="44"/>
          <w:highlight w:val="none"/>
          <w:lang w:val="zh-CN"/>
        </w:rPr>
        <w:t>目 录</w:t>
      </w:r>
      <w:bookmarkEnd w:id="254"/>
    </w:p>
    <w:p w14:paraId="512DE17E">
      <w:pPr>
        <w:pStyle w:val="40"/>
        <w:tabs>
          <w:tab w:val="right" w:leader="dot" w:pos="9600"/>
        </w:tabs>
        <w:spacing w:before="0" w:after="0" w:line="560" w:lineRule="exact"/>
        <w:rPr>
          <w:rFonts w:ascii="宋体" w:hAnsi="宋体" w:cs="宋体"/>
          <w:kern w:val="2"/>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TOC \o "1-3" \u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第一部分  合同协议书</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_Toc54862164 \h </w:instrText>
      </w:r>
      <w:r>
        <w:rPr>
          <w:rFonts w:hint="eastAsia" w:ascii="宋体" w:hAnsi="宋体" w:cs="宋体"/>
          <w:sz w:val="24"/>
          <w:szCs w:val="24"/>
          <w:highlight w:val="none"/>
        </w:rPr>
        <w:fldChar w:fldCharType="separate"/>
      </w:r>
      <w:r>
        <w:rPr>
          <w:rFonts w:ascii="宋体" w:hAnsi="宋体" w:cs="宋体"/>
          <w:sz w:val="24"/>
          <w:szCs w:val="24"/>
          <w:highlight w:val="none"/>
        </w:rPr>
        <w:t>46</w:t>
      </w:r>
      <w:r>
        <w:rPr>
          <w:rFonts w:hint="eastAsia" w:ascii="宋体" w:hAnsi="宋体" w:cs="宋体"/>
          <w:sz w:val="24"/>
          <w:szCs w:val="24"/>
          <w:highlight w:val="none"/>
        </w:rPr>
        <w:fldChar w:fldCharType="end"/>
      </w:r>
    </w:p>
    <w:p w14:paraId="41B68C41">
      <w:pPr>
        <w:pStyle w:val="49"/>
        <w:tabs>
          <w:tab w:val="right" w:leader="dot" w:pos="9600"/>
        </w:tabs>
        <w:spacing w:line="560" w:lineRule="exact"/>
        <w:ind w:left="480"/>
        <w:rPr>
          <w:rFonts w:ascii="宋体" w:hAnsi="宋体" w:cs="宋体"/>
          <w:kern w:val="2"/>
          <w:sz w:val="24"/>
          <w:szCs w:val="24"/>
          <w:highlight w:val="none"/>
        </w:rPr>
      </w:pPr>
      <w:r>
        <w:rPr>
          <w:rFonts w:hint="eastAsia" w:ascii="宋体" w:hAnsi="宋体" w:cs="宋体"/>
          <w:bCs/>
          <w:sz w:val="24"/>
          <w:szCs w:val="24"/>
          <w:highlight w:val="none"/>
        </w:rPr>
        <w:t>一、工程概况</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_Toc54862165 \h </w:instrText>
      </w:r>
      <w:r>
        <w:rPr>
          <w:rFonts w:hint="eastAsia" w:ascii="宋体" w:hAnsi="宋体" w:cs="宋体"/>
          <w:sz w:val="24"/>
          <w:szCs w:val="24"/>
          <w:highlight w:val="none"/>
        </w:rPr>
        <w:fldChar w:fldCharType="separate"/>
      </w:r>
      <w:r>
        <w:rPr>
          <w:rFonts w:ascii="宋体" w:hAnsi="宋体" w:cs="宋体"/>
          <w:sz w:val="24"/>
          <w:szCs w:val="24"/>
          <w:highlight w:val="none"/>
        </w:rPr>
        <w:t>51</w:t>
      </w:r>
      <w:r>
        <w:rPr>
          <w:rFonts w:hint="eastAsia" w:ascii="宋体" w:hAnsi="宋体" w:cs="宋体"/>
          <w:sz w:val="24"/>
          <w:szCs w:val="24"/>
          <w:highlight w:val="none"/>
        </w:rPr>
        <w:fldChar w:fldCharType="end"/>
      </w:r>
    </w:p>
    <w:p w14:paraId="10C10988">
      <w:pPr>
        <w:pStyle w:val="49"/>
        <w:tabs>
          <w:tab w:val="right" w:leader="dot" w:pos="9600"/>
        </w:tabs>
        <w:spacing w:line="560" w:lineRule="exact"/>
        <w:ind w:left="480"/>
        <w:rPr>
          <w:rFonts w:ascii="宋体" w:hAnsi="宋体" w:cs="宋体"/>
          <w:kern w:val="2"/>
          <w:sz w:val="24"/>
          <w:szCs w:val="24"/>
          <w:highlight w:val="none"/>
        </w:rPr>
      </w:pPr>
      <w:r>
        <w:rPr>
          <w:rFonts w:hint="eastAsia" w:ascii="宋体" w:hAnsi="宋体" w:cs="宋体"/>
          <w:bCs/>
          <w:sz w:val="24"/>
          <w:szCs w:val="24"/>
          <w:highlight w:val="none"/>
        </w:rPr>
        <w:t>二、合同工期</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_Toc54862166 \h </w:instrText>
      </w:r>
      <w:r>
        <w:rPr>
          <w:rFonts w:hint="eastAsia" w:ascii="宋体" w:hAnsi="宋体" w:cs="宋体"/>
          <w:sz w:val="24"/>
          <w:szCs w:val="24"/>
          <w:highlight w:val="none"/>
        </w:rPr>
        <w:fldChar w:fldCharType="separate"/>
      </w:r>
      <w:r>
        <w:rPr>
          <w:rFonts w:ascii="宋体" w:hAnsi="宋体" w:cs="宋体"/>
          <w:sz w:val="24"/>
          <w:szCs w:val="24"/>
          <w:highlight w:val="none"/>
        </w:rPr>
        <w:t>51</w:t>
      </w:r>
      <w:r>
        <w:rPr>
          <w:rFonts w:hint="eastAsia" w:ascii="宋体" w:hAnsi="宋体" w:cs="宋体"/>
          <w:sz w:val="24"/>
          <w:szCs w:val="24"/>
          <w:highlight w:val="none"/>
        </w:rPr>
        <w:fldChar w:fldCharType="end"/>
      </w:r>
    </w:p>
    <w:p w14:paraId="79EF5930">
      <w:pPr>
        <w:pStyle w:val="49"/>
        <w:tabs>
          <w:tab w:val="right" w:leader="dot" w:pos="9600"/>
        </w:tabs>
        <w:spacing w:line="560" w:lineRule="exact"/>
        <w:ind w:left="480"/>
        <w:rPr>
          <w:rFonts w:ascii="宋体" w:hAnsi="宋体" w:cs="宋体"/>
          <w:kern w:val="2"/>
          <w:sz w:val="24"/>
          <w:szCs w:val="24"/>
          <w:highlight w:val="none"/>
        </w:rPr>
      </w:pPr>
      <w:r>
        <w:rPr>
          <w:rFonts w:hint="eastAsia" w:ascii="宋体" w:hAnsi="宋体" w:cs="宋体"/>
          <w:bCs/>
          <w:sz w:val="24"/>
          <w:szCs w:val="24"/>
          <w:highlight w:val="none"/>
        </w:rPr>
        <w:t>三、质量标准</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_Toc54862167 \h </w:instrText>
      </w:r>
      <w:r>
        <w:rPr>
          <w:rFonts w:hint="eastAsia" w:ascii="宋体" w:hAnsi="宋体" w:cs="宋体"/>
          <w:sz w:val="24"/>
          <w:szCs w:val="24"/>
          <w:highlight w:val="none"/>
        </w:rPr>
        <w:fldChar w:fldCharType="separate"/>
      </w:r>
      <w:r>
        <w:rPr>
          <w:rFonts w:ascii="宋体" w:hAnsi="宋体" w:cs="宋体"/>
          <w:sz w:val="24"/>
          <w:szCs w:val="24"/>
          <w:highlight w:val="none"/>
        </w:rPr>
        <w:t>52</w:t>
      </w:r>
      <w:r>
        <w:rPr>
          <w:rFonts w:hint="eastAsia" w:ascii="宋体" w:hAnsi="宋体" w:cs="宋体"/>
          <w:sz w:val="24"/>
          <w:szCs w:val="24"/>
          <w:highlight w:val="none"/>
        </w:rPr>
        <w:fldChar w:fldCharType="end"/>
      </w:r>
    </w:p>
    <w:p w14:paraId="0CFBFB54">
      <w:pPr>
        <w:pStyle w:val="49"/>
        <w:tabs>
          <w:tab w:val="right" w:leader="dot" w:pos="9600"/>
        </w:tabs>
        <w:spacing w:line="560" w:lineRule="exact"/>
        <w:ind w:left="480"/>
        <w:rPr>
          <w:rFonts w:ascii="宋体" w:hAnsi="宋体" w:cs="宋体"/>
          <w:kern w:val="2"/>
          <w:sz w:val="24"/>
          <w:szCs w:val="24"/>
          <w:highlight w:val="none"/>
        </w:rPr>
      </w:pPr>
      <w:r>
        <w:rPr>
          <w:rFonts w:hint="eastAsia" w:ascii="宋体" w:hAnsi="宋体" w:cs="宋体"/>
          <w:bCs/>
          <w:sz w:val="24"/>
          <w:szCs w:val="24"/>
          <w:highlight w:val="none"/>
        </w:rPr>
        <w:t>四、签约合同价与合同价格形式</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_Toc54862168 \h </w:instrText>
      </w:r>
      <w:r>
        <w:rPr>
          <w:rFonts w:hint="eastAsia" w:ascii="宋体" w:hAnsi="宋体" w:cs="宋体"/>
          <w:sz w:val="24"/>
          <w:szCs w:val="24"/>
          <w:highlight w:val="none"/>
        </w:rPr>
        <w:fldChar w:fldCharType="separate"/>
      </w:r>
      <w:r>
        <w:rPr>
          <w:rFonts w:ascii="宋体" w:hAnsi="宋体" w:cs="宋体"/>
          <w:sz w:val="24"/>
          <w:szCs w:val="24"/>
          <w:highlight w:val="none"/>
        </w:rPr>
        <w:t>52</w:t>
      </w:r>
      <w:r>
        <w:rPr>
          <w:rFonts w:hint="eastAsia" w:ascii="宋体" w:hAnsi="宋体" w:cs="宋体"/>
          <w:sz w:val="24"/>
          <w:szCs w:val="24"/>
          <w:highlight w:val="none"/>
        </w:rPr>
        <w:fldChar w:fldCharType="end"/>
      </w:r>
    </w:p>
    <w:p w14:paraId="46ED4835">
      <w:pPr>
        <w:pStyle w:val="49"/>
        <w:tabs>
          <w:tab w:val="right" w:leader="dot" w:pos="9600"/>
        </w:tabs>
        <w:spacing w:line="560" w:lineRule="exact"/>
        <w:ind w:left="480"/>
        <w:rPr>
          <w:rFonts w:ascii="宋体" w:hAnsi="宋体" w:cs="宋体"/>
          <w:kern w:val="2"/>
          <w:sz w:val="24"/>
          <w:szCs w:val="24"/>
          <w:highlight w:val="none"/>
        </w:rPr>
      </w:pPr>
      <w:r>
        <w:rPr>
          <w:rFonts w:hint="eastAsia" w:ascii="宋体" w:hAnsi="宋体" w:cs="宋体"/>
          <w:bCs/>
          <w:sz w:val="24"/>
          <w:szCs w:val="24"/>
          <w:highlight w:val="none"/>
        </w:rPr>
        <w:t>五、工程总承包项目经理</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_Toc54862169 \h </w:instrText>
      </w:r>
      <w:r>
        <w:rPr>
          <w:rFonts w:hint="eastAsia" w:ascii="宋体" w:hAnsi="宋体" w:cs="宋体"/>
          <w:sz w:val="24"/>
          <w:szCs w:val="24"/>
          <w:highlight w:val="none"/>
        </w:rPr>
        <w:fldChar w:fldCharType="separate"/>
      </w:r>
      <w:r>
        <w:rPr>
          <w:rFonts w:ascii="宋体" w:hAnsi="宋体" w:cs="宋体"/>
          <w:sz w:val="24"/>
          <w:szCs w:val="24"/>
          <w:highlight w:val="none"/>
        </w:rPr>
        <w:t>53</w:t>
      </w:r>
      <w:r>
        <w:rPr>
          <w:rFonts w:hint="eastAsia" w:ascii="宋体" w:hAnsi="宋体" w:cs="宋体"/>
          <w:sz w:val="24"/>
          <w:szCs w:val="24"/>
          <w:highlight w:val="none"/>
        </w:rPr>
        <w:fldChar w:fldCharType="end"/>
      </w:r>
    </w:p>
    <w:p w14:paraId="3D9C72B7">
      <w:pPr>
        <w:pStyle w:val="49"/>
        <w:tabs>
          <w:tab w:val="right" w:leader="dot" w:pos="9600"/>
        </w:tabs>
        <w:spacing w:line="560" w:lineRule="exact"/>
        <w:ind w:left="480"/>
        <w:rPr>
          <w:rFonts w:ascii="宋体" w:hAnsi="宋体" w:cs="宋体"/>
          <w:kern w:val="2"/>
          <w:sz w:val="24"/>
          <w:szCs w:val="24"/>
          <w:highlight w:val="none"/>
        </w:rPr>
      </w:pPr>
      <w:r>
        <w:rPr>
          <w:rFonts w:hint="eastAsia" w:ascii="宋体" w:hAnsi="宋体" w:cs="宋体"/>
          <w:bCs/>
          <w:sz w:val="24"/>
          <w:szCs w:val="24"/>
          <w:highlight w:val="none"/>
        </w:rPr>
        <w:t>六、合同文件构成</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_Toc54862170 \h </w:instrText>
      </w:r>
      <w:r>
        <w:rPr>
          <w:rFonts w:hint="eastAsia" w:ascii="宋体" w:hAnsi="宋体" w:cs="宋体"/>
          <w:sz w:val="24"/>
          <w:szCs w:val="24"/>
          <w:highlight w:val="none"/>
        </w:rPr>
        <w:fldChar w:fldCharType="separate"/>
      </w:r>
      <w:r>
        <w:rPr>
          <w:rFonts w:ascii="宋体" w:hAnsi="宋体" w:cs="宋体"/>
          <w:sz w:val="24"/>
          <w:szCs w:val="24"/>
          <w:highlight w:val="none"/>
        </w:rPr>
        <w:t>53</w:t>
      </w:r>
      <w:r>
        <w:rPr>
          <w:rFonts w:hint="eastAsia" w:ascii="宋体" w:hAnsi="宋体" w:cs="宋体"/>
          <w:sz w:val="24"/>
          <w:szCs w:val="24"/>
          <w:highlight w:val="none"/>
        </w:rPr>
        <w:fldChar w:fldCharType="end"/>
      </w:r>
    </w:p>
    <w:p w14:paraId="73A8B1BE">
      <w:pPr>
        <w:pStyle w:val="49"/>
        <w:tabs>
          <w:tab w:val="right" w:leader="dot" w:pos="9600"/>
        </w:tabs>
        <w:spacing w:line="560" w:lineRule="exact"/>
        <w:ind w:left="480"/>
        <w:rPr>
          <w:rFonts w:ascii="宋体" w:hAnsi="宋体" w:cs="宋体"/>
          <w:kern w:val="2"/>
          <w:sz w:val="24"/>
          <w:szCs w:val="24"/>
          <w:highlight w:val="none"/>
        </w:rPr>
      </w:pPr>
      <w:r>
        <w:rPr>
          <w:rFonts w:hint="eastAsia" w:ascii="宋体" w:hAnsi="宋体" w:cs="宋体"/>
          <w:bCs/>
          <w:sz w:val="24"/>
          <w:szCs w:val="24"/>
          <w:highlight w:val="none"/>
        </w:rPr>
        <w:t>七、承诺</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_Toc54862171 \h </w:instrText>
      </w:r>
      <w:r>
        <w:rPr>
          <w:rFonts w:hint="eastAsia" w:ascii="宋体" w:hAnsi="宋体" w:cs="宋体"/>
          <w:sz w:val="24"/>
          <w:szCs w:val="24"/>
          <w:highlight w:val="none"/>
        </w:rPr>
        <w:fldChar w:fldCharType="separate"/>
      </w:r>
      <w:r>
        <w:rPr>
          <w:rFonts w:ascii="宋体" w:hAnsi="宋体" w:cs="宋体"/>
          <w:sz w:val="24"/>
          <w:szCs w:val="24"/>
          <w:highlight w:val="none"/>
        </w:rPr>
        <w:t>53</w:t>
      </w:r>
      <w:r>
        <w:rPr>
          <w:rFonts w:hint="eastAsia" w:ascii="宋体" w:hAnsi="宋体" w:cs="宋体"/>
          <w:sz w:val="24"/>
          <w:szCs w:val="24"/>
          <w:highlight w:val="none"/>
        </w:rPr>
        <w:fldChar w:fldCharType="end"/>
      </w:r>
    </w:p>
    <w:p w14:paraId="39CAAEF7">
      <w:pPr>
        <w:pStyle w:val="49"/>
        <w:tabs>
          <w:tab w:val="right" w:leader="dot" w:pos="9600"/>
        </w:tabs>
        <w:spacing w:line="560" w:lineRule="exact"/>
        <w:ind w:left="480"/>
        <w:rPr>
          <w:rFonts w:ascii="宋体" w:hAnsi="宋体" w:cs="宋体"/>
          <w:kern w:val="2"/>
          <w:sz w:val="24"/>
          <w:szCs w:val="24"/>
          <w:highlight w:val="none"/>
        </w:rPr>
      </w:pPr>
      <w:r>
        <w:rPr>
          <w:rFonts w:hint="eastAsia" w:ascii="宋体" w:hAnsi="宋体" w:cs="宋体"/>
          <w:bCs/>
          <w:sz w:val="24"/>
          <w:szCs w:val="24"/>
          <w:highlight w:val="none"/>
        </w:rPr>
        <w:t>八、订立时间</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_Toc54862172 \h </w:instrText>
      </w:r>
      <w:r>
        <w:rPr>
          <w:rFonts w:hint="eastAsia" w:ascii="宋体" w:hAnsi="宋体" w:cs="宋体"/>
          <w:sz w:val="24"/>
          <w:szCs w:val="24"/>
          <w:highlight w:val="none"/>
        </w:rPr>
        <w:fldChar w:fldCharType="separate"/>
      </w:r>
      <w:r>
        <w:rPr>
          <w:rFonts w:ascii="宋体" w:hAnsi="宋体" w:cs="宋体"/>
          <w:sz w:val="24"/>
          <w:szCs w:val="24"/>
          <w:highlight w:val="none"/>
        </w:rPr>
        <w:t>53</w:t>
      </w:r>
      <w:r>
        <w:rPr>
          <w:rFonts w:hint="eastAsia" w:ascii="宋体" w:hAnsi="宋体" w:cs="宋体"/>
          <w:sz w:val="24"/>
          <w:szCs w:val="24"/>
          <w:highlight w:val="none"/>
        </w:rPr>
        <w:fldChar w:fldCharType="end"/>
      </w:r>
    </w:p>
    <w:p w14:paraId="2705CC5A">
      <w:pPr>
        <w:pStyle w:val="49"/>
        <w:tabs>
          <w:tab w:val="right" w:leader="dot" w:pos="9600"/>
        </w:tabs>
        <w:spacing w:line="560" w:lineRule="exact"/>
        <w:ind w:left="480"/>
        <w:rPr>
          <w:rFonts w:ascii="宋体" w:hAnsi="宋体" w:cs="宋体"/>
          <w:kern w:val="2"/>
          <w:sz w:val="24"/>
          <w:szCs w:val="24"/>
          <w:highlight w:val="none"/>
        </w:rPr>
      </w:pPr>
      <w:r>
        <w:rPr>
          <w:rFonts w:hint="eastAsia" w:ascii="宋体" w:hAnsi="宋体" w:cs="宋体"/>
          <w:bCs/>
          <w:sz w:val="24"/>
          <w:szCs w:val="24"/>
          <w:highlight w:val="none"/>
        </w:rPr>
        <w:t>九、订立地点</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_Toc54862173 \h </w:instrText>
      </w:r>
      <w:r>
        <w:rPr>
          <w:rFonts w:hint="eastAsia" w:ascii="宋体" w:hAnsi="宋体" w:cs="宋体"/>
          <w:sz w:val="24"/>
          <w:szCs w:val="24"/>
          <w:highlight w:val="none"/>
        </w:rPr>
        <w:fldChar w:fldCharType="separate"/>
      </w:r>
      <w:r>
        <w:rPr>
          <w:rFonts w:ascii="宋体" w:hAnsi="宋体" w:cs="宋体"/>
          <w:sz w:val="24"/>
          <w:szCs w:val="24"/>
          <w:highlight w:val="none"/>
        </w:rPr>
        <w:t>53</w:t>
      </w:r>
      <w:r>
        <w:rPr>
          <w:rFonts w:hint="eastAsia" w:ascii="宋体" w:hAnsi="宋体" w:cs="宋体"/>
          <w:sz w:val="24"/>
          <w:szCs w:val="24"/>
          <w:highlight w:val="none"/>
        </w:rPr>
        <w:fldChar w:fldCharType="end"/>
      </w:r>
    </w:p>
    <w:p w14:paraId="0ECE466C">
      <w:pPr>
        <w:pStyle w:val="49"/>
        <w:tabs>
          <w:tab w:val="right" w:leader="dot" w:pos="9600"/>
        </w:tabs>
        <w:spacing w:line="560" w:lineRule="exact"/>
        <w:ind w:left="480"/>
        <w:rPr>
          <w:rFonts w:ascii="宋体" w:hAnsi="宋体" w:cs="宋体"/>
          <w:kern w:val="2"/>
          <w:sz w:val="24"/>
          <w:szCs w:val="24"/>
          <w:highlight w:val="none"/>
        </w:rPr>
      </w:pPr>
      <w:r>
        <w:rPr>
          <w:rFonts w:hint="eastAsia" w:ascii="宋体" w:hAnsi="宋体" w:cs="宋体"/>
          <w:bCs/>
          <w:sz w:val="24"/>
          <w:szCs w:val="24"/>
          <w:highlight w:val="none"/>
        </w:rPr>
        <w:t>十、合同生效</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_Toc54862174 \h </w:instrText>
      </w:r>
      <w:r>
        <w:rPr>
          <w:rFonts w:hint="eastAsia" w:ascii="宋体" w:hAnsi="宋体" w:cs="宋体"/>
          <w:sz w:val="24"/>
          <w:szCs w:val="24"/>
          <w:highlight w:val="none"/>
        </w:rPr>
        <w:fldChar w:fldCharType="separate"/>
      </w:r>
      <w:r>
        <w:rPr>
          <w:rFonts w:ascii="宋体" w:hAnsi="宋体" w:cs="宋体"/>
          <w:sz w:val="24"/>
          <w:szCs w:val="24"/>
          <w:highlight w:val="none"/>
        </w:rPr>
        <w:t>53</w:t>
      </w:r>
      <w:r>
        <w:rPr>
          <w:rFonts w:hint="eastAsia" w:ascii="宋体" w:hAnsi="宋体" w:cs="宋体"/>
          <w:sz w:val="24"/>
          <w:szCs w:val="24"/>
          <w:highlight w:val="none"/>
        </w:rPr>
        <w:fldChar w:fldCharType="end"/>
      </w:r>
    </w:p>
    <w:p w14:paraId="1EDBEC44">
      <w:pPr>
        <w:pStyle w:val="49"/>
        <w:tabs>
          <w:tab w:val="right" w:leader="dot" w:pos="9600"/>
        </w:tabs>
        <w:spacing w:line="560" w:lineRule="exact"/>
        <w:ind w:left="480"/>
        <w:rPr>
          <w:rFonts w:ascii="宋体" w:hAnsi="宋体" w:cs="宋体"/>
          <w:kern w:val="2"/>
          <w:sz w:val="24"/>
          <w:szCs w:val="24"/>
          <w:highlight w:val="none"/>
        </w:rPr>
      </w:pPr>
      <w:r>
        <w:rPr>
          <w:rFonts w:hint="eastAsia" w:ascii="宋体" w:hAnsi="宋体" w:cs="宋体"/>
          <w:bCs/>
          <w:sz w:val="24"/>
          <w:szCs w:val="24"/>
          <w:highlight w:val="none"/>
        </w:rPr>
        <w:t>十一、合同份数</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_Toc54862175 \h </w:instrText>
      </w:r>
      <w:r>
        <w:rPr>
          <w:rFonts w:hint="eastAsia" w:ascii="宋体" w:hAnsi="宋体" w:cs="宋体"/>
          <w:sz w:val="24"/>
          <w:szCs w:val="24"/>
          <w:highlight w:val="none"/>
        </w:rPr>
        <w:fldChar w:fldCharType="separate"/>
      </w:r>
      <w:r>
        <w:rPr>
          <w:rFonts w:ascii="宋体" w:hAnsi="宋体" w:cs="宋体"/>
          <w:sz w:val="24"/>
          <w:szCs w:val="24"/>
          <w:highlight w:val="none"/>
        </w:rPr>
        <w:t>54</w:t>
      </w:r>
      <w:r>
        <w:rPr>
          <w:rFonts w:hint="eastAsia" w:ascii="宋体" w:hAnsi="宋体" w:cs="宋体"/>
          <w:sz w:val="24"/>
          <w:szCs w:val="24"/>
          <w:highlight w:val="none"/>
        </w:rPr>
        <w:fldChar w:fldCharType="end"/>
      </w:r>
    </w:p>
    <w:p w14:paraId="1560B425">
      <w:pPr>
        <w:pStyle w:val="40"/>
        <w:tabs>
          <w:tab w:val="right" w:leader="dot" w:pos="9600"/>
        </w:tabs>
        <w:spacing w:before="0" w:after="0" w:line="560" w:lineRule="exact"/>
        <w:rPr>
          <w:rFonts w:ascii="宋体" w:hAnsi="宋体" w:cs="宋体"/>
          <w:sz w:val="24"/>
          <w:szCs w:val="24"/>
          <w:highlight w:val="none"/>
        </w:rPr>
      </w:pPr>
      <w:r>
        <w:rPr>
          <w:rFonts w:hint="eastAsia" w:ascii="宋体" w:hAnsi="宋体" w:cs="宋体"/>
          <w:sz w:val="24"/>
          <w:szCs w:val="24"/>
          <w:highlight w:val="none"/>
        </w:rPr>
        <w:t>第二部分  通用合同条件</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_Toc54862176 \h </w:instrText>
      </w:r>
      <w:r>
        <w:rPr>
          <w:rFonts w:hint="eastAsia" w:ascii="宋体" w:hAnsi="宋体" w:cs="宋体"/>
          <w:sz w:val="24"/>
          <w:szCs w:val="24"/>
          <w:highlight w:val="none"/>
        </w:rPr>
        <w:fldChar w:fldCharType="separate"/>
      </w:r>
      <w:r>
        <w:rPr>
          <w:rFonts w:ascii="宋体" w:hAnsi="宋体" w:cs="宋体"/>
          <w:sz w:val="24"/>
          <w:szCs w:val="24"/>
          <w:highlight w:val="none"/>
        </w:rPr>
        <w:t>55</w:t>
      </w:r>
      <w:r>
        <w:rPr>
          <w:rFonts w:hint="eastAsia" w:ascii="宋体" w:hAnsi="宋体" w:cs="宋体"/>
          <w:sz w:val="24"/>
          <w:szCs w:val="24"/>
          <w:highlight w:val="none"/>
        </w:rPr>
        <w:fldChar w:fldCharType="end"/>
      </w:r>
    </w:p>
    <w:p w14:paraId="2E11E298">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第1条 一般约定</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_Toc54862177 \h </w:instrText>
      </w:r>
      <w:r>
        <w:rPr>
          <w:rFonts w:hint="eastAsia" w:ascii="宋体" w:hAnsi="宋体" w:cs="宋体"/>
          <w:bCs/>
          <w:sz w:val="24"/>
          <w:szCs w:val="24"/>
          <w:highlight w:val="none"/>
        </w:rPr>
        <w:fldChar w:fldCharType="separate"/>
      </w:r>
      <w:r>
        <w:rPr>
          <w:rFonts w:ascii="宋体" w:hAnsi="宋体" w:cs="宋体"/>
          <w:bCs/>
          <w:sz w:val="24"/>
          <w:szCs w:val="24"/>
          <w:highlight w:val="none"/>
        </w:rPr>
        <w:t>55</w:t>
      </w:r>
      <w:r>
        <w:rPr>
          <w:rFonts w:hint="eastAsia" w:ascii="宋体" w:hAnsi="宋体" w:cs="宋体"/>
          <w:bCs/>
          <w:sz w:val="24"/>
          <w:szCs w:val="24"/>
          <w:highlight w:val="none"/>
        </w:rPr>
        <w:fldChar w:fldCharType="end"/>
      </w:r>
    </w:p>
    <w:p w14:paraId="2ADA7490">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第2条 发包人</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_Toc54862192 \h </w:instrText>
      </w:r>
      <w:r>
        <w:rPr>
          <w:rFonts w:hint="eastAsia" w:ascii="宋体" w:hAnsi="宋体" w:cs="宋体"/>
          <w:bCs/>
          <w:sz w:val="24"/>
          <w:szCs w:val="24"/>
          <w:highlight w:val="none"/>
        </w:rPr>
        <w:fldChar w:fldCharType="separate"/>
      </w:r>
      <w:r>
        <w:rPr>
          <w:rFonts w:ascii="宋体" w:hAnsi="宋体" w:cs="宋体"/>
          <w:bCs/>
          <w:sz w:val="24"/>
          <w:szCs w:val="24"/>
          <w:highlight w:val="none"/>
        </w:rPr>
        <w:t>65</w:t>
      </w:r>
      <w:r>
        <w:rPr>
          <w:rFonts w:hint="eastAsia" w:ascii="宋体" w:hAnsi="宋体" w:cs="宋体"/>
          <w:bCs/>
          <w:sz w:val="24"/>
          <w:szCs w:val="24"/>
          <w:highlight w:val="none"/>
        </w:rPr>
        <w:fldChar w:fldCharType="end"/>
      </w:r>
    </w:p>
    <w:p w14:paraId="2F137601">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第3条 发包人的管理</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_Toc54862203 \h </w:instrText>
      </w:r>
      <w:r>
        <w:rPr>
          <w:rFonts w:hint="eastAsia" w:ascii="宋体" w:hAnsi="宋体" w:cs="宋体"/>
          <w:bCs/>
          <w:sz w:val="24"/>
          <w:szCs w:val="24"/>
          <w:highlight w:val="none"/>
        </w:rPr>
        <w:fldChar w:fldCharType="separate"/>
      </w:r>
      <w:r>
        <w:rPr>
          <w:rFonts w:ascii="宋体" w:hAnsi="宋体" w:cs="宋体"/>
          <w:bCs/>
          <w:sz w:val="24"/>
          <w:szCs w:val="24"/>
          <w:highlight w:val="none"/>
        </w:rPr>
        <w:t>67</w:t>
      </w:r>
      <w:r>
        <w:rPr>
          <w:rFonts w:hint="eastAsia" w:ascii="宋体" w:hAnsi="宋体" w:cs="宋体"/>
          <w:bCs/>
          <w:sz w:val="24"/>
          <w:szCs w:val="24"/>
          <w:highlight w:val="none"/>
        </w:rPr>
        <w:fldChar w:fldCharType="end"/>
      </w:r>
    </w:p>
    <w:p w14:paraId="4F234944">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第4条 承包人</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_Toc54862211 \h </w:instrText>
      </w:r>
      <w:r>
        <w:rPr>
          <w:rFonts w:hint="eastAsia" w:ascii="宋体" w:hAnsi="宋体" w:cs="宋体"/>
          <w:bCs/>
          <w:sz w:val="24"/>
          <w:szCs w:val="24"/>
          <w:highlight w:val="none"/>
        </w:rPr>
        <w:fldChar w:fldCharType="separate"/>
      </w:r>
      <w:r>
        <w:rPr>
          <w:rFonts w:ascii="宋体" w:hAnsi="宋体" w:cs="宋体"/>
          <w:bCs/>
          <w:sz w:val="24"/>
          <w:szCs w:val="24"/>
          <w:highlight w:val="none"/>
        </w:rPr>
        <w:t>71</w:t>
      </w:r>
      <w:r>
        <w:rPr>
          <w:rFonts w:hint="eastAsia" w:ascii="宋体" w:hAnsi="宋体" w:cs="宋体"/>
          <w:bCs/>
          <w:sz w:val="24"/>
          <w:szCs w:val="24"/>
          <w:highlight w:val="none"/>
        </w:rPr>
        <w:fldChar w:fldCharType="end"/>
      </w:r>
    </w:p>
    <w:p w14:paraId="31594443">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第5条 设计</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_Toc54862221 \h </w:instrText>
      </w:r>
      <w:r>
        <w:rPr>
          <w:rFonts w:hint="eastAsia" w:ascii="宋体" w:hAnsi="宋体" w:cs="宋体"/>
          <w:bCs/>
          <w:sz w:val="24"/>
          <w:szCs w:val="24"/>
          <w:highlight w:val="none"/>
        </w:rPr>
        <w:fldChar w:fldCharType="separate"/>
      </w:r>
      <w:r>
        <w:rPr>
          <w:rFonts w:ascii="宋体" w:hAnsi="宋体" w:cs="宋体"/>
          <w:bCs/>
          <w:sz w:val="24"/>
          <w:szCs w:val="24"/>
          <w:highlight w:val="none"/>
        </w:rPr>
        <w:t>78</w:t>
      </w:r>
      <w:r>
        <w:rPr>
          <w:rFonts w:hint="eastAsia" w:ascii="宋体" w:hAnsi="宋体" w:cs="宋体"/>
          <w:bCs/>
          <w:sz w:val="24"/>
          <w:szCs w:val="24"/>
          <w:highlight w:val="none"/>
        </w:rPr>
        <w:fldChar w:fldCharType="end"/>
      </w:r>
    </w:p>
    <w:p w14:paraId="2FEECAAD">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第6条 材料、工程设备</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_Toc54862228 \h </w:instrText>
      </w:r>
      <w:r>
        <w:rPr>
          <w:rFonts w:hint="eastAsia" w:ascii="宋体" w:hAnsi="宋体" w:cs="宋体"/>
          <w:bCs/>
          <w:sz w:val="24"/>
          <w:szCs w:val="24"/>
          <w:highlight w:val="none"/>
        </w:rPr>
        <w:fldChar w:fldCharType="separate"/>
      </w:r>
      <w:r>
        <w:rPr>
          <w:rFonts w:ascii="宋体" w:hAnsi="宋体" w:cs="宋体"/>
          <w:bCs/>
          <w:sz w:val="24"/>
          <w:szCs w:val="24"/>
          <w:highlight w:val="none"/>
        </w:rPr>
        <w:t>81</w:t>
      </w:r>
      <w:r>
        <w:rPr>
          <w:rFonts w:hint="eastAsia" w:ascii="宋体" w:hAnsi="宋体" w:cs="宋体"/>
          <w:bCs/>
          <w:sz w:val="24"/>
          <w:szCs w:val="24"/>
          <w:highlight w:val="none"/>
        </w:rPr>
        <w:fldChar w:fldCharType="end"/>
      </w:r>
    </w:p>
    <w:p w14:paraId="5265011E">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第7条 施工</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_Toc54862235 \h </w:instrText>
      </w:r>
      <w:r>
        <w:rPr>
          <w:rFonts w:hint="eastAsia" w:ascii="宋体" w:hAnsi="宋体" w:cs="宋体"/>
          <w:bCs/>
          <w:sz w:val="24"/>
          <w:szCs w:val="24"/>
          <w:highlight w:val="none"/>
        </w:rPr>
        <w:fldChar w:fldCharType="separate"/>
      </w:r>
      <w:r>
        <w:rPr>
          <w:rFonts w:ascii="宋体" w:hAnsi="宋体" w:cs="宋体"/>
          <w:bCs/>
          <w:sz w:val="24"/>
          <w:szCs w:val="24"/>
          <w:highlight w:val="none"/>
        </w:rPr>
        <w:t>89</w:t>
      </w:r>
      <w:r>
        <w:rPr>
          <w:rFonts w:hint="eastAsia" w:ascii="宋体" w:hAnsi="宋体" w:cs="宋体"/>
          <w:bCs/>
          <w:sz w:val="24"/>
          <w:szCs w:val="24"/>
          <w:highlight w:val="none"/>
        </w:rPr>
        <w:fldChar w:fldCharType="end"/>
      </w:r>
    </w:p>
    <w:p w14:paraId="342E43F4">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第8条 工期和进度</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_Toc54862247 \h </w:instrText>
      </w:r>
      <w:r>
        <w:rPr>
          <w:rFonts w:hint="eastAsia" w:ascii="宋体" w:hAnsi="宋体" w:cs="宋体"/>
          <w:bCs/>
          <w:sz w:val="24"/>
          <w:szCs w:val="24"/>
          <w:highlight w:val="none"/>
        </w:rPr>
        <w:fldChar w:fldCharType="separate"/>
      </w:r>
      <w:r>
        <w:rPr>
          <w:rFonts w:ascii="宋体" w:hAnsi="宋体" w:cs="宋体"/>
          <w:bCs/>
          <w:sz w:val="24"/>
          <w:szCs w:val="24"/>
          <w:highlight w:val="none"/>
        </w:rPr>
        <w:t>97</w:t>
      </w:r>
      <w:r>
        <w:rPr>
          <w:rFonts w:hint="eastAsia" w:ascii="宋体" w:hAnsi="宋体" w:cs="宋体"/>
          <w:bCs/>
          <w:sz w:val="24"/>
          <w:szCs w:val="24"/>
          <w:highlight w:val="none"/>
        </w:rPr>
        <w:fldChar w:fldCharType="end"/>
      </w:r>
    </w:p>
    <w:p w14:paraId="79431376">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第9条 竣工试验</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_Toc54862258 \h </w:instrText>
      </w:r>
      <w:r>
        <w:rPr>
          <w:rFonts w:hint="eastAsia" w:ascii="宋体" w:hAnsi="宋体" w:cs="宋体"/>
          <w:bCs/>
          <w:sz w:val="24"/>
          <w:szCs w:val="24"/>
          <w:highlight w:val="none"/>
        </w:rPr>
        <w:fldChar w:fldCharType="separate"/>
      </w:r>
      <w:r>
        <w:rPr>
          <w:rFonts w:ascii="宋体" w:hAnsi="宋体" w:cs="宋体"/>
          <w:bCs/>
          <w:sz w:val="24"/>
          <w:szCs w:val="24"/>
          <w:highlight w:val="none"/>
        </w:rPr>
        <w:t>103</w:t>
      </w:r>
      <w:r>
        <w:rPr>
          <w:rFonts w:hint="eastAsia" w:ascii="宋体" w:hAnsi="宋体" w:cs="宋体"/>
          <w:bCs/>
          <w:sz w:val="24"/>
          <w:szCs w:val="24"/>
          <w:highlight w:val="none"/>
        </w:rPr>
        <w:fldChar w:fldCharType="end"/>
      </w:r>
    </w:p>
    <w:p w14:paraId="77B5F632">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第10条 验收和工程接收</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_Toc54862263 \h </w:instrText>
      </w:r>
      <w:r>
        <w:rPr>
          <w:rFonts w:hint="eastAsia" w:ascii="宋体" w:hAnsi="宋体" w:cs="宋体"/>
          <w:bCs/>
          <w:sz w:val="24"/>
          <w:szCs w:val="24"/>
          <w:highlight w:val="none"/>
        </w:rPr>
        <w:fldChar w:fldCharType="separate"/>
      </w:r>
      <w:r>
        <w:rPr>
          <w:rFonts w:ascii="宋体" w:hAnsi="宋体" w:cs="宋体"/>
          <w:bCs/>
          <w:sz w:val="24"/>
          <w:szCs w:val="24"/>
          <w:highlight w:val="none"/>
        </w:rPr>
        <w:t>105</w:t>
      </w:r>
      <w:r>
        <w:rPr>
          <w:rFonts w:hint="eastAsia" w:ascii="宋体" w:hAnsi="宋体" w:cs="宋体"/>
          <w:bCs/>
          <w:sz w:val="24"/>
          <w:szCs w:val="24"/>
          <w:highlight w:val="none"/>
        </w:rPr>
        <w:fldChar w:fldCharType="end"/>
      </w:r>
    </w:p>
    <w:p w14:paraId="76A3F2DB">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第11条 缺陷责任与保修</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_Toc54862269 \h </w:instrText>
      </w:r>
      <w:r>
        <w:rPr>
          <w:rFonts w:hint="eastAsia" w:ascii="宋体" w:hAnsi="宋体" w:cs="宋体"/>
          <w:bCs/>
          <w:sz w:val="24"/>
          <w:szCs w:val="24"/>
          <w:highlight w:val="none"/>
        </w:rPr>
        <w:fldChar w:fldCharType="separate"/>
      </w:r>
      <w:r>
        <w:rPr>
          <w:rFonts w:ascii="宋体" w:hAnsi="宋体" w:cs="宋体"/>
          <w:bCs/>
          <w:sz w:val="24"/>
          <w:szCs w:val="24"/>
          <w:highlight w:val="none"/>
        </w:rPr>
        <w:t>109</w:t>
      </w:r>
      <w:r>
        <w:rPr>
          <w:rFonts w:hint="eastAsia" w:ascii="宋体" w:hAnsi="宋体" w:cs="宋体"/>
          <w:bCs/>
          <w:sz w:val="24"/>
          <w:szCs w:val="24"/>
          <w:highlight w:val="none"/>
        </w:rPr>
        <w:fldChar w:fldCharType="end"/>
      </w:r>
    </w:p>
    <w:p w14:paraId="3F63D2D3">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第12条 竣工后试验</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_Toc54862277 \h </w:instrText>
      </w:r>
      <w:r>
        <w:rPr>
          <w:rFonts w:hint="eastAsia" w:ascii="宋体" w:hAnsi="宋体" w:cs="宋体"/>
          <w:bCs/>
          <w:sz w:val="24"/>
          <w:szCs w:val="24"/>
          <w:highlight w:val="none"/>
        </w:rPr>
        <w:fldChar w:fldCharType="separate"/>
      </w:r>
      <w:r>
        <w:rPr>
          <w:rFonts w:ascii="宋体" w:hAnsi="宋体" w:cs="宋体"/>
          <w:bCs/>
          <w:sz w:val="24"/>
          <w:szCs w:val="24"/>
          <w:highlight w:val="none"/>
        </w:rPr>
        <w:t>112</w:t>
      </w:r>
      <w:r>
        <w:rPr>
          <w:rFonts w:hint="eastAsia" w:ascii="宋体" w:hAnsi="宋体" w:cs="宋体"/>
          <w:bCs/>
          <w:sz w:val="24"/>
          <w:szCs w:val="24"/>
          <w:highlight w:val="none"/>
        </w:rPr>
        <w:fldChar w:fldCharType="end"/>
      </w:r>
    </w:p>
    <w:p w14:paraId="1A6AB828">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第13条 变更与调整</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_Toc54862282 \h </w:instrText>
      </w:r>
      <w:r>
        <w:rPr>
          <w:rFonts w:hint="eastAsia" w:ascii="宋体" w:hAnsi="宋体" w:cs="宋体"/>
          <w:bCs/>
          <w:sz w:val="24"/>
          <w:szCs w:val="24"/>
          <w:highlight w:val="none"/>
        </w:rPr>
        <w:fldChar w:fldCharType="separate"/>
      </w:r>
      <w:r>
        <w:rPr>
          <w:rFonts w:ascii="宋体" w:hAnsi="宋体" w:cs="宋体"/>
          <w:bCs/>
          <w:sz w:val="24"/>
          <w:szCs w:val="24"/>
          <w:highlight w:val="none"/>
        </w:rPr>
        <w:t>113</w:t>
      </w:r>
      <w:r>
        <w:rPr>
          <w:rFonts w:hint="eastAsia" w:ascii="宋体" w:hAnsi="宋体" w:cs="宋体"/>
          <w:bCs/>
          <w:sz w:val="24"/>
          <w:szCs w:val="24"/>
          <w:highlight w:val="none"/>
        </w:rPr>
        <w:fldChar w:fldCharType="end"/>
      </w:r>
    </w:p>
    <w:p w14:paraId="56EE4B0B">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第14条 合同价格与支付</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_Toc54862291 \h </w:instrText>
      </w:r>
      <w:r>
        <w:rPr>
          <w:rFonts w:hint="eastAsia" w:ascii="宋体" w:hAnsi="宋体" w:cs="宋体"/>
          <w:bCs/>
          <w:sz w:val="24"/>
          <w:szCs w:val="24"/>
          <w:highlight w:val="none"/>
        </w:rPr>
        <w:fldChar w:fldCharType="separate"/>
      </w:r>
      <w:r>
        <w:rPr>
          <w:rFonts w:ascii="宋体" w:hAnsi="宋体" w:cs="宋体"/>
          <w:bCs/>
          <w:sz w:val="24"/>
          <w:szCs w:val="24"/>
          <w:highlight w:val="none"/>
        </w:rPr>
        <w:t>122</w:t>
      </w:r>
      <w:r>
        <w:rPr>
          <w:rFonts w:hint="eastAsia" w:ascii="宋体" w:hAnsi="宋体" w:cs="宋体"/>
          <w:bCs/>
          <w:sz w:val="24"/>
          <w:szCs w:val="24"/>
          <w:highlight w:val="none"/>
        </w:rPr>
        <w:fldChar w:fldCharType="end"/>
      </w:r>
    </w:p>
    <w:p w14:paraId="41B830E1">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第15条 违约</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_Toc54862299 \h </w:instrText>
      </w:r>
      <w:r>
        <w:rPr>
          <w:rFonts w:hint="eastAsia" w:ascii="宋体" w:hAnsi="宋体" w:cs="宋体"/>
          <w:bCs/>
          <w:sz w:val="24"/>
          <w:szCs w:val="24"/>
          <w:highlight w:val="none"/>
        </w:rPr>
        <w:fldChar w:fldCharType="separate"/>
      </w:r>
      <w:r>
        <w:rPr>
          <w:rFonts w:ascii="宋体" w:hAnsi="宋体" w:cs="宋体"/>
          <w:bCs/>
          <w:sz w:val="24"/>
          <w:szCs w:val="24"/>
          <w:highlight w:val="none"/>
        </w:rPr>
        <w:t>129</w:t>
      </w:r>
      <w:r>
        <w:rPr>
          <w:rFonts w:hint="eastAsia" w:ascii="宋体" w:hAnsi="宋体" w:cs="宋体"/>
          <w:bCs/>
          <w:sz w:val="24"/>
          <w:szCs w:val="24"/>
          <w:highlight w:val="none"/>
        </w:rPr>
        <w:fldChar w:fldCharType="end"/>
      </w:r>
    </w:p>
    <w:p w14:paraId="7FC2CFB0">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第16条 合同解除</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_Toc54862303 \h </w:instrText>
      </w:r>
      <w:r>
        <w:rPr>
          <w:rFonts w:hint="eastAsia" w:ascii="宋体" w:hAnsi="宋体" w:cs="宋体"/>
          <w:bCs/>
          <w:sz w:val="24"/>
          <w:szCs w:val="24"/>
          <w:highlight w:val="none"/>
        </w:rPr>
        <w:fldChar w:fldCharType="separate"/>
      </w:r>
      <w:r>
        <w:rPr>
          <w:rFonts w:ascii="宋体" w:hAnsi="宋体" w:cs="宋体"/>
          <w:bCs/>
          <w:sz w:val="24"/>
          <w:szCs w:val="24"/>
          <w:highlight w:val="none"/>
        </w:rPr>
        <w:t>131</w:t>
      </w:r>
      <w:r>
        <w:rPr>
          <w:rFonts w:hint="eastAsia" w:ascii="宋体" w:hAnsi="宋体" w:cs="宋体"/>
          <w:bCs/>
          <w:sz w:val="24"/>
          <w:szCs w:val="24"/>
          <w:highlight w:val="none"/>
        </w:rPr>
        <w:fldChar w:fldCharType="end"/>
      </w:r>
    </w:p>
    <w:p w14:paraId="0A7F1133">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第17条 不可抗力</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_Toc54862307 \h </w:instrText>
      </w:r>
      <w:r>
        <w:rPr>
          <w:rFonts w:hint="eastAsia" w:ascii="宋体" w:hAnsi="宋体" w:cs="宋体"/>
          <w:bCs/>
          <w:sz w:val="24"/>
          <w:szCs w:val="24"/>
          <w:highlight w:val="none"/>
        </w:rPr>
        <w:fldChar w:fldCharType="separate"/>
      </w:r>
      <w:r>
        <w:rPr>
          <w:rFonts w:ascii="宋体" w:hAnsi="宋体" w:cs="宋体"/>
          <w:bCs/>
          <w:sz w:val="24"/>
          <w:szCs w:val="24"/>
          <w:highlight w:val="none"/>
        </w:rPr>
        <w:t>135</w:t>
      </w:r>
      <w:r>
        <w:rPr>
          <w:rFonts w:hint="eastAsia" w:ascii="宋体" w:hAnsi="宋体" w:cs="宋体"/>
          <w:bCs/>
          <w:sz w:val="24"/>
          <w:szCs w:val="24"/>
          <w:highlight w:val="none"/>
        </w:rPr>
        <w:fldChar w:fldCharType="end"/>
      </w:r>
    </w:p>
    <w:p w14:paraId="7A385AAC">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第18条 保险</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_Toc54862314 \h </w:instrText>
      </w:r>
      <w:r>
        <w:rPr>
          <w:rFonts w:hint="eastAsia" w:ascii="宋体" w:hAnsi="宋体" w:cs="宋体"/>
          <w:bCs/>
          <w:sz w:val="24"/>
          <w:szCs w:val="24"/>
          <w:highlight w:val="none"/>
        </w:rPr>
        <w:fldChar w:fldCharType="separate"/>
      </w:r>
      <w:r>
        <w:rPr>
          <w:rFonts w:ascii="宋体" w:hAnsi="宋体" w:cs="宋体"/>
          <w:bCs/>
          <w:sz w:val="24"/>
          <w:szCs w:val="24"/>
          <w:highlight w:val="none"/>
        </w:rPr>
        <w:t>138</w:t>
      </w:r>
      <w:r>
        <w:rPr>
          <w:rFonts w:hint="eastAsia" w:ascii="宋体" w:hAnsi="宋体" w:cs="宋体"/>
          <w:bCs/>
          <w:sz w:val="24"/>
          <w:szCs w:val="24"/>
          <w:highlight w:val="none"/>
        </w:rPr>
        <w:fldChar w:fldCharType="end"/>
      </w:r>
    </w:p>
    <w:p w14:paraId="1661D229">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第19条 索赔</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_Toc54862320 \h </w:instrText>
      </w:r>
      <w:r>
        <w:rPr>
          <w:rFonts w:hint="eastAsia" w:ascii="宋体" w:hAnsi="宋体" w:cs="宋体"/>
          <w:bCs/>
          <w:sz w:val="24"/>
          <w:szCs w:val="24"/>
          <w:highlight w:val="none"/>
        </w:rPr>
        <w:fldChar w:fldCharType="separate"/>
      </w:r>
      <w:r>
        <w:rPr>
          <w:rFonts w:ascii="宋体" w:hAnsi="宋体" w:cs="宋体"/>
          <w:bCs/>
          <w:sz w:val="24"/>
          <w:szCs w:val="24"/>
          <w:highlight w:val="none"/>
        </w:rPr>
        <w:t>139</w:t>
      </w:r>
      <w:r>
        <w:rPr>
          <w:rFonts w:hint="eastAsia" w:ascii="宋体" w:hAnsi="宋体" w:cs="宋体"/>
          <w:bCs/>
          <w:sz w:val="24"/>
          <w:szCs w:val="24"/>
          <w:highlight w:val="none"/>
        </w:rPr>
        <w:fldChar w:fldCharType="end"/>
      </w:r>
    </w:p>
    <w:p w14:paraId="75A6011A">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第20条 争议解决</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_Toc54862325 \h </w:instrText>
      </w:r>
      <w:r>
        <w:rPr>
          <w:rFonts w:hint="eastAsia" w:ascii="宋体" w:hAnsi="宋体" w:cs="宋体"/>
          <w:bCs/>
          <w:sz w:val="24"/>
          <w:szCs w:val="24"/>
          <w:highlight w:val="none"/>
        </w:rPr>
        <w:fldChar w:fldCharType="separate"/>
      </w:r>
      <w:r>
        <w:rPr>
          <w:rFonts w:ascii="宋体" w:hAnsi="宋体" w:cs="宋体"/>
          <w:bCs/>
          <w:sz w:val="24"/>
          <w:szCs w:val="24"/>
          <w:highlight w:val="none"/>
        </w:rPr>
        <w:t>141</w:t>
      </w:r>
      <w:r>
        <w:rPr>
          <w:rFonts w:hint="eastAsia" w:ascii="宋体" w:hAnsi="宋体" w:cs="宋体"/>
          <w:bCs/>
          <w:sz w:val="24"/>
          <w:szCs w:val="24"/>
          <w:highlight w:val="none"/>
        </w:rPr>
        <w:fldChar w:fldCharType="end"/>
      </w:r>
    </w:p>
    <w:p w14:paraId="4D4814B8">
      <w:pPr>
        <w:pStyle w:val="40"/>
        <w:tabs>
          <w:tab w:val="right" w:leader="dot" w:pos="9600"/>
        </w:tabs>
        <w:spacing w:before="0" w:after="0" w:line="560" w:lineRule="exact"/>
        <w:rPr>
          <w:rFonts w:ascii="宋体" w:hAnsi="宋体" w:cs="宋体"/>
          <w:sz w:val="24"/>
          <w:szCs w:val="24"/>
          <w:highlight w:val="none"/>
        </w:rPr>
      </w:pPr>
      <w:r>
        <w:rPr>
          <w:rFonts w:hint="eastAsia" w:ascii="宋体" w:hAnsi="宋体" w:cs="宋体"/>
          <w:sz w:val="24"/>
          <w:szCs w:val="24"/>
          <w:highlight w:val="none"/>
        </w:rPr>
        <w:t>第三部分  专用合同条件</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_Toc54862331 \h </w:instrText>
      </w:r>
      <w:r>
        <w:rPr>
          <w:rFonts w:hint="eastAsia" w:ascii="宋体" w:hAnsi="宋体" w:cs="宋体"/>
          <w:sz w:val="24"/>
          <w:szCs w:val="24"/>
          <w:highlight w:val="none"/>
        </w:rPr>
        <w:fldChar w:fldCharType="separate"/>
      </w:r>
      <w:r>
        <w:rPr>
          <w:rFonts w:ascii="宋体" w:hAnsi="宋体" w:cs="宋体"/>
          <w:sz w:val="24"/>
          <w:szCs w:val="24"/>
          <w:highlight w:val="none"/>
        </w:rPr>
        <w:t>45</w:t>
      </w:r>
      <w:r>
        <w:rPr>
          <w:rFonts w:hint="eastAsia" w:ascii="宋体" w:hAnsi="宋体" w:cs="宋体"/>
          <w:sz w:val="24"/>
          <w:szCs w:val="24"/>
          <w:highlight w:val="none"/>
        </w:rPr>
        <w:fldChar w:fldCharType="end"/>
      </w:r>
    </w:p>
    <w:p w14:paraId="67FCF6B8">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第1条 一般约定</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_Toc54862332 \h </w:instrText>
      </w:r>
      <w:r>
        <w:rPr>
          <w:rFonts w:hint="eastAsia" w:ascii="宋体" w:hAnsi="宋体" w:cs="宋体"/>
          <w:bCs/>
          <w:sz w:val="24"/>
          <w:szCs w:val="24"/>
          <w:highlight w:val="none"/>
        </w:rPr>
        <w:fldChar w:fldCharType="separate"/>
      </w:r>
      <w:r>
        <w:rPr>
          <w:rFonts w:ascii="宋体" w:hAnsi="宋体" w:cs="宋体"/>
          <w:bCs/>
          <w:sz w:val="24"/>
          <w:szCs w:val="24"/>
          <w:highlight w:val="none"/>
        </w:rPr>
        <w:t>144</w:t>
      </w:r>
      <w:r>
        <w:rPr>
          <w:rFonts w:hint="eastAsia" w:ascii="宋体" w:hAnsi="宋体" w:cs="宋体"/>
          <w:bCs/>
          <w:sz w:val="24"/>
          <w:szCs w:val="24"/>
          <w:highlight w:val="none"/>
        </w:rPr>
        <w:fldChar w:fldCharType="end"/>
      </w:r>
    </w:p>
    <w:p w14:paraId="0128CFD8">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第2条 发包人</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_Toc54862333 \h </w:instrText>
      </w:r>
      <w:r>
        <w:rPr>
          <w:rFonts w:hint="eastAsia" w:ascii="宋体" w:hAnsi="宋体" w:cs="宋体"/>
          <w:bCs/>
          <w:sz w:val="24"/>
          <w:szCs w:val="24"/>
          <w:highlight w:val="none"/>
        </w:rPr>
        <w:fldChar w:fldCharType="separate"/>
      </w:r>
      <w:r>
        <w:rPr>
          <w:rFonts w:ascii="宋体" w:hAnsi="宋体" w:cs="宋体"/>
          <w:bCs/>
          <w:sz w:val="24"/>
          <w:szCs w:val="24"/>
          <w:highlight w:val="none"/>
        </w:rPr>
        <w:t>148</w:t>
      </w:r>
      <w:r>
        <w:rPr>
          <w:rFonts w:hint="eastAsia" w:ascii="宋体" w:hAnsi="宋体" w:cs="宋体"/>
          <w:bCs/>
          <w:sz w:val="24"/>
          <w:szCs w:val="24"/>
          <w:highlight w:val="none"/>
        </w:rPr>
        <w:fldChar w:fldCharType="end"/>
      </w:r>
    </w:p>
    <w:p w14:paraId="04D8E44D">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第3条 发包人的管理</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_Toc54862334 \h </w:instrText>
      </w:r>
      <w:r>
        <w:rPr>
          <w:rFonts w:hint="eastAsia" w:ascii="宋体" w:hAnsi="宋体" w:cs="宋体"/>
          <w:bCs/>
          <w:sz w:val="24"/>
          <w:szCs w:val="24"/>
          <w:highlight w:val="none"/>
        </w:rPr>
        <w:fldChar w:fldCharType="separate"/>
      </w:r>
      <w:r>
        <w:rPr>
          <w:rFonts w:ascii="宋体" w:hAnsi="宋体" w:cs="宋体"/>
          <w:bCs/>
          <w:sz w:val="24"/>
          <w:szCs w:val="24"/>
          <w:highlight w:val="none"/>
        </w:rPr>
        <w:t>149</w:t>
      </w:r>
      <w:r>
        <w:rPr>
          <w:rFonts w:hint="eastAsia" w:ascii="宋体" w:hAnsi="宋体" w:cs="宋体"/>
          <w:bCs/>
          <w:sz w:val="24"/>
          <w:szCs w:val="24"/>
          <w:highlight w:val="none"/>
        </w:rPr>
        <w:fldChar w:fldCharType="end"/>
      </w:r>
    </w:p>
    <w:p w14:paraId="784FEB9C">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第4条 承包人</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_Toc54862335 \h </w:instrText>
      </w:r>
      <w:r>
        <w:rPr>
          <w:rFonts w:hint="eastAsia" w:ascii="宋体" w:hAnsi="宋体" w:cs="宋体"/>
          <w:bCs/>
          <w:sz w:val="24"/>
          <w:szCs w:val="24"/>
          <w:highlight w:val="none"/>
        </w:rPr>
        <w:fldChar w:fldCharType="separate"/>
      </w:r>
      <w:r>
        <w:rPr>
          <w:rFonts w:ascii="宋体" w:hAnsi="宋体" w:cs="宋体"/>
          <w:bCs/>
          <w:sz w:val="24"/>
          <w:szCs w:val="24"/>
          <w:highlight w:val="none"/>
        </w:rPr>
        <w:t>150</w:t>
      </w:r>
      <w:r>
        <w:rPr>
          <w:rFonts w:hint="eastAsia" w:ascii="宋体" w:hAnsi="宋体" w:cs="宋体"/>
          <w:bCs/>
          <w:sz w:val="24"/>
          <w:szCs w:val="24"/>
          <w:highlight w:val="none"/>
        </w:rPr>
        <w:fldChar w:fldCharType="end"/>
      </w:r>
    </w:p>
    <w:p w14:paraId="62B4F7DB">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第5条 设计</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_Toc54862336 \h </w:instrText>
      </w:r>
      <w:r>
        <w:rPr>
          <w:rFonts w:hint="eastAsia" w:ascii="宋体" w:hAnsi="宋体" w:cs="宋体"/>
          <w:bCs/>
          <w:sz w:val="24"/>
          <w:szCs w:val="24"/>
          <w:highlight w:val="none"/>
        </w:rPr>
        <w:fldChar w:fldCharType="separate"/>
      </w:r>
      <w:r>
        <w:rPr>
          <w:rFonts w:ascii="宋体" w:hAnsi="宋体" w:cs="宋体"/>
          <w:bCs/>
          <w:sz w:val="24"/>
          <w:szCs w:val="24"/>
          <w:highlight w:val="none"/>
        </w:rPr>
        <w:t>161</w:t>
      </w:r>
      <w:r>
        <w:rPr>
          <w:rFonts w:hint="eastAsia" w:ascii="宋体" w:hAnsi="宋体" w:cs="宋体"/>
          <w:bCs/>
          <w:sz w:val="24"/>
          <w:szCs w:val="24"/>
          <w:highlight w:val="none"/>
        </w:rPr>
        <w:fldChar w:fldCharType="end"/>
      </w:r>
    </w:p>
    <w:p w14:paraId="32651583">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第6条 材料、工程设备</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_Toc54862337 \h </w:instrText>
      </w:r>
      <w:r>
        <w:rPr>
          <w:rFonts w:hint="eastAsia" w:ascii="宋体" w:hAnsi="宋体" w:cs="宋体"/>
          <w:bCs/>
          <w:sz w:val="24"/>
          <w:szCs w:val="24"/>
          <w:highlight w:val="none"/>
        </w:rPr>
        <w:fldChar w:fldCharType="separate"/>
      </w:r>
      <w:r>
        <w:rPr>
          <w:rFonts w:ascii="宋体" w:hAnsi="宋体" w:cs="宋体"/>
          <w:bCs/>
          <w:sz w:val="24"/>
          <w:szCs w:val="24"/>
          <w:highlight w:val="none"/>
        </w:rPr>
        <w:t>162</w:t>
      </w:r>
      <w:r>
        <w:rPr>
          <w:rFonts w:hint="eastAsia" w:ascii="宋体" w:hAnsi="宋体" w:cs="宋体"/>
          <w:bCs/>
          <w:sz w:val="24"/>
          <w:szCs w:val="24"/>
          <w:highlight w:val="none"/>
        </w:rPr>
        <w:fldChar w:fldCharType="end"/>
      </w:r>
    </w:p>
    <w:p w14:paraId="5DEC2C95">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第7条 施工</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_Toc54862338 \h </w:instrText>
      </w:r>
      <w:r>
        <w:rPr>
          <w:rFonts w:hint="eastAsia" w:ascii="宋体" w:hAnsi="宋体" w:cs="宋体"/>
          <w:bCs/>
          <w:sz w:val="24"/>
          <w:szCs w:val="24"/>
          <w:highlight w:val="none"/>
        </w:rPr>
        <w:fldChar w:fldCharType="separate"/>
      </w:r>
      <w:r>
        <w:rPr>
          <w:rFonts w:ascii="宋体" w:hAnsi="宋体" w:cs="宋体"/>
          <w:bCs/>
          <w:sz w:val="24"/>
          <w:szCs w:val="24"/>
          <w:highlight w:val="none"/>
        </w:rPr>
        <w:t>165</w:t>
      </w:r>
      <w:r>
        <w:rPr>
          <w:rFonts w:hint="eastAsia" w:ascii="宋体" w:hAnsi="宋体" w:cs="宋体"/>
          <w:bCs/>
          <w:sz w:val="24"/>
          <w:szCs w:val="24"/>
          <w:highlight w:val="none"/>
        </w:rPr>
        <w:fldChar w:fldCharType="end"/>
      </w:r>
    </w:p>
    <w:p w14:paraId="7C230FBA">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第8条 工期和进度</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_Toc54862339 \h </w:instrText>
      </w:r>
      <w:r>
        <w:rPr>
          <w:rFonts w:hint="eastAsia" w:ascii="宋体" w:hAnsi="宋体" w:cs="宋体"/>
          <w:bCs/>
          <w:sz w:val="24"/>
          <w:szCs w:val="24"/>
          <w:highlight w:val="none"/>
        </w:rPr>
        <w:fldChar w:fldCharType="separate"/>
      </w:r>
      <w:r>
        <w:rPr>
          <w:rFonts w:ascii="宋体" w:hAnsi="宋体" w:cs="宋体"/>
          <w:bCs/>
          <w:sz w:val="24"/>
          <w:szCs w:val="24"/>
          <w:highlight w:val="none"/>
        </w:rPr>
        <w:t>167</w:t>
      </w:r>
      <w:r>
        <w:rPr>
          <w:rFonts w:hint="eastAsia" w:ascii="宋体" w:hAnsi="宋体" w:cs="宋体"/>
          <w:bCs/>
          <w:sz w:val="24"/>
          <w:szCs w:val="24"/>
          <w:highlight w:val="none"/>
        </w:rPr>
        <w:fldChar w:fldCharType="end"/>
      </w:r>
    </w:p>
    <w:p w14:paraId="2FBA16CD">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第9条 竣工试验</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_Toc54862340 \h </w:instrText>
      </w:r>
      <w:r>
        <w:rPr>
          <w:rFonts w:hint="eastAsia" w:ascii="宋体" w:hAnsi="宋体" w:cs="宋体"/>
          <w:bCs/>
          <w:sz w:val="24"/>
          <w:szCs w:val="24"/>
          <w:highlight w:val="none"/>
        </w:rPr>
        <w:fldChar w:fldCharType="separate"/>
      </w:r>
      <w:r>
        <w:rPr>
          <w:rFonts w:ascii="宋体" w:hAnsi="宋体" w:cs="宋体"/>
          <w:bCs/>
          <w:sz w:val="24"/>
          <w:szCs w:val="24"/>
          <w:highlight w:val="none"/>
        </w:rPr>
        <w:t>169</w:t>
      </w:r>
      <w:r>
        <w:rPr>
          <w:rFonts w:hint="eastAsia" w:ascii="宋体" w:hAnsi="宋体" w:cs="宋体"/>
          <w:bCs/>
          <w:sz w:val="24"/>
          <w:szCs w:val="24"/>
          <w:highlight w:val="none"/>
        </w:rPr>
        <w:fldChar w:fldCharType="end"/>
      </w:r>
    </w:p>
    <w:p w14:paraId="62274B55">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第10条 验收和工程接收</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_Toc54862341 \h </w:instrText>
      </w:r>
      <w:r>
        <w:rPr>
          <w:rFonts w:hint="eastAsia" w:ascii="宋体" w:hAnsi="宋体" w:cs="宋体"/>
          <w:bCs/>
          <w:sz w:val="24"/>
          <w:szCs w:val="24"/>
          <w:highlight w:val="none"/>
        </w:rPr>
        <w:fldChar w:fldCharType="separate"/>
      </w:r>
      <w:r>
        <w:rPr>
          <w:rFonts w:ascii="宋体" w:hAnsi="宋体" w:cs="宋体"/>
          <w:bCs/>
          <w:sz w:val="24"/>
          <w:szCs w:val="24"/>
          <w:highlight w:val="none"/>
        </w:rPr>
        <w:t>169</w:t>
      </w:r>
      <w:r>
        <w:rPr>
          <w:rFonts w:hint="eastAsia" w:ascii="宋体" w:hAnsi="宋体" w:cs="宋体"/>
          <w:bCs/>
          <w:sz w:val="24"/>
          <w:szCs w:val="24"/>
          <w:highlight w:val="none"/>
        </w:rPr>
        <w:fldChar w:fldCharType="end"/>
      </w:r>
    </w:p>
    <w:p w14:paraId="5B887362">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第11条 缺陷责任与保修</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_Toc54862342 \h </w:instrText>
      </w:r>
      <w:r>
        <w:rPr>
          <w:rFonts w:hint="eastAsia" w:ascii="宋体" w:hAnsi="宋体" w:cs="宋体"/>
          <w:bCs/>
          <w:sz w:val="24"/>
          <w:szCs w:val="24"/>
          <w:highlight w:val="none"/>
        </w:rPr>
        <w:fldChar w:fldCharType="separate"/>
      </w:r>
      <w:r>
        <w:rPr>
          <w:rFonts w:ascii="宋体" w:hAnsi="宋体" w:cs="宋体"/>
          <w:bCs/>
          <w:sz w:val="24"/>
          <w:szCs w:val="24"/>
          <w:highlight w:val="none"/>
        </w:rPr>
        <w:t>170</w:t>
      </w:r>
      <w:r>
        <w:rPr>
          <w:rFonts w:hint="eastAsia" w:ascii="宋体" w:hAnsi="宋体" w:cs="宋体"/>
          <w:bCs/>
          <w:sz w:val="24"/>
          <w:szCs w:val="24"/>
          <w:highlight w:val="none"/>
        </w:rPr>
        <w:fldChar w:fldCharType="end"/>
      </w:r>
    </w:p>
    <w:p w14:paraId="3FC3EC21">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第12条 竣工后试验</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_Toc54862343 \h </w:instrText>
      </w:r>
      <w:r>
        <w:rPr>
          <w:rFonts w:hint="eastAsia" w:ascii="宋体" w:hAnsi="宋体" w:cs="宋体"/>
          <w:bCs/>
          <w:sz w:val="24"/>
          <w:szCs w:val="24"/>
          <w:highlight w:val="none"/>
        </w:rPr>
        <w:fldChar w:fldCharType="separate"/>
      </w:r>
      <w:r>
        <w:rPr>
          <w:rFonts w:ascii="宋体" w:hAnsi="宋体" w:cs="宋体"/>
          <w:bCs/>
          <w:sz w:val="24"/>
          <w:szCs w:val="24"/>
          <w:highlight w:val="none"/>
        </w:rPr>
        <w:t>171</w:t>
      </w:r>
      <w:r>
        <w:rPr>
          <w:rFonts w:hint="eastAsia" w:ascii="宋体" w:hAnsi="宋体" w:cs="宋体"/>
          <w:bCs/>
          <w:sz w:val="24"/>
          <w:szCs w:val="24"/>
          <w:highlight w:val="none"/>
        </w:rPr>
        <w:fldChar w:fldCharType="end"/>
      </w:r>
    </w:p>
    <w:p w14:paraId="1CA36306">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第13条 变更与调整</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_Toc54862344 \h </w:instrText>
      </w:r>
      <w:r>
        <w:rPr>
          <w:rFonts w:hint="eastAsia" w:ascii="宋体" w:hAnsi="宋体" w:cs="宋体"/>
          <w:bCs/>
          <w:sz w:val="24"/>
          <w:szCs w:val="24"/>
          <w:highlight w:val="none"/>
        </w:rPr>
        <w:fldChar w:fldCharType="separate"/>
      </w:r>
      <w:r>
        <w:rPr>
          <w:rFonts w:ascii="宋体" w:hAnsi="宋体" w:cs="宋体"/>
          <w:bCs/>
          <w:sz w:val="24"/>
          <w:szCs w:val="24"/>
          <w:highlight w:val="none"/>
        </w:rPr>
        <w:t>171</w:t>
      </w:r>
      <w:r>
        <w:rPr>
          <w:rFonts w:hint="eastAsia" w:ascii="宋体" w:hAnsi="宋体" w:cs="宋体"/>
          <w:bCs/>
          <w:sz w:val="24"/>
          <w:szCs w:val="24"/>
          <w:highlight w:val="none"/>
        </w:rPr>
        <w:fldChar w:fldCharType="end"/>
      </w:r>
    </w:p>
    <w:p w14:paraId="69F0316C">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第14条 合同价格与支付</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_Toc54862345 \h </w:instrText>
      </w:r>
      <w:r>
        <w:rPr>
          <w:rFonts w:hint="eastAsia" w:ascii="宋体" w:hAnsi="宋体" w:cs="宋体"/>
          <w:bCs/>
          <w:sz w:val="24"/>
          <w:szCs w:val="24"/>
          <w:highlight w:val="none"/>
        </w:rPr>
        <w:fldChar w:fldCharType="separate"/>
      </w:r>
      <w:r>
        <w:rPr>
          <w:rFonts w:ascii="宋体" w:hAnsi="宋体" w:cs="宋体"/>
          <w:bCs/>
          <w:sz w:val="24"/>
          <w:szCs w:val="24"/>
          <w:highlight w:val="none"/>
        </w:rPr>
        <w:t>176</w:t>
      </w:r>
      <w:r>
        <w:rPr>
          <w:rFonts w:hint="eastAsia" w:ascii="宋体" w:hAnsi="宋体" w:cs="宋体"/>
          <w:bCs/>
          <w:sz w:val="24"/>
          <w:szCs w:val="24"/>
          <w:highlight w:val="none"/>
        </w:rPr>
        <w:fldChar w:fldCharType="end"/>
      </w:r>
    </w:p>
    <w:p w14:paraId="00273902">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第15条 违约</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_Toc54862346 \h </w:instrText>
      </w:r>
      <w:r>
        <w:rPr>
          <w:rFonts w:hint="eastAsia" w:ascii="宋体" w:hAnsi="宋体" w:cs="宋体"/>
          <w:bCs/>
          <w:sz w:val="24"/>
          <w:szCs w:val="24"/>
          <w:highlight w:val="none"/>
        </w:rPr>
        <w:fldChar w:fldCharType="separate"/>
      </w:r>
      <w:r>
        <w:rPr>
          <w:rFonts w:ascii="宋体" w:hAnsi="宋体" w:cs="宋体"/>
          <w:bCs/>
          <w:sz w:val="24"/>
          <w:szCs w:val="24"/>
          <w:highlight w:val="none"/>
        </w:rPr>
        <w:t>184</w:t>
      </w:r>
      <w:r>
        <w:rPr>
          <w:rFonts w:hint="eastAsia" w:ascii="宋体" w:hAnsi="宋体" w:cs="宋体"/>
          <w:bCs/>
          <w:sz w:val="24"/>
          <w:szCs w:val="24"/>
          <w:highlight w:val="none"/>
        </w:rPr>
        <w:fldChar w:fldCharType="end"/>
      </w:r>
    </w:p>
    <w:p w14:paraId="29BCB083">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第16条 合同解除</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_Toc54862347 \h </w:instrText>
      </w:r>
      <w:r>
        <w:rPr>
          <w:rFonts w:hint="eastAsia" w:ascii="宋体" w:hAnsi="宋体" w:cs="宋体"/>
          <w:bCs/>
          <w:sz w:val="24"/>
          <w:szCs w:val="24"/>
          <w:highlight w:val="none"/>
        </w:rPr>
        <w:fldChar w:fldCharType="separate"/>
      </w:r>
      <w:r>
        <w:rPr>
          <w:rFonts w:ascii="宋体" w:hAnsi="宋体" w:cs="宋体"/>
          <w:bCs/>
          <w:sz w:val="24"/>
          <w:szCs w:val="24"/>
          <w:highlight w:val="none"/>
        </w:rPr>
        <w:t>185</w:t>
      </w:r>
      <w:r>
        <w:rPr>
          <w:rFonts w:hint="eastAsia" w:ascii="宋体" w:hAnsi="宋体" w:cs="宋体"/>
          <w:bCs/>
          <w:sz w:val="24"/>
          <w:szCs w:val="24"/>
          <w:highlight w:val="none"/>
        </w:rPr>
        <w:fldChar w:fldCharType="end"/>
      </w:r>
    </w:p>
    <w:p w14:paraId="21D6EA83">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第17条 不可抗力</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_Toc54862348 \h </w:instrText>
      </w:r>
      <w:r>
        <w:rPr>
          <w:rFonts w:hint="eastAsia" w:ascii="宋体" w:hAnsi="宋体" w:cs="宋体"/>
          <w:bCs/>
          <w:sz w:val="24"/>
          <w:szCs w:val="24"/>
          <w:highlight w:val="none"/>
        </w:rPr>
        <w:fldChar w:fldCharType="separate"/>
      </w:r>
      <w:r>
        <w:rPr>
          <w:rFonts w:ascii="宋体" w:hAnsi="宋体" w:cs="宋体"/>
          <w:bCs/>
          <w:sz w:val="24"/>
          <w:szCs w:val="24"/>
          <w:highlight w:val="none"/>
        </w:rPr>
        <w:t>185</w:t>
      </w:r>
      <w:r>
        <w:rPr>
          <w:rFonts w:hint="eastAsia" w:ascii="宋体" w:hAnsi="宋体" w:cs="宋体"/>
          <w:bCs/>
          <w:sz w:val="24"/>
          <w:szCs w:val="24"/>
          <w:highlight w:val="none"/>
        </w:rPr>
        <w:fldChar w:fldCharType="end"/>
      </w:r>
    </w:p>
    <w:p w14:paraId="41B726E5">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第18条 保险</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_Toc54862349 \h </w:instrText>
      </w:r>
      <w:r>
        <w:rPr>
          <w:rFonts w:hint="eastAsia" w:ascii="宋体" w:hAnsi="宋体" w:cs="宋体"/>
          <w:bCs/>
          <w:sz w:val="24"/>
          <w:szCs w:val="24"/>
          <w:highlight w:val="none"/>
        </w:rPr>
        <w:fldChar w:fldCharType="separate"/>
      </w:r>
      <w:r>
        <w:rPr>
          <w:rFonts w:ascii="宋体" w:hAnsi="宋体" w:cs="宋体"/>
          <w:bCs/>
          <w:sz w:val="24"/>
          <w:szCs w:val="24"/>
          <w:highlight w:val="none"/>
        </w:rPr>
        <w:t>186</w:t>
      </w:r>
      <w:r>
        <w:rPr>
          <w:rFonts w:hint="eastAsia" w:ascii="宋体" w:hAnsi="宋体" w:cs="宋体"/>
          <w:bCs/>
          <w:sz w:val="24"/>
          <w:szCs w:val="24"/>
          <w:highlight w:val="none"/>
        </w:rPr>
        <w:fldChar w:fldCharType="end"/>
      </w:r>
    </w:p>
    <w:p w14:paraId="6566FEDF">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第20条 争议解决</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_Toc54862350 \h </w:instrText>
      </w:r>
      <w:r>
        <w:rPr>
          <w:rFonts w:hint="eastAsia" w:ascii="宋体" w:hAnsi="宋体" w:cs="宋体"/>
          <w:bCs/>
          <w:sz w:val="24"/>
          <w:szCs w:val="24"/>
          <w:highlight w:val="none"/>
        </w:rPr>
        <w:fldChar w:fldCharType="separate"/>
      </w:r>
      <w:r>
        <w:rPr>
          <w:rFonts w:ascii="宋体" w:hAnsi="宋体" w:cs="宋体"/>
          <w:bCs/>
          <w:sz w:val="24"/>
          <w:szCs w:val="24"/>
          <w:highlight w:val="none"/>
        </w:rPr>
        <w:t>187</w:t>
      </w:r>
      <w:r>
        <w:rPr>
          <w:rFonts w:hint="eastAsia" w:ascii="宋体" w:hAnsi="宋体" w:cs="宋体"/>
          <w:bCs/>
          <w:sz w:val="24"/>
          <w:szCs w:val="24"/>
          <w:highlight w:val="none"/>
        </w:rPr>
        <w:fldChar w:fldCharType="end"/>
      </w:r>
    </w:p>
    <w:p w14:paraId="3307DCF4">
      <w:pPr>
        <w:pStyle w:val="49"/>
        <w:tabs>
          <w:tab w:val="right" w:leader="dot" w:pos="9600"/>
        </w:tabs>
        <w:spacing w:line="560" w:lineRule="exact"/>
        <w:ind w:left="480"/>
        <w:rPr>
          <w:rFonts w:ascii="宋体" w:hAnsi="宋体" w:cs="宋体"/>
          <w:bCs/>
          <w:sz w:val="24"/>
          <w:szCs w:val="24"/>
          <w:highlight w:val="none"/>
        </w:rPr>
      </w:pPr>
      <w:r>
        <w:rPr>
          <w:rFonts w:hint="eastAsia" w:ascii="宋体" w:hAnsi="宋体" w:cs="宋体"/>
          <w:bCs/>
          <w:sz w:val="24"/>
          <w:szCs w:val="24"/>
          <w:highlight w:val="none"/>
        </w:rPr>
        <w:t>第21条 补充条款</w:t>
      </w:r>
      <w:r>
        <w:rPr>
          <w:rFonts w:hint="eastAsia" w:ascii="宋体" w:hAnsi="宋体" w:cs="宋体"/>
          <w:bCs/>
          <w:sz w:val="24"/>
          <w:szCs w:val="24"/>
          <w:highlight w:val="none"/>
        </w:rPr>
        <w:tab/>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PAGEREF _Toc54862350 \h </w:instrText>
      </w:r>
      <w:r>
        <w:rPr>
          <w:rFonts w:hint="eastAsia" w:ascii="宋体" w:hAnsi="宋体" w:cs="宋体"/>
          <w:bCs/>
          <w:sz w:val="24"/>
          <w:szCs w:val="24"/>
          <w:highlight w:val="none"/>
        </w:rPr>
        <w:fldChar w:fldCharType="separate"/>
      </w:r>
      <w:r>
        <w:rPr>
          <w:rFonts w:ascii="宋体" w:hAnsi="宋体" w:cs="宋体"/>
          <w:bCs/>
          <w:sz w:val="24"/>
          <w:szCs w:val="24"/>
          <w:highlight w:val="none"/>
        </w:rPr>
        <w:t>188</w:t>
      </w:r>
      <w:r>
        <w:rPr>
          <w:rFonts w:hint="eastAsia" w:ascii="宋体" w:hAnsi="宋体" w:cs="宋体"/>
          <w:bCs/>
          <w:sz w:val="24"/>
          <w:szCs w:val="24"/>
          <w:highlight w:val="none"/>
        </w:rPr>
        <w:fldChar w:fldCharType="end"/>
      </w:r>
    </w:p>
    <w:p w14:paraId="67F2276A">
      <w:pPr>
        <w:rPr>
          <w:highlight w:val="none"/>
        </w:rPr>
      </w:pPr>
    </w:p>
    <w:p w14:paraId="47A24195">
      <w:pPr>
        <w:spacing w:line="560" w:lineRule="exact"/>
        <w:rPr>
          <w:rFonts w:asciiTheme="majorEastAsia" w:hAnsiTheme="majorEastAsia" w:eastAsiaTheme="majorEastAsia"/>
          <w:highlight w:val="none"/>
        </w:rPr>
      </w:pPr>
      <w:r>
        <w:rPr>
          <w:rFonts w:hint="eastAsia" w:ascii="宋体" w:hAnsi="宋体" w:cs="宋体"/>
          <w:highlight w:val="none"/>
        </w:rPr>
        <w:fldChar w:fldCharType="end"/>
      </w:r>
    </w:p>
    <w:p w14:paraId="48660031">
      <w:pPr>
        <w:rPr>
          <w:rFonts w:asciiTheme="majorEastAsia" w:hAnsiTheme="majorEastAsia" w:eastAsiaTheme="majorEastAsia"/>
          <w:highlight w:val="none"/>
        </w:rPr>
      </w:pPr>
      <w:r>
        <w:rPr>
          <w:rFonts w:asciiTheme="majorEastAsia" w:hAnsiTheme="majorEastAsia" w:eastAsiaTheme="majorEastAsia"/>
          <w:highlight w:val="none"/>
        </w:rPr>
        <w:br w:type="page"/>
      </w:r>
    </w:p>
    <w:p w14:paraId="5AFE0BD9">
      <w:pPr>
        <w:pStyle w:val="23"/>
        <w:rPr>
          <w:highlight w:val="none"/>
        </w:rPr>
      </w:pPr>
    </w:p>
    <w:p w14:paraId="5A3DEB65">
      <w:pPr>
        <w:pStyle w:val="3"/>
        <w:spacing w:before="120" w:after="120" w:afterLines="50" w:line="700" w:lineRule="exact"/>
        <w:ind w:hanging="65"/>
        <w:jc w:val="center"/>
        <w:rPr>
          <w:rFonts w:asciiTheme="majorEastAsia" w:hAnsiTheme="majorEastAsia" w:eastAsiaTheme="majorEastAsia"/>
          <w:sz w:val="44"/>
          <w:szCs w:val="44"/>
          <w:highlight w:val="none"/>
        </w:rPr>
      </w:pPr>
      <w:r>
        <w:rPr>
          <w:rFonts w:hint="eastAsia" w:asciiTheme="majorEastAsia" w:hAnsiTheme="majorEastAsia" w:eastAsiaTheme="majorEastAsia"/>
          <w:sz w:val="44"/>
          <w:szCs w:val="44"/>
          <w:highlight w:val="none"/>
        </w:rPr>
        <w:t>第一部分</w:t>
      </w:r>
      <w:r>
        <w:rPr>
          <w:rFonts w:asciiTheme="majorEastAsia" w:hAnsiTheme="majorEastAsia" w:eastAsiaTheme="majorEastAsia"/>
          <w:sz w:val="44"/>
          <w:szCs w:val="44"/>
          <w:highlight w:val="none"/>
        </w:rPr>
        <w:t xml:space="preserve"> </w:t>
      </w:r>
      <w:r>
        <w:rPr>
          <w:rFonts w:hint="eastAsia" w:asciiTheme="majorEastAsia" w:hAnsiTheme="majorEastAsia" w:eastAsiaTheme="majorEastAsia"/>
          <w:sz w:val="44"/>
          <w:szCs w:val="44"/>
          <w:highlight w:val="none"/>
        </w:rPr>
        <w:t xml:space="preserve"> 合同协议书</w:t>
      </w:r>
      <w:bookmarkEnd w:id="246"/>
    </w:p>
    <w:p w14:paraId="27746DE4">
      <w:pPr>
        <w:spacing w:line="560" w:lineRule="exact"/>
        <w:ind w:firstLine="410" w:firstLineChars="171"/>
        <w:rPr>
          <w:rFonts w:hint="eastAsia" w:asciiTheme="majorEastAsia" w:hAnsiTheme="majorEastAsia" w:eastAsiaTheme="majorEastAsia"/>
          <w:highlight w:val="none"/>
          <w:lang w:eastAsia="zh-CN"/>
        </w:rPr>
      </w:pPr>
      <w:r>
        <w:rPr>
          <w:rFonts w:hint="eastAsia" w:asciiTheme="majorEastAsia" w:hAnsiTheme="majorEastAsia" w:eastAsiaTheme="majorEastAsia"/>
          <w:highlight w:val="none"/>
        </w:rPr>
        <w:t>发包人（全称）：</w:t>
      </w:r>
      <w:r>
        <w:rPr>
          <w:rFonts w:hint="eastAsia" w:asciiTheme="majorEastAsia" w:hAnsiTheme="majorEastAsia" w:eastAsiaTheme="majorEastAsia"/>
          <w:highlight w:val="none"/>
          <w:u w:val="single"/>
          <w:lang w:eastAsia="zh-CN"/>
        </w:rPr>
        <w:t>墨江哈尼族自治县联珠镇人民政府</w:t>
      </w:r>
    </w:p>
    <w:p w14:paraId="36E6122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承包人（全称）：</w:t>
      </w:r>
      <w:r>
        <w:rPr>
          <w:rFonts w:asciiTheme="majorEastAsia" w:hAnsiTheme="majorEastAsia" w:eastAsiaTheme="majorEastAsia"/>
          <w:highlight w:val="none"/>
          <w:u w:val="single"/>
        </w:rPr>
        <w:t xml:space="preserve">                          </w:t>
      </w:r>
    </w:p>
    <w:p w14:paraId="5083484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根据《中华人民共和国民法典》、《中华人民共和国建筑法》及有关法律规定，遵循平等、自愿、公平和诚实信用的原则，双方就</w:t>
      </w:r>
      <w:r>
        <w:rPr>
          <w:rFonts w:hint="eastAsia" w:asciiTheme="majorEastAsia" w:hAnsiTheme="majorEastAsia" w:eastAsiaTheme="majorEastAsia"/>
          <w:highlight w:val="none"/>
          <w:u w:val="single"/>
          <w:lang w:eastAsia="zh-CN"/>
        </w:rPr>
        <w:t>联珠镇癸能村花卉产业农文旅融合发展配套设施项目EPC+O</w:t>
      </w:r>
      <w:r>
        <w:rPr>
          <w:rFonts w:hint="eastAsia" w:asciiTheme="majorEastAsia" w:hAnsiTheme="majorEastAsia" w:eastAsiaTheme="majorEastAsia"/>
          <w:highlight w:val="none"/>
        </w:rPr>
        <w:t>的工程总承包及有关事项协商一致，共同达成如下协议：</w:t>
      </w:r>
    </w:p>
    <w:p w14:paraId="01CC901E">
      <w:pPr>
        <w:spacing w:line="560" w:lineRule="exact"/>
        <w:ind w:firstLine="412" w:firstLineChars="171"/>
        <w:rPr>
          <w:rFonts w:asciiTheme="majorEastAsia" w:hAnsiTheme="majorEastAsia" w:eastAsiaTheme="majorEastAsia"/>
          <w:b/>
          <w:highlight w:val="none"/>
        </w:rPr>
      </w:pPr>
      <w:bookmarkStart w:id="255" w:name="_Toc54862165"/>
      <w:r>
        <w:rPr>
          <w:rFonts w:hint="eastAsia" w:asciiTheme="majorEastAsia" w:hAnsiTheme="majorEastAsia" w:eastAsiaTheme="majorEastAsia"/>
          <w:b/>
          <w:highlight w:val="none"/>
        </w:rPr>
        <w:t>一、工程概况</w:t>
      </w:r>
      <w:bookmarkEnd w:id="255"/>
    </w:p>
    <w:p w14:paraId="4CC8934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1、工程名称：</w:t>
      </w:r>
      <w:r>
        <w:rPr>
          <w:rFonts w:hint="eastAsia" w:asciiTheme="majorEastAsia" w:hAnsiTheme="majorEastAsia" w:eastAsiaTheme="majorEastAsia"/>
          <w:highlight w:val="none"/>
          <w:u w:val="single"/>
          <w:lang w:eastAsia="zh-CN"/>
        </w:rPr>
        <w:t>联珠镇癸能村花卉产业农文旅融合发展配套设施项目EPC+O</w:t>
      </w:r>
      <w:r>
        <w:rPr>
          <w:rFonts w:hint="eastAsia" w:asciiTheme="majorEastAsia" w:hAnsiTheme="majorEastAsia" w:eastAsiaTheme="majorEastAsia"/>
          <w:highlight w:val="none"/>
        </w:rPr>
        <w:t>。</w:t>
      </w:r>
    </w:p>
    <w:p w14:paraId="260B455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2、工程地点：</w:t>
      </w:r>
      <w:r>
        <w:rPr>
          <w:rFonts w:hint="eastAsia" w:asciiTheme="majorEastAsia" w:hAnsiTheme="majorEastAsia" w:eastAsiaTheme="majorEastAsia"/>
          <w:highlight w:val="none"/>
          <w:u w:val="single"/>
          <w:lang w:eastAsia="zh-CN"/>
        </w:rPr>
        <w:t>墨江县</w:t>
      </w:r>
      <w:r>
        <w:rPr>
          <w:rFonts w:hint="eastAsia" w:asciiTheme="majorEastAsia" w:hAnsiTheme="majorEastAsia" w:eastAsiaTheme="majorEastAsia"/>
          <w:highlight w:val="none"/>
          <w:u w:val="single"/>
          <w:lang w:val="en-US" w:eastAsia="zh-CN"/>
        </w:rPr>
        <w:t>联珠</w:t>
      </w:r>
      <w:r>
        <w:rPr>
          <w:rFonts w:hint="eastAsia" w:asciiTheme="majorEastAsia" w:hAnsiTheme="majorEastAsia" w:eastAsiaTheme="majorEastAsia"/>
          <w:highlight w:val="none"/>
          <w:u w:val="single"/>
          <w:lang w:eastAsia="zh-CN"/>
        </w:rPr>
        <w:t>镇癸能</w:t>
      </w:r>
      <w:r>
        <w:rPr>
          <w:rFonts w:hint="eastAsia" w:asciiTheme="majorEastAsia" w:hAnsiTheme="majorEastAsia" w:eastAsiaTheme="majorEastAsia"/>
          <w:highlight w:val="none"/>
          <w:u w:val="single"/>
        </w:rPr>
        <w:t>村</w:t>
      </w:r>
      <w:r>
        <w:rPr>
          <w:rFonts w:hint="eastAsia" w:asciiTheme="majorEastAsia" w:hAnsiTheme="majorEastAsia" w:eastAsiaTheme="majorEastAsia"/>
          <w:highlight w:val="none"/>
        </w:rPr>
        <w:t>。</w:t>
      </w:r>
    </w:p>
    <w:p w14:paraId="537ABBF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3、工程审批、核准或备案文号：</w:t>
      </w:r>
      <w:r>
        <w:rPr>
          <w:rFonts w:hint="eastAsia" w:asciiTheme="majorEastAsia" w:hAnsiTheme="majorEastAsia" w:eastAsiaTheme="majorEastAsia"/>
          <w:highlight w:val="none"/>
          <w:u w:val="single"/>
          <w:lang w:val="en-US" w:eastAsia="zh-CN"/>
        </w:rPr>
        <w:t>中共墨江哈尼族自治县委农村工作领导小组办公室墨农领办复〔2026〕7号</w:t>
      </w:r>
      <w:r>
        <w:rPr>
          <w:rFonts w:hint="eastAsia" w:asciiTheme="majorEastAsia" w:hAnsiTheme="majorEastAsia" w:eastAsiaTheme="majorEastAsia"/>
          <w:highlight w:val="none"/>
        </w:rPr>
        <w:t>。</w:t>
      </w:r>
    </w:p>
    <w:p w14:paraId="30D847D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4、资金来源：</w:t>
      </w:r>
      <w:r>
        <w:rPr>
          <w:rFonts w:hint="eastAsia" w:asciiTheme="majorEastAsia" w:hAnsiTheme="majorEastAsia" w:eastAsiaTheme="majorEastAsia"/>
          <w:highlight w:val="none"/>
          <w:u w:val="single"/>
          <w:lang w:val="en-US" w:eastAsia="zh-CN"/>
        </w:rPr>
        <w:t>上海市对</w:t>
      </w:r>
      <w:r>
        <w:rPr>
          <w:rFonts w:hint="eastAsia" w:asciiTheme="majorEastAsia" w:hAnsiTheme="majorEastAsia" w:eastAsiaTheme="majorEastAsia"/>
          <w:highlight w:val="none"/>
          <w:u w:val="single"/>
        </w:rPr>
        <w:t>口帮扶项目资金</w:t>
      </w:r>
      <w:r>
        <w:rPr>
          <w:rFonts w:hint="eastAsia" w:asciiTheme="majorEastAsia" w:hAnsiTheme="majorEastAsia" w:eastAsiaTheme="majorEastAsia"/>
          <w:highlight w:val="none"/>
          <w:u w:val="single"/>
          <w:lang w:eastAsia="zh-CN"/>
        </w:rPr>
        <w:t>及自筹1220万元</w:t>
      </w:r>
      <w:r>
        <w:rPr>
          <w:rFonts w:hint="eastAsia" w:asciiTheme="majorEastAsia" w:hAnsiTheme="majorEastAsia" w:eastAsiaTheme="majorEastAsia"/>
          <w:highlight w:val="none"/>
        </w:rPr>
        <w:t>。</w:t>
      </w:r>
    </w:p>
    <w:p w14:paraId="0921EB48">
      <w:pPr>
        <w:spacing w:line="560" w:lineRule="exact"/>
        <w:ind w:firstLine="410" w:firstLineChars="171"/>
        <w:rPr>
          <w:rFonts w:hint="eastAsia" w:asciiTheme="majorEastAsia" w:hAnsiTheme="majorEastAsia" w:eastAsiaTheme="majorEastAsia"/>
          <w:highlight w:val="none"/>
        </w:rPr>
      </w:pPr>
      <w:r>
        <w:rPr>
          <w:rFonts w:hint="eastAsia" w:asciiTheme="majorEastAsia" w:hAnsiTheme="majorEastAsia" w:eastAsiaTheme="majorEastAsia"/>
          <w:highlight w:val="none"/>
        </w:rPr>
        <w:t>5、工程内容及规模：</w:t>
      </w:r>
    </w:p>
    <w:p w14:paraId="1135466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lang w:val="en-US" w:eastAsia="zh-CN"/>
        </w:rPr>
        <w:t>建设文旅综合厂房2240平方米，室外花艺场景、综合体验区2100平方米，烘烤车间2座，给排水、电气、消防、恒温恒湿设施工程1项及水井1座等附属设施，场地平整1300平方米。</w:t>
      </w:r>
    </w:p>
    <w:p w14:paraId="78519F93">
      <w:pPr>
        <w:spacing w:line="560" w:lineRule="exact"/>
        <w:ind w:firstLine="412" w:firstLineChars="171"/>
        <w:rPr>
          <w:rFonts w:asciiTheme="majorEastAsia" w:hAnsiTheme="majorEastAsia" w:eastAsiaTheme="majorEastAsia"/>
          <w:b/>
          <w:highlight w:val="none"/>
        </w:rPr>
      </w:pPr>
      <w:bookmarkStart w:id="256" w:name="_Toc54862166"/>
      <w:r>
        <w:rPr>
          <w:rFonts w:hint="eastAsia" w:asciiTheme="majorEastAsia" w:hAnsiTheme="majorEastAsia" w:eastAsiaTheme="majorEastAsia"/>
          <w:b/>
          <w:highlight w:val="none"/>
        </w:rPr>
        <w:t>二、合同工期</w:t>
      </w:r>
      <w:bookmarkEnd w:id="256"/>
    </w:p>
    <w:p w14:paraId="6A384B6C">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rPr>
        <w:t>计划开始现场施工日期：</w:t>
      </w:r>
      <w:r>
        <w:rPr>
          <w:rFonts w:hint="eastAsia" w:asciiTheme="majorEastAsia" w:hAnsiTheme="majorEastAsia" w:eastAsiaTheme="majorEastAsia"/>
          <w:highlight w:val="none"/>
          <w:u w:val="single"/>
        </w:rPr>
        <w:t>202</w:t>
      </w:r>
      <w:r>
        <w:rPr>
          <w:rFonts w:hint="eastAsia" w:asciiTheme="majorEastAsia" w:hAnsiTheme="majorEastAsia" w:eastAsiaTheme="majorEastAsia"/>
          <w:highlight w:val="none"/>
          <w:u w:val="single"/>
          <w:lang w:val="en-US" w:eastAsia="zh-CN"/>
        </w:rPr>
        <w:t>6</w:t>
      </w:r>
      <w:r>
        <w:rPr>
          <w:rFonts w:hint="eastAsia" w:asciiTheme="majorEastAsia" w:hAnsiTheme="majorEastAsia" w:eastAsiaTheme="majorEastAsia"/>
          <w:highlight w:val="none"/>
          <w:u w:val="single"/>
        </w:rPr>
        <w:t>年</w:t>
      </w:r>
      <w:r>
        <w:rPr>
          <w:rFonts w:hint="eastAsia" w:asciiTheme="majorEastAsia" w:hAnsiTheme="majorEastAsia" w:eastAsiaTheme="majorEastAsia"/>
          <w:highlight w:val="none"/>
          <w:u w:val="single"/>
          <w:lang w:val="en-US" w:eastAsia="zh-CN"/>
        </w:rPr>
        <w:t xml:space="preserve">  </w:t>
      </w:r>
      <w:r>
        <w:rPr>
          <w:rFonts w:hint="eastAsia" w:asciiTheme="majorEastAsia" w:hAnsiTheme="majorEastAsia" w:eastAsiaTheme="majorEastAsia"/>
          <w:highlight w:val="none"/>
          <w:u w:val="single"/>
        </w:rPr>
        <w:t>月</w:t>
      </w:r>
      <w:r>
        <w:rPr>
          <w:rFonts w:hint="eastAsia" w:asciiTheme="majorEastAsia" w:hAnsiTheme="majorEastAsia" w:eastAsiaTheme="majorEastAsia"/>
          <w:highlight w:val="none"/>
          <w:u w:val="single"/>
          <w:lang w:val="en-US" w:eastAsia="zh-CN"/>
        </w:rPr>
        <w:t xml:space="preserve">  </w:t>
      </w:r>
      <w:r>
        <w:rPr>
          <w:rFonts w:hint="eastAsia" w:asciiTheme="majorEastAsia" w:hAnsiTheme="majorEastAsia" w:eastAsiaTheme="majorEastAsia"/>
          <w:highlight w:val="none"/>
          <w:u w:val="single"/>
        </w:rPr>
        <w:t>日（以监理工程师发布的开工通知为准）。</w:t>
      </w:r>
    </w:p>
    <w:p w14:paraId="1DC14348">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rPr>
        <w:t>计划竣工日期：</w:t>
      </w:r>
      <w:r>
        <w:rPr>
          <w:rFonts w:hint="eastAsia" w:asciiTheme="majorEastAsia" w:hAnsiTheme="majorEastAsia" w:eastAsiaTheme="majorEastAsia"/>
          <w:highlight w:val="none"/>
          <w:u w:val="single"/>
        </w:rPr>
        <w:t>202</w:t>
      </w:r>
      <w:r>
        <w:rPr>
          <w:rFonts w:hint="eastAsia" w:asciiTheme="majorEastAsia" w:hAnsiTheme="majorEastAsia" w:eastAsiaTheme="majorEastAsia"/>
          <w:highlight w:val="none"/>
          <w:u w:val="single"/>
          <w:lang w:val="en-US" w:eastAsia="zh-CN"/>
        </w:rPr>
        <w:t>6</w:t>
      </w:r>
      <w:r>
        <w:rPr>
          <w:rFonts w:hint="eastAsia" w:asciiTheme="majorEastAsia" w:hAnsiTheme="majorEastAsia" w:eastAsiaTheme="majorEastAsia"/>
          <w:highlight w:val="none"/>
          <w:u w:val="single"/>
        </w:rPr>
        <w:t>年</w:t>
      </w:r>
      <w:r>
        <w:rPr>
          <w:rFonts w:hint="eastAsia" w:asciiTheme="majorEastAsia" w:hAnsiTheme="majorEastAsia" w:eastAsiaTheme="majorEastAsia"/>
          <w:highlight w:val="none"/>
          <w:u w:val="single"/>
          <w:lang w:val="en-US" w:eastAsia="zh-CN"/>
        </w:rPr>
        <w:t xml:space="preserve">  </w:t>
      </w:r>
      <w:r>
        <w:rPr>
          <w:rFonts w:hint="eastAsia" w:asciiTheme="majorEastAsia" w:hAnsiTheme="majorEastAsia" w:eastAsiaTheme="majorEastAsia"/>
          <w:highlight w:val="none"/>
          <w:u w:val="single"/>
        </w:rPr>
        <w:t>月</w:t>
      </w:r>
      <w:r>
        <w:rPr>
          <w:rFonts w:hint="eastAsia" w:asciiTheme="majorEastAsia" w:hAnsiTheme="majorEastAsia" w:eastAsiaTheme="majorEastAsia"/>
          <w:highlight w:val="none"/>
          <w:u w:val="single"/>
          <w:lang w:val="en-US" w:eastAsia="zh-CN"/>
        </w:rPr>
        <w:t xml:space="preserve">  </w:t>
      </w:r>
      <w:r>
        <w:rPr>
          <w:rFonts w:hint="eastAsia" w:asciiTheme="majorEastAsia" w:hAnsiTheme="majorEastAsia" w:eastAsiaTheme="majorEastAsia"/>
          <w:highlight w:val="none"/>
          <w:u w:val="single"/>
        </w:rPr>
        <w:t>日。</w:t>
      </w:r>
    </w:p>
    <w:p w14:paraId="646D4A1E">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rPr>
        <w:t>工期总日历天数：</w:t>
      </w:r>
      <w:r>
        <w:rPr>
          <w:rFonts w:hint="eastAsia" w:asciiTheme="majorEastAsia" w:hAnsiTheme="majorEastAsia" w:eastAsiaTheme="majorEastAsia"/>
          <w:highlight w:val="none"/>
          <w:u w:val="single"/>
          <w:lang w:val="en-US" w:eastAsia="zh-CN"/>
        </w:rPr>
        <w:t>180</w:t>
      </w:r>
      <w:r>
        <w:rPr>
          <w:rFonts w:hint="eastAsia" w:asciiTheme="majorEastAsia" w:hAnsiTheme="majorEastAsia" w:eastAsiaTheme="majorEastAsia"/>
          <w:highlight w:val="none"/>
          <w:u w:val="single"/>
        </w:rPr>
        <w:t>天</w:t>
      </w:r>
      <w:r>
        <w:rPr>
          <w:rFonts w:hint="eastAsia" w:asciiTheme="majorEastAsia" w:hAnsiTheme="majorEastAsia" w:eastAsiaTheme="majorEastAsia"/>
          <w:highlight w:val="none"/>
          <w:u w:val="single"/>
          <w:lang w:val="en-US" w:eastAsia="zh-CN"/>
        </w:rPr>
        <w:t>（其中施工图自签订合同之日起30日历天内完成，施工工期150日历天。具体开工日期以合同约定时间为准）。</w:t>
      </w:r>
      <w:r>
        <w:rPr>
          <w:rFonts w:hint="eastAsia" w:asciiTheme="majorEastAsia" w:hAnsiTheme="majorEastAsia" w:eastAsiaTheme="majorEastAsia"/>
          <w:highlight w:val="none"/>
          <w:u w:val="single"/>
        </w:rPr>
        <w:t>工期总日历天数与根据前述计划日期计算的工期天数不一致的，以工期总日历天数为准。</w:t>
      </w:r>
    </w:p>
    <w:p w14:paraId="4307A8EA">
      <w:pPr>
        <w:spacing w:line="560" w:lineRule="exact"/>
        <w:ind w:firstLine="412" w:firstLineChars="171"/>
        <w:rPr>
          <w:rFonts w:asciiTheme="majorEastAsia" w:hAnsiTheme="majorEastAsia" w:eastAsiaTheme="majorEastAsia"/>
          <w:b/>
          <w:highlight w:val="none"/>
        </w:rPr>
      </w:pPr>
      <w:bookmarkStart w:id="257" w:name="_Toc54862167"/>
      <w:r>
        <w:rPr>
          <w:rFonts w:hint="eastAsia" w:asciiTheme="majorEastAsia" w:hAnsiTheme="majorEastAsia" w:eastAsiaTheme="majorEastAsia"/>
          <w:b/>
          <w:highlight w:val="none"/>
        </w:rPr>
        <w:t>三、质量标准</w:t>
      </w:r>
      <w:bookmarkEnd w:id="257"/>
    </w:p>
    <w:p w14:paraId="61FBEF65">
      <w:pPr>
        <w:spacing w:line="560" w:lineRule="exact"/>
        <w:ind w:firstLine="410" w:firstLineChars="171"/>
        <w:rPr>
          <w:rFonts w:asciiTheme="majorEastAsia" w:hAnsiTheme="majorEastAsia" w:eastAsiaTheme="majorEastAsia"/>
          <w:highlight w:val="none"/>
          <w:u w:val="single"/>
        </w:rPr>
      </w:pPr>
      <w:bookmarkStart w:id="258" w:name="_Toc54862168"/>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u w:val="single"/>
          <w:lang w:val="en-US" w:eastAsia="zh-CN"/>
        </w:rPr>
        <w:t>1</w:t>
      </w:r>
      <w:r>
        <w:rPr>
          <w:rFonts w:hint="eastAsia" w:asciiTheme="majorEastAsia" w:hAnsiTheme="majorEastAsia" w:eastAsiaTheme="majorEastAsia"/>
          <w:highlight w:val="none"/>
          <w:u w:val="single"/>
        </w:rPr>
        <w:t>）设计质量要求：符合《建筑工程设计文件编制深度规定》（201</w:t>
      </w:r>
      <w:r>
        <w:rPr>
          <w:rFonts w:asciiTheme="majorEastAsia" w:hAnsiTheme="majorEastAsia" w:eastAsiaTheme="majorEastAsia"/>
          <w:highlight w:val="none"/>
          <w:u w:val="single"/>
        </w:rPr>
        <w:t>6</w:t>
      </w:r>
      <w:r>
        <w:rPr>
          <w:rFonts w:hint="eastAsia" w:asciiTheme="majorEastAsia" w:hAnsiTheme="majorEastAsia" w:eastAsiaTheme="majorEastAsia"/>
          <w:highlight w:val="none"/>
          <w:u w:val="single"/>
        </w:rPr>
        <w:t>年版）及国家、地方及行业现行的设计标准、规范和规程的要求，确保施工图成果资料完整、真实准确、清晰有据，确保施工图成果资料通过相关行政主管部门的审批，并取得相关行政主管部门的批复文件，并对所提供的成果质量负终身责任；（</w:t>
      </w:r>
      <w:r>
        <w:rPr>
          <w:rFonts w:hint="eastAsia" w:asciiTheme="majorEastAsia" w:hAnsiTheme="majorEastAsia" w:eastAsiaTheme="majorEastAsia"/>
          <w:highlight w:val="none"/>
          <w:u w:val="single"/>
          <w:lang w:val="en-US" w:eastAsia="zh-CN"/>
        </w:rPr>
        <w:t>2</w:t>
      </w:r>
      <w:r>
        <w:rPr>
          <w:rFonts w:hint="eastAsia" w:asciiTheme="majorEastAsia" w:hAnsiTheme="majorEastAsia" w:eastAsiaTheme="majorEastAsia"/>
          <w:highlight w:val="none"/>
          <w:u w:val="single"/>
        </w:rPr>
        <w:t>）施工质量要求：符合《建设工程质量管理条例》、《建筑工程施工质量验收统一标准》（GB50300-2013）及国家（行业）现行的相关质量标准，确保工程一次性验收合格</w:t>
      </w:r>
      <w:r>
        <w:rPr>
          <w:rFonts w:hint="eastAsia" w:asciiTheme="majorEastAsia" w:hAnsiTheme="majorEastAsia" w:eastAsiaTheme="majorEastAsia"/>
          <w:highlight w:val="none"/>
          <w:u w:val="single"/>
          <w:lang w:eastAsia="zh-CN"/>
        </w:rPr>
        <w:t>；（</w:t>
      </w:r>
      <w:r>
        <w:rPr>
          <w:rFonts w:hint="eastAsia" w:asciiTheme="majorEastAsia" w:hAnsiTheme="majorEastAsia" w:eastAsiaTheme="majorEastAsia"/>
          <w:highlight w:val="none"/>
          <w:u w:val="single"/>
          <w:lang w:val="en-US" w:eastAsia="zh-CN"/>
        </w:rPr>
        <w:t>3</w:t>
      </w:r>
      <w:r>
        <w:rPr>
          <w:rFonts w:hint="eastAsia" w:asciiTheme="majorEastAsia" w:hAnsiTheme="majorEastAsia" w:eastAsiaTheme="majorEastAsia"/>
          <w:highlight w:val="none"/>
          <w:u w:val="single"/>
          <w:lang w:eastAsia="zh-CN"/>
        </w:rPr>
        <w:t>）运营</w:t>
      </w:r>
      <w:r>
        <w:rPr>
          <w:rFonts w:hint="eastAsia" w:asciiTheme="majorEastAsia" w:hAnsiTheme="majorEastAsia" w:eastAsiaTheme="majorEastAsia"/>
          <w:highlight w:val="none"/>
          <w:u w:val="single"/>
        </w:rPr>
        <w:t>质量要求</w:t>
      </w:r>
      <w:r>
        <w:rPr>
          <w:rFonts w:hint="eastAsia" w:asciiTheme="majorEastAsia" w:hAnsiTheme="majorEastAsia" w:eastAsiaTheme="majorEastAsia"/>
          <w:highlight w:val="none"/>
          <w:u w:val="single"/>
          <w:lang w:eastAsia="zh-CN"/>
        </w:rPr>
        <w:t>：按招标人确定运营方式进行管理，并按招标人确定的项目开展运营工作。</w:t>
      </w:r>
    </w:p>
    <w:p w14:paraId="3FA2C4C5">
      <w:pPr>
        <w:spacing w:line="560" w:lineRule="exact"/>
        <w:ind w:firstLine="412" w:firstLineChars="171"/>
        <w:rPr>
          <w:rFonts w:asciiTheme="majorEastAsia" w:hAnsiTheme="majorEastAsia" w:eastAsiaTheme="majorEastAsia"/>
          <w:b/>
          <w:highlight w:val="none"/>
        </w:rPr>
      </w:pPr>
      <w:r>
        <w:rPr>
          <w:rFonts w:hint="eastAsia" w:asciiTheme="majorEastAsia" w:hAnsiTheme="majorEastAsia" w:eastAsiaTheme="majorEastAsia"/>
          <w:b/>
          <w:highlight w:val="none"/>
        </w:rPr>
        <w:t>四、签约合同价与合同价格形式</w:t>
      </w:r>
      <w:bookmarkEnd w:id="258"/>
    </w:p>
    <w:p w14:paraId="004E9D22">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1、建安工程费为：           （安全文明施工费、规费、税金不下浮）；</w:t>
      </w:r>
    </w:p>
    <w:p w14:paraId="77007B27">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 xml:space="preserve">暂定¥      万元。（大写）：　               </w:t>
      </w:r>
      <w:r>
        <w:rPr>
          <w:rFonts w:hint="eastAsia" w:asciiTheme="majorEastAsia" w:hAnsiTheme="majorEastAsia" w:eastAsiaTheme="majorEastAsia"/>
          <w:highlight w:val="none"/>
        </w:rPr>
        <w:t>。</w:t>
      </w:r>
    </w:p>
    <w:p w14:paraId="763A86D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2、合同价格形式：</w:t>
      </w:r>
    </w:p>
    <w:p w14:paraId="22A2AE23">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本工程为设计施工一体化项目，合同总价为暂定总价。采用经发包人审定的固定综合单价，审定的综合单价结算不予调整。但施工过程中如出现工程变更、工程量清单缺项、工程量偏差、合同约定可以调整的材料价差、不可抗力、承包人违约赔偿、现场签证，结算可调整合同价款，若结算金额超过签约合同价，按签约合同价进行结算【若因不可抗力、政策性调整（包括：材料、设备、人工等）、图纸审定后由发包方原因导致的变更造成最终结算金额超出签约合同价款，据实调整合同结算价款】。</w:t>
      </w:r>
    </w:p>
    <w:p w14:paraId="612A9192">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合同当事人对合同价格形式的其他约定：按照合同专用条件第13条[变更与调整]和通用条件第13条[变更与调整]规定执行。</w:t>
      </w:r>
    </w:p>
    <w:p w14:paraId="5F6D31EB">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rPr>
        <w:t>3、</w:t>
      </w:r>
      <w:r>
        <w:rPr>
          <w:rFonts w:hint="eastAsia" w:asciiTheme="majorEastAsia" w:hAnsiTheme="majorEastAsia" w:eastAsiaTheme="majorEastAsia"/>
          <w:highlight w:val="none"/>
          <w:u w:val="single"/>
        </w:rPr>
        <w:t>本工程的最终结算价格</w:t>
      </w:r>
      <w:r>
        <w:rPr>
          <w:rFonts w:hint="eastAsia" w:asciiTheme="majorEastAsia" w:hAnsiTheme="majorEastAsia" w:eastAsiaTheme="majorEastAsia"/>
          <w:highlight w:val="none"/>
          <w:u w:val="single"/>
          <w:lang w:val="en-US" w:eastAsia="zh-CN"/>
        </w:rPr>
        <w:t>由第三方</w:t>
      </w:r>
      <w:r>
        <w:rPr>
          <w:rFonts w:hint="eastAsia" w:asciiTheme="majorEastAsia" w:hAnsiTheme="majorEastAsia" w:eastAsiaTheme="majorEastAsia"/>
          <w:highlight w:val="none"/>
          <w:u w:val="single"/>
        </w:rPr>
        <w:t>进行</w:t>
      </w:r>
      <w:r>
        <w:rPr>
          <w:rFonts w:hint="eastAsia" w:asciiTheme="majorEastAsia" w:hAnsiTheme="majorEastAsia" w:eastAsiaTheme="majorEastAsia"/>
          <w:highlight w:val="none"/>
          <w:u w:val="single"/>
          <w:lang w:val="en-US" w:eastAsia="zh-CN"/>
        </w:rPr>
        <w:t>审核、</w:t>
      </w:r>
      <w:r>
        <w:rPr>
          <w:rFonts w:hint="eastAsia" w:asciiTheme="majorEastAsia" w:hAnsiTheme="majorEastAsia" w:eastAsiaTheme="majorEastAsia"/>
          <w:highlight w:val="none"/>
          <w:u w:val="single"/>
        </w:rPr>
        <w:t>审定，若审定结算价格低于签约合同价的，以结算价格为准；若结算价格超过签约合同价，按签约合同价进行结算【若因不可抗力、政策性调整（包括：材料、设备、人工等）、图纸审定后由发包方原因导致的变更造成最终结算金额超出签约合同价款，据实调整合同结算价款】。</w:t>
      </w:r>
    </w:p>
    <w:p w14:paraId="098DC875">
      <w:pPr>
        <w:spacing w:line="560" w:lineRule="exact"/>
        <w:ind w:firstLine="412" w:firstLineChars="171"/>
        <w:rPr>
          <w:rFonts w:asciiTheme="majorEastAsia" w:hAnsiTheme="majorEastAsia" w:eastAsiaTheme="majorEastAsia"/>
          <w:b/>
          <w:highlight w:val="none"/>
        </w:rPr>
      </w:pPr>
      <w:bookmarkStart w:id="259" w:name="_Toc54862169"/>
      <w:r>
        <w:rPr>
          <w:rFonts w:hint="eastAsia" w:asciiTheme="majorEastAsia" w:hAnsiTheme="majorEastAsia" w:eastAsiaTheme="majorEastAsia"/>
          <w:b/>
          <w:highlight w:val="none"/>
        </w:rPr>
        <w:t>五、工程总承包项目经理</w:t>
      </w:r>
      <w:bookmarkEnd w:id="259"/>
    </w:p>
    <w:p w14:paraId="3C743999">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rPr>
        <w:t>工程总承包项目经理：</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709B4521">
      <w:pPr>
        <w:spacing w:line="560" w:lineRule="exact"/>
        <w:ind w:firstLine="412" w:firstLineChars="171"/>
        <w:rPr>
          <w:rFonts w:asciiTheme="majorEastAsia" w:hAnsiTheme="majorEastAsia" w:eastAsiaTheme="majorEastAsia"/>
          <w:b/>
          <w:highlight w:val="none"/>
        </w:rPr>
      </w:pPr>
      <w:bookmarkStart w:id="260" w:name="_Toc54862170"/>
      <w:r>
        <w:rPr>
          <w:rFonts w:hint="eastAsia" w:asciiTheme="majorEastAsia" w:hAnsiTheme="majorEastAsia" w:eastAsiaTheme="majorEastAsia"/>
          <w:b/>
          <w:highlight w:val="none"/>
        </w:rPr>
        <w:t>六、合同文件构成</w:t>
      </w:r>
      <w:bookmarkEnd w:id="260"/>
    </w:p>
    <w:p w14:paraId="4DB594D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 xml:space="preserve">本协议书与下列文件一起构成合同文件： </w:t>
      </w:r>
    </w:p>
    <w:p w14:paraId="54FFC88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（1）中标通知书（如果有）；</w:t>
      </w:r>
    </w:p>
    <w:p w14:paraId="64022CB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（2）投标函及投标函附录（如果有）；</w:t>
      </w:r>
    </w:p>
    <w:p w14:paraId="591F374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（3）专用合同条件及《发包人要求》等附件；</w:t>
      </w:r>
    </w:p>
    <w:p w14:paraId="17FA82A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 通用合同条件；</w:t>
      </w:r>
    </w:p>
    <w:p w14:paraId="4B8E686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w:t>
      </w:r>
      <w:r>
        <w:rPr>
          <w:rFonts w:asciiTheme="majorEastAsia" w:hAnsiTheme="majorEastAsia" w:eastAsiaTheme="majorEastAsia"/>
          <w:highlight w:val="none"/>
        </w:rPr>
        <w:t>5</w:t>
      </w:r>
      <w:r>
        <w:rPr>
          <w:rFonts w:hint="eastAsia" w:asciiTheme="majorEastAsia" w:hAnsiTheme="majorEastAsia" w:eastAsiaTheme="majorEastAsia"/>
          <w:highlight w:val="none"/>
        </w:rPr>
        <w:t xml:space="preserve">）承包人建议书； </w:t>
      </w:r>
    </w:p>
    <w:p w14:paraId="3358777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w:t>
      </w:r>
      <w:r>
        <w:rPr>
          <w:rFonts w:asciiTheme="majorEastAsia" w:hAnsiTheme="majorEastAsia" w:eastAsiaTheme="majorEastAsia"/>
          <w:highlight w:val="none"/>
        </w:rPr>
        <w:t>6</w:t>
      </w:r>
      <w:r>
        <w:rPr>
          <w:rFonts w:hint="eastAsia" w:asciiTheme="majorEastAsia" w:hAnsiTheme="majorEastAsia" w:eastAsiaTheme="majorEastAsia"/>
          <w:highlight w:val="none"/>
        </w:rPr>
        <w:t xml:space="preserve"> 价格清单；</w:t>
      </w:r>
    </w:p>
    <w:p w14:paraId="34DDB32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w:t>
      </w:r>
      <w:r>
        <w:rPr>
          <w:rFonts w:asciiTheme="majorEastAsia" w:hAnsiTheme="majorEastAsia" w:eastAsiaTheme="majorEastAsia"/>
          <w:highlight w:val="none"/>
        </w:rPr>
        <w:t>7</w:t>
      </w:r>
      <w:r>
        <w:rPr>
          <w:rFonts w:hint="eastAsia" w:asciiTheme="majorEastAsia" w:hAnsiTheme="majorEastAsia" w:eastAsiaTheme="majorEastAsia"/>
          <w:highlight w:val="none"/>
        </w:rPr>
        <w:t>）双方约定的其他合同文件。</w:t>
      </w:r>
    </w:p>
    <w:p w14:paraId="5DAFEA79">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上述各项合同文件包括双方就该项合同文件所作出的补充和修改，属于同一类内容的合同文件应以最新签署的为准。专用合同条件及其附件须经合同当事人签字或盖章。</w:t>
      </w:r>
    </w:p>
    <w:p w14:paraId="74C152BE">
      <w:pPr>
        <w:spacing w:line="560" w:lineRule="exact"/>
        <w:ind w:firstLine="412" w:firstLineChars="171"/>
        <w:rPr>
          <w:rFonts w:asciiTheme="majorEastAsia" w:hAnsiTheme="majorEastAsia" w:eastAsiaTheme="majorEastAsia"/>
          <w:b/>
          <w:highlight w:val="none"/>
        </w:rPr>
      </w:pPr>
      <w:bookmarkStart w:id="261" w:name="_Toc54862171"/>
      <w:r>
        <w:rPr>
          <w:rFonts w:hint="eastAsia" w:asciiTheme="majorEastAsia" w:hAnsiTheme="majorEastAsia" w:eastAsiaTheme="majorEastAsia"/>
          <w:b/>
          <w:highlight w:val="none"/>
        </w:rPr>
        <w:t>七、承诺</w:t>
      </w:r>
      <w:bookmarkEnd w:id="261"/>
    </w:p>
    <w:p w14:paraId="1550D8B5">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1、发包人承诺按照法律规定履行项目审批手续、筹集工程建设资金并按照合同约定的期限和方式支付合同价款。</w:t>
      </w:r>
    </w:p>
    <w:p w14:paraId="5925E5D3">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2.、承包人承诺按照法律规定及合同约定组织完成工程的设计、采购和施工等工作，确保工程质量和安全，不进行转包及违法分包，并在缺陷责任期及保修期内承担相应的工程维修责任。</w:t>
      </w:r>
    </w:p>
    <w:p w14:paraId="1EECEF18">
      <w:pPr>
        <w:spacing w:line="560" w:lineRule="exact"/>
        <w:ind w:firstLine="412" w:firstLineChars="171"/>
        <w:rPr>
          <w:rFonts w:asciiTheme="majorEastAsia" w:hAnsiTheme="majorEastAsia" w:eastAsiaTheme="majorEastAsia"/>
          <w:b/>
          <w:highlight w:val="none"/>
        </w:rPr>
      </w:pPr>
      <w:bookmarkStart w:id="262" w:name="_Toc54862172"/>
      <w:r>
        <w:rPr>
          <w:rFonts w:hint="eastAsia" w:asciiTheme="majorEastAsia" w:hAnsiTheme="majorEastAsia" w:eastAsiaTheme="majorEastAsia"/>
          <w:b/>
          <w:highlight w:val="none"/>
        </w:rPr>
        <w:t>八、订立时间</w:t>
      </w:r>
      <w:bookmarkEnd w:id="262"/>
    </w:p>
    <w:p w14:paraId="32AD8CC1">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rPr>
        <w:t>本合同于</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年</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月</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日订立。</w:t>
      </w:r>
    </w:p>
    <w:p w14:paraId="508E8664">
      <w:pPr>
        <w:spacing w:line="560" w:lineRule="exact"/>
        <w:ind w:firstLine="412" w:firstLineChars="171"/>
        <w:rPr>
          <w:rFonts w:asciiTheme="majorEastAsia" w:hAnsiTheme="majorEastAsia" w:eastAsiaTheme="majorEastAsia"/>
          <w:b/>
          <w:highlight w:val="none"/>
        </w:rPr>
      </w:pPr>
      <w:bookmarkStart w:id="263" w:name="_Toc54862173"/>
      <w:r>
        <w:rPr>
          <w:rFonts w:hint="eastAsia" w:asciiTheme="majorEastAsia" w:hAnsiTheme="majorEastAsia" w:eastAsiaTheme="majorEastAsia"/>
          <w:b/>
          <w:highlight w:val="none"/>
        </w:rPr>
        <w:t>九、订立地点</w:t>
      </w:r>
      <w:bookmarkEnd w:id="263"/>
    </w:p>
    <w:p w14:paraId="0EABEA8A">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rPr>
        <w:t>本合同在</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 xml:space="preserve">   </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订立。</w:t>
      </w:r>
    </w:p>
    <w:p w14:paraId="4B66CCD5">
      <w:pPr>
        <w:spacing w:line="560" w:lineRule="exact"/>
        <w:ind w:firstLine="412" w:firstLineChars="171"/>
        <w:rPr>
          <w:rFonts w:asciiTheme="majorEastAsia" w:hAnsiTheme="majorEastAsia" w:eastAsiaTheme="majorEastAsia"/>
          <w:b/>
          <w:highlight w:val="none"/>
        </w:rPr>
      </w:pPr>
      <w:bookmarkStart w:id="264" w:name="_Toc54862174"/>
      <w:r>
        <w:rPr>
          <w:rFonts w:hint="eastAsia" w:asciiTheme="majorEastAsia" w:hAnsiTheme="majorEastAsia" w:eastAsiaTheme="majorEastAsia"/>
          <w:b/>
          <w:highlight w:val="none"/>
        </w:rPr>
        <w:t>十、合同生效</w:t>
      </w:r>
      <w:bookmarkEnd w:id="264"/>
    </w:p>
    <w:p w14:paraId="01658458">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rPr>
        <w:t>本合同经双方签字或盖章后成立，并自</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 xml:space="preserve">    </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生效。</w:t>
      </w:r>
    </w:p>
    <w:p w14:paraId="2E534144">
      <w:pPr>
        <w:spacing w:line="560" w:lineRule="exact"/>
        <w:ind w:firstLine="412" w:firstLineChars="171"/>
        <w:rPr>
          <w:rFonts w:asciiTheme="majorEastAsia" w:hAnsiTheme="majorEastAsia" w:eastAsiaTheme="majorEastAsia"/>
          <w:b/>
          <w:highlight w:val="none"/>
        </w:rPr>
      </w:pPr>
      <w:bookmarkStart w:id="265" w:name="_Toc54862175"/>
      <w:r>
        <w:rPr>
          <w:rFonts w:hint="eastAsia" w:asciiTheme="majorEastAsia" w:hAnsiTheme="majorEastAsia" w:eastAsiaTheme="majorEastAsia"/>
          <w:b/>
          <w:highlight w:val="none"/>
        </w:rPr>
        <w:t>十一、合同份数</w:t>
      </w:r>
      <w:bookmarkEnd w:id="265"/>
    </w:p>
    <w:p w14:paraId="025F93D5">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rPr>
        <w:t>本合同一式</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 xml:space="preserve">  </w:t>
      </w:r>
      <w:r>
        <w:rPr>
          <w:rFonts w:hint="eastAsia" w:asciiTheme="majorEastAsia" w:hAnsiTheme="majorEastAsia" w:eastAsiaTheme="majorEastAsia"/>
          <w:highlight w:val="none"/>
        </w:rPr>
        <w:t>份，均具有同等法律效力，发包人执</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 xml:space="preserve">  </w:t>
      </w:r>
      <w:r>
        <w:rPr>
          <w:rFonts w:hint="eastAsia" w:asciiTheme="majorEastAsia" w:hAnsiTheme="majorEastAsia" w:eastAsiaTheme="majorEastAsia"/>
          <w:highlight w:val="none"/>
        </w:rPr>
        <w:t>份，承包人执</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 xml:space="preserve">   </w:t>
      </w:r>
      <w:r>
        <w:rPr>
          <w:rFonts w:hint="eastAsia" w:asciiTheme="majorEastAsia" w:hAnsiTheme="majorEastAsia" w:eastAsiaTheme="majorEastAsia"/>
          <w:highlight w:val="none"/>
        </w:rPr>
        <w:t>份。</w:t>
      </w:r>
    </w:p>
    <w:tbl>
      <w:tblPr>
        <w:tblStyle w:val="63"/>
        <w:tblpPr w:leftFromText="180" w:rightFromText="180" w:vertAnchor="text" w:horzAnchor="margin" w:tblpX="392" w:tblpY="200"/>
        <w:tblW w:w="9464" w:type="dxa"/>
        <w:tblInd w:w="0" w:type="dxa"/>
        <w:tblLayout w:type="fixed"/>
        <w:tblCellMar>
          <w:top w:w="0" w:type="dxa"/>
          <w:left w:w="108" w:type="dxa"/>
          <w:bottom w:w="0" w:type="dxa"/>
          <w:right w:w="108" w:type="dxa"/>
        </w:tblCellMar>
      </w:tblPr>
      <w:tblGrid>
        <w:gridCol w:w="5070"/>
        <w:gridCol w:w="4394"/>
      </w:tblGrid>
      <w:tr w14:paraId="51583871">
        <w:tblPrEx>
          <w:tblCellMar>
            <w:top w:w="0" w:type="dxa"/>
            <w:left w:w="108" w:type="dxa"/>
            <w:bottom w:w="0" w:type="dxa"/>
            <w:right w:w="108" w:type="dxa"/>
          </w:tblCellMar>
        </w:tblPrEx>
        <w:trPr>
          <w:trHeight w:val="486" w:hRule="atLeast"/>
        </w:trPr>
        <w:tc>
          <w:tcPr>
            <w:tcW w:w="5070" w:type="dxa"/>
            <w:vAlign w:val="center"/>
          </w:tcPr>
          <w:p w14:paraId="3E845FA0">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发包人：</w:t>
            </w:r>
            <w:r>
              <w:rPr>
                <w:rFonts w:hint="eastAsia" w:cs="宋体" w:asciiTheme="majorEastAsia" w:hAnsiTheme="majorEastAsia" w:eastAsiaTheme="majorEastAsia"/>
                <w:b/>
                <w:bCs/>
                <w:kern w:val="2"/>
                <w:highlight w:val="none"/>
                <w:lang w:eastAsia="zh-CN"/>
              </w:rPr>
              <w:t>墨江哈尼族自治县联珠镇人民政府</w:t>
            </w:r>
            <w:r>
              <w:rPr>
                <w:rFonts w:hint="eastAsia" w:cs="宋体" w:asciiTheme="majorEastAsia" w:hAnsiTheme="majorEastAsia" w:eastAsiaTheme="majorEastAsia"/>
                <w:highlight w:val="none"/>
              </w:rPr>
              <w:t>（签章）</w:t>
            </w:r>
          </w:p>
        </w:tc>
        <w:tc>
          <w:tcPr>
            <w:tcW w:w="4394" w:type="dxa"/>
            <w:vAlign w:val="center"/>
          </w:tcPr>
          <w:p w14:paraId="742D1E9A">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承包人：</w:t>
            </w:r>
            <w:r>
              <w:rPr>
                <w:rFonts w:hint="eastAsia" w:cs="宋体" w:asciiTheme="majorEastAsia" w:hAnsiTheme="majorEastAsia" w:eastAsiaTheme="majorEastAsia"/>
                <w:b/>
                <w:bCs/>
                <w:highlight w:val="none"/>
              </w:rPr>
              <w:t>（签章）</w:t>
            </w:r>
          </w:p>
        </w:tc>
      </w:tr>
      <w:tr w14:paraId="3A1D3458">
        <w:tblPrEx>
          <w:tblCellMar>
            <w:top w:w="0" w:type="dxa"/>
            <w:left w:w="108" w:type="dxa"/>
            <w:bottom w:w="0" w:type="dxa"/>
            <w:right w:w="108" w:type="dxa"/>
          </w:tblCellMar>
        </w:tblPrEx>
        <w:trPr>
          <w:trHeight w:val="507" w:hRule="atLeast"/>
        </w:trPr>
        <w:tc>
          <w:tcPr>
            <w:tcW w:w="5070" w:type="dxa"/>
            <w:vAlign w:val="center"/>
          </w:tcPr>
          <w:p w14:paraId="19032605">
            <w:pPr>
              <w:keepNext/>
              <w:keepLines/>
              <w:widowControl w:val="0"/>
              <w:tabs>
                <w:tab w:val="left" w:pos="2160"/>
              </w:tabs>
              <w:autoSpaceDE w:val="0"/>
              <w:autoSpaceDN w:val="0"/>
              <w:adjustRightInd w:val="0"/>
              <w:spacing w:line="500" w:lineRule="exact"/>
              <w:ind w:firstLine="480" w:firstLineChars="200"/>
              <w:jc w:val="both"/>
              <w:outlineLvl w:val="2"/>
              <w:rPr>
                <w:rFonts w:cs="宋体" w:asciiTheme="majorEastAsia" w:hAnsiTheme="majorEastAsia" w:eastAsiaTheme="majorEastAsia"/>
                <w:highlight w:val="none"/>
              </w:rPr>
            </w:pPr>
          </w:p>
        </w:tc>
        <w:tc>
          <w:tcPr>
            <w:tcW w:w="4394" w:type="dxa"/>
            <w:vAlign w:val="center"/>
          </w:tcPr>
          <w:p w14:paraId="5905026B">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b/>
                <w:bCs/>
                <w:highlight w:val="none"/>
              </w:rPr>
              <w:t>联合体牵头人：</w:t>
            </w:r>
          </w:p>
        </w:tc>
      </w:tr>
      <w:tr w14:paraId="5297A9F5">
        <w:tblPrEx>
          <w:tblCellMar>
            <w:top w:w="0" w:type="dxa"/>
            <w:left w:w="108" w:type="dxa"/>
            <w:bottom w:w="0" w:type="dxa"/>
            <w:right w:w="108" w:type="dxa"/>
          </w:tblCellMar>
        </w:tblPrEx>
        <w:trPr>
          <w:trHeight w:val="507" w:hRule="atLeast"/>
        </w:trPr>
        <w:tc>
          <w:tcPr>
            <w:tcW w:w="5070" w:type="dxa"/>
            <w:vAlign w:val="center"/>
          </w:tcPr>
          <w:p w14:paraId="6AFB602B">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地址:</w:t>
            </w:r>
          </w:p>
        </w:tc>
        <w:tc>
          <w:tcPr>
            <w:tcW w:w="4394" w:type="dxa"/>
            <w:vAlign w:val="center"/>
          </w:tcPr>
          <w:p w14:paraId="25D9248E">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地址:</w:t>
            </w:r>
          </w:p>
        </w:tc>
      </w:tr>
      <w:tr w14:paraId="538CBBB4">
        <w:tblPrEx>
          <w:tblCellMar>
            <w:top w:w="0" w:type="dxa"/>
            <w:left w:w="108" w:type="dxa"/>
            <w:bottom w:w="0" w:type="dxa"/>
            <w:right w:w="108" w:type="dxa"/>
          </w:tblCellMar>
        </w:tblPrEx>
        <w:trPr>
          <w:trHeight w:val="507" w:hRule="atLeast"/>
        </w:trPr>
        <w:tc>
          <w:tcPr>
            <w:tcW w:w="5070" w:type="dxa"/>
            <w:vAlign w:val="center"/>
          </w:tcPr>
          <w:p w14:paraId="6B6B369A">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法定代表人：（签章）</w:t>
            </w:r>
          </w:p>
        </w:tc>
        <w:tc>
          <w:tcPr>
            <w:tcW w:w="4394" w:type="dxa"/>
            <w:vAlign w:val="center"/>
          </w:tcPr>
          <w:p w14:paraId="27B84E43">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法定代表人：（签章）</w:t>
            </w:r>
          </w:p>
        </w:tc>
      </w:tr>
      <w:tr w14:paraId="2DAA2FA1">
        <w:tblPrEx>
          <w:tblCellMar>
            <w:top w:w="0" w:type="dxa"/>
            <w:left w:w="108" w:type="dxa"/>
            <w:bottom w:w="0" w:type="dxa"/>
            <w:right w:w="108" w:type="dxa"/>
          </w:tblCellMar>
        </w:tblPrEx>
        <w:trPr>
          <w:trHeight w:val="529" w:hRule="atLeast"/>
        </w:trPr>
        <w:tc>
          <w:tcPr>
            <w:tcW w:w="5070" w:type="dxa"/>
            <w:vAlign w:val="center"/>
          </w:tcPr>
          <w:p w14:paraId="7C82F7CD">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委托代理人:</w:t>
            </w:r>
          </w:p>
        </w:tc>
        <w:tc>
          <w:tcPr>
            <w:tcW w:w="4394" w:type="dxa"/>
            <w:vAlign w:val="center"/>
          </w:tcPr>
          <w:p w14:paraId="3BEADF47">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委托代理人:</w:t>
            </w:r>
          </w:p>
        </w:tc>
      </w:tr>
      <w:tr w14:paraId="35C04BD3">
        <w:tblPrEx>
          <w:tblCellMar>
            <w:top w:w="0" w:type="dxa"/>
            <w:left w:w="108" w:type="dxa"/>
            <w:bottom w:w="0" w:type="dxa"/>
            <w:right w:w="108" w:type="dxa"/>
          </w:tblCellMar>
        </w:tblPrEx>
        <w:trPr>
          <w:trHeight w:val="396" w:hRule="atLeast"/>
        </w:trPr>
        <w:tc>
          <w:tcPr>
            <w:tcW w:w="5070" w:type="dxa"/>
            <w:vAlign w:val="center"/>
          </w:tcPr>
          <w:p w14:paraId="40251763">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经办人:</w:t>
            </w:r>
          </w:p>
        </w:tc>
        <w:tc>
          <w:tcPr>
            <w:tcW w:w="4394" w:type="dxa"/>
            <w:vAlign w:val="center"/>
          </w:tcPr>
          <w:p w14:paraId="424B6E39">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经办人:</w:t>
            </w:r>
          </w:p>
        </w:tc>
      </w:tr>
      <w:tr w14:paraId="0003A1B0">
        <w:tblPrEx>
          <w:tblCellMar>
            <w:top w:w="0" w:type="dxa"/>
            <w:left w:w="108" w:type="dxa"/>
            <w:bottom w:w="0" w:type="dxa"/>
            <w:right w:w="108" w:type="dxa"/>
          </w:tblCellMar>
        </w:tblPrEx>
        <w:trPr>
          <w:trHeight w:val="417" w:hRule="atLeast"/>
        </w:trPr>
        <w:tc>
          <w:tcPr>
            <w:tcW w:w="5070" w:type="dxa"/>
            <w:vAlign w:val="center"/>
          </w:tcPr>
          <w:p w14:paraId="372F9EDA">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开户银行：</w:t>
            </w:r>
          </w:p>
        </w:tc>
        <w:tc>
          <w:tcPr>
            <w:tcW w:w="4394" w:type="dxa"/>
            <w:vAlign w:val="center"/>
          </w:tcPr>
          <w:p w14:paraId="6224A466">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开户银行：</w:t>
            </w:r>
          </w:p>
        </w:tc>
      </w:tr>
      <w:tr w14:paraId="547F4E56">
        <w:tblPrEx>
          <w:tblCellMar>
            <w:top w:w="0" w:type="dxa"/>
            <w:left w:w="108" w:type="dxa"/>
            <w:bottom w:w="0" w:type="dxa"/>
            <w:right w:w="108" w:type="dxa"/>
          </w:tblCellMar>
        </w:tblPrEx>
        <w:tc>
          <w:tcPr>
            <w:tcW w:w="5070" w:type="dxa"/>
            <w:vAlign w:val="center"/>
          </w:tcPr>
          <w:p w14:paraId="15357B6A">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账号：</w:t>
            </w:r>
          </w:p>
        </w:tc>
        <w:tc>
          <w:tcPr>
            <w:tcW w:w="4394" w:type="dxa"/>
            <w:vAlign w:val="center"/>
          </w:tcPr>
          <w:p w14:paraId="7243A476">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账号：</w:t>
            </w:r>
          </w:p>
        </w:tc>
      </w:tr>
      <w:tr w14:paraId="2B052895">
        <w:tblPrEx>
          <w:tblCellMar>
            <w:top w:w="0" w:type="dxa"/>
            <w:left w:w="108" w:type="dxa"/>
            <w:bottom w:w="0" w:type="dxa"/>
            <w:right w:w="108" w:type="dxa"/>
          </w:tblCellMar>
        </w:tblPrEx>
        <w:tc>
          <w:tcPr>
            <w:tcW w:w="5070" w:type="dxa"/>
            <w:vAlign w:val="center"/>
          </w:tcPr>
          <w:p w14:paraId="241B7E20">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邮编：</w:t>
            </w:r>
          </w:p>
        </w:tc>
        <w:tc>
          <w:tcPr>
            <w:tcW w:w="4394" w:type="dxa"/>
            <w:vAlign w:val="center"/>
          </w:tcPr>
          <w:p w14:paraId="650968BF">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邮编：</w:t>
            </w:r>
          </w:p>
        </w:tc>
      </w:tr>
      <w:tr w14:paraId="4EF724CD">
        <w:tblPrEx>
          <w:tblCellMar>
            <w:top w:w="0" w:type="dxa"/>
            <w:left w:w="108" w:type="dxa"/>
            <w:bottom w:w="0" w:type="dxa"/>
            <w:right w:w="108" w:type="dxa"/>
          </w:tblCellMar>
        </w:tblPrEx>
        <w:tc>
          <w:tcPr>
            <w:tcW w:w="5070" w:type="dxa"/>
            <w:vAlign w:val="center"/>
          </w:tcPr>
          <w:p w14:paraId="3096DDEE">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电话：</w:t>
            </w:r>
          </w:p>
        </w:tc>
        <w:tc>
          <w:tcPr>
            <w:tcW w:w="4394" w:type="dxa"/>
            <w:vAlign w:val="center"/>
          </w:tcPr>
          <w:p w14:paraId="7D7E14C2">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电话：</w:t>
            </w:r>
          </w:p>
        </w:tc>
      </w:tr>
      <w:tr w14:paraId="197544B8">
        <w:tblPrEx>
          <w:tblCellMar>
            <w:top w:w="0" w:type="dxa"/>
            <w:left w:w="108" w:type="dxa"/>
            <w:bottom w:w="0" w:type="dxa"/>
            <w:right w:w="108" w:type="dxa"/>
          </w:tblCellMar>
        </w:tblPrEx>
        <w:tc>
          <w:tcPr>
            <w:tcW w:w="5070" w:type="dxa"/>
            <w:vAlign w:val="center"/>
          </w:tcPr>
          <w:p w14:paraId="0BD1229B">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年   月   日</w:t>
            </w:r>
          </w:p>
        </w:tc>
        <w:tc>
          <w:tcPr>
            <w:tcW w:w="4394" w:type="dxa"/>
            <w:vAlign w:val="center"/>
          </w:tcPr>
          <w:p w14:paraId="33147025">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年   月   日</w:t>
            </w:r>
          </w:p>
        </w:tc>
      </w:tr>
    </w:tbl>
    <w:p w14:paraId="1F6B9E5E">
      <w:pPr>
        <w:rPr>
          <w:rFonts w:asciiTheme="majorEastAsia" w:hAnsiTheme="majorEastAsia" w:eastAsiaTheme="majorEastAsia"/>
          <w:highlight w:val="none"/>
        </w:rPr>
      </w:pPr>
    </w:p>
    <w:tbl>
      <w:tblPr>
        <w:tblStyle w:val="63"/>
        <w:tblpPr w:leftFromText="180" w:rightFromText="180" w:vertAnchor="text" w:horzAnchor="margin" w:tblpX="380" w:tblpY="200"/>
        <w:tblW w:w="9510" w:type="dxa"/>
        <w:tblInd w:w="0" w:type="dxa"/>
        <w:tblLayout w:type="fixed"/>
        <w:tblCellMar>
          <w:top w:w="0" w:type="dxa"/>
          <w:left w:w="108" w:type="dxa"/>
          <w:bottom w:w="0" w:type="dxa"/>
          <w:right w:w="108" w:type="dxa"/>
        </w:tblCellMar>
      </w:tblPr>
      <w:tblGrid>
        <w:gridCol w:w="5116"/>
        <w:gridCol w:w="4394"/>
      </w:tblGrid>
      <w:tr w14:paraId="3B5FB1BA">
        <w:tblPrEx>
          <w:tblCellMar>
            <w:top w:w="0" w:type="dxa"/>
            <w:left w:w="108" w:type="dxa"/>
            <w:bottom w:w="0" w:type="dxa"/>
            <w:right w:w="108" w:type="dxa"/>
          </w:tblCellMar>
        </w:tblPrEx>
        <w:trPr>
          <w:trHeight w:val="855" w:hRule="atLeast"/>
        </w:trPr>
        <w:tc>
          <w:tcPr>
            <w:tcW w:w="5116" w:type="dxa"/>
            <w:vAlign w:val="center"/>
          </w:tcPr>
          <w:p w14:paraId="104CF253">
            <w:pPr>
              <w:autoSpaceDE w:val="0"/>
              <w:autoSpaceDN w:val="0"/>
              <w:adjustRightInd w:val="0"/>
              <w:spacing w:line="500" w:lineRule="exact"/>
              <w:jc w:val="center"/>
              <w:rPr>
                <w:rFonts w:cs="宋体" w:asciiTheme="majorEastAsia" w:hAnsiTheme="majorEastAsia" w:eastAsiaTheme="majorEastAsia"/>
                <w:highlight w:val="none"/>
              </w:rPr>
            </w:pPr>
          </w:p>
        </w:tc>
        <w:tc>
          <w:tcPr>
            <w:tcW w:w="4394" w:type="dxa"/>
            <w:vAlign w:val="center"/>
          </w:tcPr>
          <w:p w14:paraId="5C50C96B">
            <w:pPr>
              <w:autoSpaceDE w:val="0"/>
              <w:autoSpaceDN w:val="0"/>
              <w:adjustRightInd w:val="0"/>
              <w:spacing w:line="500" w:lineRule="exact"/>
              <w:jc w:val="both"/>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联合体成员：（签章）</w:t>
            </w:r>
          </w:p>
        </w:tc>
      </w:tr>
      <w:tr w14:paraId="51ABEB57">
        <w:tblPrEx>
          <w:tblCellMar>
            <w:top w:w="0" w:type="dxa"/>
            <w:left w:w="108" w:type="dxa"/>
            <w:bottom w:w="0" w:type="dxa"/>
            <w:right w:w="108" w:type="dxa"/>
          </w:tblCellMar>
        </w:tblPrEx>
        <w:trPr>
          <w:trHeight w:val="507" w:hRule="atLeast"/>
        </w:trPr>
        <w:tc>
          <w:tcPr>
            <w:tcW w:w="5116" w:type="dxa"/>
            <w:vAlign w:val="center"/>
          </w:tcPr>
          <w:p w14:paraId="3037289F">
            <w:pPr>
              <w:keepNext/>
              <w:keepLines/>
              <w:widowControl w:val="0"/>
              <w:tabs>
                <w:tab w:val="left" w:pos="2160"/>
              </w:tabs>
              <w:autoSpaceDE w:val="0"/>
              <w:autoSpaceDN w:val="0"/>
              <w:adjustRightInd w:val="0"/>
              <w:spacing w:line="500" w:lineRule="exact"/>
              <w:ind w:firstLine="480" w:firstLineChars="200"/>
              <w:jc w:val="center"/>
              <w:outlineLvl w:val="2"/>
              <w:rPr>
                <w:rFonts w:cs="宋体" w:asciiTheme="majorEastAsia" w:hAnsiTheme="majorEastAsia" w:eastAsiaTheme="majorEastAsia"/>
                <w:highlight w:val="none"/>
              </w:rPr>
            </w:pPr>
          </w:p>
        </w:tc>
        <w:tc>
          <w:tcPr>
            <w:tcW w:w="4394" w:type="dxa"/>
            <w:vAlign w:val="center"/>
          </w:tcPr>
          <w:p w14:paraId="35E76100">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地址:</w:t>
            </w:r>
          </w:p>
        </w:tc>
      </w:tr>
      <w:tr w14:paraId="52552F0B">
        <w:tblPrEx>
          <w:tblCellMar>
            <w:top w:w="0" w:type="dxa"/>
            <w:left w:w="108" w:type="dxa"/>
            <w:bottom w:w="0" w:type="dxa"/>
            <w:right w:w="108" w:type="dxa"/>
          </w:tblCellMar>
        </w:tblPrEx>
        <w:trPr>
          <w:trHeight w:val="507" w:hRule="atLeast"/>
        </w:trPr>
        <w:tc>
          <w:tcPr>
            <w:tcW w:w="5116" w:type="dxa"/>
            <w:vAlign w:val="center"/>
          </w:tcPr>
          <w:p w14:paraId="55DCD00D">
            <w:pPr>
              <w:keepNext/>
              <w:keepLines/>
              <w:widowControl w:val="0"/>
              <w:tabs>
                <w:tab w:val="left" w:pos="2160"/>
              </w:tabs>
              <w:autoSpaceDE w:val="0"/>
              <w:autoSpaceDN w:val="0"/>
              <w:adjustRightInd w:val="0"/>
              <w:spacing w:line="500" w:lineRule="exact"/>
              <w:ind w:firstLine="480" w:firstLineChars="200"/>
              <w:jc w:val="center"/>
              <w:outlineLvl w:val="2"/>
              <w:rPr>
                <w:rFonts w:cs="宋体" w:asciiTheme="majorEastAsia" w:hAnsiTheme="majorEastAsia" w:eastAsiaTheme="majorEastAsia"/>
                <w:highlight w:val="none"/>
              </w:rPr>
            </w:pPr>
          </w:p>
        </w:tc>
        <w:tc>
          <w:tcPr>
            <w:tcW w:w="4394" w:type="dxa"/>
            <w:vAlign w:val="center"/>
          </w:tcPr>
          <w:p w14:paraId="7CF57ABB">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法定代表人：（签章）</w:t>
            </w:r>
          </w:p>
        </w:tc>
      </w:tr>
      <w:tr w14:paraId="021610E6">
        <w:tblPrEx>
          <w:tblCellMar>
            <w:top w:w="0" w:type="dxa"/>
            <w:left w:w="108" w:type="dxa"/>
            <w:bottom w:w="0" w:type="dxa"/>
            <w:right w:w="108" w:type="dxa"/>
          </w:tblCellMar>
        </w:tblPrEx>
        <w:trPr>
          <w:trHeight w:val="529" w:hRule="atLeast"/>
        </w:trPr>
        <w:tc>
          <w:tcPr>
            <w:tcW w:w="5116" w:type="dxa"/>
            <w:vAlign w:val="center"/>
          </w:tcPr>
          <w:p w14:paraId="05A0C0C8">
            <w:pPr>
              <w:keepNext/>
              <w:keepLines/>
              <w:widowControl w:val="0"/>
              <w:tabs>
                <w:tab w:val="left" w:pos="2160"/>
              </w:tabs>
              <w:autoSpaceDE w:val="0"/>
              <w:autoSpaceDN w:val="0"/>
              <w:adjustRightInd w:val="0"/>
              <w:spacing w:line="500" w:lineRule="exact"/>
              <w:ind w:firstLine="480" w:firstLineChars="200"/>
              <w:jc w:val="center"/>
              <w:outlineLvl w:val="2"/>
              <w:rPr>
                <w:rFonts w:cs="宋体" w:asciiTheme="majorEastAsia" w:hAnsiTheme="majorEastAsia" w:eastAsiaTheme="majorEastAsia"/>
                <w:highlight w:val="none"/>
              </w:rPr>
            </w:pPr>
          </w:p>
        </w:tc>
        <w:tc>
          <w:tcPr>
            <w:tcW w:w="4394" w:type="dxa"/>
            <w:vAlign w:val="center"/>
          </w:tcPr>
          <w:p w14:paraId="2EDA6F27">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委托代理人:</w:t>
            </w:r>
          </w:p>
        </w:tc>
      </w:tr>
      <w:tr w14:paraId="3D2DA394">
        <w:tblPrEx>
          <w:tblCellMar>
            <w:top w:w="0" w:type="dxa"/>
            <w:left w:w="108" w:type="dxa"/>
            <w:bottom w:w="0" w:type="dxa"/>
            <w:right w:w="108" w:type="dxa"/>
          </w:tblCellMar>
        </w:tblPrEx>
        <w:trPr>
          <w:trHeight w:val="396" w:hRule="atLeast"/>
        </w:trPr>
        <w:tc>
          <w:tcPr>
            <w:tcW w:w="5116" w:type="dxa"/>
            <w:vAlign w:val="center"/>
          </w:tcPr>
          <w:p w14:paraId="13A942DD">
            <w:pPr>
              <w:keepNext/>
              <w:keepLines/>
              <w:widowControl w:val="0"/>
              <w:tabs>
                <w:tab w:val="left" w:pos="2160"/>
              </w:tabs>
              <w:autoSpaceDE w:val="0"/>
              <w:autoSpaceDN w:val="0"/>
              <w:adjustRightInd w:val="0"/>
              <w:spacing w:line="500" w:lineRule="exact"/>
              <w:ind w:firstLine="480" w:firstLineChars="200"/>
              <w:jc w:val="center"/>
              <w:outlineLvl w:val="2"/>
              <w:rPr>
                <w:rFonts w:cs="宋体" w:asciiTheme="majorEastAsia" w:hAnsiTheme="majorEastAsia" w:eastAsiaTheme="majorEastAsia"/>
                <w:highlight w:val="none"/>
              </w:rPr>
            </w:pPr>
          </w:p>
        </w:tc>
        <w:tc>
          <w:tcPr>
            <w:tcW w:w="4394" w:type="dxa"/>
            <w:vAlign w:val="center"/>
          </w:tcPr>
          <w:p w14:paraId="5292834F">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经办人:</w:t>
            </w:r>
          </w:p>
        </w:tc>
      </w:tr>
      <w:tr w14:paraId="5B0DA771">
        <w:tblPrEx>
          <w:tblCellMar>
            <w:top w:w="0" w:type="dxa"/>
            <w:left w:w="108" w:type="dxa"/>
            <w:bottom w:w="0" w:type="dxa"/>
            <w:right w:w="108" w:type="dxa"/>
          </w:tblCellMar>
        </w:tblPrEx>
        <w:trPr>
          <w:trHeight w:val="417" w:hRule="atLeast"/>
        </w:trPr>
        <w:tc>
          <w:tcPr>
            <w:tcW w:w="5116" w:type="dxa"/>
            <w:vAlign w:val="center"/>
          </w:tcPr>
          <w:p w14:paraId="4A685B96">
            <w:pPr>
              <w:keepNext/>
              <w:keepLines/>
              <w:widowControl w:val="0"/>
              <w:tabs>
                <w:tab w:val="left" w:pos="2160"/>
              </w:tabs>
              <w:autoSpaceDE w:val="0"/>
              <w:autoSpaceDN w:val="0"/>
              <w:adjustRightInd w:val="0"/>
              <w:spacing w:line="500" w:lineRule="exact"/>
              <w:ind w:firstLine="480" w:firstLineChars="200"/>
              <w:jc w:val="center"/>
              <w:outlineLvl w:val="2"/>
              <w:rPr>
                <w:rFonts w:cs="宋体" w:asciiTheme="majorEastAsia" w:hAnsiTheme="majorEastAsia" w:eastAsiaTheme="majorEastAsia"/>
                <w:highlight w:val="none"/>
              </w:rPr>
            </w:pPr>
          </w:p>
        </w:tc>
        <w:tc>
          <w:tcPr>
            <w:tcW w:w="4394" w:type="dxa"/>
            <w:vAlign w:val="center"/>
          </w:tcPr>
          <w:p w14:paraId="2CAF40E5">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开户银行：</w:t>
            </w:r>
          </w:p>
        </w:tc>
      </w:tr>
      <w:tr w14:paraId="66416EE2">
        <w:tblPrEx>
          <w:tblCellMar>
            <w:top w:w="0" w:type="dxa"/>
            <w:left w:w="108" w:type="dxa"/>
            <w:bottom w:w="0" w:type="dxa"/>
            <w:right w:w="108" w:type="dxa"/>
          </w:tblCellMar>
        </w:tblPrEx>
        <w:tc>
          <w:tcPr>
            <w:tcW w:w="5116" w:type="dxa"/>
            <w:vAlign w:val="center"/>
          </w:tcPr>
          <w:p w14:paraId="2687BF25">
            <w:pPr>
              <w:keepNext/>
              <w:keepLines/>
              <w:widowControl w:val="0"/>
              <w:tabs>
                <w:tab w:val="left" w:pos="2160"/>
              </w:tabs>
              <w:autoSpaceDE w:val="0"/>
              <w:autoSpaceDN w:val="0"/>
              <w:adjustRightInd w:val="0"/>
              <w:spacing w:line="500" w:lineRule="exact"/>
              <w:ind w:firstLine="480" w:firstLineChars="200"/>
              <w:jc w:val="center"/>
              <w:outlineLvl w:val="2"/>
              <w:rPr>
                <w:rFonts w:cs="宋体" w:asciiTheme="majorEastAsia" w:hAnsiTheme="majorEastAsia" w:eastAsiaTheme="majorEastAsia"/>
                <w:highlight w:val="none"/>
              </w:rPr>
            </w:pPr>
          </w:p>
        </w:tc>
        <w:tc>
          <w:tcPr>
            <w:tcW w:w="4394" w:type="dxa"/>
            <w:vAlign w:val="center"/>
          </w:tcPr>
          <w:p w14:paraId="027DF405">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账号：</w:t>
            </w:r>
          </w:p>
        </w:tc>
      </w:tr>
      <w:tr w14:paraId="675610AA">
        <w:tblPrEx>
          <w:tblCellMar>
            <w:top w:w="0" w:type="dxa"/>
            <w:left w:w="108" w:type="dxa"/>
            <w:bottom w:w="0" w:type="dxa"/>
            <w:right w:w="108" w:type="dxa"/>
          </w:tblCellMar>
        </w:tblPrEx>
        <w:tc>
          <w:tcPr>
            <w:tcW w:w="5116" w:type="dxa"/>
            <w:vAlign w:val="center"/>
          </w:tcPr>
          <w:p w14:paraId="3AAF4AEA">
            <w:pPr>
              <w:keepNext/>
              <w:keepLines/>
              <w:widowControl w:val="0"/>
              <w:tabs>
                <w:tab w:val="left" w:pos="2160"/>
              </w:tabs>
              <w:autoSpaceDE w:val="0"/>
              <w:autoSpaceDN w:val="0"/>
              <w:adjustRightInd w:val="0"/>
              <w:spacing w:line="500" w:lineRule="exact"/>
              <w:ind w:firstLine="480" w:firstLineChars="200"/>
              <w:jc w:val="center"/>
              <w:outlineLvl w:val="2"/>
              <w:rPr>
                <w:rFonts w:cs="宋体" w:asciiTheme="majorEastAsia" w:hAnsiTheme="majorEastAsia" w:eastAsiaTheme="majorEastAsia"/>
                <w:highlight w:val="none"/>
              </w:rPr>
            </w:pPr>
          </w:p>
        </w:tc>
        <w:tc>
          <w:tcPr>
            <w:tcW w:w="4394" w:type="dxa"/>
            <w:vAlign w:val="center"/>
          </w:tcPr>
          <w:p w14:paraId="39B81805">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邮编：</w:t>
            </w:r>
          </w:p>
        </w:tc>
      </w:tr>
      <w:tr w14:paraId="65219207">
        <w:tblPrEx>
          <w:tblCellMar>
            <w:top w:w="0" w:type="dxa"/>
            <w:left w:w="108" w:type="dxa"/>
            <w:bottom w:w="0" w:type="dxa"/>
            <w:right w:w="108" w:type="dxa"/>
          </w:tblCellMar>
        </w:tblPrEx>
        <w:tc>
          <w:tcPr>
            <w:tcW w:w="5116" w:type="dxa"/>
            <w:vAlign w:val="center"/>
          </w:tcPr>
          <w:p w14:paraId="2665E059">
            <w:pPr>
              <w:keepNext/>
              <w:keepLines/>
              <w:widowControl w:val="0"/>
              <w:tabs>
                <w:tab w:val="left" w:pos="2160"/>
              </w:tabs>
              <w:autoSpaceDE w:val="0"/>
              <w:autoSpaceDN w:val="0"/>
              <w:adjustRightInd w:val="0"/>
              <w:spacing w:line="500" w:lineRule="exact"/>
              <w:ind w:firstLine="480" w:firstLineChars="200"/>
              <w:jc w:val="center"/>
              <w:outlineLvl w:val="2"/>
              <w:rPr>
                <w:rFonts w:cs="宋体" w:asciiTheme="majorEastAsia" w:hAnsiTheme="majorEastAsia" w:eastAsiaTheme="majorEastAsia"/>
                <w:highlight w:val="none"/>
              </w:rPr>
            </w:pPr>
          </w:p>
        </w:tc>
        <w:tc>
          <w:tcPr>
            <w:tcW w:w="4394" w:type="dxa"/>
            <w:vAlign w:val="center"/>
          </w:tcPr>
          <w:p w14:paraId="2EC35E56">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电话：</w:t>
            </w:r>
          </w:p>
        </w:tc>
      </w:tr>
      <w:tr w14:paraId="664FF62E">
        <w:tblPrEx>
          <w:tblCellMar>
            <w:top w:w="0" w:type="dxa"/>
            <w:left w:w="108" w:type="dxa"/>
            <w:bottom w:w="0" w:type="dxa"/>
            <w:right w:w="108" w:type="dxa"/>
          </w:tblCellMar>
        </w:tblPrEx>
        <w:tc>
          <w:tcPr>
            <w:tcW w:w="5116" w:type="dxa"/>
            <w:vAlign w:val="center"/>
          </w:tcPr>
          <w:p w14:paraId="53FEB00F">
            <w:pPr>
              <w:keepNext/>
              <w:keepLines/>
              <w:widowControl w:val="0"/>
              <w:tabs>
                <w:tab w:val="left" w:pos="2160"/>
              </w:tabs>
              <w:autoSpaceDE w:val="0"/>
              <w:autoSpaceDN w:val="0"/>
              <w:adjustRightInd w:val="0"/>
              <w:spacing w:line="500" w:lineRule="exact"/>
              <w:ind w:firstLine="900" w:firstLineChars="375"/>
              <w:jc w:val="center"/>
              <w:outlineLvl w:val="2"/>
              <w:rPr>
                <w:rFonts w:cs="宋体" w:asciiTheme="majorEastAsia" w:hAnsiTheme="majorEastAsia" w:eastAsiaTheme="majorEastAsia"/>
                <w:highlight w:val="none"/>
              </w:rPr>
            </w:pPr>
          </w:p>
        </w:tc>
        <w:tc>
          <w:tcPr>
            <w:tcW w:w="4394" w:type="dxa"/>
            <w:vAlign w:val="center"/>
          </w:tcPr>
          <w:p w14:paraId="39BB9CB6">
            <w:pPr>
              <w:autoSpaceDE w:val="0"/>
              <w:autoSpaceDN w:val="0"/>
              <w:adjustRightInd w:val="0"/>
              <w:spacing w:line="500" w:lineRule="exact"/>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年   月   日</w:t>
            </w:r>
          </w:p>
        </w:tc>
      </w:tr>
    </w:tbl>
    <w:p w14:paraId="55255CA7">
      <w:pPr>
        <w:pStyle w:val="23"/>
        <w:rPr>
          <w:rFonts w:asciiTheme="majorEastAsia" w:hAnsiTheme="majorEastAsia" w:eastAsiaTheme="majorEastAsia"/>
          <w:highlight w:val="none"/>
        </w:rPr>
      </w:pPr>
    </w:p>
    <w:p w14:paraId="50CBC8B7">
      <w:pPr>
        <w:rPr>
          <w:rFonts w:hint="eastAsia" w:asciiTheme="majorEastAsia" w:hAnsiTheme="majorEastAsia" w:eastAsiaTheme="majorEastAsia"/>
          <w:sz w:val="44"/>
          <w:szCs w:val="44"/>
          <w:highlight w:val="none"/>
        </w:rPr>
      </w:pPr>
      <w:bookmarkStart w:id="266" w:name="_Toc54862176"/>
      <w:r>
        <w:rPr>
          <w:rFonts w:hint="eastAsia" w:asciiTheme="majorEastAsia" w:hAnsiTheme="majorEastAsia" w:eastAsiaTheme="majorEastAsia"/>
          <w:sz w:val="44"/>
          <w:szCs w:val="44"/>
          <w:highlight w:val="none"/>
        </w:rPr>
        <w:br w:type="page"/>
      </w:r>
    </w:p>
    <w:p w14:paraId="36C2ACA8">
      <w:pPr>
        <w:pStyle w:val="3"/>
        <w:spacing w:before="120" w:after="120" w:afterLines="50" w:line="700" w:lineRule="exact"/>
        <w:ind w:hanging="65"/>
        <w:jc w:val="center"/>
        <w:rPr>
          <w:rFonts w:asciiTheme="majorEastAsia" w:hAnsiTheme="majorEastAsia" w:eastAsiaTheme="majorEastAsia"/>
          <w:sz w:val="44"/>
          <w:szCs w:val="44"/>
          <w:highlight w:val="none"/>
        </w:rPr>
      </w:pPr>
      <w:r>
        <w:rPr>
          <w:rFonts w:hint="eastAsia" w:asciiTheme="majorEastAsia" w:hAnsiTheme="majorEastAsia" w:eastAsiaTheme="majorEastAsia"/>
          <w:sz w:val="44"/>
          <w:szCs w:val="44"/>
          <w:highlight w:val="none"/>
        </w:rPr>
        <w:t>第二部分  通用合同条件</w:t>
      </w:r>
      <w:bookmarkEnd w:id="266"/>
    </w:p>
    <w:p w14:paraId="18E33E1D">
      <w:pPr>
        <w:spacing w:line="560" w:lineRule="exact"/>
        <w:rPr>
          <w:rFonts w:asciiTheme="majorEastAsia" w:hAnsiTheme="majorEastAsia" w:eastAsiaTheme="majorEastAsia"/>
          <w:b/>
          <w:highlight w:val="none"/>
        </w:rPr>
      </w:pPr>
      <w:bookmarkStart w:id="267" w:name="_Ref508893699"/>
      <w:bookmarkStart w:id="268" w:name="_Toc54862177"/>
      <w:bookmarkStart w:id="269" w:name="_Ref509040831"/>
      <w:bookmarkStart w:id="270" w:name="_Ref509040826"/>
      <w:r>
        <w:rPr>
          <w:rFonts w:hint="eastAsia" w:asciiTheme="majorEastAsia" w:hAnsiTheme="majorEastAsia" w:eastAsiaTheme="majorEastAsia"/>
          <w:b/>
          <w:highlight w:val="none"/>
        </w:rPr>
        <w:t xml:space="preserve">第1条  </w:t>
      </w:r>
      <w:r>
        <w:rPr>
          <w:rFonts w:asciiTheme="majorEastAsia" w:hAnsiTheme="majorEastAsia" w:eastAsiaTheme="majorEastAsia"/>
          <w:b/>
          <w:highlight w:val="none"/>
        </w:rPr>
        <w:t>一般</w:t>
      </w:r>
      <w:r>
        <w:rPr>
          <w:rFonts w:hint="eastAsia" w:asciiTheme="majorEastAsia" w:hAnsiTheme="majorEastAsia" w:eastAsiaTheme="majorEastAsia"/>
          <w:b/>
          <w:highlight w:val="none"/>
        </w:rPr>
        <w:t>约</w:t>
      </w:r>
      <w:r>
        <w:rPr>
          <w:rFonts w:asciiTheme="majorEastAsia" w:hAnsiTheme="majorEastAsia" w:eastAsiaTheme="majorEastAsia"/>
          <w:b/>
          <w:highlight w:val="none"/>
        </w:rPr>
        <w:t>定</w:t>
      </w:r>
      <w:bookmarkEnd w:id="267"/>
      <w:bookmarkEnd w:id="268"/>
    </w:p>
    <w:p w14:paraId="6B5AC25F">
      <w:pPr>
        <w:spacing w:line="560" w:lineRule="exact"/>
        <w:ind w:firstLine="410" w:firstLineChars="171"/>
        <w:rPr>
          <w:rFonts w:asciiTheme="majorEastAsia" w:hAnsiTheme="majorEastAsia" w:eastAsiaTheme="majorEastAsia"/>
          <w:highlight w:val="none"/>
        </w:rPr>
      </w:pPr>
      <w:bookmarkStart w:id="271" w:name="_Ref523741471"/>
      <w:bookmarkStart w:id="272" w:name="_Ref523741474"/>
      <w:bookmarkStart w:id="273" w:name="_Toc54862178"/>
      <w:r>
        <w:rPr>
          <w:rFonts w:hint="eastAsia" w:asciiTheme="majorEastAsia" w:hAnsiTheme="majorEastAsia" w:eastAsiaTheme="majorEastAsia"/>
          <w:highlight w:val="none"/>
        </w:rPr>
        <w:t>1</w:t>
      </w:r>
      <w:r>
        <w:rPr>
          <w:rFonts w:asciiTheme="majorEastAsia" w:hAnsiTheme="majorEastAsia" w:eastAsiaTheme="majorEastAsia"/>
          <w:highlight w:val="none"/>
        </w:rPr>
        <w:t>.1</w:t>
      </w:r>
      <w:r>
        <w:rPr>
          <w:rFonts w:hint="eastAsia" w:asciiTheme="majorEastAsia" w:hAnsiTheme="majorEastAsia" w:eastAsiaTheme="majorEastAsia"/>
          <w:highlight w:val="none"/>
        </w:rPr>
        <w:t>词语定义和解释</w:t>
      </w:r>
      <w:bookmarkEnd w:id="269"/>
      <w:bookmarkEnd w:id="270"/>
      <w:bookmarkEnd w:id="271"/>
      <w:bookmarkEnd w:id="272"/>
      <w:bookmarkEnd w:id="273"/>
    </w:p>
    <w:p w14:paraId="091A1DC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合同协议书、通用合同条件、专用合同条件中的下列词语应具有本款所赋予的含义：</w:t>
      </w:r>
    </w:p>
    <w:p w14:paraId="23C75C6D">
      <w:pPr>
        <w:spacing w:line="560" w:lineRule="exact"/>
        <w:ind w:firstLine="410" w:firstLineChars="171"/>
        <w:rPr>
          <w:rFonts w:asciiTheme="majorEastAsia" w:hAnsiTheme="majorEastAsia" w:eastAsiaTheme="majorEastAsia"/>
          <w:highlight w:val="none"/>
        </w:rPr>
      </w:pPr>
      <w:bookmarkStart w:id="274" w:name="_Ref4757289"/>
      <w:bookmarkStart w:id="275" w:name="_Ref521288340"/>
      <w:r>
        <w:rPr>
          <w:rFonts w:hint="eastAsia" w:asciiTheme="majorEastAsia" w:hAnsiTheme="majorEastAsia" w:eastAsiaTheme="majorEastAsia"/>
          <w:highlight w:val="none"/>
        </w:rPr>
        <w:t>1</w:t>
      </w:r>
      <w:r>
        <w:rPr>
          <w:rFonts w:asciiTheme="majorEastAsia" w:hAnsiTheme="majorEastAsia" w:eastAsiaTheme="majorEastAsia"/>
          <w:highlight w:val="none"/>
        </w:rPr>
        <w:t>.1.1</w:t>
      </w:r>
      <w:r>
        <w:rPr>
          <w:rFonts w:hint="eastAsia" w:asciiTheme="majorEastAsia" w:hAnsiTheme="majorEastAsia" w:eastAsiaTheme="majorEastAsia"/>
          <w:highlight w:val="none"/>
        </w:rPr>
        <w:t>合同</w:t>
      </w:r>
      <w:bookmarkEnd w:id="274"/>
    </w:p>
    <w:p w14:paraId="40E9AAE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.1.1.1 </w:t>
      </w:r>
      <w:r>
        <w:rPr>
          <w:rFonts w:hint="eastAsia" w:asciiTheme="majorEastAsia" w:hAnsiTheme="majorEastAsia" w:eastAsiaTheme="majorEastAsia"/>
          <w:highlight w:val="none"/>
        </w:rPr>
        <w:t>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20DF1B0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.1.1.2 </w:t>
      </w:r>
      <w:r>
        <w:rPr>
          <w:rFonts w:hint="eastAsia" w:asciiTheme="majorEastAsia" w:hAnsiTheme="majorEastAsia" w:eastAsiaTheme="majorEastAsia"/>
          <w:highlight w:val="none"/>
        </w:rPr>
        <w:t>合同协议书：是指构成合同的由发包人和承包人共同签署的称为“合同协议书”的书面文件。</w:t>
      </w:r>
    </w:p>
    <w:p w14:paraId="309E506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.1.1.3 </w:t>
      </w:r>
      <w:r>
        <w:rPr>
          <w:rFonts w:hint="eastAsia" w:asciiTheme="majorEastAsia" w:hAnsiTheme="majorEastAsia" w:eastAsiaTheme="majorEastAsia"/>
          <w:highlight w:val="none"/>
        </w:rPr>
        <w:t>中标通知书：是指构成合同的由发包人通知承包人中标的书面文件。中标通知书随附的澄清、说明、补正事项纪要等，是中标通知书的组成部分。</w:t>
      </w:r>
    </w:p>
    <w:p w14:paraId="17D1770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.1.1.4 </w:t>
      </w:r>
      <w:r>
        <w:rPr>
          <w:rFonts w:hint="eastAsia" w:asciiTheme="majorEastAsia" w:hAnsiTheme="majorEastAsia" w:eastAsiaTheme="majorEastAsia"/>
          <w:highlight w:val="none"/>
        </w:rPr>
        <w:t>投标函：是指构成合同的由承包人填写并签署的用于投标的称为“投标函”的文件。</w:t>
      </w:r>
    </w:p>
    <w:p w14:paraId="4C36C1E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.1.1.5 </w:t>
      </w:r>
      <w:r>
        <w:rPr>
          <w:rFonts w:hint="eastAsia" w:asciiTheme="majorEastAsia" w:hAnsiTheme="majorEastAsia" w:eastAsiaTheme="majorEastAsia"/>
          <w:highlight w:val="none"/>
        </w:rPr>
        <w:t>投标函附录：是指构成合同的附在投标函后的称为“投标函附录”的文件。</w:t>
      </w:r>
    </w:p>
    <w:p w14:paraId="5C5C05C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.1.1.6 </w:t>
      </w:r>
      <w:r>
        <w:rPr>
          <w:rFonts w:hint="eastAsia" w:asciiTheme="majorEastAsia" w:hAnsiTheme="majorEastAsia" w:eastAsiaTheme="majorEastAsia"/>
          <w:highlight w:val="none"/>
        </w:rPr>
        <w:t>《发包人要求》：指构成合同文件组成部分的名为《发包人要求》的文件，其中列明工程的目的、范围、设计与其他技术标准和要求，以及合同双方当事人约定对其所作的修改或补充。</w:t>
      </w:r>
    </w:p>
    <w:p w14:paraId="3021448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.1.1.7 </w:t>
      </w:r>
      <w:r>
        <w:rPr>
          <w:rFonts w:hint="eastAsia" w:asciiTheme="majorEastAsia" w:hAnsiTheme="majorEastAsia" w:eastAsiaTheme="majorEastAsia"/>
          <w:highlight w:val="none"/>
        </w:rPr>
        <w:t>项目清单：是指发包人提供的载明工程总承包项目勘察费（如果有）、设计费、建筑安装工程费、设备购置费、暂估价、暂列金额和双方约定的其他费用的名称和相应数量等内容的项目明细。</w:t>
      </w:r>
    </w:p>
    <w:p w14:paraId="4A60555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.1.1.8 </w:t>
      </w:r>
      <w:r>
        <w:rPr>
          <w:rFonts w:hint="eastAsia" w:asciiTheme="majorEastAsia" w:hAnsiTheme="majorEastAsia" w:eastAsiaTheme="majorEastAsia"/>
          <w:highlight w:val="none"/>
        </w:rPr>
        <w:t>价格清单：指构成合同文件组成部分的由承包人按发包人提供的项目清单规定的格式和要求填写并标明价格的清单。</w:t>
      </w:r>
    </w:p>
    <w:p w14:paraId="6A1A580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.1.1.9 </w:t>
      </w:r>
      <w:r>
        <w:rPr>
          <w:rFonts w:hint="eastAsia" w:asciiTheme="majorEastAsia" w:hAnsiTheme="majorEastAsia" w:eastAsiaTheme="majorEastAsia"/>
          <w:highlight w:val="none"/>
        </w:rPr>
        <w:t>承包人建议书：指构成合同文件组成部分的名为承包人建议书的文件。承包人建议书由承包人随投标函一起提交。</w:t>
      </w:r>
    </w:p>
    <w:p w14:paraId="5A19FF84">
      <w:pPr>
        <w:spacing w:line="560" w:lineRule="exact"/>
        <w:ind w:firstLine="410" w:firstLineChars="171"/>
        <w:rPr>
          <w:rFonts w:asciiTheme="majorEastAsia" w:hAnsiTheme="majorEastAsia" w:eastAsiaTheme="majorEastAsia"/>
          <w:highlight w:val="none"/>
        </w:rPr>
      </w:pPr>
      <w:bookmarkStart w:id="276" w:name="_Ref4415300"/>
      <w:r>
        <w:rPr>
          <w:rFonts w:hint="eastAsia" w:asciiTheme="majorEastAsia" w:hAnsiTheme="majorEastAsia" w:eastAsiaTheme="majorEastAsia"/>
          <w:highlight w:val="none"/>
        </w:rPr>
        <w:t>1</w:t>
      </w:r>
      <w:r>
        <w:rPr>
          <w:rFonts w:asciiTheme="majorEastAsia" w:hAnsiTheme="majorEastAsia" w:eastAsiaTheme="majorEastAsia"/>
          <w:highlight w:val="none"/>
        </w:rPr>
        <w:t>.1.1.1</w:t>
      </w:r>
      <w:r>
        <w:rPr>
          <w:rFonts w:hint="eastAsia" w:asciiTheme="majorEastAsia" w:hAnsiTheme="majorEastAsia" w:eastAsiaTheme="majorEastAsia"/>
          <w:highlight w:val="none"/>
        </w:rPr>
        <w:t>0</w:t>
      </w:r>
      <w:r>
        <w:rPr>
          <w:rFonts w:asciiTheme="majorEastAsia" w:hAnsiTheme="majorEastAsia" w:eastAsiaTheme="majorEastAsia"/>
          <w:highlight w:val="none"/>
        </w:rPr>
        <w:t xml:space="preserve"> </w:t>
      </w:r>
      <w:r>
        <w:rPr>
          <w:rFonts w:hint="eastAsia" w:asciiTheme="majorEastAsia" w:hAnsiTheme="majorEastAsia" w:eastAsiaTheme="majorEastAsia"/>
          <w:highlight w:val="none"/>
        </w:rPr>
        <w:t>其他合同文件：是指经合同当事人约定的与工程实施有关的具有合同约束力的文件或书面协议。合同当事人可以在专用合同条件中进行约定。</w:t>
      </w:r>
      <w:bookmarkEnd w:id="276"/>
    </w:p>
    <w:p w14:paraId="6BD1FE9A">
      <w:pPr>
        <w:spacing w:line="560" w:lineRule="exact"/>
        <w:ind w:firstLine="410" w:firstLineChars="171"/>
        <w:rPr>
          <w:rFonts w:asciiTheme="majorEastAsia" w:hAnsiTheme="majorEastAsia" w:eastAsiaTheme="majorEastAsia"/>
          <w:highlight w:val="none"/>
        </w:rPr>
      </w:pPr>
      <w:bookmarkStart w:id="277" w:name="_Ref4757418"/>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.1.2 </w:t>
      </w:r>
      <w:r>
        <w:rPr>
          <w:rFonts w:hint="eastAsia" w:asciiTheme="majorEastAsia" w:hAnsiTheme="majorEastAsia" w:eastAsiaTheme="majorEastAsia"/>
          <w:highlight w:val="none"/>
        </w:rPr>
        <w:t>合同当事人及其他相关方</w:t>
      </w:r>
      <w:bookmarkEnd w:id="277"/>
    </w:p>
    <w:p w14:paraId="3B0BCA5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.1.2.1 </w:t>
      </w:r>
      <w:r>
        <w:rPr>
          <w:rFonts w:hint="eastAsia" w:asciiTheme="majorEastAsia" w:hAnsiTheme="majorEastAsia" w:eastAsiaTheme="majorEastAsia"/>
          <w:highlight w:val="none"/>
        </w:rPr>
        <w:t>合同当事人：是指发包人和（或）承包人。</w:t>
      </w:r>
    </w:p>
    <w:p w14:paraId="745B2F6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.1.2.2 </w:t>
      </w:r>
      <w:r>
        <w:rPr>
          <w:rFonts w:hint="eastAsia" w:asciiTheme="majorEastAsia" w:hAnsiTheme="majorEastAsia" w:eastAsiaTheme="majorEastAsia"/>
          <w:highlight w:val="none"/>
        </w:rPr>
        <w:t>发包人：是指与承包人订立合同协议书的当事人及取得该当事人资格的合法继受人。本合同中“因发包人原因”里的“发包人”包括发包人及所有发包人人员。</w:t>
      </w:r>
    </w:p>
    <w:p w14:paraId="7694187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.1.2.3 </w:t>
      </w:r>
      <w:r>
        <w:rPr>
          <w:rFonts w:hint="eastAsia" w:asciiTheme="majorEastAsia" w:hAnsiTheme="majorEastAsia" w:eastAsiaTheme="majorEastAsia"/>
          <w:highlight w:val="none"/>
        </w:rPr>
        <w:t>承包人：是指与发包人订立合同协议书的当事人及取得该当事人资格的合法继受人。</w:t>
      </w:r>
    </w:p>
    <w:p w14:paraId="5117997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.1.2.4 </w:t>
      </w:r>
      <w:r>
        <w:rPr>
          <w:rFonts w:hint="eastAsia" w:asciiTheme="majorEastAsia" w:hAnsiTheme="majorEastAsia" w:eastAsiaTheme="majorEastAsia"/>
          <w:highlight w:val="none"/>
        </w:rPr>
        <w:t>联合体：是指经发包人同意由两个或两个以上法人或者其他组织组成的，作为承包人的临时机构。</w:t>
      </w:r>
    </w:p>
    <w:p w14:paraId="0A03EE6D">
      <w:pPr>
        <w:spacing w:line="560" w:lineRule="exact"/>
        <w:ind w:firstLine="410" w:firstLineChars="171"/>
        <w:rPr>
          <w:rFonts w:asciiTheme="majorEastAsia" w:hAnsiTheme="majorEastAsia" w:eastAsiaTheme="majorEastAsia"/>
          <w:highlight w:val="none"/>
        </w:rPr>
      </w:pPr>
      <w:bookmarkStart w:id="278" w:name="_Ref4420046"/>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.1.2.5 </w:t>
      </w:r>
      <w:r>
        <w:rPr>
          <w:rFonts w:hint="eastAsia" w:asciiTheme="majorEastAsia" w:hAnsiTheme="majorEastAsia" w:eastAsiaTheme="majorEastAsia"/>
          <w:highlight w:val="none"/>
        </w:rPr>
        <w:t>发包人代表：是指由发包人任命并派驻工作现场，在发包人授权范围内行使发包人权利和履行发包人义务的人。</w:t>
      </w:r>
    </w:p>
    <w:p w14:paraId="3A8B9AE4">
      <w:pPr>
        <w:spacing w:line="560" w:lineRule="exact"/>
        <w:ind w:firstLine="410" w:firstLineChars="171"/>
        <w:rPr>
          <w:rFonts w:asciiTheme="majorEastAsia" w:hAnsiTheme="majorEastAsia" w:eastAsiaTheme="majorEastAsia"/>
          <w:highlight w:val="none"/>
        </w:rPr>
      </w:pPr>
      <w:bookmarkStart w:id="279" w:name="_Ref475698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.1.2.6 </w:t>
      </w:r>
      <w:r>
        <w:rPr>
          <w:rFonts w:hint="eastAsia" w:asciiTheme="majorEastAsia" w:hAnsiTheme="majorEastAsia" w:eastAsiaTheme="majorEastAsia"/>
          <w:highlight w:val="none"/>
        </w:rPr>
        <w:t>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278"/>
      <w:bookmarkEnd w:id="279"/>
    </w:p>
    <w:p w14:paraId="08EB4ED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.1.2.7 </w:t>
      </w:r>
      <w:r>
        <w:rPr>
          <w:rFonts w:hint="eastAsia" w:asciiTheme="majorEastAsia" w:hAnsiTheme="majorEastAsia" w:eastAsiaTheme="majorEastAsia"/>
          <w:highlight w:val="none"/>
        </w:rPr>
        <w:t>工程总承包项目经理：是指由承包人任命的，在承包人授权范围内负责合同履行的管理，且按照法律规定具有相应资格的项目负责人。</w:t>
      </w:r>
    </w:p>
    <w:p w14:paraId="06A20D2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.1.2.8 </w:t>
      </w:r>
      <w:r>
        <w:rPr>
          <w:rFonts w:hint="eastAsia" w:asciiTheme="majorEastAsia" w:hAnsiTheme="majorEastAsia" w:eastAsiaTheme="majorEastAsia"/>
          <w:highlight w:val="none"/>
        </w:rPr>
        <w:t>设计负责人：是指承包人指定负责组织、指导、协调设计工作并具有相应资格的人员。</w:t>
      </w:r>
    </w:p>
    <w:p w14:paraId="4124C4F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.1.2.9 </w:t>
      </w:r>
      <w:r>
        <w:rPr>
          <w:rFonts w:hint="eastAsia" w:asciiTheme="majorEastAsia" w:hAnsiTheme="majorEastAsia" w:eastAsiaTheme="majorEastAsia"/>
          <w:highlight w:val="none"/>
        </w:rPr>
        <w:t>采购负责人：是指承包人指定负责组织、指导、协调采购工作的人员。</w:t>
      </w:r>
    </w:p>
    <w:p w14:paraId="5705476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.1.2.10 </w:t>
      </w:r>
      <w:r>
        <w:rPr>
          <w:rFonts w:hint="eastAsia" w:asciiTheme="majorEastAsia" w:hAnsiTheme="majorEastAsia" w:eastAsiaTheme="majorEastAsia"/>
          <w:highlight w:val="none"/>
        </w:rPr>
        <w:t>施工负责人：是指承包人指定负责组织、指导、协调施工工作并具有相应资格的人员。</w:t>
      </w:r>
    </w:p>
    <w:p w14:paraId="47FF9B5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.1.2.11 </w:t>
      </w:r>
      <w:r>
        <w:rPr>
          <w:rFonts w:hint="eastAsia" w:asciiTheme="majorEastAsia" w:hAnsiTheme="majorEastAsia" w:eastAsiaTheme="majorEastAsia"/>
          <w:highlight w:val="none"/>
        </w:rPr>
        <w:t>分包人：是指按照法律规定和合同约定，分包部分工程或工作，并与承包人订立分包合同的具有相应资质或资格的法人或其他组织。</w:t>
      </w:r>
    </w:p>
    <w:p w14:paraId="54F339A4">
      <w:pPr>
        <w:spacing w:line="560" w:lineRule="exact"/>
        <w:ind w:firstLine="410" w:firstLineChars="171"/>
        <w:rPr>
          <w:rFonts w:asciiTheme="majorEastAsia" w:hAnsiTheme="majorEastAsia" w:eastAsiaTheme="majorEastAsia"/>
          <w:highlight w:val="none"/>
        </w:rPr>
      </w:pPr>
      <w:bookmarkStart w:id="280" w:name="_Ref4758319"/>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 </w:t>
      </w:r>
      <w:r>
        <w:rPr>
          <w:rFonts w:hint="eastAsia" w:asciiTheme="majorEastAsia" w:hAnsiTheme="majorEastAsia" w:eastAsiaTheme="majorEastAsia"/>
          <w:highlight w:val="none"/>
        </w:rPr>
        <w:t>工程和设备</w:t>
      </w:r>
      <w:bookmarkEnd w:id="280"/>
    </w:p>
    <w:p w14:paraId="34A7204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.1.3.1 </w:t>
      </w:r>
      <w:r>
        <w:rPr>
          <w:rFonts w:hint="eastAsia" w:asciiTheme="majorEastAsia" w:hAnsiTheme="majorEastAsia" w:eastAsiaTheme="majorEastAsia"/>
          <w:highlight w:val="none"/>
        </w:rPr>
        <w:t>工程：是指与合同协议书中工程承包范围对应的永久工程和（或）临时工程。</w:t>
      </w:r>
    </w:p>
    <w:p w14:paraId="68145D4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.1.3.2 </w:t>
      </w:r>
      <w:r>
        <w:rPr>
          <w:rFonts w:hint="eastAsia" w:asciiTheme="majorEastAsia" w:hAnsiTheme="majorEastAsia" w:eastAsiaTheme="majorEastAsia"/>
          <w:highlight w:val="none"/>
        </w:rPr>
        <w:t>工程实施：是指进行工程的设计、采购、施工和竣工以及对工程任何缺陷的修复。</w:t>
      </w:r>
    </w:p>
    <w:p w14:paraId="0F2B4CC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.1.3.3 </w:t>
      </w:r>
      <w:r>
        <w:rPr>
          <w:rFonts w:hint="eastAsia" w:asciiTheme="majorEastAsia" w:hAnsiTheme="majorEastAsia" w:eastAsiaTheme="majorEastAsia"/>
          <w:highlight w:val="none"/>
        </w:rPr>
        <w:t>永久工程：是指按合同约定建造并移交给发包人的工程，包括工程设备。</w:t>
      </w:r>
    </w:p>
    <w:p w14:paraId="20F859F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.1.3.4 </w:t>
      </w:r>
      <w:r>
        <w:rPr>
          <w:rFonts w:hint="eastAsia" w:asciiTheme="majorEastAsia" w:hAnsiTheme="majorEastAsia" w:eastAsiaTheme="majorEastAsia"/>
          <w:highlight w:val="none"/>
        </w:rPr>
        <w:t>临时工程：是指为完成合同约定的永久工程所修建的各类临时性工程，不包括施工设备。</w:t>
      </w:r>
    </w:p>
    <w:p w14:paraId="2BF7A8AA">
      <w:pPr>
        <w:spacing w:line="560" w:lineRule="exact"/>
        <w:ind w:firstLine="410" w:firstLineChars="171"/>
        <w:rPr>
          <w:rFonts w:asciiTheme="majorEastAsia" w:hAnsiTheme="majorEastAsia" w:eastAsiaTheme="majorEastAsia"/>
          <w:highlight w:val="none"/>
        </w:rPr>
      </w:pPr>
      <w:bookmarkStart w:id="281" w:name="_Ref4419825"/>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.1.3.5 </w:t>
      </w:r>
      <w:r>
        <w:rPr>
          <w:rFonts w:hint="eastAsia" w:asciiTheme="majorEastAsia" w:hAnsiTheme="majorEastAsia" w:eastAsiaTheme="majorEastAsia"/>
          <w:highlight w:val="none"/>
        </w:rPr>
        <w:t>单位/区段工程：是指在专用合同条件中指明特定范围的，能单独接收并使用的永久工程。</w:t>
      </w:r>
      <w:bookmarkEnd w:id="281"/>
    </w:p>
    <w:p w14:paraId="44C2DBD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.1.3.6 </w:t>
      </w:r>
      <w:r>
        <w:rPr>
          <w:rFonts w:hint="eastAsia" w:asciiTheme="majorEastAsia" w:hAnsiTheme="majorEastAsia" w:eastAsiaTheme="majorEastAsia"/>
          <w:highlight w:val="none"/>
        </w:rPr>
        <w:t>工程设备：指构成永久工程的机电设备、仪器装置、运载工具及其他类似的设备和装置，包括其配件及备品、备件、易损易耗件等。</w:t>
      </w:r>
    </w:p>
    <w:p w14:paraId="2FE959E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.1.3.7 </w:t>
      </w:r>
      <w:r>
        <w:rPr>
          <w:rFonts w:hint="eastAsia" w:asciiTheme="majorEastAsia" w:hAnsiTheme="majorEastAsia" w:eastAsiaTheme="majorEastAsia"/>
          <w:highlight w:val="none"/>
        </w:rPr>
        <w:t>施工设备：指为完成合同约定的各项工作所需的设备、器具和其他物品，不包括工程设备、临时工程和材料。</w:t>
      </w:r>
    </w:p>
    <w:p w14:paraId="54FE7B3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.1.3.8 </w:t>
      </w:r>
      <w:r>
        <w:rPr>
          <w:rFonts w:hint="eastAsia" w:asciiTheme="majorEastAsia" w:hAnsiTheme="majorEastAsia" w:eastAsiaTheme="majorEastAsia"/>
          <w:highlight w:val="none"/>
        </w:rPr>
        <w:t>临时设施：指为完成合同约定的各项工作所服务的临时性生产和生活设施。</w:t>
      </w:r>
    </w:p>
    <w:p w14:paraId="2544C1BB">
      <w:pPr>
        <w:spacing w:line="560" w:lineRule="exact"/>
        <w:ind w:firstLine="410" w:firstLineChars="171"/>
        <w:rPr>
          <w:rFonts w:asciiTheme="majorEastAsia" w:hAnsiTheme="majorEastAsia" w:eastAsiaTheme="majorEastAsia"/>
          <w:highlight w:val="none"/>
        </w:rPr>
      </w:pPr>
      <w:bookmarkStart w:id="282" w:name="_Ref4420577"/>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.1.3.9 </w:t>
      </w:r>
      <w:r>
        <w:rPr>
          <w:rFonts w:hint="eastAsia" w:asciiTheme="majorEastAsia" w:hAnsiTheme="majorEastAsia" w:eastAsiaTheme="majorEastAsia"/>
          <w:highlight w:val="none"/>
        </w:rPr>
        <w:t>施工现场：是指用于工程施工的场所，以及在专用合同条件中指明作为施工场所组成部分的其他场所，包括永久占地和临时占地。</w:t>
      </w:r>
      <w:bookmarkEnd w:id="282"/>
    </w:p>
    <w:p w14:paraId="78634044">
      <w:pPr>
        <w:spacing w:line="560" w:lineRule="exact"/>
        <w:ind w:firstLine="410" w:firstLineChars="171"/>
        <w:rPr>
          <w:rFonts w:asciiTheme="majorEastAsia" w:hAnsiTheme="majorEastAsia" w:eastAsiaTheme="majorEastAsia"/>
          <w:highlight w:val="none"/>
        </w:rPr>
      </w:pPr>
      <w:bookmarkStart w:id="283" w:name="_Ref4420746"/>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.1.3.10 </w:t>
      </w:r>
      <w:r>
        <w:rPr>
          <w:rFonts w:hint="eastAsia" w:asciiTheme="majorEastAsia" w:hAnsiTheme="majorEastAsia" w:eastAsiaTheme="majorEastAsia"/>
          <w:highlight w:val="none"/>
        </w:rPr>
        <w:t>永久占地：是指专用合同条件中指明为实施工程需永久占用的土地。</w:t>
      </w:r>
      <w:bookmarkEnd w:id="283"/>
    </w:p>
    <w:p w14:paraId="54D4952A">
      <w:pPr>
        <w:spacing w:line="560" w:lineRule="exact"/>
        <w:ind w:firstLine="410" w:firstLineChars="171"/>
        <w:rPr>
          <w:rFonts w:asciiTheme="majorEastAsia" w:hAnsiTheme="majorEastAsia" w:eastAsiaTheme="majorEastAsia"/>
          <w:highlight w:val="none"/>
        </w:rPr>
      </w:pPr>
      <w:bookmarkStart w:id="284" w:name="_Ref4420821"/>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.1.3.11 </w:t>
      </w:r>
      <w:r>
        <w:rPr>
          <w:rFonts w:hint="eastAsia" w:asciiTheme="majorEastAsia" w:hAnsiTheme="majorEastAsia" w:eastAsiaTheme="majorEastAsia"/>
          <w:highlight w:val="none"/>
        </w:rPr>
        <w:t>临时占地：是指专用合同条件中指明为实施工程需临时占用的土地。</w:t>
      </w:r>
      <w:bookmarkEnd w:id="284"/>
    </w:p>
    <w:p w14:paraId="6E3D132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.1.4 </w:t>
      </w:r>
      <w:r>
        <w:rPr>
          <w:rFonts w:hint="eastAsia" w:asciiTheme="majorEastAsia" w:hAnsiTheme="majorEastAsia" w:eastAsiaTheme="majorEastAsia"/>
          <w:highlight w:val="none"/>
        </w:rPr>
        <w:t>日期和期限</w:t>
      </w:r>
    </w:p>
    <w:p w14:paraId="4E94C81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.1.4.1 </w:t>
      </w:r>
      <w:r>
        <w:rPr>
          <w:rFonts w:hint="eastAsia" w:asciiTheme="majorEastAsia" w:hAnsiTheme="majorEastAsia" w:eastAsiaTheme="majorEastAsia"/>
          <w:highlight w:val="none"/>
        </w:rPr>
        <w:t>开始工作通知：指工程师按第</w:t>
      </w:r>
      <w:r>
        <w:rPr>
          <w:rFonts w:asciiTheme="majorEastAsia" w:hAnsiTheme="majorEastAsia" w:eastAsiaTheme="majorEastAsia"/>
          <w:highlight w:val="none"/>
        </w:rPr>
        <w:t>8.1.2</w:t>
      </w:r>
      <w:r>
        <w:rPr>
          <w:rFonts w:hint="eastAsia" w:asciiTheme="majorEastAsia" w:hAnsiTheme="majorEastAsia" w:eastAsiaTheme="majorEastAsia"/>
          <w:highlight w:val="none"/>
        </w:rPr>
        <w:t>项[开始工作通知]的约定通知承包人开始工作的函件。</w:t>
      </w:r>
    </w:p>
    <w:p w14:paraId="409500C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.1.4.2 </w:t>
      </w:r>
      <w:r>
        <w:rPr>
          <w:rFonts w:hint="eastAsia" w:asciiTheme="majorEastAsia" w:hAnsiTheme="majorEastAsia" w:eastAsiaTheme="majorEastAsia"/>
          <w:highlight w:val="none"/>
        </w:rPr>
        <w:t>开始工作日期：包括计划开始工作日期和实际开始工作日期。计划开始工作日期是指合同协议书约定的开始工作日期；实际开始工作日期是指工程师按照第</w:t>
      </w:r>
      <w:r>
        <w:rPr>
          <w:rFonts w:asciiTheme="majorEastAsia" w:hAnsiTheme="majorEastAsia" w:eastAsiaTheme="majorEastAsia"/>
          <w:highlight w:val="none"/>
        </w:rPr>
        <w:t>8.1</w:t>
      </w:r>
      <w:r>
        <w:rPr>
          <w:rFonts w:hint="eastAsia" w:asciiTheme="majorEastAsia" w:hAnsiTheme="majorEastAsia" w:eastAsiaTheme="majorEastAsia"/>
          <w:highlight w:val="none"/>
        </w:rPr>
        <w:t>款[开始工作]约定发出的符合法律规定的开始工作通知中载明的开始工作日期。</w:t>
      </w:r>
    </w:p>
    <w:p w14:paraId="0DF5796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.1.4.3 </w:t>
      </w:r>
      <w:r>
        <w:rPr>
          <w:rFonts w:hint="eastAsia" w:asciiTheme="majorEastAsia" w:hAnsiTheme="majorEastAsia" w:eastAsiaTheme="majorEastAsia"/>
          <w:highlight w:val="none"/>
        </w:rPr>
        <w:t>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306C1E9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.1.4.4 </w:t>
      </w:r>
      <w:r>
        <w:rPr>
          <w:rFonts w:hint="eastAsia" w:asciiTheme="majorEastAsia" w:hAnsiTheme="majorEastAsia" w:eastAsiaTheme="majorEastAsia"/>
          <w:highlight w:val="none"/>
        </w:rPr>
        <w:t>竣工日期：包括计划竣工日期和实际竣工日期。计划竣工日期是指合同协议书约定的竣工日期；实际竣工日期按照第</w:t>
      </w:r>
      <w:r>
        <w:rPr>
          <w:rFonts w:asciiTheme="majorEastAsia" w:hAnsiTheme="majorEastAsia" w:eastAsiaTheme="majorEastAsia"/>
          <w:highlight w:val="none"/>
        </w:rPr>
        <w:t>8.2</w:t>
      </w:r>
      <w:r>
        <w:rPr>
          <w:rFonts w:hint="eastAsia" w:asciiTheme="majorEastAsia" w:hAnsiTheme="majorEastAsia" w:eastAsiaTheme="majorEastAsia"/>
          <w:highlight w:val="none"/>
        </w:rPr>
        <w:t>款[竣工日期]的约定确定。</w:t>
      </w:r>
    </w:p>
    <w:p w14:paraId="53D02FA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.1.4.5 </w:t>
      </w:r>
      <w:r>
        <w:rPr>
          <w:rFonts w:hint="eastAsia" w:asciiTheme="majorEastAsia" w:hAnsiTheme="majorEastAsia" w:eastAsiaTheme="majorEastAsia"/>
          <w:highlight w:val="none"/>
        </w:rPr>
        <w:t>工期：是指在合同协议书约定的承包人完成合同工作所需的期限，包括按照合同约定所作的期限变更及按合同约定承包人有权取得的工期延长。</w:t>
      </w:r>
    </w:p>
    <w:p w14:paraId="6901199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.1.4.6 </w:t>
      </w:r>
      <w:r>
        <w:rPr>
          <w:rFonts w:hint="eastAsia" w:asciiTheme="majorEastAsia" w:hAnsiTheme="majorEastAsia" w:eastAsiaTheme="majorEastAsia"/>
          <w:highlight w:val="none"/>
        </w:rPr>
        <w:t>缺陷责任期：是指发包人预留工程质量保证金以保证承包人履行第</w:t>
      </w:r>
      <w:r>
        <w:rPr>
          <w:rFonts w:asciiTheme="majorEastAsia" w:hAnsiTheme="majorEastAsia" w:eastAsiaTheme="majorEastAsia"/>
          <w:highlight w:val="none"/>
        </w:rPr>
        <w:t>11.3</w:t>
      </w:r>
      <w:r>
        <w:rPr>
          <w:rFonts w:hint="eastAsia" w:asciiTheme="majorEastAsia" w:hAnsiTheme="majorEastAsia" w:eastAsiaTheme="majorEastAsia"/>
          <w:highlight w:val="none"/>
        </w:rPr>
        <w:t>款[缺陷调查]</w:t>
      </w:r>
      <w:r>
        <w:rPr>
          <w:rFonts w:asciiTheme="majorEastAsia" w:hAnsiTheme="majorEastAsia" w:eastAsiaTheme="majorEastAsia"/>
          <w:highlight w:val="none"/>
        </w:rPr>
        <w:t>下质量缺陷责任的期限</w:t>
      </w:r>
      <w:r>
        <w:rPr>
          <w:rFonts w:hint="eastAsia" w:asciiTheme="majorEastAsia" w:hAnsiTheme="majorEastAsia" w:eastAsiaTheme="majorEastAsia"/>
          <w:highlight w:val="none"/>
        </w:rPr>
        <w:t>。</w:t>
      </w:r>
    </w:p>
    <w:p w14:paraId="2194ED6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.1.4.7 </w:t>
      </w:r>
      <w:r>
        <w:rPr>
          <w:rFonts w:hint="eastAsia" w:asciiTheme="majorEastAsia" w:hAnsiTheme="majorEastAsia" w:eastAsiaTheme="majorEastAsia"/>
          <w:highlight w:val="none"/>
        </w:rPr>
        <w:t>保修期：是指承包人按照合同约定和法律规定对工程质量承担保修责任的期限，该期限自缺陷责任期起算之日起计算。</w:t>
      </w:r>
    </w:p>
    <w:p w14:paraId="418CCB6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.1.4.8 </w:t>
      </w:r>
      <w:r>
        <w:rPr>
          <w:rFonts w:hint="eastAsia" w:asciiTheme="majorEastAsia" w:hAnsiTheme="majorEastAsia" w:eastAsiaTheme="majorEastAsia"/>
          <w:highlight w:val="none"/>
        </w:rPr>
        <w:t>基准日期：招标发包的工程以投标截止日前28天的日期为基准日期，直接发包的工程以合同订立日前28天的日期为基准日期。</w:t>
      </w:r>
    </w:p>
    <w:p w14:paraId="07363BF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.1.4.9 </w:t>
      </w:r>
      <w:r>
        <w:rPr>
          <w:rFonts w:hint="eastAsia" w:asciiTheme="majorEastAsia" w:hAnsiTheme="majorEastAsia" w:eastAsiaTheme="majorEastAsia"/>
          <w:highlight w:val="none"/>
        </w:rPr>
        <w:t>天：除特别指明外，均指日历天。合同中按天计算时间的，开始当天不计入，从次日开始计算。期限最后一天的截止时间为当天24:00。</w:t>
      </w:r>
    </w:p>
    <w:p w14:paraId="415DD0D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.1.4.10 </w:t>
      </w:r>
      <w:r>
        <w:rPr>
          <w:rFonts w:hint="eastAsia" w:asciiTheme="majorEastAsia" w:hAnsiTheme="majorEastAsia" w:eastAsiaTheme="majorEastAsia"/>
          <w:highlight w:val="none"/>
        </w:rPr>
        <w:t>竣工试验：是指在工程竣工验收前，根据第</w:t>
      </w:r>
      <w:r>
        <w:rPr>
          <w:rFonts w:asciiTheme="majorEastAsia" w:hAnsiTheme="majorEastAsia" w:eastAsiaTheme="majorEastAsia"/>
          <w:highlight w:val="none"/>
        </w:rPr>
        <w:t>9条</w:t>
      </w:r>
      <w:r>
        <w:rPr>
          <w:rFonts w:hint="eastAsia" w:asciiTheme="majorEastAsia" w:hAnsiTheme="majorEastAsia" w:eastAsiaTheme="majorEastAsia"/>
          <w:highlight w:val="none"/>
        </w:rPr>
        <w:t>[竣工试验]要求进行的试验。</w:t>
      </w:r>
    </w:p>
    <w:p w14:paraId="492511A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.1.4.11 </w:t>
      </w:r>
      <w:r>
        <w:rPr>
          <w:rFonts w:hint="eastAsia" w:asciiTheme="majorEastAsia" w:hAnsiTheme="majorEastAsia" w:eastAsiaTheme="majorEastAsia"/>
          <w:highlight w:val="none"/>
        </w:rPr>
        <w:t>竣工验收：是指承包人完成了合同约定的各项内容后，发包人按合同要求进行的验收。</w:t>
      </w:r>
    </w:p>
    <w:p w14:paraId="4A44A7E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.1.4.12 </w:t>
      </w:r>
      <w:r>
        <w:rPr>
          <w:rFonts w:hint="eastAsia" w:asciiTheme="majorEastAsia" w:hAnsiTheme="majorEastAsia" w:eastAsiaTheme="majorEastAsia"/>
          <w:highlight w:val="none"/>
        </w:rPr>
        <w:t>竣工后试验：是指在工程竣工验收后，根据第</w:t>
      </w:r>
      <w:r>
        <w:rPr>
          <w:rFonts w:asciiTheme="majorEastAsia" w:hAnsiTheme="majorEastAsia" w:eastAsiaTheme="majorEastAsia"/>
          <w:highlight w:val="none"/>
        </w:rPr>
        <w:t>12条</w:t>
      </w:r>
      <w:r>
        <w:rPr>
          <w:rFonts w:hint="eastAsia" w:asciiTheme="majorEastAsia" w:hAnsiTheme="majorEastAsia" w:eastAsiaTheme="majorEastAsia"/>
          <w:highlight w:val="none"/>
        </w:rPr>
        <w:t>[竣工后试验]约定进行的试验。</w:t>
      </w:r>
    </w:p>
    <w:p w14:paraId="7AA9FA7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.1.5 </w:t>
      </w:r>
      <w:r>
        <w:rPr>
          <w:rFonts w:hint="eastAsia" w:asciiTheme="majorEastAsia" w:hAnsiTheme="majorEastAsia" w:eastAsiaTheme="majorEastAsia"/>
          <w:highlight w:val="none"/>
        </w:rPr>
        <w:t>合同价格和费用</w:t>
      </w:r>
    </w:p>
    <w:p w14:paraId="1B2F0EF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.1.5.1 </w:t>
      </w:r>
      <w:r>
        <w:rPr>
          <w:rFonts w:hint="eastAsia" w:asciiTheme="majorEastAsia" w:hAnsiTheme="majorEastAsia" w:eastAsiaTheme="majorEastAsia"/>
          <w:highlight w:val="none"/>
        </w:rPr>
        <w:t>签约合同价：是指发包人和承包人在合同协议书中确定的总金额，包括暂估价及暂列金额等。</w:t>
      </w:r>
    </w:p>
    <w:p w14:paraId="23AE77B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.1.5.2 </w:t>
      </w:r>
      <w:r>
        <w:rPr>
          <w:rFonts w:hint="eastAsia" w:asciiTheme="majorEastAsia" w:hAnsiTheme="majorEastAsia" w:eastAsiaTheme="majorEastAsia"/>
          <w:highlight w:val="none"/>
        </w:rPr>
        <w:t>合同价格：是指发包人用于支付承包人按照合同约定完成承包范围内全部工作的金额，包括合同履行过程中按合同约定发生的价格变化。</w:t>
      </w:r>
    </w:p>
    <w:p w14:paraId="3138566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.1.5.3 </w:t>
      </w:r>
      <w:r>
        <w:rPr>
          <w:rFonts w:hint="eastAsia" w:asciiTheme="majorEastAsia" w:hAnsiTheme="majorEastAsia" w:eastAsiaTheme="majorEastAsia"/>
          <w:highlight w:val="none"/>
        </w:rPr>
        <w:t>费用：是指为履行合同所发生的或将要发生的所有合理开支，包括管理费和应分摊的其他费用，但不包括利润。</w:t>
      </w:r>
    </w:p>
    <w:p w14:paraId="18FA591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.1.5.4 </w:t>
      </w:r>
      <w:r>
        <w:rPr>
          <w:rFonts w:hint="eastAsia" w:asciiTheme="majorEastAsia" w:hAnsiTheme="majorEastAsia" w:eastAsiaTheme="majorEastAsia"/>
          <w:highlight w:val="none"/>
        </w:rPr>
        <w:t>人工费：是指支付给直接从事建筑安装工程施工作业的建筑工人的各项费用。</w:t>
      </w:r>
    </w:p>
    <w:p w14:paraId="219E3CB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.1.5.5 </w:t>
      </w:r>
      <w:r>
        <w:rPr>
          <w:rFonts w:hint="eastAsia" w:asciiTheme="majorEastAsia" w:hAnsiTheme="majorEastAsia" w:eastAsiaTheme="majorEastAsia"/>
          <w:highlight w:val="none"/>
        </w:rPr>
        <w:t>暂估价：</w:t>
      </w:r>
      <w:bookmarkStart w:id="285" w:name="_Hlk18973781"/>
      <w:r>
        <w:rPr>
          <w:rFonts w:hint="eastAsia" w:asciiTheme="majorEastAsia" w:hAnsiTheme="majorEastAsia" w:eastAsiaTheme="majorEastAsia"/>
          <w:highlight w:val="none"/>
        </w:rPr>
        <w:t>是指发包人在项目清单中给定的，用于支付必然发生但暂时不能确定价格的专业服务、材料、设备、专业工程的金额。</w:t>
      </w:r>
      <w:bookmarkEnd w:id="285"/>
    </w:p>
    <w:p w14:paraId="556CD77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.1.5.6 </w:t>
      </w:r>
      <w:r>
        <w:rPr>
          <w:rFonts w:hint="eastAsia" w:asciiTheme="majorEastAsia" w:hAnsiTheme="majorEastAsia" w:eastAsiaTheme="majorEastAsia"/>
          <w:highlight w:val="none"/>
        </w:rPr>
        <w:t>暂列金额：是指发包人在项目清单中给定的，用于在订立协议书时尚未确定或不可预见变更的设计、施工及其所需材料、工程设备、服务等的金额，包括以计日工方式支付的金额。</w:t>
      </w:r>
    </w:p>
    <w:p w14:paraId="33FE5EC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.1.5.7 </w:t>
      </w:r>
      <w:r>
        <w:rPr>
          <w:rFonts w:hint="eastAsia" w:asciiTheme="majorEastAsia" w:hAnsiTheme="majorEastAsia" w:eastAsiaTheme="majorEastAsia"/>
          <w:highlight w:val="none"/>
        </w:rPr>
        <w:t>计日工：是指合同履行过程中，承包人完成发包人提出的零星工作或需要采用计日工计价的变更工作时，按合同中约定的单价计价的一种方式。</w:t>
      </w:r>
    </w:p>
    <w:p w14:paraId="18FA3BD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.1.5.8 </w:t>
      </w:r>
      <w:r>
        <w:rPr>
          <w:rFonts w:hint="eastAsia" w:asciiTheme="majorEastAsia" w:hAnsiTheme="majorEastAsia" w:eastAsiaTheme="majorEastAsia"/>
          <w:highlight w:val="none"/>
        </w:rPr>
        <w:t>质量保证金：是指按第</w:t>
      </w:r>
      <w:r>
        <w:rPr>
          <w:rFonts w:asciiTheme="majorEastAsia" w:hAnsiTheme="majorEastAsia" w:eastAsiaTheme="majorEastAsia"/>
          <w:highlight w:val="none"/>
        </w:rPr>
        <w:t>14.6</w:t>
      </w:r>
      <w:r>
        <w:rPr>
          <w:rFonts w:hint="eastAsia" w:asciiTheme="majorEastAsia" w:hAnsiTheme="majorEastAsia" w:eastAsiaTheme="majorEastAsia"/>
          <w:highlight w:val="none"/>
        </w:rPr>
        <w:t>款[质量保证金]约定承包人用于保证其在缺陷责任期内履行缺陷修复义务的担保。</w:t>
      </w:r>
    </w:p>
    <w:p w14:paraId="40A7791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.1.6 </w:t>
      </w:r>
      <w:r>
        <w:rPr>
          <w:rFonts w:hint="eastAsia" w:asciiTheme="majorEastAsia" w:hAnsiTheme="majorEastAsia" w:eastAsiaTheme="majorEastAsia"/>
          <w:highlight w:val="none"/>
        </w:rPr>
        <w:t>其他</w:t>
      </w:r>
    </w:p>
    <w:p w14:paraId="46FCAEC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.1.6.1 </w:t>
      </w:r>
      <w:r>
        <w:rPr>
          <w:rFonts w:hint="eastAsia" w:asciiTheme="majorEastAsia" w:hAnsiTheme="majorEastAsia" w:eastAsiaTheme="majorEastAsia"/>
          <w:highlight w:val="none"/>
        </w:rPr>
        <w:t>书面形式：指合同文件、信函、电报、传真、数据电文、电子邮件、会议纪要等可以有形地表现所载内容的形式。</w:t>
      </w:r>
    </w:p>
    <w:p w14:paraId="088B81D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.1.6.2 </w:t>
      </w:r>
      <w:r>
        <w:rPr>
          <w:rFonts w:hint="eastAsia" w:asciiTheme="majorEastAsia" w:hAnsiTheme="majorEastAsia" w:eastAsiaTheme="majorEastAsia"/>
          <w:highlight w:val="none"/>
        </w:rPr>
        <w:t>承包人文件：指由承包人根据合同约定应提交的所有图纸、手册、模型、计算书、软件、函件、洽商性文件和其他技术性文件。</w:t>
      </w:r>
    </w:p>
    <w:p w14:paraId="7C1E089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.1.6.3 </w:t>
      </w:r>
      <w:r>
        <w:rPr>
          <w:rFonts w:hint="eastAsia" w:asciiTheme="majorEastAsia" w:hAnsiTheme="majorEastAsia" w:eastAsiaTheme="majorEastAsia"/>
          <w:highlight w:val="none"/>
        </w:rPr>
        <w:t>变更：指根据第</w:t>
      </w:r>
      <w:r>
        <w:rPr>
          <w:rFonts w:asciiTheme="majorEastAsia" w:hAnsiTheme="majorEastAsia" w:eastAsiaTheme="majorEastAsia"/>
          <w:highlight w:val="none"/>
        </w:rPr>
        <w:t>13条</w:t>
      </w:r>
      <w:r>
        <w:rPr>
          <w:rFonts w:hint="eastAsia" w:asciiTheme="majorEastAsia" w:hAnsiTheme="majorEastAsia" w:eastAsiaTheme="majorEastAsia"/>
          <w:highlight w:val="none"/>
        </w:rPr>
        <w:t>[变更与调整]的约定，经指示或批准对《发包人要求》或工程所做的改变。</w:t>
      </w:r>
    </w:p>
    <w:bookmarkEnd w:id="275"/>
    <w:p w14:paraId="0A2519C3">
      <w:pPr>
        <w:spacing w:line="560" w:lineRule="exact"/>
        <w:ind w:firstLine="410" w:firstLineChars="171"/>
        <w:rPr>
          <w:rFonts w:asciiTheme="majorEastAsia" w:hAnsiTheme="majorEastAsia" w:eastAsiaTheme="majorEastAsia"/>
          <w:highlight w:val="none"/>
        </w:rPr>
      </w:pPr>
      <w:bookmarkStart w:id="286" w:name="_Ref509042101"/>
      <w:bookmarkStart w:id="287" w:name="_Toc54862179"/>
      <w:bookmarkStart w:id="288" w:name="_Ref509042104"/>
      <w:bookmarkStart w:id="289" w:name="_Ref522730349"/>
      <w:bookmarkStart w:id="290" w:name="_Ref522730353"/>
      <w:r>
        <w:rPr>
          <w:rFonts w:hint="eastAsia" w:asciiTheme="majorEastAsia" w:hAnsiTheme="majorEastAsia" w:eastAsiaTheme="majorEastAsia"/>
          <w:highlight w:val="none"/>
        </w:rPr>
        <w:t>1</w:t>
      </w:r>
      <w:r>
        <w:rPr>
          <w:rFonts w:asciiTheme="majorEastAsia" w:hAnsiTheme="majorEastAsia" w:eastAsiaTheme="majorEastAsia"/>
          <w:highlight w:val="none"/>
        </w:rPr>
        <w:t>.2 语言文字</w:t>
      </w:r>
      <w:bookmarkEnd w:id="286"/>
      <w:bookmarkEnd w:id="287"/>
      <w:bookmarkEnd w:id="288"/>
    </w:p>
    <w:p w14:paraId="73B822B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合同文件以中国的汉语简体语言文字编写、解释和说明。专用术语使用外文的，应附有中文注释。合同当事人在专用合同条件约定使用两种及以上语言时，汉语为优先解释和说明合同的语言。</w:t>
      </w:r>
    </w:p>
    <w:p w14:paraId="35E4A7C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与合同有关的联络应使用专用合同条件约定的语言。如没有约定，则应使用中国的汉语简体语言文字。</w:t>
      </w:r>
    </w:p>
    <w:p w14:paraId="4C688117">
      <w:pPr>
        <w:spacing w:line="560" w:lineRule="exact"/>
        <w:ind w:firstLine="410" w:firstLineChars="171"/>
        <w:rPr>
          <w:rFonts w:asciiTheme="majorEastAsia" w:hAnsiTheme="majorEastAsia" w:eastAsiaTheme="majorEastAsia"/>
          <w:highlight w:val="none"/>
        </w:rPr>
      </w:pPr>
      <w:bookmarkStart w:id="291" w:name="_Ref531949539"/>
      <w:bookmarkStart w:id="292" w:name="_Ref531949543"/>
      <w:bookmarkStart w:id="293" w:name="_Toc54862180"/>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 </w:t>
      </w:r>
      <w:r>
        <w:rPr>
          <w:rFonts w:hint="eastAsia" w:asciiTheme="majorEastAsia" w:hAnsiTheme="majorEastAsia" w:eastAsiaTheme="majorEastAsia"/>
          <w:highlight w:val="none"/>
        </w:rPr>
        <w:t>法律</w:t>
      </w:r>
      <w:bookmarkEnd w:id="291"/>
      <w:bookmarkEnd w:id="292"/>
      <w:bookmarkEnd w:id="293"/>
    </w:p>
    <w:p w14:paraId="421F8CD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合同所称法律是指</w:t>
      </w:r>
      <w:r>
        <w:rPr>
          <w:rFonts w:asciiTheme="majorEastAsia" w:hAnsiTheme="majorEastAsia" w:eastAsiaTheme="majorEastAsia"/>
          <w:highlight w:val="none"/>
        </w:rPr>
        <w:t>中华人民共和国法律、行政法规、部门规章</w:t>
      </w:r>
      <w:r>
        <w:rPr>
          <w:rFonts w:hint="eastAsia" w:asciiTheme="majorEastAsia" w:hAnsiTheme="majorEastAsia" w:eastAsiaTheme="majorEastAsia"/>
          <w:highlight w:val="none"/>
        </w:rPr>
        <w:t>，</w:t>
      </w:r>
      <w:r>
        <w:rPr>
          <w:rFonts w:asciiTheme="majorEastAsia" w:hAnsiTheme="majorEastAsia" w:eastAsiaTheme="majorEastAsia"/>
          <w:highlight w:val="none"/>
        </w:rPr>
        <w:t>以及工程所在地的地方法规、自治条例、单行条例和地方政府规章</w:t>
      </w:r>
      <w:r>
        <w:rPr>
          <w:rFonts w:hint="eastAsia" w:asciiTheme="majorEastAsia" w:hAnsiTheme="majorEastAsia" w:eastAsiaTheme="majorEastAsia"/>
          <w:highlight w:val="none"/>
        </w:rPr>
        <w:t>等。</w:t>
      </w:r>
    </w:p>
    <w:p w14:paraId="32ADDF4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合同当事人可以在专用合同条件中约定合同适用的其他规范性文件</w:t>
      </w:r>
      <w:r>
        <w:rPr>
          <w:rFonts w:hint="eastAsia" w:asciiTheme="majorEastAsia" w:hAnsiTheme="majorEastAsia" w:eastAsiaTheme="majorEastAsia"/>
          <w:highlight w:val="none"/>
        </w:rPr>
        <w:t>。</w:t>
      </w:r>
    </w:p>
    <w:p w14:paraId="76C12A23">
      <w:pPr>
        <w:spacing w:line="560" w:lineRule="exact"/>
        <w:ind w:firstLine="410" w:firstLineChars="171"/>
        <w:rPr>
          <w:rFonts w:asciiTheme="majorEastAsia" w:hAnsiTheme="majorEastAsia" w:eastAsiaTheme="majorEastAsia"/>
          <w:highlight w:val="none"/>
        </w:rPr>
      </w:pPr>
      <w:bookmarkStart w:id="294" w:name="_Ref531949594"/>
      <w:bookmarkStart w:id="295" w:name="_Toc54862181"/>
      <w:bookmarkStart w:id="296" w:name="_Ref531949589"/>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 </w:t>
      </w:r>
      <w:r>
        <w:rPr>
          <w:rFonts w:hint="eastAsia" w:asciiTheme="majorEastAsia" w:hAnsiTheme="majorEastAsia" w:eastAsiaTheme="majorEastAsia"/>
          <w:highlight w:val="none"/>
        </w:rPr>
        <w:t>标准和规范</w:t>
      </w:r>
      <w:bookmarkEnd w:id="294"/>
      <w:bookmarkEnd w:id="295"/>
      <w:bookmarkEnd w:id="296"/>
    </w:p>
    <w:p w14:paraId="37666922">
      <w:pPr>
        <w:spacing w:line="560" w:lineRule="exact"/>
        <w:ind w:firstLine="410" w:firstLineChars="171"/>
        <w:rPr>
          <w:rFonts w:asciiTheme="majorEastAsia" w:hAnsiTheme="majorEastAsia" w:eastAsiaTheme="majorEastAsia"/>
          <w:highlight w:val="none"/>
        </w:rPr>
      </w:pPr>
      <w:bookmarkStart w:id="297" w:name="_Ref4420991"/>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.4.1 </w:t>
      </w:r>
      <w:r>
        <w:rPr>
          <w:rFonts w:hint="eastAsia" w:asciiTheme="majorEastAsia" w:hAnsiTheme="majorEastAsia" w:eastAsiaTheme="majorEastAsia"/>
          <w:highlight w:val="none"/>
        </w:rPr>
        <w:t>适用于工程的国家标准、行业标准、工程所在地的地方性标准，以及相应的规范、规程等，合同当事人有特别要求的，应在专用合同条件中约定。</w:t>
      </w:r>
      <w:bookmarkEnd w:id="297"/>
    </w:p>
    <w:p w14:paraId="5EE5898F">
      <w:pPr>
        <w:spacing w:line="560" w:lineRule="exact"/>
        <w:ind w:firstLine="410" w:firstLineChars="171"/>
        <w:rPr>
          <w:rFonts w:asciiTheme="majorEastAsia" w:hAnsiTheme="majorEastAsia" w:eastAsiaTheme="majorEastAsia"/>
          <w:highlight w:val="none"/>
        </w:rPr>
      </w:pPr>
      <w:bookmarkStart w:id="298" w:name="_Ref53194964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.4.2 </w:t>
      </w:r>
      <w:r>
        <w:rPr>
          <w:rFonts w:hint="eastAsia" w:asciiTheme="majorEastAsia" w:hAnsiTheme="majorEastAsia" w:eastAsiaTheme="majorEastAsia"/>
          <w:highlight w:val="none"/>
        </w:rPr>
        <w:t>发包人要求使用国外标准、规范的，发包人负责提供原文版本和中文译本，并在专用合同条件中约定提供标准规范的名称、份数和时间。</w:t>
      </w:r>
      <w:bookmarkEnd w:id="298"/>
    </w:p>
    <w:p w14:paraId="775AD741">
      <w:pPr>
        <w:spacing w:line="560" w:lineRule="exact"/>
        <w:ind w:firstLine="410" w:firstLineChars="171"/>
        <w:rPr>
          <w:rFonts w:asciiTheme="majorEastAsia" w:hAnsiTheme="majorEastAsia" w:eastAsiaTheme="majorEastAsia"/>
          <w:highlight w:val="none"/>
        </w:rPr>
      </w:pPr>
      <w:bookmarkStart w:id="299" w:name="_Ref531949657"/>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.4.3 </w:t>
      </w:r>
      <w:r>
        <w:rPr>
          <w:rFonts w:hint="eastAsia" w:asciiTheme="majorEastAsia" w:hAnsiTheme="majorEastAsia" w:eastAsiaTheme="majorEastAsia"/>
          <w:highlight w:val="none"/>
        </w:rPr>
        <w:t>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299"/>
    </w:p>
    <w:p w14:paraId="4344E594">
      <w:pPr>
        <w:spacing w:line="560" w:lineRule="exact"/>
        <w:ind w:firstLine="410" w:firstLineChars="171"/>
        <w:rPr>
          <w:rFonts w:asciiTheme="majorEastAsia" w:hAnsiTheme="majorEastAsia" w:eastAsiaTheme="majorEastAsia"/>
          <w:highlight w:val="none"/>
        </w:rPr>
      </w:pPr>
      <w:bookmarkStart w:id="300" w:name="_Ref442127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.4.4 </w:t>
      </w:r>
      <w:r>
        <w:rPr>
          <w:rFonts w:hint="eastAsia" w:asciiTheme="majorEastAsia" w:hAnsiTheme="majorEastAsia" w:eastAsiaTheme="majorEastAsia"/>
          <w:highlight w:val="none"/>
        </w:rPr>
        <w:t>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bookmarkEnd w:id="300"/>
    </w:p>
    <w:p w14:paraId="36A2243C">
      <w:pPr>
        <w:spacing w:line="560" w:lineRule="exact"/>
        <w:ind w:firstLine="410" w:firstLineChars="171"/>
        <w:rPr>
          <w:rFonts w:asciiTheme="majorEastAsia" w:hAnsiTheme="majorEastAsia" w:eastAsiaTheme="majorEastAsia"/>
          <w:highlight w:val="none"/>
        </w:rPr>
      </w:pPr>
      <w:bookmarkStart w:id="301" w:name="_Toc54862182"/>
      <w:bookmarkStart w:id="302" w:name="_Ref4421717"/>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.5 </w:t>
      </w:r>
      <w:r>
        <w:rPr>
          <w:rFonts w:hint="eastAsia" w:asciiTheme="majorEastAsia" w:hAnsiTheme="majorEastAsia" w:eastAsiaTheme="majorEastAsia"/>
          <w:highlight w:val="none"/>
        </w:rPr>
        <w:t>合同文件的优先顺序</w:t>
      </w:r>
      <w:bookmarkEnd w:id="289"/>
      <w:bookmarkEnd w:id="290"/>
      <w:bookmarkEnd w:id="301"/>
      <w:bookmarkEnd w:id="302"/>
    </w:p>
    <w:p w14:paraId="099D6DB8">
      <w:pPr>
        <w:spacing w:line="560" w:lineRule="exact"/>
        <w:ind w:firstLine="410" w:firstLineChars="171"/>
        <w:rPr>
          <w:rFonts w:asciiTheme="majorEastAsia" w:hAnsiTheme="majorEastAsia" w:eastAsiaTheme="majorEastAsia"/>
          <w:highlight w:val="none"/>
        </w:rPr>
      </w:pPr>
      <w:bookmarkStart w:id="303" w:name="_Ref531948776"/>
      <w:r>
        <w:rPr>
          <w:rFonts w:hint="eastAsia" w:asciiTheme="majorEastAsia" w:hAnsiTheme="majorEastAsia" w:eastAsiaTheme="majorEastAsia"/>
          <w:highlight w:val="none"/>
        </w:rPr>
        <w:t>组成合同的各项文件应互相解释，互为说明。除专用合同条件另有约定外，</w:t>
      </w:r>
      <w:bookmarkEnd w:id="303"/>
      <w:r>
        <w:rPr>
          <w:rFonts w:hint="eastAsia" w:asciiTheme="majorEastAsia" w:hAnsiTheme="majorEastAsia" w:eastAsiaTheme="majorEastAsia"/>
          <w:highlight w:val="none"/>
        </w:rPr>
        <w:t>解释合同文件的优先顺序如下：</w:t>
      </w:r>
    </w:p>
    <w:p w14:paraId="71C0406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（1）合同协议书；</w:t>
      </w:r>
    </w:p>
    <w:p w14:paraId="36ABFDE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（2）中标通知书（如果有）；</w:t>
      </w:r>
    </w:p>
    <w:p w14:paraId="4BDCF27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（3）投标函及投标函附录（如果有）；</w:t>
      </w:r>
    </w:p>
    <w:p w14:paraId="0EF66E2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（4）专用合同条件及《发包人要求》等附件；</w:t>
      </w:r>
    </w:p>
    <w:p w14:paraId="3610664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（5）通用合同条件；</w:t>
      </w:r>
    </w:p>
    <w:p w14:paraId="4874A12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 xml:space="preserve">（6）承包人建议书； </w:t>
      </w:r>
    </w:p>
    <w:p w14:paraId="38D1404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（7）价格清单；</w:t>
      </w:r>
    </w:p>
    <w:p w14:paraId="2397DC8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（8）双方约定的其他合同文件。</w:t>
      </w:r>
    </w:p>
    <w:p w14:paraId="2E3C510C">
      <w:pPr>
        <w:spacing w:line="560" w:lineRule="exact"/>
        <w:ind w:firstLine="410" w:firstLineChars="171"/>
        <w:rPr>
          <w:rFonts w:asciiTheme="majorEastAsia" w:hAnsiTheme="majorEastAsia" w:eastAsiaTheme="majorEastAsia"/>
          <w:highlight w:val="none"/>
        </w:rPr>
      </w:pPr>
      <w:bookmarkStart w:id="304" w:name="_Hlk18951547"/>
      <w:r>
        <w:rPr>
          <w:rFonts w:hint="eastAsia" w:asciiTheme="majorEastAsia" w:hAnsiTheme="majorEastAsia" w:eastAsiaTheme="majorEastAsia"/>
          <w:highlight w:val="none"/>
        </w:rPr>
        <w:t>上述各项合同文件包括合同当事人就该项合同文件所作出的补充和修改，属于同一类内容的文件，应以最新签署的为准</w:t>
      </w:r>
      <w:bookmarkEnd w:id="304"/>
      <w:r>
        <w:rPr>
          <w:rFonts w:hint="eastAsia" w:asciiTheme="majorEastAsia" w:hAnsiTheme="majorEastAsia" w:eastAsiaTheme="majorEastAsia"/>
          <w:highlight w:val="none"/>
        </w:rPr>
        <w:t>。</w:t>
      </w:r>
    </w:p>
    <w:p w14:paraId="3DB4355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在合同订立及履行过程中形成的与合同有关的文件均构成合同文件组成部分，并根据其性质确定优先解释顺序。</w:t>
      </w:r>
    </w:p>
    <w:p w14:paraId="6B28068E">
      <w:pPr>
        <w:spacing w:line="560" w:lineRule="exact"/>
        <w:ind w:firstLine="410" w:firstLineChars="171"/>
        <w:rPr>
          <w:rFonts w:asciiTheme="majorEastAsia" w:hAnsiTheme="majorEastAsia" w:eastAsiaTheme="majorEastAsia"/>
          <w:highlight w:val="none"/>
        </w:rPr>
      </w:pPr>
      <w:bookmarkStart w:id="305" w:name="_Ref4422060"/>
      <w:bookmarkStart w:id="306" w:name="_Ref11917818"/>
      <w:bookmarkStart w:id="307" w:name="_Toc54862183"/>
      <w:bookmarkStart w:id="308" w:name="_Ref531949807"/>
      <w:bookmarkStart w:id="309" w:name="_Ref531949822"/>
      <w:bookmarkStart w:id="310" w:name="_Ref531949803"/>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.6 </w:t>
      </w:r>
      <w:r>
        <w:rPr>
          <w:rFonts w:hint="eastAsia" w:asciiTheme="majorEastAsia" w:hAnsiTheme="majorEastAsia" w:eastAsiaTheme="majorEastAsia"/>
          <w:highlight w:val="none"/>
        </w:rPr>
        <w:t>文件的提供和</w:t>
      </w:r>
      <w:bookmarkEnd w:id="305"/>
      <w:r>
        <w:rPr>
          <w:rFonts w:hint="eastAsia" w:asciiTheme="majorEastAsia" w:hAnsiTheme="majorEastAsia" w:eastAsiaTheme="majorEastAsia"/>
          <w:highlight w:val="none"/>
        </w:rPr>
        <w:t>照管</w:t>
      </w:r>
      <w:bookmarkEnd w:id="306"/>
      <w:bookmarkEnd w:id="307"/>
    </w:p>
    <w:p w14:paraId="3CFBA5F6">
      <w:pPr>
        <w:spacing w:line="560" w:lineRule="exact"/>
        <w:ind w:firstLine="410" w:firstLineChars="171"/>
        <w:rPr>
          <w:rFonts w:asciiTheme="majorEastAsia" w:hAnsiTheme="majorEastAsia" w:eastAsiaTheme="majorEastAsia"/>
          <w:highlight w:val="none"/>
        </w:rPr>
      </w:pPr>
      <w:bookmarkStart w:id="311" w:name="_Ref4421991"/>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.6.1 </w:t>
      </w:r>
      <w:r>
        <w:rPr>
          <w:rFonts w:hint="eastAsia" w:asciiTheme="majorEastAsia" w:hAnsiTheme="majorEastAsia" w:eastAsiaTheme="majorEastAsia"/>
          <w:highlight w:val="none"/>
        </w:rPr>
        <w:t>发包人文件的提供</w:t>
      </w:r>
      <w:bookmarkEnd w:id="311"/>
    </w:p>
    <w:p w14:paraId="5E2CABA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w:t>
      </w:r>
      <w:r>
        <w:rPr>
          <w:rFonts w:asciiTheme="majorEastAsia" w:hAnsiTheme="majorEastAsia" w:eastAsiaTheme="majorEastAsia"/>
          <w:highlight w:val="none"/>
        </w:rPr>
        <w:t>8.7.1</w:t>
      </w:r>
      <w:r>
        <w:rPr>
          <w:rFonts w:hint="eastAsia" w:asciiTheme="majorEastAsia" w:hAnsiTheme="majorEastAsia" w:eastAsiaTheme="majorEastAsia"/>
          <w:highlight w:val="none"/>
        </w:rPr>
        <w:t>项[</w:t>
      </w:r>
      <w:r>
        <w:rPr>
          <w:rFonts w:asciiTheme="majorEastAsia" w:hAnsiTheme="majorEastAsia" w:eastAsiaTheme="majorEastAsia"/>
          <w:highlight w:val="none"/>
        </w:rPr>
        <w:t>因发包人原因导致工期延误</w:t>
      </w:r>
      <w:r>
        <w:rPr>
          <w:rFonts w:hint="eastAsia" w:asciiTheme="majorEastAsia" w:hAnsiTheme="majorEastAsia" w:eastAsiaTheme="majorEastAsia"/>
          <w:highlight w:val="none"/>
        </w:rPr>
        <w:t>]约定办理。</w:t>
      </w:r>
    </w:p>
    <w:p w14:paraId="2971A70B">
      <w:pPr>
        <w:spacing w:line="560" w:lineRule="exact"/>
        <w:ind w:firstLine="410" w:firstLineChars="171"/>
        <w:rPr>
          <w:rFonts w:asciiTheme="majorEastAsia" w:hAnsiTheme="majorEastAsia" w:eastAsiaTheme="majorEastAsia"/>
          <w:highlight w:val="none"/>
        </w:rPr>
      </w:pPr>
      <w:bookmarkStart w:id="312" w:name="_Ref4422317"/>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.6.2 </w:t>
      </w:r>
      <w:r>
        <w:rPr>
          <w:rFonts w:hint="eastAsia" w:asciiTheme="majorEastAsia" w:hAnsiTheme="majorEastAsia" w:eastAsiaTheme="majorEastAsia"/>
          <w:highlight w:val="none"/>
        </w:rPr>
        <w:t>承包人文件的提供</w:t>
      </w:r>
      <w:bookmarkEnd w:id="312"/>
    </w:p>
    <w:p w14:paraId="2C8C697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除专用合同条件另有约定外，承包人文件应包含下列内容，并用第</w:t>
      </w:r>
      <w:r>
        <w:rPr>
          <w:rFonts w:asciiTheme="majorEastAsia" w:hAnsiTheme="majorEastAsia" w:eastAsiaTheme="majorEastAsia"/>
          <w:highlight w:val="none"/>
        </w:rPr>
        <w:t>1.2</w:t>
      </w:r>
      <w:r>
        <w:rPr>
          <w:rFonts w:hint="eastAsia" w:asciiTheme="majorEastAsia" w:hAnsiTheme="majorEastAsia" w:eastAsiaTheme="majorEastAsia"/>
          <w:highlight w:val="none"/>
        </w:rPr>
        <w:t>款[语言文字]约定的语言制作：</w:t>
      </w:r>
    </w:p>
    <w:p w14:paraId="420A6A9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（1）《发包人要求》中规定的相关文件；</w:t>
      </w:r>
    </w:p>
    <w:p w14:paraId="4385A83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（2）满足工程相关行政审批手续所必须的应由承包人负责的相关文件；</w:t>
      </w:r>
    </w:p>
    <w:p w14:paraId="4A80775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（3）第</w:t>
      </w:r>
      <w:r>
        <w:rPr>
          <w:rFonts w:asciiTheme="majorEastAsia" w:hAnsiTheme="majorEastAsia" w:eastAsiaTheme="majorEastAsia"/>
          <w:highlight w:val="none"/>
        </w:rPr>
        <w:t>5.4</w:t>
      </w:r>
      <w:r>
        <w:rPr>
          <w:rFonts w:hint="eastAsia" w:asciiTheme="majorEastAsia" w:hAnsiTheme="majorEastAsia" w:eastAsiaTheme="majorEastAsia"/>
          <w:highlight w:val="none"/>
        </w:rPr>
        <w:t>款[竣工文件]与第</w:t>
      </w:r>
      <w:r>
        <w:rPr>
          <w:rFonts w:asciiTheme="majorEastAsia" w:hAnsiTheme="majorEastAsia" w:eastAsiaTheme="majorEastAsia"/>
          <w:highlight w:val="none"/>
        </w:rPr>
        <w:t>5.5</w:t>
      </w:r>
      <w:r>
        <w:rPr>
          <w:rFonts w:hint="eastAsia" w:asciiTheme="majorEastAsia" w:hAnsiTheme="majorEastAsia" w:eastAsiaTheme="majorEastAsia"/>
          <w:highlight w:val="none"/>
        </w:rPr>
        <w:t>款[操作和维修手册]中要求的相关文件。</w:t>
      </w:r>
    </w:p>
    <w:p w14:paraId="5589485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w:t>
      </w:r>
      <w:r>
        <w:rPr>
          <w:rFonts w:asciiTheme="majorEastAsia" w:hAnsiTheme="majorEastAsia" w:eastAsiaTheme="majorEastAsia"/>
          <w:highlight w:val="none"/>
        </w:rPr>
        <w:t>5.2</w:t>
      </w:r>
      <w:r>
        <w:rPr>
          <w:rFonts w:hint="eastAsia" w:asciiTheme="majorEastAsia" w:hAnsiTheme="majorEastAsia" w:eastAsiaTheme="majorEastAsia"/>
          <w:highlight w:val="none"/>
        </w:rPr>
        <w:t>款[承包人文件审查]和第</w:t>
      </w:r>
      <w:r>
        <w:rPr>
          <w:rFonts w:asciiTheme="majorEastAsia" w:hAnsiTheme="majorEastAsia" w:eastAsiaTheme="majorEastAsia"/>
          <w:highlight w:val="none"/>
        </w:rPr>
        <w:t>5.4</w:t>
      </w:r>
      <w:r>
        <w:rPr>
          <w:rFonts w:hint="eastAsia" w:asciiTheme="majorEastAsia" w:hAnsiTheme="majorEastAsia" w:eastAsiaTheme="majorEastAsia"/>
          <w:highlight w:val="none"/>
        </w:rPr>
        <w:t>款[竣工文件]的约定。</w:t>
      </w:r>
    </w:p>
    <w:p w14:paraId="038F032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.6.3</w:t>
      </w:r>
      <w:r>
        <w:rPr>
          <w:rFonts w:hint="eastAsia" w:asciiTheme="majorEastAsia" w:hAnsiTheme="majorEastAsia" w:eastAsiaTheme="majorEastAsia"/>
          <w:highlight w:val="none"/>
        </w:rPr>
        <w:t>文件错误的通知</w:t>
      </w:r>
    </w:p>
    <w:p w14:paraId="4D94613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任何一方发现文件中存在明显的错误或疏忽，应及时通知另一方。</w:t>
      </w:r>
    </w:p>
    <w:p w14:paraId="710E098F">
      <w:pPr>
        <w:spacing w:line="560" w:lineRule="exact"/>
        <w:ind w:firstLine="410" w:firstLineChars="171"/>
        <w:rPr>
          <w:rFonts w:asciiTheme="majorEastAsia" w:hAnsiTheme="majorEastAsia" w:eastAsiaTheme="majorEastAsia"/>
          <w:highlight w:val="none"/>
        </w:rPr>
      </w:pPr>
      <w:bookmarkStart w:id="313" w:name="_Ref4678410"/>
      <w:bookmarkStart w:id="314" w:name="_Ref11957673"/>
      <w:r>
        <w:rPr>
          <w:rFonts w:hint="eastAsia" w:asciiTheme="majorEastAsia" w:hAnsiTheme="majorEastAsia" w:eastAsiaTheme="majorEastAsia"/>
          <w:highlight w:val="none"/>
        </w:rPr>
        <w:t>1</w:t>
      </w:r>
      <w:r>
        <w:rPr>
          <w:rFonts w:asciiTheme="majorEastAsia" w:hAnsiTheme="majorEastAsia" w:eastAsiaTheme="majorEastAsia"/>
          <w:highlight w:val="none"/>
        </w:rPr>
        <w:t>.6.4</w:t>
      </w:r>
      <w:r>
        <w:rPr>
          <w:rFonts w:hint="eastAsia" w:asciiTheme="majorEastAsia" w:hAnsiTheme="majorEastAsia" w:eastAsiaTheme="majorEastAsia"/>
          <w:highlight w:val="none"/>
        </w:rPr>
        <w:t>文件的</w:t>
      </w:r>
      <w:bookmarkEnd w:id="313"/>
      <w:r>
        <w:rPr>
          <w:rFonts w:hint="eastAsia" w:asciiTheme="majorEastAsia" w:hAnsiTheme="majorEastAsia" w:eastAsiaTheme="majorEastAsia"/>
          <w:highlight w:val="none"/>
        </w:rPr>
        <w:t>照管</w:t>
      </w:r>
      <w:bookmarkEnd w:id="314"/>
    </w:p>
    <w:p w14:paraId="3CFA2E6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173E9811">
      <w:pPr>
        <w:spacing w:line="560" w:lineRule="exact"/>
        <w:ind w:firstLine="410" w:firstLineChars="171"/>
        <w:rPr>
          <w:rFonts w:asciiTheme="majorEastAsia" w:hAnsiTheme="majorEastAsia" w:eastAsiaTheme="majorEastAsia"/>
          <w:highlight w:val="none"/>
        </w:rPr>
      </w:pPr>
      <w:bookmarkStart w:id="315" w:name="_Toc54862184"/>
      <w:bookmarkStart w:id="316" w:name="_Ref4415170"/>
      <w:r>
        <w:rPr>
          <w:rFonts w:hint="eastAsia" w:asciiTheme="majorEastAsia" w:hAnsiTheme="majorEastAsia" w:eastAsiaTheme="majorEastAsia"/>
          <w:highlight w:val="none"/>
        </w:rPr>
        <w:t>1</w:t>
      </w:r>
      <w:r>
        <w:rPr>
          <w:rFonts w:asciiTheme="majorEastAsia" w:hAnsiTheme="majorEastAsia" w:eastAsiaTheme="majorEastAsia"/>
          <w:highlight w:val="none"/>
        </w:rPr>
        <w:t>.7</w:t>
      </w:r>
      <w:r>
        <w:rPr>
          <w:rFonts w:hint="eastAsia" w:asciiTheme="majorEastAsia" w:hAnsiTheme="majorEastAsia" w:eastAsiaTheme="majorEastAsia"/>
          <w:highlight w:val="none"/>
        </w:rPr>
        <w:t>联络</w:t>
      </w:r>
      <w:bookmarkEnd w:id="315"/>
      <w:bookmarkEnd w:id="316"/>
    </w:p>
    <w:p w14:paraId="17F8D96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.7.1</w:t>
      </w:r>
      <w:r>
        <w:rPr>
          <w:rFonts w:hint="eastAsia" w:asciiTheme="majorEastAsia" w:hAnsiTheme="majorEastAsia" w:eastAsiaTheme="majorEastAsia"/>
          <w:highlight w:val="none"/>
        </w:rPr>
        <w:t>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35ECE7A4">
      <w:pPr>
        <w:spacing w:line="560" w:lineRule="exact"/>
        <w:ind w:firstLine="410" w:firstLineChars="171"/>
        <w:rPr>
          <w:rFonts w:asciiTheme="majorEastAsia" w:hAnsiTheme="majorEastAsia" w:eastAsiaTheme="majorEastAsia"/>
          <w:highlight w:val="none"/>
        </w:rPr>
      </w:pPr>
      <w:bookmarkStart w:id="317" w:name="_Ref531949897"/>
      <w:r>
        <w:rPr>
          <w:rFonts w:hint="eastAsia" w:asciiTheme="majorEastAsia" w:hAnsiTheme="majorEastAsia" w:eastAsiaTheme="majorEastAsia"/>
          <w:highlight w:val="none"/>
        </w:rPr>
        <w:t>1</w:t>
      </w:r>
      <w:r>
        <w:rPr>
          <w:rFonts w:asciiTheme="majorEastAsia" w:hAnsiTheme="majorEastAsia" w:eastAsiaTheme="majorEastAsia"/>
          <w:highlight w:val="none"/>
        </w:rPr>
        <w:t>.7.2</w:t>
      </w:r>
      <w:r>
        <w:rPr>
          <w:rFonts w:hint="eastAsia" w:asciiTheme="majorEastAsia" w:hAnsiTheme="majorEastAsia" w:eastAsiaTheme="majorEastAsia"/>
          <w:highlight w:val="none"/>
        </w:rPr>
        <w:t>发包人和承包人应在专用合同条件中约定各自的送达方式和收件地址。任何一方合同当事人指定的送达方式或收件地址发生变动的，应提前3天以书面形式通知对方。</w:t>
      </w:r>
      <w:bookmarkEnd w:id="317"/>
    </w:p>
    <w:p w14:paraId="4A3F8E2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.7.3</w:t>
      </w:r>
      <w:r>
        <w:rPr>
          <w:rFonts w:hint="eastAsia" w:asciiTheme="majorEastAsia" w:hAnsiTheme="majorEastAsia" w:eastAsiaTheme="majorEastAsia"/>
          <w:highlight w:val="none"/>
        </w:rPr>
        <w:t>发包人和承包人应当及时签收另一方通过约定的送达方式送达至收件地址的来往文件。拒不签收的，由此增加的费用和（或）延误的工期由拒绝接收一方承担。</w:t>
      </w:r>
    </w:p>
    <w:p w14:paraId="1D9F5B4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.7.4</w:t>
      </w:r>
      <w:r>
        <w:rPr>
          <w:rFonts w:hint="eastAsia" w:asciiTheme="majorEastAsia" w:hAnsiTheme="majorEastAsia" w:eastAsiaTheme="majorEastAsia"/>
          <w:highlight w:val="none"/>
        </w:rPr>
        <w:t>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28504399">
      <w:pPr>
        <w:spacing w:line="560" w:lineRule="exact"/>
        <w:ind w:firstLine="410" w:firstLineChars="171"/>
        <w:rPr>
          <w:rFonts w:asciiTheme="majorEastAsia" w:hAnsiTheme="majorEastAsia" w:eastAsiaTheme="majorEastAsia"/>
          <w:highlight w:val="none"/>
        </w:rPr>
      </w:pPr>
      <w:bookmarkStart w:id="318" w:name="_Toc54862185"/>
      <w:r>
        <w:rPr>
          <w:rFonts w:hint="eastAsia" w:asciiTheme="majorEastAsia" w:hAnsiTheme="majorEastAsia" w:eastAsiaTheme="majorEastAsia"/>
          <w:highlight w:val="none"/>
        </w:rPr>
        <w:t>1</w:t>
      </w:r>
      <w:r>
        <w:rPr>
          <w:rFonts w:asciiTheme="majorEastAsia" w:hAnsiTheme="majorEastAsia" w:eastAsiaTheme="majorEastAsia"/>
          <w:highlight w:val="none"/>
        </w:rPr>
        <w:t>.8</w:t>
      </w:r>
      <w:r>
        <w:rPr>
          <w:rFonts w:hint="eastAsia" w:asciiTheme="majorEastAsia" w:hAnsiTheme="majorEastAsia" w:eastAsiaTheme="majorEastAsia"/>
          <w:highlight w:val="none"/>
        </w:rPr>
        <w:t>严禁贿赂</w:t>
      </w:r>
      <w:bookmarkEnd w:id="308"/>
      <w:bookmarkEnd w:id="309"/>
      <w:bookmarkEnd w:id="310"/>
      <w:bookmarkEnd w:id="318"/>
    </w:p>
    <w:p w14:paraId="0B35685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合同当事人不得以贿赂或变相贿赂的方式，谋取非法利益或损害对方权益。因一方合同当事人的贿赂造成对方损失的，应赔偿损失，并承担相应的法律责任。</w:t>
      </w:r>
    </w:p>
    <w:p w14:paraId="737B33F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承包人不得与工程师或发包人聘请的第三方串通损害发包人利益。未经发包人书面同意，承包人不得为工程师提供合同约定以外的通讯设备、交通工具及其他任何形式的利益，不得向工程师支付报酬。</w:t>
      </w:r>
    </w:p>
    <w:p w14:paraId="3C83323A">
      <w:pPr>
        <w:spacing w:line="560" w:lineRule="exact"/>
        <w:ind w:firstLine="410" w:firstLineChars="171"/>
        <w:rPr>
          <w:rFonts w:asciiTheme="majorEastAsia" w:hAnsiTheme="majorEastAsia" w:eastAsiaTheme="majorEastAsia"/>
          <w:highlight w:val="none"/>
        </w:rPr>
      </w:pPr>
      <w:bookmarkStart w:id="319" w:name="_Toc54862186"/>
      <w:r>
        <w:rPr>
          <w:rFonts w:hint="eastAsia" w:asciiTheme="majorEastAsia" w:hAnsiTheme="majorEastAsia" w:eastAsiaTheme="majorEastAsia"/>
          <w:highlight w:val="none"/>
        </w:rPr>
        <w:t>1</w:t>
      </w:r>
      <w:r>
        <w:rPr>
          <w:rFonts w:asciiTheme="majorEastAsia" w:hAnsiTheme="majorEastAsia" w:eastAsiaTheme="majorEastAsia"/>
          <w:highlight w:val="none"/>
        </w:rPr>
        <w:t>.9 化石、文物</w:t>
      </w:r>
      <w:bookmarkEnd w:id="319"/>
    </w:p>
    <w:p w14:paraId="40165C4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3E75D9E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发包人、工程师和承包人应按有关政府行政管理部门要求采取妥善的保护措施，由此增加的费用和（或）延误的工期由发包人承担。</w:t>
      </w:r>
    </w:p>
    <w:p w14:paraId="0D92552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承包人发现文物后不及时报告或隐瞒不报，致使文物丢失或损坏的，应赔偿损失，并承担相应的法律责任。</w:t>
      </w:r>
    </w:p>
    <w:p w14:paraId="6CC0D388">
      <w:pPr>
        <w:spacing w:line="560" w:lineRule="exact"/>
        <w:ind w:firstLine="410" w:firstLineChars="171"/>
        <w:rPr>
          <w:rFonts w:asciiTheme="majorEastAsia" w:hAnsiTheme="majorEastAsia" w:eastAsiaTheme="majorEastAsia"/>
          <w:highlight w:val="none"/>
        </w:rPr>
      </w:pPr>
      <w:bookmarkStart w:id="320" w:name="_Ref531949766"/>
      <w:bookmarkStart w:id="321" w:name="_Ref4423426"/>
      <w:bookmarkStart w:id="322" w:name="_Ref531949770"/>
      <w:bookmarkStart w:id="323" w:name="_Toc54862187"/>
      <w:bookmarkStart w:id="324" w:name="_Ref531949841"/>
      <w:bookmarkStart w:id="325" w:name="_Ref531949826"/>
      <w:bookmarkStart w:id="326" w:name="_Ref531949855"/>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.10 </w:t>
      </w:r>
      <w:r>
        <w:rPr>
          <w:rFonts w:hint="eastAsia" w:asciiTheme="majorEastAsia" w:hAnsiTheme="majorEastAsia" w:eastAsiaTheme="majorEastAsia"/>
          <w:highlight w:val="none"/>
        </w:rPr>
        <w:t>知识产权</w:t>
      </w:r>
      <w:bookmarkEnd w:id="320"/>
      <w:bookmarkEnd w:id="321"/>
      <w:bookmarkEnd w:id="322"/>
      <w:bookmarkEnd w:id="323"/>
      <w:r>
        <w:rPr>
          <w:rFonts w:asciiTheme="majorEastAsia" w:hAnsiTheme="majorEastAsia" w:eastAsiaTheme="majorEastAsia"/>
          <w:highlight w:val="none"/>
        </w:rPr>
        <w:t xml:space="preserve"> </w:t>
      </w:r>
    </w:p>
    <w:p w14:paraId="6A6C9652">
      <w:pPr>
        <w:spacing w:line="560" w:lineRule="exact"/>
        <w:ind w:firstLine="410" w:firstLineChars="171"/>
        <w:rPr>
          <w:rFonts w:asciiTheme="majorEastAsia" w:hAnsiTheme="majorEastAsia" w:eastAsiaTheme="majorEastAsia"/>
          <w:highlight w:val="none"/>
        </w:rPr>
      </w:pPr>
      <w:bookmarkStart w:id="327" w:name="_Ref4423563"/>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.10.1 </w:t>
      </w:r>
      <w:r>
        <w:rPr>
          <w:rFonts w:hint="eastAsia" w:asciiTheme="majorEastAsia" w:hAnsiTheme="majorEastAsia" w:eastAsiaTheme="majorEastAsia"/>
          <w:highlight w:val="none"/>
        </w:rPr>
        <w:t>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327"/>
    </w:p>
    <w:p w14:paraId="2C5D8B7A">
      <w:pPr>
        <w:spacing w:line="560" w:lineRule="exact"/>
        <w:ind w:firstLine="410" w:firstLineChars="171"/>
        <w:rPr>
          <w:rFonts w:asciiTheme="majorEastAsia" w:hAnsiTheme="majorEastAsia" w:eastAsiaTheme="majorEastAsia"/>
          <w:highlight w:val="none"/>
        </w:rPr>
      </w:pPr>
      <w:bookmarkStart w:id="328" w:name="_Ref4423604"/>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.10.2 </w:t>
      </w:r>
      <w:r>
        <w:rPr>
          <w:rFonts w:hint="eastAsia" w:asciiTheme="majorEastAsia" w:hAnsiTheme="majorEastAsia" w:eastAsiaTheme="majorEastAsia"/>
          <w:highlight w:val="none"/>
        </w:rPr>
        <w:t>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328"/>
    </w:p>
    <w:p w14:paraId="12A32F6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.10.3 </w:t>
      </w:r>
      <w:r>
        <w:rPr>
          <w:rFonts w:hint="eastAsia" w:asciiTheme="majorEastAsia" w:hAnsiTheme="majorEastAsia" w:eastAsiaTheme="majorEastAsia"/>
          <w:highlight w:val="none"/>
        </w:rPr>
        <w:t>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4AE26179">
      <w:pPr>
        <w:spacing w:line="560" w:lineRule="exact"/>
        <w:ind w:firstLine="410" w:firstLineChars="171"/>
        <w:rPr>
          <w:rFonts w:asciiTheme="majorEastAsia" w:hAnsiTheme="majorEastAsia" w:eastAsiaTheme="majorEastAsia"/>
          <w:highlight w:val="none"/>
        </w:rPr>
      </w:pPr>
      <w:bookmarkStart w:id="329" w:name="_Ref4423695"/>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.10.4 </w:t>
      </w:r>
      <w:r>
        <w:rPr>
          <w:rFonts w:hint="eastAsia" w:asciiTheme="majorEastAsia" w:hAnsiTheme="majorEastAsia" w:eastAsiaTheme="majorEastAsia"/>
          <w:highlight w:val="none"/>
        </w:rPr>
        <w:t>除专用合同条件另有约定外，承包人在投标文件中采用的专利、专有技术、商业软件、技术秘密的使用费已包含在签约合同价中。</w:t>
      </w:r>
      <w:bookmarkEnd w:id="329"/>
    </w:p>
    <w:p w14:paraId="76043C2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.10.5 </w:t>
      </w:r>
      <w:r>
        <w:rPr>
          <w:rFonts w:hint="eastAsia" w:asciiTheme="majorEastAsia" w:hAnsiTheme="majorEastAsia" w:eastAsiaTheme="majorEastAsia"/>
          <w:highlight w:val="none"/>
        </w:rPr>
        <w:t>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14:paraId="7A7D3CC0">
      <w:pPr>
        <w:spacing w:line="560" w:lineRule="exact"/>
        <w:ind w:firstLine="410" w:firstLineChars="171"/>
        <w:rPr>
          <w:rFonts w:asciiTheme="majorEastAsia" w:hAnsiTheme="majorEastAsia" w:eastAsiaTheme="majorEastAsia"/>
          <w:highlight w:val="none"/>
        </w:rPr>
      </w:pPr>
      <w:bookmarkStart w:id="330" w:name="_Ref4423898"/>
      <w:bookmarkStart w:id="331" w:name="_Ref4423873"/>
      <w:bookmarkStart w:id="332" w:name="_Toc54862188"/>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.11 </w:t>
      </w:r>
      <w:r>
        <w:rPr>
          <w:rFonts w:hint="eastAsia" w:asciiTheme="majorEastAsia" w:hAnsiTheme="majorEastAsia" w:eastAsiaTheme="majorEastAsia"/>
          <w:highlight w:val="none"/>
        </w:rPr>
        <w:t>保密</w:t>
      </w:r>
      <w:bookmarkEnd w:id="324"/>
      <w:bookmarkEnd w:id="325"/>
      <w:bookmarkEnd w:id="326"/>
      <w:bookmarkEnd w:id="330"/>
      <w:bookmarkEnd w:id="331"/>
      <w:bookmarkEnd w:id="332"/>
    </w:p>
    <w:p w14:paraId="3737A5F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合同当事人一方对在订立和履行合同过程中知悉的另一方的商业秘密、技术秘密，以及任何一方明确要求保密的其它信息，负有保密责任。</w:t>
      </w:r>
    </w:p>
    <w:p w14:paraId="1FDA029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除法律规定或合同另有约定外，未经对方同意，任何一方当事人不得将对方提供的文件、技术秘密以及声明需要保密的资料信息等商业秘密泄露给第三方或者用于本合同以外的目的。</w:t>
      </w:r>
    </w:p>
    <w:p w14:paraId="379EBCB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3166B9ED">
      <w:pPr>
        <w:spacing w:line="560" w:lineRule="exact"/>
        <w:ind w:firstLine="410" w:firstLineChars="171"/>
        <w:rPr>
          <w:rFonts w:asciiTheme="majorEastAsia" w:hAnsiTheme="majorEastAsia" w:eastAsiaTheme="majorEastAsia"/>
          <w:highlight w:val="none"/>
        </w:rPr>
      </w:pPr>
      <w:bookmarkStart w:id="333" w:name="_Toc54862189"/>
      <w:bookmarkStart w:id="334" w:name="_Ref53233681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.12 </w:t>
      </w:r>
      <w:bookmarkStart w:id="335" w:name="_Hlk55215423"/>
      <w:r>
        <w:rPr>
          <w:rFonts w:hint="eastAsia" w:asciiTheme="majorEastAsia" w:hAnsiTheme="majorEastAsia" w:eastAsiaTheme="majorEastAsia"/>
          <w:highlight w:val="none"/>
        </w:rPr>
        <w:t>《发包人要求》和基础资料中的错误</w:t>
      </w:r>
      <w:bookmarkEnd w:id="333"/>
      <w:bookmarkEnd w:id="334"/>
      <w:bookmarkEnd w:id="335"/>
    </w:p>
    <w:p w14:paraId="0DA230D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承包人应尽早认真阅读、复核《发包人要求》以及其提供的基础资料，发现错误的，应及时书面通知发包人补正。发包人作相应修改的，按照第</w:t>
      </w:r>
      <w:r>
        <w:rPr>
          <w:rFonts w:asciiTheme="majorEastAsia" w:hAnsiTheme="majorEastAsia" w:eastAsiaTheme="majorEastAsia"/>
          <w:highlight w:val="none"/>
        </w:rPr>
        <w:t>13条</w:t>
      </w:r>
      <w:r>
        <w:rPr>
          <w:rFonts w:hint="eastAsia" w:asciiTheme="majorEastAsia" w:hAnsiTheme="majorEastAsia" w:eastAsiaTheme="majorEastAsia"/>
          <w:highlight w:val="none"/>
        </w:rPr>
        <w:t>[变更与调整</w:t>
      </w:r>
      <w:bookmarkStart w:id="336" w:name="_Ref523403409"/>
      <w:bookmarkStart w:id="337" w:name="_Ref523403776"/>
      <w:r>
        <w:rPr>
          <w:rFonts w:hint="eastAsia" w:asciiTheme="majorEastAsia" w:hAnsiTheme="majorEastAsia" w:eastAsiaTheme="majorEastAsia"/>
          <w:highlight w:val="none"/>
        </w:rPr>
        <w:t>]的约定处理。</w:t>
      </w:r>
    </w:p>
    <w:p w14:paraId="630D158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《发包人要求》或其提供的基础资料中的错误导致承包人增加费用和（或）工期延误的，发包人应承担由此增加的费用和（或）工期延误，并向承包人支付合理利润。</w:t>
      </w:r>
    </w:p>
    <w:bookmarkEnd w:id="336"/>
    <w:bookmarkEnd w:id="337"/>
    <w:p w14:paraId="4992C9BE">
      <w:pPr>
        <w:spacing w:line="560" w:lineRule="exact"/>
        <w:ind w:firstLine="410" w:firstLineChars="171"/>
        <w:rPr>
          <w:rFonts w:asciiTheme="majorEastAsia" w:hAnsiTheme="majorEastAsia" w:eastAsiaTheme="majorEastAsia"/>
          <w:highlight w:val="none"/>
        </w:rPr>
      </w:pPr>
      <w:bookmarkStart w:id="338" w:name="_Ref531949933"/>
      <w:bookmarkStart w:id="339" w:name="_Ref531949937"/>
      <w:bookmarkStart w:id="340" w:name="_Toc54862190"/>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 </w:t>
      </w:r>
      <w:r>
        <w:rPr>
          <w:rFonts w:hint="eastAsia" w:asciiTheme="majorEastAsia" w:hAnsiTheme="majorEastAsia" w:eastAsiaTheme="majorEastAsia"/>
          <w:highlight w:val="none"/>
        </w:rPr>
        <w:t>责任限制</w:t>
      </w:r>
      <w:bookmarkEnd w:id="338"/>
      <w:bookmarkEnd w:id="339"/>
      <w:bookmarkEnd w:id="340"/>
    </w:p>
    <w:p w14:paraId="44F44405">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承包人对发包人的赔偿责任不应超过专用合同条件约定的赔偿最高限额。若专用合同条件未约定，则承包人对发包人的赔偿责任不应超过</w:t>
      </w:r>
      <w:r>
        <w:rPr>
          <w:rFonts w:hint="eastAsia" w:asciiTheme="majorEastAsia" w:hAnsiTheme="majorEastAsia" w:eastAsiaTheme="majorEastAsia"/>
          <w:highlight w:val="none"/>
        </w:rPr>
        <w:t>签约合同价。</w:t>
      </w:r>
      <w:r>
        <w:rPr>
          <w:rFonts w:asciiTheme="majorEastAsia" w:hAnsiTheme="majorEastAsia" w:eastAsiaTheme="majorEastAsia"/>
          <w:highlight w:val="none"/>
        </w:rPr>
        <w:t>但对于因欺诈、</w:t>
      </w:r>
      <w:r>
        <w:rPr>
          <w:rFonts w:hint="eastAsia" w:asciiTheme="majorEastAsia" w:hAnsiTheme="majorEastAsia" w:eastAsiaTheme="majorEastAsia"/>
          <w:highlight w:val="none"/>
        </w:rPr>
        <w:t>犯罪、</w:t>
      </w:r>
      <w:r>
        <w:rPr>
          <w:rFonts w:asciiTheme="majorEastAsia" w:hAnsiTheme="majorEastAsia" w:eastAsiaTheme="majorEastAsia"/>
          <w:highlight w:val="none"/>
        </w:rPr>
        <w:t>故意、</w:t>
      </w:r>
      <w:r>
        <w:rPr>
          <w:rFonts w:hint="eastAsia" w:asciiTheme="majorEastAsia" w:hAnsiTheme="majorEastAsia" w:eastAsiaTheme="majorEastAsia"/>
          <w:highlight w:val="none"/>
        </w:rPr>
        <w:t>重大过失、人身伤害</w:t>
      </w:r>
      <w:r>
        <w:rPr>
          <w:rFonts w:asciiTheme="majorEastAsia" w:hAnsiTheme="majorEastAsia" w:eastAsiaTheme="majorEastAsia"/>
          <w:highlight w:val="none"/>
        </w:rPr>
        <w:t>等不当行为造成的损失，赔偿的责任限度不受</w:t>
      </w:r>
      <w:r>
        <w:rPr>
          <w:rFonts w:hint="eastAsia" w:asciiTheme="majorEastAsia" w:hAnsiTheme="majorEastAsia" w:eastAsiaTheme="majorEastAsia"/>
          <w:highlight w:val="none"/>
        </w:rPr>
        <w:t>上述最高</w:t>
      </w:r>
      <w:r>
        <w:rPr>
          <w:rFonts w:asciiTheme="majorEastAsia" w:hAnsiTheme="majorEastAsia" w:eastAsiaTheme="majorEastAsia"/>
          <w:highlight w:val="none"/>
        </w:rPr>
        <w:t>限额的限制</w:t>
      </w:r>
      <w:r>
        <w:rPr>
          <w:rFonts w:hint="eastAsia" w:asciiTheme="majorEastAsia" w:hAnsiTheme="majorEastAsia" w:eastAsiaTheme="majorEastAsia"/>
          <w:highlight w:val="none"/>
        </w:rPr>
        <w:t>。</w:t>
      </w:r>
    </w:p>
    <w:p w14:paraId="543787C5">
      <w:pPr>
        <w:spacing w:line="560" w:lineRule="exact"/>
        <w:ind w:firstLine="410" w:firstLineChars="171"/>
        <w:rPr>
          <w:rFonts w:asciiTheme="majorEastAsia" w:hAnsiTheme="majorEastAsia" w:eastAsiaTheme="majorEastAsia"/>
          <w:highlight w:val="none"/>
        </w:rPr>
      </w:pPr>
      <w:bookmarkStart w:id="341" w:name="_Toc54862191"/>
      <w:bookmarkStart w:id="342" w:name="_Hlk51506160"/>
      <w:r>
        <w:rPr>
          <w:rFonts w:hint="eastAsia" w:asciiTheme="majorEastAsia" w:hAnsiTheme="majorEastAsia" w:eastAsiaTheme="majorEastAsia"/>
          <w:highlight w:val="none"/>
        </w:rPr>
        <w:t>1</w:t>
      </w:r>
      <w:r>
        <w:rPr>
          <w:rFonts w:asciiTheme="majorEastAsia" w:hAnsiTheme="majorEastAsia" w:eastAsiaTheme="majorEastAsia"/>
          <w:highlight w:val="none"/>
        </w:rPr>
        <w:t>.14 建筑信息模型技术的应用</w:t>
      </w:r>
      <w:bookmarkEnd w:id="341"/>
    </w:p>
    <w:bookmarkEnd w:id="342"/>
    <w:p w14:paraId="05B25EA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4BBEB815">
      <w:pPr>
        <w:spacing w:line="560" w:lineRule="exact"/>
        <w:rPr>
          <w:rFonts w:asciiTheme="majorEastAsia" w:hAnsiTheme="majorEastAsia" w:eastAsiaTheme="majorEastAsia"/>
          <w:b/>
          <w:highlight w:val="none"/>
        </w:rPr>
      </w:pPr>
      <w:bookmarkStart w:id="343" w:name="_Toc54862192"/>
      <w:bookmarkStart w:id="344" w:name="_Ref4796511"/>
      <w:r>
        <w:rPr>
          <w:rFonts w:hint="eastAsia" w:asciiTheme="majorEastAsia" w:hAnsiTheme="majorEastAsia" w:eastAsiaTheme="majorEastAsia"/>
          <w:b/>
          <w:highlight w:val="none"/>
        </w:rPr>
        <w:t>第2条  发包人</w:t>
      </w:r>
      <w:bookmarkEnd w:id="343"/>
      <w:bookmarkEnd w:id="344"/>
    </w:p>
    <w:p w14:paraId="656B2990">
      <w:pPr>
        <w:spacing w:line="560" w:lineRule="exact"/>
        <w:ind w:firstLine="410" w:firstLineChars="171"/>
        <w:rPr>
          <w:rFonts w:asciiTheme="majorEastAsia" w:hAnsiTheme="majorEastAsia" w:eastAsiaTheme="majorEastAsia"/>
          <w:highlight w:val="none"/>
        </w:rPr>
      </w:pPr>
      <w:bookmarkStart w:id="345" w:name="_Toc54862193"/>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.1 </w:t>
      </w:r>
      <w:r>
        <w:rPr>
          <w:rFonts w:hint="eastAsia" w:asciiTheme="majorEastAsia" w:hAnsiTheme="majorEastAsia" w:eastAsiaTheme="majorEastAsia"/>
          <w:highlight w:val="none"/>
        </w:rPr>
        <w:t>遵守法律</w:t>
      </w:r>
      <w:bookmarkEnd w:id="345"/>
    </w:p>
    <w:p w14:paraId="6EB66D7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49DAABA9">
      <w:pPr>
        <w:spacing w:line="560" w:lineRule="exact"/>
        <w:ind w:firstLine="410" w:firstLineChars="171"/>
        <w:rPr>
          <w:rFonts w:asciiTheme="majorEastAsia" w:hAnsiTheme="majorEastAsia" w:eastAsiaTheme="majorEastAsia"/>
          <w:highlight w:val="none"/>
        </w:rPr>
      </w:pPr>
      <w:bookmarkStart w:id="346" w:name="_Ref11917995"/>
      <w:bookmarkStart w:id="347" w:name="_Toc54862194"/>
      <w:bookmarkStart w:id="348" w:name="_Ref11917977"/>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.2 </w:t>
      </w:r>
      <w:r>
        <w:rPr>
          <w:rFonts w:hint="eastAsia" w:asciiTheme="majorEastAsia" w:hAnsiTheme="majorEastAsia" w:eastAsiaTheme="majorEastAsia"/>
          <w:highlight w:val="none"/>
        </w:rPr>
        <w:t>提供施工现场和工作条件</w:t>
      </w:r>
      <w:bookmarkEnd w:id="346"/>
      <w:bookmarkEnd w:id="347"/>
      <w:bookmarkEnd w:id="348"/>
      <w:bookmarkStart w:id="349" w:name="_Toc54862195"/>
      <w:bookmarkEnd w:id="349"/>
      <w:bookmarkStart w:id="350" w:name="_Toc54862197"/>
      <w:bookmarkEnd w:id="350"/>
      <w:bookmarkStart w:id="351" w:name="_Toc51505124"/>
      <w:bookmarkEnd w:id="351"/>
      <w:bookmarkStart w:id="352" w:name="_Toc54862196"/>
      <w:bookmarkEnd w:id="352"/>
      <w:bookmarkStart w:id="353" w:name="_Toc51505123"/>
      <w:bookmarkEnd w:id="353"/>
      <w:bookmarkStart w:id="354" w:name="_Toc51505125"/>
      <w:bookmarkEnd w:id="354"/>
      <w:bookmarkStart w:id="355" w:name="_Ref531950085"/>
    </w:p>
    <w:p w14:paraId="6A0D677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.2.1 </w:t>
      </w:r>
      <w:r>
        <w:rPr>
          <w:rFonts w:hint="eastAsia" w:asciiTheme="majorEastAsia" w:hAnsiTheme="majorEastAsia" w:eastAsiaTheme="majorEastAsia"/>
          <w:highlight w:val="none"/>
        </w:rPr>
        <w:t>提供施工</w:t>
      </w:r>
      <w:bookmarkEnd w:id="355"/>
      <w:r>
        <w:rPr>
          <w:rFonts w:hint="eastAsia" w:asciiTheme="majorEastAsia" w:hAnsiTheme="majorEastAsia" w:eastAsiaTheme="majorEastAsia"/>
          <w:highlight w:val="none"/>
        </w:rPr>
        <w:t>现场</w:t>
      </w:r>
    </w:p>
    <w:p w14:paraId="6517EFF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67B83446">
      <w:pPr>
        <w:spacing w:line="560" w:lineRule="exact"/>
        <w:ind w:firstLine="410" w:firstLineChars="171"/>
        <w:rPr>
          <w:rFonts w:asciiTheme="majorEastAsia" w:hAnsiTheme="majorEastAsia" w:eastAsiaTheme="majorEastAsia"/>
          <w:highlight w:val="none"/>
        </w:rPr>
      </w:pPr>
      <w:bookmarkStart w:id="356" w:name="_Ref531950101"/>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.2.2 </w:t>
      </w:r>
      <w:r>
        <w:rPr>
          <w:rFonts w:hint="eastAsia" w:asciiTheme="majorEastAsia" w:hAnsiTheme="majorEastAsia" w:eastAsiaTheme="majorEastAsia"/>
          <w:highlight w:val="none"/>
        </w:rPr>
        <w:t>提供工作条件</w:t>
      </w:r>
      <w:bookmarkEnd w:id="356"/>
    </w:p>
    <w:p w14:paraId="3ECEE3C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发包人应按专用合同条件约定向承包人提供工作条件。专用合同条件对此没有约定的，发包人应负责提供开展本合同相关工作所需要的条件，包括：</w:t>
      </w:r>
    </w:p>
    <w:p w14:paraId="325B348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（1）将施工用水、电力、通讯线路等施工所必需的条件接至施工现场内；</w:t>
      </w:r>
    </w:p>
    <w:p w14:paraId="5F0546B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（2）保证向承包人提供正常施工所需要的进入施工现场的交通条件；</w:t>
      </w:r>
    </w:p>
    <w:p w14:paraId="71B4CB4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（3）协调处理施工现场周围地下管线和邻近建筑物、构筑物、古树名木、文物、化石及坟墓等的保护工作，并承担相关费用；</w:t>
      </w:r>
    </w:p>
    <w:p w14:paraId="7AA9F91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（4）对工程现场临近发包人正在使用、运行、或由发包人用于生产的建筑物、构筑物、生产装置、设施、设备等，设置隔离设施，竖立禁止入内、禁止动火的明显标志，</w:t>
      </w:r>
      <w:r>
        <w:rPr>
          <w:rFonts w:asciiTheme="majorEastAsia" w:hAnsiTheme="majorEastAsia" w:eastAsiaTheme="majorEastAsia"/>
          <w:highlight w:val="none"/>
        </w:rPr>
        <w:t xml:space="preserve"> 并以书面形式通知承包人须遵守的安全规定和位置范围</w:t>
      </w:r>
      <w:r>
        <w:rPr>
          <w:rFonts w:hint="eastAsia" w:asciiTheme="majorEastAsia" w:hAnsiTheme="majorEastAsia" w:eastAsiaTheme="majorEastAsia"/>
          <w:highlight w:val="none"/>
        </w:rPr>
        <w:t>；</w:t>
      </w:r>
    </w:p>
    <w:p w14:paraId="27C7B0A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（5）按照专用合同条件约定应提供的其他设施和条件。</w:t>
      </w:r>
    </w:p>
    <w:p w14:paraId="7569DE0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.2.3 </w:t>
      </w:r>
      <w:r>
        <w:rPr>
          <w:rFonts w:hint="eastAsia" w:asciiTheme="majorEastAsia" w:hAnsiTheme="majorEastAsia" w:eastAsiaTheme="majorEastAsia"/>
          <w:highlight w:val="none"/>
        </w:rPr>
        <w:t>逾期提供的责任</w:t>
      </w:r>
    </w:p>
    <w:p w14:paraId="16DC207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因发包人原因未能按合同约定及时向承包人提供施工现场和施工条件的，由发包人承担由此增加的费用和（或）延误的工期。</w:t>
      </w:r>
    </w:p>
    <w:p w14:paraId="1071989B">
      <w:pPr>
        <w:spacing w:line="560" w:lineRule="exact"/>
        <w:ind w:firstLine="410" w:firstLineChars="171"/>
        <w:rPr>
          <w:rFonts w:asciiTheme="majorEastAsia" w:hAnsiTheme="majorEastAsia" w:eastAsiaTheme="majorEastAsia"/>
          <w:highlight w:val="none"/>
        </w:rPr>
      </w:pPr>
      <w:bookmarkStart w:id="357" w:name="_Ref11918036"/>
      <w:bookmarkStart w:id="358" w:name="_Toc54862198"/>
      <w:bookmarkStart w:id="359" w:name="_Ref11918025"/>
      <w:bookmarkStart w:id="360" w:name="_Ref11956647"/>
      <w:bookmarkStart w:id="361" w:name="_Ref11956654"/>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.3 </w:t>
      </w:r>
      <w:r>
        <w:rPr>
          <w:rFonts w:hint="eastAsia" w:asciiTheme="majorEastAsia" w:hAnsiTheme="majorEastAsia" w:eastAsiaTheme="majorEastAsia"/>
          <w:highlight w:val="none"/>
        </w:rPr>
        <w:t>提供基础资料</w:t>
      </w:r>
      <w:bookmarkEnd w:id="357"/>
      <w:bookmarkEnd w:id="358"/>
      <w:bookmarkEnd w:id="359"/>
      <w:bookmarkEnd w:id="360"/>
      <w:bookmarkEnd w:id="361"/>
    </w:p>
    <w:p w14:paraId="125885C7">
      <w:pPr>
        <w:spacing w:line="560" w:lineRule="exact"/>
        <w:ind w:firstLine="410" w:firstLineChars="171"/>
        <w:rPr>
          <w:rFonts w:asciiTheme="majorEastAsia" w:hAnsiTheme="majorEastAsia" w:eastAsiaTheme="majorEastAsia"/>
          <w:highlight w:val="none"/>
        </w:rPr>
      </w:pPr>
      <w:bookmarkStart w:id="362" w:name="_Hlk51506429"/>
      <w:r>
        <w:rPr>
          <w:rFonts w:hint="eastAsia" w:asciiTheme="majorEastAsia" w:hAnsiTheme="majorEastAsia" w:eastAsiaTheme="majorEastAsia"/>
          <w:highlight w:val="none"/>
        </w:rPr>
        <w:t>发包人应按专用合同条件和《发包人要求》中的约定向承包人提供</w:t>
      </w:r>
      <w:bookmarkEnd w:id="362"/>
      <w:r>
        <w:rPr>
          <w:rFonts w:hint="eastAsia" w:asciiTheme="majorEastAsia" w:hAnsiTheme="majorEastAsia" w:eastAsiaTheme="majorEastAsia"/>
          <w:highlight w:val="none"/>
        </w:rPr>
        <w:t>施工现场及工程实施所必需的毗邻区域内的供水、排水、供电、供气、供热、通信、广播电视等地上、地下管线和设施资料，气象和水文观测资料，地质勘察资料，相邻建筑物、构筑物和地下工程等有关基础资料，并根据第</w:t>
      </w:r>
      <w:r>
        <w:rPr>
          <w:rFonts w:asciiTheme="majorEastAsia" w:hAnsiTheme="majorEastAsia" w:eastAsiaTheme="majorEastAsia"/>
          <w:highlight w:val="none"/>
        </w:rPr>
        <w:t>1.12</w:t>
      </w:r>
      <w:r>
        <w:rPr>
          <w:rFonts w:hint="eastAsia" w:asciiTheme="majorEastAsia" w:hAnsiTheme="majorEastAsia" w:eastAsiaTheme="majorEastAsia"/>
          <w:highlight w:val="none"/>
        </w:rPr>
        <w:t>款[</w:t>
      </w:r>
      <w:r>
        <w:rPr>
          <w:rFonts w:asciiTheme="majorEastAsia" w:hAnsiTheme="majorEastAsia" w:eastAsiaTheme="majorEastAsia"/>
          <w:highlight w:val="none"/>
        </w:rPr>
        <w:t>《发包人要求》和基础资料中的错误</w:t>
      </w:r>
      <w:r>
        <w:rPr>
          <w:rFonts w:hint="eastAsia" w:asciiTheme="majorEastAsia" w:hAnsiTheme="majorEastAsia" w:eastAsiaTheme="majorEastAsia"/>
          <w:highlight w:val="none"/>
        </w:rPr>
        <w:t>]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00E36336">
      <w:pPr>
        <w:spacing w:line="560" w:lineRule="exact"/>
        <w:ind w:firstLine="410" w:firstLineChars="171"/>
        <w:rPr>
          <w:rFonts w:asciiTheme="majorEastAsia" w:hAnsiTheme="majorEastAsia" w:eastAsiaTheme="majorEastAsia"/>
          <w:highlight w:val="none"/>
        </w:rPr>
      </w:pPr>
      <w:bookmarkStart w:id="363" w:name="_Toc54862199"/>
      <w:bookmarkStart w:id="364" w:name="_Ref531950041"/>
      <w:bookmarkStart w:id="365" w:name="_Ref531950045"/>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.4 </w:t>
      </w:r>
      <w:r>
        <w:rPr>
          <w:rFonts w:hint="eastAsia" w:asciiTheme="majorEastAsia" w:hAnsiTheme="majorEastAsia" w:eastAsiaTheme="majorEastAsia"/>
          <w:highlight w:val="none"/>
        </w:rPr>
        <w:t>办理许可和批准</w:t>
      </w:r>
      <w:bookmarkEnd w:id="363"/>
      <w:bookmarkEnd w:id="364"/>
      <w:bookmarkEnd w:id="365"/>
    </w:p>
    <w:p w14:paraId="1734AAF5">
      <w:pPr>
        <w:spacing w:line="560" w:lineRule="exact"/>
        <w:ind w:firstLine="410" w:firstLineChars="171"/>
        <w:rPr>
          <w:rFonts w:asciiTheme="majorEastAsia" w:hAnsiTheme="majorEastAsia" w:eastAsiaTheme="majorEastAsia"/>
          <w:highlight w:val="none"/>
        </w:rPr>
      </w:pPr>
      <w:bookmarkStart w:id="366" w:name="_Toc51505128"/>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.4.1 </w:t>
      </w:r>
      <w:r>
        <w:rPr>
          <w:rFonts w:hint="eastAsia" w:asciiTheme="majorEastAsia" w:hAnsiTheme="majorEastAsia" w:eastAsiaTheme="majorEastAsia"/>
          <w:highlight w:val="none"/>
        </w:rPr>
        <w:t>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366"/>
    </w:p>
    <w:p w14:paraId="60C56666">
      <w:pPr>
        <w:spacing w:line="560" w:lineRule="exact"/>
        <w:ind w:firstLine="410" w:firstLineChars="171"/>
        <w:rPr>
          <w:rFonts w:asciiTheme="majorEastAsia" w:hAnsiTheme="majorEastAsia" w:eastAsiaTheme="majorEastAsia"/>
          <w:highlight w:val="none"/>
        </w:rPr>
      </w:pPr>
      <w:bookmarkStart w:id="367" w:name="_Toc51505129"/>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.4.2 </w:t>
      </w:r>
      <w:r>
        <w:rPr>
          <w:rFonts w:hint="eastAsia" w:asciiTheme="majorEastAsia" w:hAnsiTheme="majorEastAsia" w:eastAsiaTheme="majorEastAsia"/>
          <w:highlight w:val="none"/>
        </w:rPr>
        <w:t>因发包人原因未能及时办理完毕前述许可、批准或备案，由发包人承担由此增加的费用和（或）延误的工期，并支付承包人合理的利润。</w:t>
      </w:r>
      <w:bookmarkEnd w:id="367"/>
    </w:p>
    <w:p w14:paraId="20BF5651">
      <w:pPr>
        <w:spacing w:line="560" w:lineRule="exact"/>
        <w:ind w:firstLine="410" w:firstLineChars="171"/>
        <w:rPr>
          <w:rFonts w:asciiTheme="majorEastAsia" w:hAnsiTheme="majorEastAsia" w:eastAsiaTheme="majorEastAsia"/>
          <w:highlight w:val="none"/>
        </w:rPr>
      </w:pPr>
      <w:bookmarkStart w:id="368" w:name="_Toc54862200"/>
      <w:bookmarkStart w:id="369" w:name="_Ref11918070"/>
      <w:bookmarkStart w:id="370" w:name="_Ref11956525"/>
      <w:bookmarkStart w:id="371" w:name="_Ref11918060"/>
      <w:bookmarkStart w:id="372" w:name="_Ref11956533"/>
      <w:r>
        <w:rPr>
          <w:rFonts w:hint="eastAsia" w:asciiTheme="majorEastAsia" w:hAnsiTheme="majorEastAsia" w:eastAsiaTheme="majorEastAsia"/>
          <w:highlight w:val="none"/>
        </w:rPr>
        <w:t>2</w:t>
      </w:r>
      <w:r>
        <w:rPr>
          <w:rFonts w:asciiTheme="majorEastAsia" w:hAnsiTheme="majorEastAsia" w:eastAsiaTheme="majorEastAsia"/>
          <w:highlight w:val="none"/>
        </w:rPr>
        <w:t>.5 支付合同价款</w:t>
      </w:r>
      <w:bookmarkEnd w:id="368"/>
      <w:bookmarkEnd w:id="369"/>
      <w:bookmarkEnd w:id="370"/>
      <w:bookmarkEnd w:id="371"/>
      <w:bookmarkEnd w:id="372"/>
    </w:p>
    <w:p w14:paraId="31C8A545">
      <w:pPr>
        <w:spacing w:line="560" w:lineRule="exact"/>
        <w:ind w:firstLine="410" w:firstLineChars="171"/>
        <w:rPr>
          <w:rFonts w:asciiTheme="majorEastAsia" w:hAnsiTheme="majorEastAsia" w:eastAsiaTheme="majorEastAsia"/>
          <w:highlight w:val="none"/>
        </w:rPr>
      </w:pPr>
      <w:bookmarkStart w:id="373" w:name="_Toc51505131"/>
      <w:bookmarkStart w:id="374" w:name="_Ref531950147"/>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.5.1 </w:t>
      </w:r>
      <w:r>
        <w:rPr>
          <w:rFonts w:hint="eastAsia" w:asciiTheme="majorEastAsia" w:hAnsiTheme="majorEastAsia" w:eastAsiaTheme="majorEastAsia"/>
          <w:highlight w:val="none"/>
        </w:rPr>
        <w:t>发包人应按合同约定向承包人及时支付合同价款。</w:t>
      </w:r>
      <w:bookmarkEnd w:id="373"/>
    </w:p>
    <w:bookmarkEnd w:id="374"/>
    <w:p w14:paraId="4E69A880">
      <w:pPr>
        <w:spacing w:line="560" w:lineRule="exact"/>
        <w:ind w:firstLine="410" w:firstLineChars="171"/>
        <w:rPr>
          <w:rFonts w:asciiTheme="majorEastAsia" w:hAnsiTheme="majorEastAsia" w:eastAsiaTheme="majorEastAsia"/>
          <w:highlight w:val="none"/>
        </w:rPr>
      </w:pPr>
      <w:bookmarkStart w:id="375" w:name="_Toc51505132"/>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.5.2 </w:t>
      </w:r>
      <w:r>
        <w:rPr>
          <w:rFonts w:hint="eastAsia" w:asciiTheme="majorEastAsia" w:hAnsiTheme="majorEastAsia" w:eastAsiaTheme="majorEastAsia"/>
          <w:highlight w:val="none"/>
        </w:rPr>
        <w:t>发包人应当制定资金安排计划，除专用合同条件另有约定外，如发包人拟对资金安排做任何重要变更，应将变更的详细情况通知承包人。如发生承包人收到价格大于签约合同价</w:t>
      </w:r>
      <w:r>
        <w:rPr>
          <w:rFonts w:asciiTheme="majorEastAsia" w:hAnsiTheme="majorEastAsia" w:eastAsiaTheme="majorEastAsia"/>
          <w:highlight w:val="none"/>
        </w:rPr>
        <w:t>10%</w:t>
      </w:r>
      <w:r>
        <w:rPr>
          <w:rFonts w:hint="eastAsia" w:asciiTheme="majorEastAsia" w:hAnsiTheme="majorEastAsia" w:eastAsiaTheme="majorEastAsia"/>
          <w:highlight w:val="none"/>
        </w:rPr>
        <w:t>的变更指示或累计变更的总价超过签约合同价</w:t>
      </w:r>
      <w:r>
        <w:rPr>
          <w:rFonts w:asciiTheme="majorEastAsia" w:hAnsiTheme="majorEastAsia" w:eastAsiaTheme="majorEastAsia"/>
          <w:highlight w:val="none"/>
        </w:rPr>
        <w:t>30%</w:t>
      </w:r>
      <w:r>
        <w:rPr>
          <w:rFonts w:hint="eastAsia" w:asciiTheme="majorEastAsia" w:hAnsiTheme="majorEastAsia" w:eastAsiaTheme="majorEastAsia"/>
          <w:highlight w:val="none"/>
        </w:rPr>
        <w:t>；</w:t>
      </w:r>
      <w:r>
        <w:rPr>
          <w:rFonts w:asciiTheme="majorEastAsia" w:hAnsiTheme="majorEastAsia" w:eastAsiaTheme="majorEastAsia"/>
          <w:highlight w:val="none"/>
        </w:rPr>
        <w:t>或承包人未能根据</w:t>
      </w:r>
      <w:r>
        <w:rPr>
          <w:rFonts w:hint="eastAsia" w:asciiTheme="majorEastAsia" w:hAnsiTheme="majorEastAsia" w:eastAsiaTheme="majorEastAsia"/>
          <w:highlight w:val="none"/>
        </w:rPr>
        <w:t>第</w:t>
      </w:r>
      <w:r>
        <w:rPr>
          <w:rFonts w:asciiTheme="majorEastAsia" w:hAnsiTheme="majorEastAsia" w:eastAsiaTheme="majorEastAsia"/>
          <w:highlight w:val="none"/>
        </w:rPr>
        <w:t>14条</w:t>
      </w:r>
      <w:r>
        <w:rPr>
          <w:rFonts w:hint="eastAsia" w:asciiTheme="majorEastAsia" w:hAnsiTheme="majorEastAsia" w:eastAsiaTheme="majorEastAsia"/>
          <w:highlight w:val="none"/>
        </w:rPr>
        <w:t>[合同价格与支付]收到付款，或承包人得知发包人的资金安排发生重要变更但并未收到发包人上述重要变更通知的情况，则承包人可随时要求发包人在</w:t>
      </w:r>
      <w:r>
        <w:rPr>
          <w:rFonts w:asciiTheme="majorEastAsia" w:hAnsiTheme="majorEastAsia" w:eastAsiaTheme="majorEastAsia"/>
          <w:highlight w:val="none"/>
        </w:rPr>
        <w:t>28</w:t>
      </w:r>
      <w:r>
        <w:rPr>
          <w:rFonts w:hint="eastAsia" w:asciiTheme="majorEastAsia" w:hAnsiTheme="majorEastAsia" w:eastAsiaTheme="majorEastAsia"/>
          <w:highlight w:val="none"/>
        </w:rPr>
        <w:t>天内补充提供能够按照合同约定支付合同价款的相应资金来源证明。</w:t>
      </w:r>
      <w:bookmarkEnd w:id="375"/>
    </w:p>
    <w:p w14:paraId="35270D7A">
      <w:pPr>
        <w:spacing w:line="560" w:lineRule="exact"/>
        <w:ind w:firstLine="410" w:firstLineChars="171"/>
        <w:rPr>
          <w:rFonts w:asciiTheme="majorEastAsia" w:hAnsiTheme="majorEastAsia" w:eastAsiaTheme="majorEastAsia"/>
          <w:highlight w:val="none"/>
        </w:rPr>
      </w:pPr>
      <w:bookmarkStart w:id="376" w:name="_Toc51505133"/>
      <w:bookmarkStart w:id="377" w:name="_Ref531950161"/>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.5.3 </w:t>
      </w:r>
      <w:r>
        <w:rPr>
          <w:rFonts w:hint="eastAsia" w:asciiTheme="majorEastAsia" w:hAnsiTheme="majorEastAsia" w:eastAsiaTheme="majorEastAsia"/>
          <w:highlight w:val="none"/>
        </w:rPr>
        <w:t>发包人应当向承包人提供支付担保。支付担保可以采用银行保函或担保公司担保等形式，具体由合同当事人在专用合同条件中约定。</w:t>
      </w:r>
      <w:bookmarkEnd w:id="376"/>
      <w:bookmarkEnd w:id="377"/>
    </w:p>
    <w:p w14:paraId="18093536">
      <w:pPr>
        <w:spacing w:line="560" w:lineRule="exact"/>
        <w:ind w:firstLine="410" w:firstLineChars="171"/>
        <w:rPr>
          <w:rFonts w:asciiTheme="majorEastAsia" w:hAnsiTheme="majorEastAsia" w:eastAsiaTheme="majorEastAsia"/>
          <w:highlight w:val="none"/>
        </w:rPr>
      </w:pPr>
      <w:bookmarkStart w:id="378" w:name="_Toc54862201"/>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.6 </w:t>
      </w:r>
      <w:r>
        <w:rPr>
          <w:rFonts w:hint="eastAsia" w:asciiTheme="majorEastAsia" w:hAnsiTheme="majorEastAsia" w:eastAsiaTheme="majorEastAsia"/>
          <w:highlight w:val="none"/>
        </w:rPr>
        <w:t>现场管理配合</w:t>
      </w:r>
      <w:bookmarkEnd w:id="378"/>
    </w:p>
    <w:p w14:paraId="42EB46B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发包人应负责保证在现场或现场附近的发包人人员和发包人的其他承包人（如有）：</w:t>
      </w:r>
    </w:p>
    <w:p w14:paraId="593333C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（1）根据第</w:t>
      </w:r>
      <w:r>
        <w:rPr>
          <w:rFonts w:asciiTheme="majorEastAsia" w:hAnsiTheme="majorEastAsia" w:eastAsiaTheme="majorEastAsia"/>
          <w:highlight w:val="none"/>
        </w:rPr>
        <w:t>7.3</w:t>
      </w:r>
      <w:r>
        <w:rPr>
          <w:rFonts w:hint="eastAsia" w:asciiTheme="majorEastAsia" w:hAnsiTheme="majorEastAsia" w:eastAsiaTheme="majorEastAsia"/>
          <w:highlight w:val="none"/>
        </w:rPr>
        <w:t>款[现场合作]的约定，与承包人进行合作；</w:t>
      </w:r>
    </w:p>
    <w:p w14:paraId="5B61D43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（2）遵守第</w:t>
      </w:r>
      <w:r>
        <w:rPr>
          <w:rFonts w:asciiTheme="majorEastAsia" w:hAnsiTheme="majorEastAsia" w:eastAsiaTheme="majorEastAsia"/>
          <w:highlight w:val="none"/>
        </w:rPr>
        <w:t>7.5</w:t>
      </w:r>
      <w:r>
        <w:rPr>
          <w:rFonts w:hint="eastAsia" w:asciiTheme="majorEastAsia" w:hAnsiTheme="majorEastAsia" w:eastAsiaTheme="majorEastAsia"/>
          <w:highlight w:val="none"/>
        </w:rPr>
        <w:t>款[现场劳动用工</w:t>
      </w:r>
      <w:r>
        <w:rPr>
          <w:rFonts w:asciiTheme="majorEastAsia" w:hAnsiTheme="majorEastAsia" w:eastAsiaTheme="majorEastAsia"/>
          <w:highlight w:val="none"/>
        </w:rPr>
        <w:t>]</w:t>
      </w:r>
      <w:r>
        <w:rPr>
          <w:rFonts w:hint="eastAsia" w:asciiTheme="majorEastAsia" w:hAnsiTheme="majorEastAsia" w:eastAsiaTheme="majorEastAsia"/>
          <w:highlight w:val="none"/>
        </w:rPr>
        <w:t>、第7</w:t>
      </w:r>
      <w:r>
        <w:rPr>
          <w:rFonts w:asciiTheme="majorEastAsia" w:hAnsiTheme="majorEastAsia" w:eastAsiaTheme="majorEastAsia"/>
          <w:highlight w:val="none"/>
        </w:rPr>
        <w:t>.6</w:t>
      </w:r>
      <w:r>
        <w:rPr>
          <w:rFonts w:hint="eastAsia" w:asciiTheme="majorEastAsia" w:hAnsiTheme="majorEastAsia" w:eastAsiaTheme="majorEastAsia"/>
          <w:highlight w:val="none"/>
        </w:rPr>
        <w:t>款[安全文明施工]、第</w:t>
      </w:r>
      <w:r>
        <w:rPr>
          <w:rFonts w:asciiTheme="majorEastAsia" w:hAnsiTheme="majorEastAsia" w:eastAsiaTheme="majorEastAsia"/>
          <w:highlight w:val="none"/>
        </w:rPr>
        <w:t>7.7</w:t>
      </w:r>
      <w:r>
        <w:rPr>
          <w:rFonts w:hint="eastAsia" w:asciiTheme="majorEastAsia" w:hAnsiTheme="majorEastAsia" w:eastAsiaTheme="majorEastAsia"/>
          <w:highlight w:val="none"/>
        </w:rPr>
        <w:t>款[职业健康</w:t>
      </w:r>
      <w:bookmarkStart w:id="379" w:name="_Ref531952761"/>
      <w:bookmarkStart w:id="380" w:name="_Ref531952756"/>
      <w:r>
        <w:rPr>
          <w:rFonts w:hint="eastAsia" w:asciiTheme="majorEastAsia" w:hAnsiTheme="majorEastAsia" w:eastAsiaTheme="majorEastAsia"/>
          <w:highlight w:val="none"/>
        </w:rPr>
        <w:t>]和第</w:t>
      </w:r>
      <w:r>
        <w:rPr>
          <w:rFonts w:asciiTheme="majorEastAsia" w:hAnsiTheme="majorEastAsia" w:eastAsiaTheme="majorEastAsia"/>
          <w:highlight w:val="none"/>
        </w:rPr>
        <w:t>7.8</w:t>
      </w:r>
      <w:r>
        <w:rPr>
          <w:rFonts w:hint="eastAsia" w:asciiTheme="majorEastAsia" w:hAnsiTheme="majorEastAsia" w:eastAsiaTheme="majorEastAsia"/>
          <w:highlight w:val="none"/>
        </w:rPr>
        <w:t>款[</w:t>
      </w:r>
      <w:r>
        <w:rPr>
          <w:rFonts w:asciiTheme="majorEastAsia" w:hAnsiTheme="majorEastAsia" w:eastAsiaTheme="majorEastAsia"/>
          <w:highlight w:val="none"/>
        </w:rPr>
        <w:t>环境保护</w:t>
      </w:r>
      <w:r>
        <w:rPr>
          <w:rFonts w:hint="eastAsia" w:asciiTheme="majorEastAsia" w:hAnsiTheme="majorEastAsia" w:eastAsiaTheme="majorEastAsia"/>
          <w:highlight w:val="none"/>
        </w:rPr>
        <w:t>]的相关约定。</w:t>
      </w:r>
    </w:p>
    <w:p w14:paraId="43442ED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发包人应与承包人、由发包人直接发包的其他承包人（如有）订立施工现场统一管理协议，明确各方的权利义务。</w:t>
      </w:r>
    </w:p>
    <w:p w14:paraId="1AF4BEB2">
      <w:pPr>
        <w:spacing w:line="560" w:lineRule="exact"/>
        <w:ind w:firstLine="410" w:firstLineChars="171"/>
        <w:rPr>
          <w:rFonts w:asciiTheme="majorEastAsia" w:hAnsiTheme="majorEastAsia" w:eastAsiaTheme="majorEastAsia"/>
          <w:highlight w:val="none"/>
        </w:rPr>
      </w:pPr>
      <w:bookmarkStart w:id="381" w:name="_Ref11959376"/>
      <w:bookmarkStart w:id="382" w:name="_Ref11959372"/>
      <w:bookmarkStart w:id="383" w:name="_Toc54862202"/>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.7 </w:t>
      </w:r>
      <w:r>
        <w:rPr>
          <w:rFonts w:hint="eastAsia" w:asciiTheme="majorEastAsia" w:hAnsiTheme="majorEastAsia" w:eastAsiaTheme="majorEastAsia"/>
          <w:highlight w:val="none"/>
        </w:rPr>
        <w:t>其他义务</w:t>
      </w:r>
      <w:bookmarkEnd w:id="381"/>
      <w:bookmarkEnd w:id="382"/>
      <w:bookmarkEnd w:id="383"/>
    </w:p>
    <w:p w14:paraId="75B2327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发包人应履行合同约定的其他义务，双方可在专用合同条件内对发包人应履行的其他义务进行补充约定。</w:t>
      </w:r>
    </w:p>
    <w:bookmarkEnd w:id="379"/>
    <w:bookmarkEnd w:id="380"/>
    <w:p w14:paraId="3B458DDE">
      <w:pPr>
        <w:spacing w:line="560" w:lineRule="exact"/>
        <w:rPr>
          <w:rFonts w:asciiTheme="majorEastAsia" w:hAnsiTheme="majorEastAsia" w:eastAsiaTheme="majorEastAsia"/>
          <w:b/>
          <w:highlight w:val="none"/>
        </w:rPr>
      </w:pPr>
      <w:bookmarkStart w:id="384" w:name="_Ref531952791"/>
      <w:bookmarkStart w:id="385" w:name="_Toc54862203"/>
      <w:r>
        <w:rPr>
          <w:rFonts w:hint="eastAsia" w:asciiTheme="majorEastAsia" w:hAnsiTheme="majorEastAsia" w:eastAsiaTheme="majorEastAsia"/>
          <w:b/>
          <w:highlight w:val="none"/>
        </w:rPr>
        <w:t>第3条  发包人的管理</w:t>
      </w:r>
      <w:bookmarkEnd w:id="384"/>
      <w:bookmarkEnd w:id="385"/>
    </w:p>
    <w:p w14:paraId="3E4707F8">
      <w:pPr>
        <w:spacing w:line="560" w:lineRule="exact"/>
        <w:ind w:firstLine="410" w:firstLineChars="171"/>
        <w:rPr>
          <w:rFonts w:asciiTheme="majorEastAsia" w:hAnsiTheme="majorEastAsia" w:eastAsiaTheme="majorEastAsia"/>
          <w:highlight w:val="none"/>
        </w:rPr>
      </w:pPr>
      <w:bookmarkStart w:id="386" w:name="_Ref522810094"/>
      <w:bookmarkStart w:id="387" w:name="_Ref522810097"/>
      <w:bookmarkStart w:id="388" w:name="_Ref531951538"/>
      <w:bookmarkStart w:id="389" w:name="_Ref531951533"/>
      <w:bookmarkStart w:id="390" w:name="_Toc54862204"/>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.1 </w:t>
      </w:r>
      <w:r>
        <w:rPr>
          <w:rFonts w:hint="eastAsia" w:asciiTheme="majorEastAsia" w:hAnsiTheme="majorEastAsia" w:eastAsiaTheme="majorEastAsia"/>
          <w:highlight w:val="none"/>
        </w:rPr>
        <w:t>发包人</w:t>
      </w:r>
      <w:bookmarkEnd w:id="386"/>
      <w:bookmarkEnd w:id="387"/>
      <w:r>
        <w:rPr>
          <w:rFonts w:hint="eastAsia" w:asciiTheme="majorEastAsia" w:hAnsiTheme="majorEastAsia" w:eastAsiaTheme="majorEastAsia"/>
          <w:highlight w:val="none"/>
        </w:rPr>
        <w:t>代表</w:t>
      </w:r>
      <w:bookmarkEnd w:id="388"/>
      <w:bookmarkEnd w:id="389"/>
      <w:bookmarkEnd w:id="390"/>
    </w:p>
    <w:p w14:paraId="31F9118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3066A02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除非发包人另行通知承包人，发包人代表应被授予并且被认为具有发包人在授权范围内享有的相应权利，涉及第</w:t>
      </w:r>
      <w:r>
        <w:rPr>
          <w:rFonts w:asciiTheme="majorEastAsia" w:hAnsiTheme="majorEastAsia" w:eastAsiaTheme="majorEastAsia"/>
          <w:highlight w:val="none"/>
        </w:rPr>
        <w:t>16.1</w:t>
      </w:r>
      <w:r>
        <w:rPr>
          <w:rFonts w:hint="eastAsia" w:asciiTheme="majorEastAsia" w:hAnsiTheme="majorEastAsia" w:eastAsiaTheme="majorEastAsia"/>
          <w:highlight w:val="none"/>
        </w:rPr>
        <w:t>款[由发包人解除合同]的权利除外。</w:t>
      </w:r>
    </w:p>
    <w:p w14:paraId="624B123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发包人代表（或者在其为法人的情况下，被任命代表其行事的自然人）应：</w:t>
      </w:r>
    </w:p>
    <w:p w14:paraId="73291E5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（1）履行指派给其的职责，行使发包人托付给的权利；</w:t>
      </w:r>
    </w:p>
    <w:p w14:paraId="11A2FEB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（2）具备履行这些职责、行使这些权利的能力；</w:t>
      </w:r>
    </w:p>
    <w:p w14:paraId="716DC13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（3）作为熟练的专业人员行事。</w:t>
      </w:r>
    </w:p>
    <w:p w14:paraId="6D03ADB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如果发包人代表为法人且在签订本合同时未能确定授权代表的，发包人代表应在本合同签订之日起</w:t>
      </w:r>
      <w:r>
        <w:rPr>
          <w:rFonts w:asciiTheme="majorEastAsia" w:hAnsiTheme="majorEastAsia" w:eastAsiaTheme="majorEastAsia"/>
          <w:highlight w:val="none"/>
        </w:rPr>
        <w:t>3日内</w:t>
      </w:r>
      <w:r>
        <w:rPr>
          <w:rFonts w:hint="eastAsia" w:asciiTheme="majorEastAsia" w:hAnsiTheme="majorEastAsia" w:eastAsiaTheme="majorEastAsia"/>
          <w:highlight w:val="none"/>
        </w:rPr>
        <w:t>向双方发出书面通知，告知被任命和授权的自然人以及任何替代人员。此授权在双方收到本通知后生效。发包人代表撤销该授权或者变更授权代表时也应同样发出该通知。</w:t>
      </w:r>
    </w:p>
    <w:p w14:paraId="5CD15B3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213B5CC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发包人代表不能按照合同约定履行其职责及义务，并导致合同无法继续正常履行的，承包人可以要求发包人撤换发包人代表。</w:t>
      </w:r>
    </w:p>
    <w:p w14:paraId="6A20C1F1">
      <w:pPr>
        <w:spacing w:line="560" w:lineRule="exact"/>
        <w:ind w:firstLine="410" w:firstLineChars="171"/>
        <w:rPr>
          <w:rFonts w:asciiTheme="majorEastAsia" w:hAnsiTheme="majorEastAsia" w:eastAsiaTheme="majorEastAsia"/>
          <w:highlight w:val="none"/>
        </w:rPr>
      </w:pPr>
      <w:bookmarkStart w:id="391" w:name="_Ref531951553"/>
      <w:bookmarkStart w:id="392" w:name="_Toc54862205"/>
      <w:bookmarkStart w:id="393" w:name="_Ref531951557"/>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.2 </w:t>
      </w:r>
      <w:r>
        <w:rPr>
          <w:rFonts w:hint="eastAsia" w:asciiTheme="majorEastAsia" w:hAnsiTheme="majorEastAsia" w:eastAsiaTheme="majorEastAsia"/>
          <w:highlight w:val="none"/>
        </w:rPr>
        <w:t>发包人人员</w:t>
      </w:r>
      <w:bookmarkEnd w:id="391"/>
      <w:bookmarkEnd w:id="392"/>
      <w:bookmarkEnd w:id="393"/>
    </w:p>
    <w:p w14:paraId="51DAC95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0419216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发包人应要求在施工现场的发包人人员遵守法律及有关安全、质量、环境保护、文明施工等规定，因发包人人员未遵守上述要求给承包人造成的损失和责任由发包人承担。</w:t>
      </w:r>
    </w:p>
    <w:p w14:paraId="1E1DADF3">
      <w:pPr>
        <w:spacing w:line="560" w:lineRule="exact"/>
        <w:ind w:firstLine="410" w:firstLineChars="171"/>
        <w:rPr>
          <w:rFonts w:asciiTheme="majorEastAsia" w:hAnsiTheme="majorEastAsia" w:eastAsiaTheme="majorEastAsia"/>
          <w:highlight w:val="none"/>
        </w:rPr>
      </w:pPr>
      <w:bookmarkStart w:id="394" w:name="_Toc54862206"/>
      <w:r>
        <w:rPr>
          <w:rFonts w:hint="eastAsia" w:asciiTheme="majorEastAsia" w:hAnsiTheme="majorEastAsia" w:eastAsiaTheme="majorEastAsia"/>
          <w:highlight w:val="none"/>
        </w:rPr>
        <w:t>3</w:t>
      </w:r>
      <w:r>
        <w:rPr>
          <w:rFonts w:asciiTheme="majorEastAsia" w:hAnsiTheme="majorEastAsia" w:eastAsiaTheme="majorEastAsia"/>
          <w:highlight w:val="none"/>
        </w:rPr>
        <w:t>.3 工程师</w:t>
      </w:r>
      <w:bookmarkEnd w:id="394"/>
      <w:r>
        <w:rPr>
          <w:rFonts w:hint="eastAsia" w:asciiTheme="majorEastAsia" w:hAnsiTheme="majorEastAsia" w:eastAsiaTheme="majorEastAsia"/>
          <w:highlight w:val="none"/>
        </w:rPr>
        <w:t xml:space="preserve"> </w:t>
      </w:r>
    </w:p>
    <w:p w14:paraId="67C1DC2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.3.1 </w:t>
      </w:r>
      <w:r>
        <w:rPr>
          <w:rFonts w:hint="eastAsia" w:asciiTheme="majorEastAsia" w:hAnsiTheme="majorEastAsia" w:eastAsiaTheme="majorEastAsia"/>
          <w:highlight w:val="none"/>
        </w:rPr>
        <w:t>发包人需对承包人的设计、采购、施工、服务等工作过程或过程节点实施监督管理的，有权委任工程师。工程师的名称、监督管理范围、内容和权限在专用合同条件中写明。根据国家相关法律法规规定，如本合同工程属于强制工程师项目的，由工程师履行法定的工程师相关职责，但发包人另行授权第三方进行工程师的除外。</w:t>
      </w:r>
    </w:p>
    <w:p w14:paraId="75F527A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.3.2 </w:t>
      </w:r>
      <w:r>
        <w:rPr>
          <w:rFonts w:hint="eastAsia" w:asciiTheme="majorEastAsia" w:hAnsiTheme="majorEastAsia" w:eastAsiaTheme="majorEastAsia"/>
          <w:highlight w:val="none"/>
        </w:rPr>
        <w:t>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0EECD1A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.3.3 </w:t>
      </w:r>
      <w:r>
        <w:rPr>
          <w:rFonts w:hint="eastAsia" w:asciiTheme="majorEastAsia" w:hAnsiTheme="majorEastAsia" w:eastAsiaTheme="majorEastAsia"/>
          <w:highlight w:val="none"/>
        </w:rPr>
        <w:t>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2FB019F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.3.4 </w:t>
      </w:r>
      <w:r>
        <w:rPr>
          <w:rFonts w:hint="eastAsia" w:asciiTheme="majorEastAsia" w:hAnsiTheme="majorEastAsia" w:eastAsiaTheme="majorEastAsia"/>
          <w:highlight w:val="none"/>
        </w:rPr>
        <w:t>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73CCBE96">
      <w:pPr>
        <w:spacing w:line="560" w:lineRule="exact"/>
        <w:ind w:firstLine="410" w:firstLineChars="171"/>
        <w:rPr>
          <w:rFonts w:asciiTheme="majorEastAsia" w:hAnsiTheme="majorEastAsia" w:eastAsiaTheme="majorEastAsia"/>
          <w:highlight w:val="none"/>
        </w:rPr>
      </w:pPr>
      <w:bookmarkStart w:id="395" w:name="_Toc54862207"/>
      <w:bookmarkStart w:id="396" w:name="_Ref531951597"/>
      <w:bookmarkStart w:id="397" w:name="_Ref531951594"/>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.4 </w:t>
      </w:r>
      <w:r>
        <w:rPr>
          <w:rFonts w:hint="eastAsia" w:asciiTheme="majorEastAsia" w:hAnsiTheme="majorEastAsia" w:eastAsiaTheme="majorEastAsia"/>
          <w:highlight w:val="none"/>
        </w:rPr>
        <w:t>任命和授权</w:t>
      </w:r>
      <w:bookmarkEnd w:id="395"/>
    </w:p>
    <w:p w14:paraId="0031744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.4.1 </w:t>
      </w:r>
      <w:r>
        <w:rPr>
          <w:rFonts w:hint="eastAsia" w:asciiTheme="majorEastAsia" w:hAnsiTheme="majorEastAsia" w:eastAsiaTheme="majorEastAsia"/>
          <w:highlight w:val="none"/>
        </w:rPr>
        <w:t>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30C8454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.4.2 </w:t>
      </w:r>
      <w:r>
        <w:rPr>
          <w:rFonts w:hint="eastAsia" w:asciiTheme="majorEastAsia" w:hAnsiTheme="majorEastAsia" w:eastAsiaTheme="majorEastAsia"/>
          <w:highlight w:val="none"/>
        </w:rPr>
        <w:t>工程师可以授权其他人员负责执行其指派的一项或多项工作，但第</w:t>
      </w:r>
      <w:r>
        <w:rPr>
          <w:rFonts w:asciiTheme="majorEastAsia" w:hAnsiTheme="majorEastAsia" w:eastAsiaTheme="majorEastAsia"/>
          <w:highlight w:val="none"/>
        </w:rPr>
        <w:t>3.6</w:t>
      </w:r>
      <w:r>
        <w:rPr>
          <w:rFonts w:hint="eastAsia" w:asciiTheme="majorEastAsia" w:hAnsiTheme="majorEastAsia" w:eastAsiaTheme="majorEastAsia"/>
          <w:highlight w:val="none"/>
        </w:rPr>
        <w:t>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3997477F">
      <w:pPr>
        <w:spacing w:line="560" w:lineRule="exact"/>
        <w:ind w:firstLine="410" w:firstLineChars="171"/>
        <w:rPr>
          <w:rFonts w:asciiTheme="majorEastAsia" w:hAnsiTheme="majorEastAsia" w:eastAsiaTheme="majorEastAsia"/>
          <w:highlight w:val="none"/>
        </w:rPr>
      </w:pPr>
      <w:bookmarkStart w:id="398" w:name="_Ref20165400"/>
      <w:bookmarkStart w:id="399" w:name="_Toc54862208"/>
      <w:r>
        <w:rPr>
          <w:rFonts w:hint="eastAsia" w:asciiTheme="majorEastAsia" w:hAnsiTheme="majorEastAsia" w:eastAsiaTheme="majorEastAsia"/>
          <w:highlight w:val="none"/>
        </w:rPr>
        <w:t>3</w:t>
      </w:r>
      <w:r>
        <w:rPr>
          <w:rFonts w:asciiTheme="majorEastAsia" w:hAnsiTheme="majorEastAsia" w:eastAsiaTheme="majorEastAsia"/>
          <w:highlight w:val="none"/>
        </w:rPr>
        <w:t>.5 指示</w:t>
      </w:r>
      <w:bookmarkEnd w:id="396"/>
      <w:bookmarkEnd w:id="397"/>
      <w:bookmarkEnd w:id="398"/>
      <w:bookmarkEnd w:id="399"/>
    </w:p>
    <w:p w14:paraId="03CDDDC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.5.1 </w:t>
      </w:r>
      <w:r>
        <w:rPr>
          <w:rFonts w:hint="eastAsia" w:asciiTheme="majorEastAsia" w:hAnsiTheme="majorEastAsia" w:eastAsiaTheme="majorEastAsia"/>
          <w:highlight w:val="none"/>
        </w:rPr>
        <w:t>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0ED0250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.5.2 </w:t>
      </w:r>
      <w:r>
        <w:rPr>
          <w:rFonts w:hint="eastAsia" w:asciiTheme="majorEastAsia" w:hAnsiTheme="majorEastAsia" w:eastAsiaTheme="majorEastAsia"/>
          <w:highlight w:val="none"/>
        </w:rPr>
        <w:t>承包人收到工程师作出的指示后应遵照执行。如果任何此类指示构成一项变更时，应按照第</w:t>
      </w:r>
      <w:r>
        <w:rPr>
          <w:rFonts w:asciiTheme="majorEastAsia" w:hAnsiTheme="majorEastAsia" w:eastAsiaTheme="majorEastAsia"/>
          <w:highlight w:val="none"/>
        </w:rPr>
        <w:t>13条</w:t>
      </w:r>
      <w:r>
        <w:rPr>
          <w:rFonts w:hint="eastAsia" w:asciiTheme="majorEastAsia" w:hAnsiTheme="majorEastAsia" w:eastAsiaTheme="majorEastAsia"/>
          <w:highlight w:val="none"/>
        </w:rPr>
        <w:t>[变更与调整]的约定办理。</w:t>
      </w:r>
    </w:p>
    <w:p w14:paraId="64854B6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.5.3 </w:t>
      </w:r>
      <w:r>
        <w:rPr>
          <w:rFonts w:hint="eastAsia" w:asciiTheme="majorEastAsia" w:hAnsiTheme="majorEastAsia" w:eastAsiaTheme="majorEastAsia"/>
          <w:highlight w:val="none"/>
        </w:rPr>
        <w:t>由于工程师未能按合同约定发出指示、指示延误或指示错误而导致承包人费用增加和（或）工期延误的，发包人应承担由此增加的费用和（或）工期延误，并向承包人支付合理利润。</w:t>
      </w:r>
    </w:p>
    <w:p w14:paraId="5D4FA134">
      <w:pPr>
        <w:spacing w:line="560" w:lineRule="exact"/>
        <w:ind w:firstLine="410" w:firstLineChars="171"/>
        <w:rPr>
          <w:rFonts w:asciiTheme="majorEastAsia" w:hAnsiTheme="majorEastAsia" w:eastAsiaTheme="majorEastAsia"/>
          <w:highlight w:val="none"/>
        </w:rPr>
      </w:pPr>
      <w:bookmarkStart w:id="400" w:name="_Toc54862209"/>
      <w:bookmarkStart w:id="401" w:name="_Ref531951609"/>
      <w:bookmarkStart w:id="402" w:name="_Ref531951611"/>
      <w:r>
        <w:rPr>
          <w:rFonts w:hint="eastAsia" w:asciiTheme="majorEastAsia" w:hAnsiTheme="majorEastAsia" w:eastAsiaTheme="majorEastAsia"/>
          <w:highlight w:val="none"/>
        </w:rPr>
        <w:t>3</w:t>
      </w:r>
      <w:r>
        <w:rPr>
          <w:rFonts w:asciiTheme="majorEastAsia" w:hAnsiTheme="majorEastAsia" w:eastAsiaTheme="majorEastAsia"/>
          <w:highlight w:val="none"/>
        </w:rPr>
        <w:t>.6 商定或确定</w:t>
      </w:r>
      <w:bookmarkEnd w:id="400"/>
      <w:bookmarkEnd w:id="401"/>
      <w:bookmarkEnd w:id="402"/>
    </w:p>
    <w:p w14:paraId="01F79D0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.6.1 </w:t>
      </w:r>
      <w:r>
        <w:rPr>
          <w:rFonts w:hint="eastAsia" w:asciiTheme="majorEastAsia" w:hAnsiTheme="majorEastAsia" w:eastAsiaTheme="majorEastAsia"/>
          <w:highlight w:val="none"/>
        </w:rPr>
        <w:t>合同约定工程师应按照本款对任何事项进行商定或确定时，工程师应及时与合同当事人协商，尽量达成一致。工程师应将商定的结果以书面形式通知发包人和承包人，并由双方签署确认。</w:t>
      </w:r>
    </w:p>
    <w:p w14:paraId="7C4AB21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.6.2 </w:t>
      </w:r>
      <w:r>
        <w:rPr>
          <w:rFonts w:hint="eastAsia" w:asciiTheme="majorEastAsia" w:hAnsiTheme="majorEastAsia" w:eastAsiaTheme="majorEastAsia"/>
          <w:highlight w:val="none"/>
        </w:rPr>
        <w:t>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34C709AE">
      <w:pPr>
        <w:spacing w:line="560" w:lineRule="exact"/>
        <w:ind w:firstLine="410" w:firstLineChars="171"/>
        <w:rPr>
          <w:rFonts w:asciiTheme="majorEastAsia" w:hAnsiTheme="majorEastAsia" w:eastAsiaTheme="majorEastAsia"/>
          <w:highlight w:val="none"/>
        </w:rPr>
      </w:pPr>
      <w:bookmarkStart w:id="403" w:name="_Ref532287856"/>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.6.3 </w:t>
      </w:r>
      <w:r>
        <w:rPr>
          <w:rFonts w:hint="eastAsia" w:asciiTheme="majorEastAsia" w:hAnsiTheme="majorEastAsia" w:eastAsiaTheme="majorEastAsia"/>
          <w:highlight w:val="none"/>
        </w:rPr>
        <w:t>任何一方对工程师的确定有异议的，应在收到确定的结果后28天内向另一方发出书面异议通知并抄送工程师。除第</w:t>
      </w:r>
      <w:r>
        <w:rPr>
          <w:rFonts w:asciiTheme="majorEastAsia" w:hAnsiTheme="majorEastAsia" w:eastAsiaTheme="majorEastAsia"/>
          <w:highlight w:val="none"/>
        </w:rPr>
        <w:t>19.2</w:t>
      </w:r>
      <w:r>
        <w:rPr>
          <w:rFonts w:hint="eastAsia" w:asciiTheme="majorEastAsia" w:hAnsiTheme="majorEastAsia" w:eastAsiaTheme="majorEastAsia"/>
          <w:highlight w:val="none"/>
        </w:rPr>
        <w:t>款[</w:t>
      </w:r>
      <w:r>
        <w:rPr>
          <w:rFonts w:asciiTheme="majorEastAsia" w:hAnsiTheme="majorEastAsia" w:eastAsiaTheme="majorEastAsia"/>
          <w:highlight w:val="none"/>
        </w:rPr>
        <w:t>承包人索赔的处理程序</w:t>
      </w:r>
      <w:r>
        <w:rPr>
          <w:rFonts w:hint="eastAsia" w:asciiTheme="majorEastAsia" w:hAnsiTheme="majorEastAsia" w:eastAsiaTheme="majorEastAsia"/>
          <w:highlight w:val="none"/>
        </w:rPr>
        <w:t>]另有约定外，工程师未能在确定的期限内发出确定的结果通知的，或者任何一方发出对确定的结果有异议的通知的，则构成争议并应按照第</w:t>
      </w:r>
      <w:r>
        <w:rPr>
          <w:rFonts w:asciiTheme="majorEastAsia" w:hAnsiTheme="majorEastAsia" w:eastAsiaTheme="majorEastAsia"/>
          <w:highlight w:val="none"/>
        </w:rPr>
        <w:t>20条</w:t>
      </w:r>
      <w:r>
        <w:rPr>
          <w:rFonts w:hint="eastAsia" w:asciiTheme="majorEastAsia" w:hAnsiTheme="majorEastAsia" w:eastAsiaTheme="majorEastAsia"/>
          <w:highlight w:val="none"/>
        </w:rPr>
        <w:t>[争议解决]的约定处理。如未在28天内发出上述通知的，工程师的确定应被视为已被双方接受并对双方具有约束力，但专用合同条件另有约定的除外。</w:t>
      </w:r>
      <w:bookmarkEnd w:id="403"/>
    </w:p>
    <w:p w14:paraId="200E5FF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.6.4 </w:t>
      </w:r>
      <w:r>
        <w:rPr>
          <w:rFonts w:hint="eastAsia" w:asciiTheme="majorEastAsia" w:hAnsiTheme="majorEastAsia" w:eastAsiaTheme="majorEastAsia"/>
          <w:highlight w:val="none"/>
        </w:rPr>
        <w:t>在该争议解决前，双方应暂按工程师的确定执行。按照第</w:t>
      </w:r>
      <w:r>
        <w:rPr>
          <w:rFonts w:asciiTheme="majorEastAsia" w:hAnsiTheme="majorEastAsia" w:eastAsiaTheme="majorEastAsia"/>
          <w:highlight w:val="none"/>
        </w:rPr>
        <w:t>20条</w:t>
      </w:r>
      <w:r>
        <w:rPr>
          <w:rFonts w:hint="eastAsia" w:asciiTheme="majorEastAsia" w:hAnsiTheme="majorEastAsia" w:eastAsiaTheme="majorEastAsia"/>
          <w:highlight w:val="none"/>
        </w:rPr>
        <w:t>[争议解决]的约定对工程师的确定作出修改的，按修改后的结果执行，由此导致承包人增加的费用和延误的工期由责任方承担。</w:t>
      </w:r>
    </w:p>
    <w:p w14:paraId="0E6294B8">
      <w:pPr>
        <w:spacing w:line="560" w:lineRule="exact"/>
        <w:ind w:firstLine="410" w:firstLineChars="171"/>
        <w:rPr>
          <w:rFonts w:asciiTheme="majorEastAsia" w:hAnsiTheme="majorEastAsia" w:eastAsiaTheme="majorEastAsia"/>
          <w:highlight w:val="none"/>
        </w:rPr>
      </w:pPr>
      <w:bookmarkStart w:id="404" w:name="_Toc54862210"/>
      <w:bookmarkStart w:id="405" w:name="_Ref531951747"/>
      <w:bookmarkStart w:id="406" w:name="_Ref531951749"/>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.7 </w:t>
      </w:r>
      <w:r>
        <w:rPr>
          <w:rFonts w:hint="eastAsia" w:asciiTheme="majorEastAsia" w:hAnsiTheme="majorEastAsia" w:eastAsiaTheme="majorEastAsia"/>
          <w:highlight w:val="none"/>
        </w:rPr>
        <w:t>会议</w:t>
      </w:r>
      <w:bookmarkEnd w:id="404"/>
      <w:bookmarkEnd w:id="405"/>
      <w:bookmarkEnd w:id="406"/>
    </w:p>
    <w:p w14:paraId="144F717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.7.1 </w:t>
      </w:r>
      <w:r>
        <w:rPr>
          <w:rFonts w:hint="eastAsia" w:asciiTheme="majorEastAsia" w:hAnsiTheme="majorEastAsia" w:eastAsiaTheme="majorEastAsia"/>
          <w:highlight w:val="none"/>
        </w:rPr>
        <w:t>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0F1AC8A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.7.2 </w:t>
      </w:r>
      <w:r>
        <w:rPr>
          <w:rFonts w:hint="eastAsia" w:asciiTheme="majorEastAsia" w:hAnsiTheme="majorEastAsia" w:eastAsiaTheme="majorEastAsia"/>
          <w:highlight w:val="none"/>
        </w:rPr>
        <w:t>除专用合同条件另有约定外，发包人应保存每次会议参加人签名的记录，并将会议纪要提供给出席会议的人员。任何根据此类会议以及会议纪要采取的行动应符合本合同的约定。</w:t>
      </w:r>
    </w:p>
    <w:p w14:paraId="0C8498CA">
      <w:pPr>
        <w:spacing w:line="560" w:lineRule="exact"/>
        <w:rPr>
          <w:rFonts w:asciiTheme="majorEastAsia" w:hAnsiTheme="majorEastAsia" w:eastAsiaTheme="majorEastAsia"/>
          <w:b/>
          <w:highlight w:val="none"/>
        </w:rPr>
      </w:pPr>
      <w:bookmarkStart w:id="407" w:name="_Toc54862211"/>
      <w:bookmarkStart w:id="408" w:name="_Ref531952805"/>
      <w:r>
        <w:rPr>
          <w:rFonts w:hint="eastAsia" w:asciiTheme="majorEastAsia" w:hAnsiTheme="majorEastAsia" w:eastAsiaTheme="majorEastAsia"/>
          <w:b/>
          <w:highlight w:val="none"/>
        </w:rPr>
        <w:t>第4条  承包人</w:t>
      </w:r>
      <w:bookmarkEnd w:id="407"/>
      <w:bookmarkEnd w:id="408"/>
    </w:p>
    <w:p w14:paraId="74509C87">
      <w:pPr>
        <w:spacing w:line="560" w:lineRule="exact"/>
        <w:ind w:firstLine="410" w:firstLineChars="171"/>
        <w:rPr>
          <w:rFonts w:asciiTheme="majorEastAsia" w:hAnsiTheme="majorEastAsia" w:eastAsiaTheme="majorEastAsia"/>
          <w:highlight w:val="none"/>
        </w:rPr>
      </w:pPr>
      <w:bookmarkStart w:id="409" w:name="_Ref531951941"/>
      <w:bookmarkStart w:id="410" w:name="_Ref531951961"/>
      <w:bookmarkStart w:id="411" w:name="_Toc54862212"/>
      <w:bookmarkStart w:id="412" w:name="_Ref531951958"/>
      <w:bookmarkStart w:id="413" w:name="_Ref531951945"/>
      <w:bookmarkStart w:id="414" w:name="_Ref531951975"/>
      <w:r>
        <w:rPr>
          <w:rFonts w:hint="eastAsia" w:asciiTheme="majorEastAsia" w:hAnsiTheme="majorEastAsia" w:eastAsiaTheme="majorEastAsia"/>
          <w:highlight w:val="none"/>
        </w:rPr>
        <w:t>4</w:t>
      </w:r>
      <w:r>
        <w:rPr>
          <w:rFonts w:asciiTheme="majorEastAsia" w:hAnsiTheme="majorEastAsia" w:eastAsiaTheme="majorEastAsia"/>
          <w:highlight w:val="none"/>
        </w:rPr>
        <w:t>.1 承包人的一般义务</w:t>
      </w:r>
      <w:bookmarkEnd w:id="409"/>
      <w:bookmarkEnd w:id="410"/>
      <w:bookmarkEnd w:id="411"/>
      <w:bookmarkEnd w:id="412"/>
      <w:bookmarkEnd w:id="413"/>
      <w:bookmarkEnd w:id="414"/>
      <w:r>
        <w:rPr>
          <w:rFonts w:hint="eastAsia" w:asciiTheme="majorEastAsia" w:hAnsiTheme="majorEastAsia" w:eastAsiaTheme="majorEastAsia"/>
          <w:highlight w:val="none"/>
        </w:rPr>
        <w:t xml:space="preserve"> </w:t>
      </w:r>
    </w:p>
    <w:p w14:paraId="14927BB8">
      <w:pPr>
        <w:spacing w:line="560" w:lineRule="exact"/>
        <w:ind w:firstLine="410" w:firstLineChars="171"/>
        <w:rPr>
          <w:rFonts w:asciiTheme="majorEastAsia" w:hAnsiTheme="majorEastAsia" w:eastAsiaTheme="majorEastAsia"/>
          <w:highlight w:val="none"/>
        </w:rPr>
      </w:pPr>
      <w:bookmarkStart w:id="415" w:name="_Ref509046929"/>
      <w:r>
        <w:rPr>
          <w:rFonts w:hint="eastAsia" w:asciiTheme="majorEastAsia" w:hAnsiTheme="majorEastAsia" w:eastAsiaTheme="majorEastAsia"/>
          <w:highlight w:val="none"/>
        </w:rPr>
        <w:t>除专用合同条件另有约定外，承包人在履行合同过程中应遵守法律和工程建设标准规范，并履行以下义务：</w:t>
      </w:r>
    </w:p>
    <w:p w14:paraId="5B1D001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（1）办理法律规定和合同约定由承包人办理的许可和批准，将办理结果书面报送发包人留存，并承担因承包人违反法律或合同约定给发包人造成的任何费用和损失；</w:t>
      </w:r>
    </w:p>
    <w:p w14:paraId="3154FCE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（2）按合同约定完成全部工作并在缺陷责任期和保修期内承担缺陷保证责任和保修义务，对工作中的任何缺陷进行整改、完善和修补，使其满足合同约定的目的；</w:t>
      </w:r>
    </w:p>
    <w:p w14:paraId="00A1CE7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（3）提供合同约定的工程设备和承包人文件，以及为完成合同工作所需的劳务、材料、施工设备和其他物品，并按合同约定负责临时设施的设计、施工、运行、维护、管理和拆除；</w:t>
      </w:r>
    </w:p>
    <w:p w14:paraId="475E0C1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（4）按合同约定的工作内容和进度要求，编制设计、施工的组织和实施计划，保证项目进度计划的实现，并对所有设计、施工作业和施工方法，以及全部工程的完备性和安全可靠性负责；</w:t>
      </w:r>
    </w:p>
    <w:p w14:paraId="0256FB9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（5）按法律规定和合同约定采取安全文明施工、职业健康和环境保护措施，办理员工工伤保险等相关保险，确保工程及人员、材料、设备和设施的安全，防止因工程实施造成的人身伤害和财产损失；</w:t>
      </w:r>
    </w:p>
    <w:p w14:paraId="3C9C1A7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（6）将发包人按合同约定支付的各项价款专用于合同工程，且应及时支付其雇用人员（包括建筑工人）工资，并及时向分包人支付合同价款；</w:t>
      </w:r>
    </w:p>
    <w:p w14:paraId="5BC5CC0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（7）在进行合同约定的各项工作时，不得侵害发包人与他人使用公用道路、水源、市政管网等公共设施的权利，避免对邻近的公共设施产生干扰。</w:t>
      </w:r>
    </w:p>
    <w:p w14:paraId="0EF8544C">
      <w:pPr>
        <w:spacing w:line="560" w:lineRule="exact"/>
        <w:ind w:firstLine="410" w:firstLineChars="171"/>
        <w:rPr>
          <w:rFonts w:asciiTheme="majorEastAsia" w:hAnsiTheme="majorEastAsia" w:eastAsiaTheme="majorEastAsia"/>
          <w:highlight w:val="none"/>
        </w:rPr>
      </w:pPr>
      <w:bookmarkStart w:id="416" w:name="_Toc54862213"/>
      <w:bookmarkStart w:id="417" w:name="_Ref4426803"/>
      <w:bookmarkStart w:id="418" w:name="_Ref4428418"/>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.2 </w:t>
      </w:r>
      <w:r>
        <w:rPr>
          <w:rFonts w:hint="eastAsia" w:asciiTheme="majorEastAsia" w:hAnsiTheme="majorEastAsia" w:eastAsiaTheme="majorEastAsia"/>
          <w:highlight w:val="none"/>
        </w:rPr>
        <w:t>履约担保</w:t>
      </w:r>
      <w:bookmarkEnd w:id="416"/>
      <w:bookmarkEnd w:id="417"/>
    </w:p>
    <w:p w14:paraId="49EBEAA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发包人需要承包人提供履约担保的，由合同当事人在专用合同条件中约定履约担保的方式、金额及提交的时间等，并应符合第</w:t>
      </w:r>
      <w:r>
        <w:rPr>
          <w:rFonts w:asciiTheme="majorEastAsia" w:hAnsiTheme="majorEastAsia" w:eastAsiaTheme="majorEastAsia"/>
          <w:highlight w:val="none"/>
        </w:rPr>
        <w:t>2.5</w:t>
      </w:r>
      <w:r>
        <w:rPr>
          <w:rFonts w:hint="eastAsia" w:asciiTheme="majorEastAsia" w:hAnsiTheme="majorEastAsia" w:eastAsiaTheme="majorEastAsia"/>
          <w:highlight w:val="none"/>
        </w:rPr>
        <w:t>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51D8612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承包人应保证其履约担保在发包人竣工验收前一直有效，发包人应在竣工验收合格后</w:t>
      </w:r>
      <w:r>
        <w:rPr>
          <w:rFonts w:asciiTheme="majorEastAsia" w:hAnsiTheme="majorEastAsia" w:eastAsiaTheme="majorEastAsia"/>
          <w:highlight w:val="none"/>
        </w:rPr>
        <w:t>7</w:t>
      </w:r>
      <w:r>
        <w:rPr>
          <w:rFonts w:hint="eastAsia" w:asciiTheme="majorEastAsia" w:hAnsiTheme="majorEastAsia" w:eastAsiaTheme="majorEastAsia"/>
          <w:highlight w:val="none"/>
        </w:rPr>
        <w:t>天内将履约担保款项退还给承包人或者解除履约担保。</w:t>
      </w:r>
    </w:p>
    <w:p w14:paraId="2A59221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因承包人原因导致工期延长的，继续提供履约担保所增加的费用由承包人承担；非因承包人原因导致工期延长的，继续提供履约担保所增加的费用由发包人承担。</w:t>
      </w:r>
    </w:p>
    <w:bookmarkEnd w:id="415"/>
    <w:bookmarkEnd w:id="418"/>
    <w:p w14:paraId="772281E7">
      <w:pPr>
        <w:spacing w:line="560" w:lineRule="exact"/>
        <w:ind w:firstLine="410" w:firstLineChars="171"/>
        <w:rPr>
          <w:rFonts w:asciiTheme="majorEastAsia" w:hAnsiTheme="majorEastAsia" w:eastAsiaTheme="majorEastAsia"/>
          <w:highlight w:val="none"/>
        </w:rPr>
      </w:pPr>
      <w:bookmarkStart w:id="419" w:name="_Toc54862214"/>
      <w:bookmarkStart w:id="420" w:name="_Ref532689108"/>
      <w:bookmarkStart w:id="421" w:name="_Ref532689105"/>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.3 </w:t>
      </w:r>
      <w:r>
        <w:rPr>
          <w:rFonts w:hint="eastAsia" w:asciiTheme="majorEastAsia" w:hAnsiTheme="majorEastAsia" w:eastAsiaTheme="majorEastAsia"/>
          <w:highlight w:val="none"/>
        </w:rPr>
        <w:t>工程总承包项目经理</w:t>
      </w:r>
      <w:bookmarkEnd w:id="419"/>
      <w:bookmarkEnd w:id="420"/>
      <w:bookmarkEnd w:id="421"/>
    </w:p>
    <w:p w14:paraId="3B554A43">
      <w:pPr>
        <w:spacing w:line="560" w:lineRule="exact"/>
        <w:ind w:firstLine="410" w:firstLineChars="171"/>
        <w:rPr>
          <w:rFonts w:asciiTheme="majorEastAsia" w:hAnsiTheme="majorEastAsia" w:eastAsiaTheme="majorEastAsia"/>
          <w:highlight w:val="none"/>
        </w:rPr>
      </w:pPr>
      <w:bookmarkStart w:id="422" w:name="_Ref532351726"/>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.3.1 </w:t>
      </w:r>
      <w:r>
        <w:rPr>
          <w:rFonts w:hint="eastAsia" w:asciiTheme="majorEastAsia" w:hAnsiTheme="majorEastAsia" w:eastAsiaTheme="majorEastAsia"/>
          <w:highlight w:val="none"/>
        </w:rPr>
        <w:t>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422"/>
    </w:p>
    <w:p w14:paraId="75A8BBED">
      <w:pPr>
        <w:spacing w:line="560" w:lineRule="exact"/>
        <w:ind w:firstLine="410" w:firstLineChars="171"/>
        <w:rPr>
          <w:rFonts w:asciiTheme="majorEastAsia" w:hAnsiTheme="majorEastAsia" w:eastAsiaTheme="majorEastAsia"/>
          <w:highlight w:val="none"/>
        </w:rPr>
      </w:pPr>
      <w:bookmarkStart w:id="423" w:name="_Ref532689263"/>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.3.2 </w:t>
      </w:r>
      <w:r>
        <w:rPr>
          <w:rFonts w:hint="eastAsia" w:asciiTheme="majorEastAsia" w:hAnsiTheme="majorEastAsia" w:eastAsiaTheme="majorEastAsia"/>
          <w:highlight w:val="none"/>
        </w:rPr>
        <w:t>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423"/>
    </w:p>
    <w:p w14:paraId="78764CBF">
      <w:pPr>
        <w:spacing w:line="560" w:lineRule="exact"/>
        <w:ind w:firstLine="410" w:firstLineChars="171"/>
        <w:rPr>
          <w:rFonts w:asciiTheme="majorEastAsia" w:hAnsiTheme="majorEastAsia" w:eastAsiaTheme="majorEastAsia"/>
          <w:highlight w:val="none"/>
        </w:rPr>
      </w:pPr>
      <w:bookmarkStart w:id="424" w:name="_Ref532689178"/>
      <w:bookmarkStart w:id="425" w:name="_Ref531952112"/>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.3.3 </w:t>
      </w:r>
      <w:r>
        <w:rPr>
          <w:rFonts w:hint="eastAsia" w:asciiTheme="majorEastAsia" w:hAnsiTheme="majorEastAsia" w:eastAsiaTheme="majorEastAsia"/>
          <w:highlight w:val="none"/>
        </w:rPr>
        <w:t>承包人应根据本合同的约定授予工程总承包项目经理代表承包人履行合同所需的权利，工程总承包项目经理权限以专用合同条件中约定的权限为准。经承包人授权后，工程总承包项目经理应按合同约定以及工程师按第</w:t>
      </w:r>
      <w:r>
        <w:rPr>
          <w:rFonts w:asciiTheme="majorEastAsia" w:hAnsiTheme="majorEastAsia" w:eastAsiaTheme="majorEastAsia"/>
          <w:highlight w:val="none"/>
        </w:rPr>
        <w:t>3.5</w:t>
      </w:r>
      <w:r>
        <w:rPr>
          <w:rFonts w:hint="eastAsia" w:asciiTheme="majorEastAsia" w:hAnsiTheme="majorEastAsia" w:eastAsiaTheme="majorEastAsia"/>
          <w:highlight w:val="none"/>
        </w:rPr>
        <w:t>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424"/>
    </w:p>
    <w:bookmarkEnd w:id="425"/>
    <w:p w14:paraId="6D5BAD24">
      <w:pPr>
        <w:spacing w:line="560" w:lineRule="exact"/>
        <w:ind w:firstLine="410" w:firstLineChars="171"/>
        <w:rPr>
          <w:rFonts w:asciiTheme="majorEastAsia" w:hAnsiTheme="majorEastAsia" w:eastAsiaTheme="majorEastAsia"/>
          <w:highlight w:val="none"/>
        </w:rPr>
      </w:pPr>
      <w:bookmarkStart w:id="426" w:name="_Ref4426412"/>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.3.4 </w:t>
      </w:r>
      <w:r>
        <w:rPr>
          <w:rFonts w:hint="eastAsia" w:asciiTheme="majorEastAsia" w:hAnsiTheme="majorEastAsia" w:eastAsiaTheme="majorEastAsia"/>
          <w:highlight w:val="none"/>
        </w:rPr>
        <w:t>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427" w:name="_Hlk55056591"/>
      <w:r>
        <w:rPr>
          <w:rFonts w:hint="eastAsia" w:asciiTheme="majorEastAsia" w:hAnsiTheme="majorEastAsia" w:eastAsiaTheme="majorEastAsia"/>
          <w:highlight w:val="none"/>
        </w:rPr>
        <w:t>应按照专用合同条件的约定承担违约责任。</w:t>
      </w:r>
      <w:bookmarkEnd w:id="426"/>
      <w:bookmarkEnd w:id="427"/>
    </w:p>
    <w:p w14:paraId="7226F19D">
      <w:pPr>
        <w:spacing w:line="560" w:lineRule="exact"/>
        <w:ind w:firstLine="410" w:firstLineChars="171"/>
        <w:rPr>
          <w:rFonts w:asciiTheme="majorEastAsia" w:hAnsiTheme="majorEastAsia" w:eastAsiaTheme="majorEastAsia"/>
          <w:highlight w:val="none"/>
        </w:rPr>
      </w:pPr>
      <w:bookmarkStart w:id="428" w:name="_Ref531952137"/>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.3.5 </w:t>
      </w:r>
      <w:r>
        <w:rPr>
          <w:rFonts w:hint="eastAsia" w:asciiTheme="majorEastAsia" w:hAnsiTheme="majorEastAsia" w:eastAsiaTheme="majorEastAsia"/>
          <w:highlight w:val="none"/>
        </w:rPr>
        <w:t>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w:t>
      </w:r>
      <w:r>
        <w:rPr>
          <w:rFonts w:asciiTheme="majorEastAsia" w:hAnsiTheme="majorEastAsia" w:eastAsiaTheme="majorEastAsia"/>
          <w:highlight w:val="none"/>
        </w:rPr>
        <w:t>28天内更换项目经理。</w:t>
      </w:r>
      <w:r>
        <w:rPr>
          <w:rFonts w:hint="eastAsia" w:asciiTheme="majorEastAsia" w:hAnsiTheme="majorEastAsia" w:eastAsiaTheme="majorEastAsia"/>
          <w:highlight w:val="none"/>
        </w:rPr>
        <w:t>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428"/>
    </w:p>
    <w:p w14:paraId="31B61431">
      <w:pPr>
        <w:spacing w:line="560" w:lineRule="exact"/>
        <w:ind w:firstLine="410" w:firstLineChars="171"/>
        <w:rPr>
          <w:rFonts w:asciiTheme="majorEastAsia" w:hAnsiTheme="majorEastAsia" w:eastAsiaTheme="majorEastAsia"/>
          <w:highlight w:val="none"/>
        </w:rPr>
      </w:pPr>
      <w:bookmarkStart w:id="429" w:name="_Ref122620"/>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.3.6 </w:t>
      </w:r>
      <w:r>
        <w:rPr>
          <w:rFonts w:hint="eastAsia" w:asciiTheme="majorEastAsia" w:hAnsiTheme="majorEastAsia" w:eastAsiaTheme="majorEastAsia"/>
          <w:highlight w:val="none"/>
        </w:rPr>
        <w:t>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429"/>
    </w:p>
    <w:p w14:paraId="4737C1CF">
      <w:pPr>
        <w:spacing w:line="560" w:lineRule="exact"/>
        <w:ind w:firstLine="410" w:firstLineChars="171"/>
        <w:rPr>
          <w:rFonts w:asciiTheme="majorEastAsia" w:hAnsiTheme="majorEastAsia" w:eastAsiaTheme="majorEastAsia"/>
          <w:highlight w:val="none"/>
        </w:rPr>
      </w:pPr>
      <w:bookmarkStart w:id="430" w:name="_Toc54862215"/>
      <w:bookmarkStart w:id="431" w:name="_Ref531952172"/>
      <w:bookmarkStart w:id="432" w:name="_Ref531952175"/>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.4 </w:t>
      </w:r>
      <w:r>
        <w:rPr>
          <w:rFonts w:hint="eastAsia" w:asciiTheme="majorEastAsia" w:hAnsiTheme="majorEastAsia" w:eastAsiaTheme="majorEastAsia"/>
          <w:highlight w:val="none"/>
        </w:rPr>
        <w:t>承包人人员</w:t>
      </w:r>
      <w:bookmarkEnd w:id="430"/>
      <w:bookmarkEnd w:id="431"/>
      <w:bookmarkEnd w:id="432"/>
    </w:p>
    <w:p w14:paraId="6FE045C5">
      <w:pPr>
        <w:spacing w:line="560" w:lineRule="exact"/>
        <w:ind w:firstLine="410" w:firstLineChars="171"/>
        <w:rPr>
          <w:rFonts w:asciiTheme="majorEastAsia" w:hAnsiTheme="majorEastAsia" w:eastAsiaTheme="majorEastAsia"/>
          <w:highlight w:val="none"/>
        </w:rPr>
      </w:pPr>
      <w:bookmarkStart w:id="433" w:name="_Ref531952185"/>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.4.1 </w:t>
      </w:r>
      <w:r>
        <w:rPr>
          <w:rFonts w:hint="eastAsia" w:asciiTheme="majorEastAsia" w:hAnsiTheme="majorEastAsia" w:eastAsiaTheme="majorEastAsia"/>
          <w:highlight w:val="none"/>
        </w:rPr>
        <w:t>人员安排</w:t>
      </w:r>
      <w:bookmarkEnd w:id="433"/>
    </w:p>
    <w:p w14:paraId="13D5DFB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58AD3CD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关键人员</w:t>
      </w:r>
      <w:bookmarkStart w:id="434" w:name="_Hlk16210335"/>
      <w:r>
        <w:rPr>
          <w:rFonts w:hint="eastAsia" w:asciiTheme="majorEastAsia" w:hAnsiTheme="majorEastAsia" w:eastAsiaTheme="majorEastAsia"/>
          <w:highlight w:val="none"/>
        </w:rPr>
        <w:t>是发包人及承包人一致认为对工程建设起重要作用的承包人主要管理人员或技术人员。关键人员的具体范围由发包人及承包人在附件</w:t>
      </w:r>
      <w:r>
        <w:rPr>
          <w:rFonts w:asciiTheme="majorEastAsia" w:hAnsiTheme="majorEastAsia" w:eastAsiaTheme="majorEastAsia"/>
          <w:highlight w:val="none"/>
        </w:rPr>
        <w:t>5[承包人主要管理人员表]</w:t>
      </w:r>
      <w:r>
        <w:rPr>
          <w:rFonts w:hint="eastAsia" w:asciiTheme="majorEastAsia" w:hAnsiTheme="majorEastAsia" w:eastAsiaTheme="majorEastAsia"/>
          <w:highlight w:val="none"/>
        </w:rPr>
        <w:t>中另行约定。</w:t>
      </w:r>
    </w:p>
    <w:bookmarkEnd w:id="434"/>
    <w:p w14:paraId="3160E7B9">
      <w:pPr>
        <w:spacing w:line="560" w:lineRule="exact"/>
        <w:ind w:firstLine="410" w:firstLineChars="171"/>
        <w:rPr>
          <w:rFonts w:asciiTheme="majorEastAsia" w:hAnsiTheme="majorEastAsia" w:eastAsiaTheme="majorEastAsia"/>
          <w:highlight w:val="none"/>
        </w:rPr>
      </w:pPr>
      <w:bookmarkStart w:id="435" w:name="_Ref4426641"/>
      <w:bookmarkStart w:id="436" w:name="_Ref531952211"/>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.4.2 </w:t>
      </w:r>
      <w:r>
        <w:rPr>
          <w:rFonts w:hint="eastAsia" w:asciiTheme="majorEastAsia" w:hAnsiTheme="majorEastAsia" w:eastAsiaTheme="majorEastAsia"/>
          <w:highlight w:val="none"/>
        </w:rPr>
        <w:t>关键人员更换</w:t>
      </w:r>
      <w:bookmarkEnd w:id="435"/>
      <w:bookmarkEnd w:id="436"/>
    </w:p>
    <w:p w14:paraId="2BCC3EA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5255D9A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7CA9A193">
      <w:pPr>
        <w:spacing w:line="560" w:lineRule="exact"/>
        <w:ind w:firstLine="410" w:firstLineChars="171"/>
        <w:rPr>
          <w:rFonts w:asciiTheme="majorEastAsia" w:hAnsiTheme="majorEastAsia" w:eastAsiaTheme="majorEastAsia"/>
          <w:highlight w:val="none"/>
        </w:rPr>
      </w:pPr>
      <w:bookmarkStart w:id="437" w:name="_Ref531952227"/>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.4.3 </w:t>
      </w:r>
      <w:r>
        <w:rPr>
          <w:rFonts w:hint="eastAsia" w:asciiTheme="majorEastAsia" w:hAnsiTheme="majorEastAsia" w:eastAsiaTheme="majorEastAsia"/>
          <w:highlight w:val="none"/>
        </w:rPr>
        <w:t>现场管理关键人员在岗要求</w:t>
      </w:r>
      <w:bookmarkEnd w:id="437"/>
    </w:p>
    <w:p w14:paraId="13AC4FF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20FAF2EB">
      <w:pPr>
        <w:spacing w:line="560" w:lineRule="exact"/>
        <w:ind w:firstLine="410" w:firstLineChars="171"/>
        <w:rPr>
          <w:rFonts w:asciiTheme="majorEastAsia" w:hAnsiTheme="majorEastAsia" w:eastAsiaTheme="majorEastAsia"/>
          <w:highlight w:val="none"/>
        </w:rPr>
      </w:pPr>
      <w:bookmarkStart w:id="438" w:name="_Toc54862216"/>
      <w:bookmarkStart w:id="439" w:name="_Ref531952262"/>
      <w:bookmarkStart w:id="440" w:name="_Ref531952259"/>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.5 </w:t>
      </w:r>
      <w:r>
        <w:rPr>
          <w:rFonts w:hint="eastAsia" w:asciiTheme="majorEastAsia" w:hAnsiTheme="majorEastAsia" w:eastAsiaTheme="majorEastAsia"/>
          <w:highlight w:val="none"/>
        </w:rPr>
        <w:t>分包</w:t>
      </w:r>
      <w:bookmarkEnd w:id="438"/>
      <w:bookmarkEnd w:id="439"/>
      <w:bookmarkEnd w:id="440"/>
      <w:r>
        <w:rPr>
          <w:rFonts w:hint="eastAsia" w:asciiTheme="majorEastAsia" w:hAnsiTheme="majorEastAsia" w:eastAsiaTheme="majorEastAsia"/>
          <w:highlight w:val="none"/>
        </w:rPr>
        <w:t xml:space="preserve"> </w:t>
      </w:r>
    </w:p>
    <w:p w14:paraId="222CCBD4">
      <w:pPr>
        <w:spacing w:line="560" w:lineRule="exact"/>
        <w:ind w:firstLine="410" w:firstLineChars="171"/>
        <w:rPr>
          <w:rFonts w:asciiTheme="majorEastAsia" w:hAnsiTheme="majorEastAsia" w:eastAsiaTheme="majorEastAsia"/>
          <w:highlight w:val="none"/>
        </w:rPr>
      </w:pPr>
      <w:bookmarkStart w:id="441" w:name="_Ref531952273"/>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.5.1 </w:t>
      </w:r>
      <w:r>
        <w:rPr>
          <w:rFonts w:hint="eastAsia" w:asciiTheme="majorEastAsia" w:hAnsiTheme="majorEastAsia" w:eastAsiaTheme="majorEastAsia"/>
          <w:highlight w:val="none"/>
        </w:rPr>
        <w:t>一般约定</w:t>
      </w:r>
      <w:bookmarkEnd w:id="441"/>
    </w:p>
    <w:p w14:paraId="38D7B4D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14:paraId="5AF979AB">
      <w:pPr>
        <w:spacing w:line="560" w:lineRule="exact"/>
        <w:ind w:firstLine="410" w:firstLineChars="171"/>
        <w:rPr>
          <w:rFonts w:asciiTheme="majorEastAsia" w:hAnsiTheme="majorEastAsia" w:eastAsiaTheme="majorEastAsia"/>
          <w:highlight w:val="none"/>
        </w:rPr>
      </w:pPr>
      <w:bookmarkStart w:id="442" w:name="_Ref531952286"/>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.5.2 </w:t>
      </w:r>
      <w:r>
        <w:rPr>
          <w:rFonts w:hint="eastAsia" w:asciiTheme="majorEastAsia" w:hAnsiTheme="majorEastAsia" w:eastAsiaTheme="majorEastAsia"/>
          <w:highlight w:val="none"/>
        </w:rPr>
        <w:t>分包的确定</w:t>
      </w:r>
      <w:bookmarkEnd w:id="442"/>
    </w:p>
    <w:p w14:paraId="389D29E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承包人应按照专用合同条件约定对工作事项进行分包，确定分包人。</w:t>
      </w:r>
    </w:p>
    <w:p w14:paraId="2429D72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364CB32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.5.3 </w:t>
      </w:r>
      <w:r>
        <w:rPr>
          <w:rFonts w:hint="eastAsia" w:asciiTheme="majorEastAsia" w:hAnsiTheme="majorEastAsia" w:eastAsiaTheme="majorEastAsia"/>
          <w:highlight w:val="none"/>
        </w:rPr>
        <w:t>分包人资质</w:t>
      </w:r>
    </w:p>
    <w:p w14:paraId="42C9BBF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分包人应符合国家法律规定的资质等级，否则不能作为分包人。承包人有义务对分包人的资质进行审查。</w:t>
      </w:r>
    </w:p>
    <w:p w14:paraId="2ACA872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.5.4 </w:t>
      </w:r>
      <w:r>
        <w:rPr>
          <w:rFonts w:hint="eastAsia" w:asciiTheme="majorEastAsia" w:hAnsiTheme="majorEastAsia" w:eastAsiaTheme="majorEastAsia"/>
          <w:highlight w:val="none"/>
        </w:rPr>
        <w:t>分包管理</w:t>
      </w:r>
    </w:p>
    <w:p w14:paraId="7C1D11E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07D6A7C1">
      <w:pPr>
        <w:spacing w:line="560" w:lineRule="exact"/>
        <w:ind w:firstLine="410" w:firstLineChars="171"/>
        <w:rPr>
          <w:rFonts w:asciiTheme="majorEastAsia" w:hAnsiTheme="majorEastAsia" w:eastAsiaTheme="majorEastAsia"/>
          <w:highlight w:val="none"/>
        </w:rPr>
      </w:pPr>
      <w:bookmarkStart w:id="443" w:name="_Ref531952298"/>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.5.5 </w:t>
      </w:r>
      <w:r>
        <w:rPr>
          <w:rFonts w:hint="eastAsia" w:asciiTheme="majorEastAsia" w:hAnsiTheme="majorEastAsia" w:eastAsiaTheme="majorEastAsia"/>
          <w:highlight w:val="none"/>
        </w:rPr>
        <w:t>分包合同价款支付</w:t>
      </w:r>
      <w:bookmarkEnd w:id="443"/>
    </w:p>
    <w:p w14:paraId="3001224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（1）除本项第（2）目约定的情况或专用合同条件另有约定外，分包合同价款由承包人与分包人结算，未经承包人同意，发包人不得向分包人支付分包合同价款；</w:t>
      </w:r>
    </w:p>
    <w:p w14:paraId="6ABE3FE6">
      <w:pPr>
        <w:spacing w:line="560" w:lineRule="exact"/>
        <w:ind w:firstLine="410" w:firstLineChars="171"/>
        <w:rPr>
          <w:rFonts w:asciiTheme="majorEastAsia" w:hAnsiTheme="majorEastAsia" w:eastAsiaTheme="majorEastAsia"/>
          <w:highlight w:val="none"/>
        </w:rPr>
      </w:pPr>
      <w:bookmarkStart w:id="444" w:name="_Ref4613798"/>
      <w:r>
        <w:rPr>
          <w:rFonts w:hint="eastAsia" w:asciiTheme="majorEastAsia" w:hAnsiTheme="majorEastAsia" w:eastAsiaTheme="majorEastAsia"/>
          <w:highlight w:val="none"/>
        </w:rPr>
        <w:t>（2）生效法律文书要求发包人向分包人支付分包合同价款的，发包人有权从应付承包人工程款中扣除该部分款项</w:t>
      </w:r>
      <w:bookmarkEnd w:id="444"/>
      <w:r>
        <w:rPr>
          <w:rFonts w:hint="eastAsia" w:asciiTheme="majorEastAsia" w:hAnsiTheme="majorEastAsia" w:eastAsiaTheme="majorEastAsia"/>
          <w:highlight w:val="none"/>
        </w:rPr>
        <w:t>，将扣款直接支付给分包人，并书面通知承包人。</w:t>
      </w:r>
    </w:p>
    <w:p w14:paraId="0636F7D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.5.6 </w:t>
      </w:r>
      <w:r>
        <w:rPr>
          <w:rFonts w:hint="eastAsia" w:asciiTheme="majorEastAsia" w:hAnsiTheme="majorEastAsia" w:eastAsiaTheme="majorEastAsia"/>
          <w:highlight w:val="none"/>
        </w:rPr>
        <w:t>责任承担</w:t>
      </w:r>
    </w:p>
    <w:p w14:paraId="53DAD9B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承包人对分包人的行为向发包人负责，承包人和分包人就分包工作向发包人承担连带责任。</w:t>
      </w:r>
    </w:p>
    <w:p w14:paraId="70E55E5F">
      <w:pPr>
        <w:spacing w:line="560" w:lineRule="exact"/>
        <w:ind w:firstLine="410" w:firstLineChars="171"/>
        <w:rPr>
          <w:rFonts w:asciiTheme="majorEastAsia" w:hAnsiTheme="majorEastAsia" w:eastAsiaTheme="majorEastAsia"/>
          <w:highlight w:val="none"/>
        </w:rPr>
      </w:pPr>
      <w:bookmarkStart w:id="445" w:name="_Ref4426916"/>
      <w:bookmarkStart w:id="446" w:name="_Toc54862217"/>
      <w:bookmarkStart w:id="447" w:name="_Ref531952321"/>
      <w:bookmarkStart w:id="448" w:name="_Ref531952317"/>
      <w:bookmarkStart w:id="449" w:name="_Ref4768805"/>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.6 </w:t>
      </w:r>
      <w:r>
        <w:rPr>
          <w:rFonts w:hint="eastAsia" w:asciiTheme="majorEastAsia" w:hAnsiTheme="majorEastAsia" w:eastAsiaTheme="majorEastAsia"/>
          <w:highlight w:val="none"/>
        </w:rPr>
        <w:t>联合体</w:t>
      </w:r>
      <w:bookmarkEnd w:id="445"/>
      <w:bookmarkEnd w:id="446"/>
    </w:p>
    <w:p w14:paraId="7A7313E1">
      <w:pPr>
        <w:spacing w:line="560" w:lineRule="exact"/>
        <w:ind w:firstLine="410" w:firstLineChars="171"/>
        <w:rPr>
          <w:rFonts w:asciiTheme="majorEastAsia" w:hAnsiTheme="majorEastAsia" w:eastAsiaTheme="majorEastAsia"/>
          <w:highlight w:val="none"/>
        </w:rPr>
      </w:pPr>
      <w:bookmarkStart w:id="450" w:name="_Hlk16235129"/>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.6.1 </w:t>
      </w:r>
      <w:r>
        <w:rPr>
          <w:rFonts w:hint="eastAsia" w:asciiTheme="majorEastAsia" w:hAnsiTheme="majorEastAsia" w:eastAsiaTheme="majorEastAsia"/>
          <w:highlight w:val="none"/>
        </w:rPr>
        <w:t>经发包人同意，</w:t>
      </w:r>
      <w:bookmarkEnd w:id="450"/>
      <w:r>
        <w:rPr>
          <w:rFonts w:hint="eastAsia" w:asciiTheme="majorEastAsia" w:hAnsiTheme="majorEastAsia" w:eastAsiaTheme="majorEastAsia"/>
          <w:highlight w:val="none"/>
        </w:rPr>
        <w:t>以联合体方式承包工程的，联合体各方应共同与发包人订立合同协议书。联合体各方应为履行合同向发包人承担连带责任。</w:t>
      </w:r>
    </w:p>
    <w:p w14:paraId="6249064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.6.2 </w:t>
      </w:r>
      <w:r>
        <w:rPr>
          <w:rFonts w:hint="eastAsia" w:asciiTheme="majorEastAsia" w:hAnsiTheme="majorEastAsia" w:eastAsiaTheme="majorEastAsia"/>
          <w:highlight w:val="none"/>
        </w:rPr>
        <w:t>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0D5DA8C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.6.3 </w:t>
      </w:r>
      <w:r>
        <w:rPr>
          <w:rFonts w:hint="eastAsia" w:asciiTheme="majorEastAsia" w:hAnsiTheme="majorEastAsia" w:eastAsiaTheme="majorEastAsia"/>
          <w:highlight w:val="none"/>
        </w:rPr>
        <w:t>联合体协议经发包人确认后作为合同附件。在履行合同过程中，未经发包人同意，不得变更联合体成员和其负责的工作范围，或者修改联合体协议中与本合同履行相关的内容。</w:t>
      </w:r>
    </w:p>
    <w:p w14:paraId="5155E078">
      <w:pPr>
        <w:spacing w:line="560" w:lineRule="exact"/>
        <w:ind w:firstLine="410" w:firstLineChars="171"/>
        <w:rPr>
          <w:rFonts w:asciiTheme="majorEastAsia" w:hAnsiTheme="majorEastAsia" w:eastAsiaTheme="majorEastAsia"/>
          <w:highlight w:val="none"/>
        </w:rPr>
      </w:pPr>
      <w:bookmarkStart w:id="451" w:name="_Toc54862218"/>
      <w:bookmarkStart w:id="452" w:name="_Ref11926629"/>
      <w:bookmarkStart w:id="453" w:name="_Ref11926631"/>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.7 </w:t>
      </w:r>
      <w:r>
        <w:rPr>
          <w:rFonts w:hint="eastAsia" w:asciiTheme="majorEastAsia" w:hAnsiTheme="majorEastAsia" w:eastAsiaTheme="majorEastAsia"/>
          <w:highlight w:val="none"/>
        </w:rPr>
        <w:t>承包人现场查勘</w:t>
      </w:r>
      <w:bookmarkEnd w:id="451"/>
      <w:bookmarkEnd w:id="452"/>
      <w:bookmarkEnd w:id="453"/>
    </w:p>
    <w:p w14:paraId="4942392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.7.1 </w:t>
      </w:r>
      <w:r>
        <w:rPr>
          <w:rFonts w:hint="eastAsia" w:asciiTheme="majorEastAsia" w:hAnsiTheme="majorEastAsia" w:eastAsiaTheme="majorEastAsia"/>
          <w:highlight w:val="none"/>
        </w:rPr>
        <w:t>除专用合同条件另有约定外，承包人应对基于发包人提交的基础资料所做出的解释和推断负责，因基础资料存在错误、遗漏导致承包人解释或推断失实的，按照第</w:t>
      </w:r>
      <w:r>
        <w:rPr>
          <w:rFonts w:asciiTheme="majorEastAsia" w:hAnsiTheme="majorEastAsia" w:eastAsiaTheme="majorEastAsia"/>
          <w:highlight w:val="none"/>
        </w:rPr>
        <w:t>2.3</w:t>
      </w:r>
      <w:r>
        <w:rPr>
          <w:rFonts w:hint="eastAsia" w:asciiTheme="majorEastAsia" w:hAnsiTheme="majorEastAsia" w:eastAsiaTheme="majorEastAsia"/>
          <w:highlight w:val="none"/>
        </w:rPr>
        <w:t>项[</w:t>
      </w:r>
      <w:r>
        <w:rPr>
          <w:rFonts w:asciiTheme="majorEastAsia" w:hAnsiTheme="majorEastAsia" w:eastAsiaTheme="majorEastAsia"/>
          <w:highlight w:val="none"/>
        </w:rPr>
        <w:t>提供基础资料</w:t>
      </w:r>
      <w:r>
        <w:rPr>
          <w:rFonts w:hint="eastAsia" w:asciiTheme="majorEastAsia" w:hAnsiTheme="majorEastAsia" w:eastAsiaTheme="majorEastAsia"/>
          <w:highlight w:val="none"/>
        </w:rPr>
        <w:t>]的规定承担责任。承包人发现基础资料中存在明显错误或疏忽的，应及时书面通知发包人。</w:t>
      </w:r>
    </w:p>
    <w:p w14:paraId="0A0EDC9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.7.2 </w:t>
      </w:r>
      <w:r>
        <w:rPr>
          <w:rFonts w:hint="eastAsia" w:asciiTheme="majorEastAsia" w:hAnsiTheme="majorEastAsia" w:eastAsiaTheme="majorEastAsia"/>
          <w:highlight w:val="none"/>
        </w:rPr>
        <w:t>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w:t>
      </w:r>
      <w:r>
        <w:rPr>
          <w:rFonts w:asciiTheme="majorEastAsia" w:hAnsiTheme="majorEastAsia" w:eastAsiaTheme="majorEastAsia"/>
          <w:highlight w:val="none"/>
        </w:rPr>
        <w:t>4.8</w:t>
      </w:r>
      <w:r>
        <w:rPr>
          <w:rFonts w:hint="eastAsia" w:asciiTheme="majorEastAsia" w:hAnsiTheme="majorEastAsia" w:eastAsiaTheme="majorEastAsia"/>
          <w:highlight w:val="none"/>
        </w:rPr>
        <w:t>款</w:t>
      </w:r>
      <w:r>
        <w:rPr>
          <w:rFonts w:asciiTheme="majorEastAsia" w:hAnsiTheme="majorEastAsia" w:eastAsiaTheme="majorEastAsia"/>
          <w:highlight w:val="none"/>
        </w:rPr>
        <w:t>[</w:t>
      </w:r>
      <w:r>
        <w:rPr>
          <w:rFonts w:hint="eastAsia" w:asciiTheme="majorEastAsia" w:hAnsiTheme="majorEastAsia" w:eastAsiaTheme="majorEastAsia"/>
          <w:highlight w:val="none"/>
        </w:rPr>
        <w:t>不可预见的困难</w:t>
      </w:r>
      <w:r>
        <w:rPr>
          <w:rFonts w:asciiTheme="majorEastAsia" w:hAnsiTheme="majorEastAsia" w:eastAsiaTheme="majorEastAsia"/>
          <w:highlight w:val="none"/>
        </w:rPr>
        <w:t>]约定的情形除外</w:t>
      </w:r>
      <w:r>
        <w:rPr>
          <w:rFonts w:hint="eastAsia" w:asciiTheme="majorEastAsia" w:hAnsiTheme="majorEastAsia" w:eastAsiaTheme="majorEastAsia"/>
          <w:highlight w:val="none"/>
        </w:rPr>
        <w:t>。</w:t>
      </w:r>
    </w:p>
    <w:p w14:paraId="7F668948">
      <w:pPr>
        <w:spacing w:line="560" w:lineRule="exact"/>
        <w:ind w:firstLine="410" w:firstLineChars="171"/>
        <w:rPr>
          <w:rFonts w:asciiTheme="majorEastAsia" w:hAnsiTheme="majorEastAsia" w:eastAsiaTheme="majorEastAsia"/>
          <w:highlight w:val="none"/>
        </w:rPr>
      </w:pPr>
      <w:bookmarkStart w:id="454" w:name="不可预见的困难"/>
      <w:bookmarkStart w:id="455" w:name="_Ref11918693"/>
      <w:bookmarkStart w:id="456" w:name="_Toc54862219"/>
      <w:bookmarkStart w:id="457" w:name="_Ref11918626"/>
      <w:bookmarkStart w:id="458" w:name="_Ref11918789"/>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.8 </w:t>
      </w:r>
      <w:r>
        <w:rPr>
          <w:rFonts w:hint="eastAsia" w:asciiTheme="majorEastAsia" w:hAnsiTheme="majorEastAsia" w:eastAsiaTheme="majorEastAsia"/>
          <w:highlight w:val="none"/>
        </w:rPr>
        <w:t>不可预见的困难</w:t>
      </w:r>
      <w:bookmarkEnd w:id="447"/>
      <w:bookmarkEnd w:id="448"/>
      <w:bookmarkEnd w:id="449"/>
      <w:bookmarkEnd w:id="454"/>
      <w:bookmarkEnd w:id="455"/>
      <w:bookmarkEnd w:id="456"/>
      <w:bookmarkEnd w:id="457"/>
      <w:bookmarkEnd w:id="458"/>
      <w:r>
        <w:rPr>
          <w:rFonts w:asciiTheme="majorEastAsia" w:hAnsiTheme="majorEastAsia" w:eastAsiaTheme="majorEastAsia"/>
          <w:highlight w:val="none"/>
        </w:rPr>
        <w:t xml:space="preserve"> </w:t>
      </w:r>
    </w:p>
    <w:p w14:paraId="3F3B0FF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1A813AA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w:t>
      </w:r>
      <w:r>
        <w:rPr>
          <w:rFonts w:asciiTheme="majorEastAsia" w:hAnsiTheme="majorEastAsia" w:eastAsiaTheme="majorEastAsia"/>
          <w:highlight w:val="none"/>
        </w:rPr>
        <w:t>13条</w:t>
      </w:r>
      <w:r>
        <w:rPr>
          <w:rFonts w:hint="eastAsia" w:asciiTheme="majorEastAsia" w:hAnsiTheme="majorEastAsia" w:eastAsiaTheme="majorEastAsia"/>
          <w:highlight w:val="none"/>
        </w:rPr>
        <w:t>[变更与调整]约定执行。承包人因采取合理措施而增加的费用和（或）延误的工期由发包人承担。</w:t>
      </w:r>
    </w:p>
    <w:p w14:paraId="1F2A43F7">
      <w:pPr>
        <w:spacing w:line="560" w:lineRule="exact"/>
        <w:ind w:firstLine="410" w:firstLineChars="171"/>
        <w:rPr>
          <w:rFonts w:asciiTheme="majorEastAsia" w:hAnsiTheme="majorEastAsia" w:eastAsiaTheme="majorEastAsia"/>
          <w:highlight w:val="none"/>
        </w:rPr>
      </w:pPr>
      <w:bookmarkStart w:id="459" w:name="_Ref11926570"/>
      <w:bookmarkStart w:id="460" w:name="_Toc54862220"/>
      <w:bookmarkStart w:id="461" w:name="_Ref11926566"/>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.9 </w:t>
      </w:r>
      <w:r>
        <w:rPr>
          <w:rFonts w:hint="eastAsia" w:asciiTheme="majorEastAsia" w:hAnsiTheme="majorEastAsia" w:eastAsiaTheme="majorEastAsia"/>
          <w:highlight w:val="none"/>
        </w:rPr>
        <w:t>工程质量管理</w:t>
      </w:r>
      <w:bookmarkEnd w:id="459"/>
      <w:bookmarkEnd w:id="460"/>
      <w:bookmarkEnd w:id="461"/>
    </w:p>
    <w:p w14:paraId="4865AB2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.9.1 </w:t>
      </w:r>
      <w:r>
        <w:rPr>
          <w:rFonts w:hint="eastAsia" w:asciiTheme="majorEastAsia" w:hAnsiTheme="majorEastAsia" w:eastAsiaTheme="majorEastAsia"/>
          <w:highlight w:val="none"/>
        </w:rPr>
        <w:t>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4B20655A">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 xml:space="preserve">4.9.2 </w:t>
      </w:r>
      <w:r>
        <w:rPr>
          <w:rFonts w:hint="eastAsia" w:asciiTheme="majorEastAsia" w:hAnsiTheme="majorEastAsia" w:eastAsiaTheme="majorEastAsia"/>
          <w:highlight w:val="none"/>
        </w:rPr>
        <w:t>承包人按照第</w:t>
      </w:r>
      <w:r>
        <w:rPr>
          <w:rFonts w:asciiTheme="majorEastAsia" w:hAnsiTheme="majorEastAsia" w:eastAsiaTheme="majorEastAsia"/>
          <w:highlight w:val="none"/>
        </w:rPr>
        <w:t>8.4</w:t>
      </w:r>
      <w:r>
        <w:rPr>
          <w:rFonts w:hint="eastAsia" w:asciiTheme="majorEastAsia" w:hAnsiTheme="majorEastAsia" w:eastAsiaTheme="majorEastAsia"/>
          <w:highlight w:val="none"/>
        </w:rPr>
        <w:t>款[项目进度计划]约定向工程师提交工程质量保证体系及措施文件，建立完善的质量检查制度，并提交相应的工程质量文件。对于发包人和工程师违反法律规定和合同约定的错误指示，承包人有权拒绝实施。</w:t>
      </w:r>
    </w:p>
    <w:p w14:paraId="6ACF9FE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.9.3 </w:t>
      </w:r>
      <w:r>
        <w:rPr>
          <w:rFonts w:hint="eastAsia" w:asciiTheme="majorEastAsia" w:hAnsiTheme="majorEastAsia" w:eastAsiaTheme="majorEastAsia"/>
          <w:highlight w:val="none"/>
        </w:rPr>
        <w:t>承包人应对其人员进行质量教育和技术培训，定期考核人员的劳动技能，严格执行相关规范和操作规程。</w:t>
      </w:r>
    </w:p>
    <w:p w14:paraId="5516394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w:t>
      </w:r>
      <w:r>
        <w:rPr>
          <w:rFonts w:asciiTheme="majorEastAsia" w:hAnsiTheme="majorEastAsia" w:eastAsiaTheme="majorEastAsia"/>
          <w:highlight w:val="none"/>
        </w:rPr>
        <w:t xml:space="preserve">.9.4 </w:t>
      </w:r>
      <w:r>
        <w:rPr>
          <w:rFonts w:hint="eastAsia" w:asciiTheme="majorEastAsia" w:hAnsiTheme="majorEastAsia" w:eastAsiaTheme="majorEastAsia"/>
          <w:highlight w:val="none"/>
        </w:rPr>
        <w:t>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14:paraId="44078123">
      <w:pPr>
        <w:spacing w:line="560" w:lineRule="exact"/>
        <w:rPr>
          <w:rFonts w:asciiTheme="majorEastAsia" w:hAnsiTheme="majorEastAsia" w:eastAsiaTheme="majorEastAsia"/>
          <w:b/>
          <w:highlight w:val="none"/>
        </w:rPr>
      </w:pPr>
      <w:bookmarkStart w:id="462" w:name="_Ref531952837"/>
      <w:bookmarkStart w:id="463" w:name="_Toc54862221"/>
      <w:r>
        <w:rPr>
          <w:rFonts w:hint="eastAsia" w:asciiTheme="majorEastAsia" w:hAnsiTheme="majorEastAsia" w:eastAsiaTheme="majorEastAsia"/>
          <w:b/>
          <w:highlight w:val="none"/>
        </w:rPr>
        <w:t>第5条  设计</w:t>
      </w:r>
      <w:bookmarkEnd w:id="462"/>
      <w:bookmarkEnd w:id="463"/>
    </w:p>
    <w:p w14:paraId="5F804604">
      <w:pPr>
        <w:spacing w:line="560" w:lineRule="exact"/>
        <w:ind w:firstLine="410" w:firstLineChars="171"/>
        <w:rPr>
          <w:rFonts w:asciiTheme="majorEastAsia" w:hAnsiTheme="majorEastAsia" w:eastAsiaTheme="majorEastAsia"/>
          <w:highlight w:val="none"/>
        </w:rPr>
      </w:pPr>
      <w:bookmarkStart w:id="464" w:name="_Ref531952860"/>
      <w:bookmarkStart w:id="465" w:name="_Toc54862222"/>
      <w:bookmarkStart w:id="466" w:name="_Ref531952863"/>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.1 </w:t>
      </w:r>
      <w:r>
        <w:rPr>
          <w:rFonts w:hint="eastAsia" w:asciiTheme="majorEastAsia" w:hAnsiTheme="majorEastAsia" w:eastAsiaTheme="majorEastAsia"/>
          <w:highlight w:val="none"/>
        </w:rPr>
        <w:t>承包人的设计义务</w:t>
      </w:r>
      <w:bookmarkEnd w:id="464"/>
      <w:bookmarkEnd w:id="465"/>
      <w:bookmarkEnd w:id="466"/>
      <w:r>
        <w:rPr>
          <w:rFonts w:hint="eastAsia" w:asciiTheme="majorEastAsia" w:hAnsiTheme="majorEastAsia" w:eastAsiaTheme="majorEastAsia"/>
          <w:highlight w:val="none"/>
        </w:rPr>
        <w:t xml:space="preserve"> </w:t>
      </w:r>
    </w:p>
    <w:p w14:paraId="3C208B39">
      <w:pPr>
        <w:spacing w:line="560" w:lineRule="exact"/>
        <w:ind w:firstLine="410" w:firstLineChars="171"/>
        <w:rPr>
          <w:rFonts w:asciiTheme="majorEastAsia" w:hAnsiTheme="majorEastAsia" w:eastAsiaTheme="majorEastAsia"/>
          <w:highlight w:val="none"/>
        </w:rPr>
      </w:pPr>
      <w:bookmarkStart w:id="467" w:name="_Ref531952881"/>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.1.1 </w:t>
      </w:r>
      <w:r>
        <w:rPr>
          <w:rFonts w:hint="eastAsia" w:asciiTheme="majorEastAsia" w:hAnsiTheme="majorEastAsia" w:eastAsiaTheme="majorEastAsia"/>
          <w:highlight w:val="none"/>
        </w:rPr>
        <w:t>设计义务的一般要求</w:t>
      </w:r>
      <w:bookmarkEnd w:id="467"/>
    </w:p>
    <w:p w14:paraId="017B430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21AAFD68">
      <w:pPr>
        <w:spacing w:line="560" w:lineRule="exact"/>
        <w:ind w:firstLine="410" w:firstLineChars="171"/>
        <w:rPr>
          <w:rFonts w:asciiTheme="majorEastAsia" w:hAnsiTheme="majorEastAsia" w:eastAsiaTheme="majorEastAsia"/>
          <w:highlight w:val="none"/>
        </w:rPr>
      </w:pPr>
      <w:bookmarkStart w:id="468" w:name="_Ref531952952"/>
      <w:bookmarkStart w:id="469" w:name="_Ref531952899"/>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.1.2 </w:t>
      </w:r>
      <w:r>
        <w:rPr>
          <w:rFonts w:hint="eastAsia" w:asciiTheme="majorEastAsia" w:hAnsiTheme="majorEastAsia" w:eastAsiaTheme="majorEastAsia"/>
          <w:highlight w:val="none"/>
        </w:rPr>
        <w:t>对设计人员的要求</w:t>
      </w:r>
      <w:bookmarkEnd w:id="468"/>
    </w:p>
    <w:p w14:paraId="222E22D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p>
    <w:bookmarkEnd w:id="469"/>
    <w:p w14:paraId="209EFB6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.1.3 </w:t>
      </w:r>
      <w:r>
        <w:rPr>
          <w:rFonts w:hint="eastAsia" w:asciiTheme="majorEastAsia" w:hAnsiTheme="majorEastAsia" w:eastAsiaTheme="majorEastAsia"/>
          <w:highlight w:val="none"/>
        </w:rPr>
        <w:t>法律和标准的变化</w:t>
      </w:r>
    </w:p>
    <w:p w14:paraId="1AD3A9B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w:t>
      </w:r>
      <w:r>
        <w:rPr>
          <w:rFonts w:asciiTheme="majorEastAsia" w:hAnsiTheme="majorEastAsia" w:eastAsiaTheme="majorEastAsia"/>
          <w:highlight w:val="none"/>
        </w:rPr>
        <w:t>13.2</w:t>
      </w:r>
      <w:r>
        <w:rPr>
          <w:rFonts w:hint="eastAsia" w:asciiTheme="majorEastAsia" w:hAnsiTheme="majorEastAsia" w:eastAsiaTheme="majorEastAsia"/>
          <w:highlight w:val="none"/>
        </w:rPr>
        <w:t>款[承包人的合理化建议]的约定执行。</w:t>
      </w:r>
    </w:p>
    <w:p w14:paraId="62C8B37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在基准日期之后，因国家颁布新的强制性规范、标准导致承包人的费用变化的，发包人应合理调整合同价格；导致工期延误的，发包人应合理延长工期。</w:t>
      </w:r>
    </w:p>
    <w:p w14:paraId="7315513C">
      <w:pPr>
        <w:spacing w:line="560" w:lineRule="exact"/>
        <w:ind w:firstLine="410" w:firstLineChars="171"/>
        <w:rPr>
          <w:rFonts w:asciiTheme="majorEastAsia" w:hAnsiTheme="majorEastAsia" w:eastAsiaTheme="majorEastAsia"/>
          <w:highlight w:val="none"/>
        </w:rPr>
      </w:pPr>
      <w:bookmarkStart w:id="470" w:name="_Ref531953051"/>
      <w:bookmarkStart w:id="471" w:name="_Toc54862223"/>
      <w:bookmarkStart w:id="472" w:name="_Ref531953054"/>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.2 </w:t>
      </w:r>
      <w:r>
        <w:rPr>
          <w:rFonts w:hint="eastAsia" w:asciiTheme="majorEastAsia" w:hAnsiTheme="majorEastAsia" w:eastAsiaTheme="majorEastAsia"/>
          <w:highlight w:val="none"/>
        </w:rPr>
        <w:t>承包人文件审查</w:t>
      </w:r>
      <w:bookmarkEnd w:id="470"/>
      <w:bookmarkEnd w:id="471"/>
      <w:bookmarkEnd w:id="472"/>
      <w:r>
        <w:rPr>
          <w:rFonts w:hint="eastAsia" w:asciiTheme="majorEastAsia" w:hAnsiTheme="majorEastAsia" w:eastAsiaTheme="majorEastAsia"/>
          <w:highlight w:val="none"/>
        </w:rPr>
        <w:t xml:space="preserve"> </w:t>
      </w:r>
    </w:p>
    <w:p w14:paraId="7DEACC90">
      <w:pPr>
        <w:spacing w:line="560" w:lineRule="exact"/>
        <w:ind w:firstLine="410" w:firstLineChars="171"/>
        <w:rPr>
          <w:rFonts w:asciiTheme="majorEastAsia" w:hAnsiTheme="majorEastAsia" w:eastAsiaTheme="majorEastAsia"/>
          <w:highlight w:val="none"/>
        </w:rPr>
      </w:pPr>
      <w:bookmarkStart w:id="473" w:name="_Ref531953064"/>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.2.1 </w:t>
      </w:r>
      <w:r>
        <w:rPr>
          <w:rFonts w:hint="eastAsia" w:asciiTheme="majorEastAsia" w:hAnsiTheme="majorEastAsia" w:eastAsiaTheme="majorEastAsia"/>
          <w:highlight w:val="none"/>
        </w:rPr>
        <w:t>根据《发包人要求》应当通过工程师报发包人审查同意的承包人文件，承包人应当按照《发包人要求》约定的范围和内容及时报送审查。</w:t>
      </w:r>
      <w:bookmarkEnd w:id="473"/>
    </w:p>
    <w:p w14:paraId="68F4F2A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2CFA5E9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发包人同意承包人文件的，应及时通知承包人，发包人不同意承包人文件的，应在审查期限内通过工程师以书面形式通知承包人，并说明不同意的具体内容和理由。</w:t>
      </w:r>
    </w:p>
    <w:p w14:paraId="2D54722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承包人对发包人的意见按以下方式处理：</w:t>
      </w:r>
    </w:p>
    <w:p w14:paraId="5DBD7FD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 发包人的意见构成变更的，承包人应在7天内通知发包人按照第1</w:t>
      </w:r>
      <w:r>
        <w:rPr>
          <w:rFonts w:asciiTheme="majorEastAsia" w:hAnsiTheme="majorEastAsia" w:eastAsiaTheme="majorEastAsia"/>
          <w:highlight w:val="none"/>
        </w:rPr>
        <w:t>3</w:t>
      </w:r>
      <w:r>
        <w:rPr>
          <w:rFonts w:hint="eastAsia" w:asciiTheme="majorEastAsia" w:hAnsiTheme="majorEastAsia" w:eastAsiaTheme="majorEastAsia"/>
          <w:highlight w:val="none"/>
        </w:rPr>
        <w:t>条</w:t>
      </w:r>
      <w:r>
        <w:rPr>
          <w:rFonts w:asciiTheme="majorEastAsia" w:hAnsiTheme="majorEastAsia" w:eastAsiaTheme="majorEastAsia"/>
          <w:highlight w:val="none"/>
        </w:rPr>
        <w:t>[</w:t>
      </w:r>
      <w:r>
        <w:rPr>
          <w:rFonts w:hint="eastAsia" w:asciiTheme="majorEastAsia" w:hAnsiTheme="majorEastAsia" w:eastAsiaTheme="majorEastAsia"/>
          <w:highlight w:val="none"/>
        </w:rPr>
        <w:t>变更与调整</w:t>
      </w:r>
      <w:r>
        <w:rPr>
          <w:rFonts w:asciiTheme="majorEastAsia" w:hAnsiTheme="majorEastAsia" w:eastAsiaTheme="majorEastAsia"/>
          <w:highlight w:val="none"/>
        </w:rPr>
        <w:t>]</w:t>
      </w:r>
      <w:r>
        <w:rPr>
          <w:rFonts w:hint="eastAsia" w:asciiTheme="majorEastAsia" w:hAnsiTheme="majorEastAsia" w:eastAsiaTheme="majorEastAsia"/>
          <w:highlight w:val="none"/>
        </w:rPr>
        <w:t>中关于发包人指示变更的约定执行，双方对是否构成变更无法达成一致的，按照第</w:t>
      </w:r>
      <w:r>
        <w:rPr>
          <w:rFonts w:asciiTheme="majorEastAsia" w:hAnsiTheme="majorEastAsia" w:eastAsiaTheme="majorEastAsia"/>
          <w:highlight w:val="none"/>
        </w:rPr>
        <w:t>20条[</w:t>
      </w:r>
      <w:r>
        <w:rPr>
          <w:rFonts w:hint="eastAsia" w:asciiTheme="majorEastAsia" w:hAnsiTheme="majorEastAsia" w:eastAsiaTheme="majorEastAsia"/>
          <w:highlight w:val="none"/>
        </w:rPr>
        <w:t>争议解决</w:t>
      </w:r>
      <w:r>
        <w:rPr>
          <w:rFonts w:asciiTheme="majorEastAsia" w:hAnsiTheme="majorEastAsia" w:eastAsiaTheme="majorEastAsia"/>
          <w:highlight w:val="none"/>
        </w:rPr>
        <w:t>]</w:t>
      </w:r>
      <w:r>
        <w:rPr>
          <w:rFonts w:hint="eastAsia" w:asciiTheme="majorEastAsia" w:hAnsiTheme="majorEastAsia" w:eastAsiaTheme="majorEastAsia"/>
          <w:highlight w:val="none"/>
        </w:rPr>
        <w:t>的约定执行；</w:t>
      </w:r>
    </w:p>
    <w:p w14:paraId="71A99DD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 因承包人原因导致无法通过审查的，承包人应根据发包人的书面说明，对承包人文件进行修改后重新报送发包人审查，审查期重新起算。因此引起的工期延长和必要的工程费用增加，由承包人负责。</w:t>
      </w:r>
    </w:p>
    <w:p w14:paraId="7407FF2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合同约定的审查期满，发包人没有做出审查结论也没有提出异议的，视为承包人文件已获发包人同意。</w:t>
      </w:r>
    </w:p>
    <w:p w14:paraId="0455E13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发包人对承包人文件的审查和同意不得被理解为对合同的修改或改变，也并不减轻或免除承包人任何的责任和义务。</w:t>
      </w:r>
    </w:p>
    <w:p w14:paraId="1FE1E5F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.2.2 </w:t>
      </w:r>
      <w:r>
        <w:rPr>
          <w:rFonts w:hint="eastAsia" w:asciiTheme="majorEastAsia" w:hAnsiTheme="majorEastAsia" w:eastAsiaTheme="majorEastAsia"/>
          <w:highlight w:val="none"/>
        </w:rPr>
        <w:t>承包人文件不需要政府有关部门或专用合同条件约定的第三方审查单位审查或批准的，承包人应当严格按照经发包人审查同意的承包人文件设计和实施工程。</w:t>
      </w:r>
    </w:p>
    <w:p w14:paraId="5FCEE24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7B00DB9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发包人有义务向承包人提供审查会议的批准文件和纪要。承包人有义务按照相关审查会议批准的文件和纪要，并依据合同约定及相关技术标准，对承包人文件进行修改、补充和完善。</w:t>
      </w:r>
    </w:p>
    <w:p w14:paraId="6EA43026">
      <w:pPr>
        <w:spacing w:line="560" w:lineRule="exact"/>
        <w:ind w:firstLine="410" w:firstLineChars="171"/>
        <w:rPr>
          <w:rFonts w:asciiTheme="majorEastAsia" w:hAnsiTheme="majorEastAsia" w:eastAsiaTheme="majorEastAsia"/>
          <w:highlight w:val="none"/>
        </w:rPr>
      </w:pPr>
      <w:bookmarkStart w:id="474" w:name="_Ref531953074"/>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.2.3 </w:t>
      </w:r>
      <w:r>
        <w:rPr>
          <w:rFonts w:hint="eastAsia" w:asciiTheme="majorEastAsia" w:hAnsiTheme="majorEastAsia" w:eastAsiaTheme="majorEastAsia"/>
          <w:highlight w:val="none"/>
        </w:rPr>
        <w:t>承包人文件需政府有关部门或专用合同条件约定的第三方审查单位审查或批准的，发包人应在发包人审查同意承包人文件后7天内，向政府有关部门或第三方报送承包人文件，承包人应予以协助。</w:t>
      </w:r>
      <w:bookmarkEnd w:id="474"/>
    </w:p>
    <w:p w14:paraId="0ACB17F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对于政府有关部门或第三方审查单位的审查意见，不需要修改《发包人要求》的，承包人需按该审查意见修改承包人的设计文件；需要修改《发包人要求》的，承包人应按第</w:t>
      </w:r>
      <w:r>
        <w:rPr>
          <w:rFonts w:asciiTheme="majorEastAsia" w:hAnsiTheme="majorEastAsia" w:eastAsiaTheme="majorEastAsia"/>
          <w:highlight w:val="none"/>
        </w:rPr>
        <w:t>13.2</w:t>
      </w:r>
      <w:r>
        <w:rPr>
          <w:rFonts w:hint="eastAsia" w:asciiTheme="majorEastAsia" w:hAnsiTheme="majorEastAsia" w:eastAsiaTheme="majorEastAsia"/>
          <w:highlight w:val="none"/>
        </w:rPr>
        <w:t>款[承包人的合理化建议]的约定执行。上述情形还应适用第</w:t>
      </w:r>
      <w:r>
        <w:rPr>
          <w:rFonts w:asciiTheme="majorEastAsia" w:hAnsiTheme="majorEastAsia" w:eastAsiaTheme="majorEastAsia"/>
          <w:highlight w:val="none"/>
        </w:rPr>
        <w:t>5.1</w:t>
      </w:r>
      <w:r>
        <w:rPr>
          <w:rFonts w:hint="eastAsia" w:asciiTheme="majorEastAsia" w:hAnsiTheme="majorEastAsia" w:eastAsiaTheme="majorEastAsia"/>
          <w:highlight w:val="none"/>
        </w:rPr>
        <w:t>款[承包人的设计义务]和第</w:t>
      </w:r>
      <w:r>
        <w:rPr>
          <w:rFonts w:asciiTheme="majorEastAsia" w:hAnsiTheme="majorEastAsia" w:eastAsiaTheme="majorEastAsia"/>
          <w:highlight w:val="none"/>
        </w:rPr>
        <w:t>13条</w:t>
      </w:r>
      <w:r>
        <w:rPr>
          <w:rFonts w:hint="eastAsia" w:asciiTheme="majorEastAsia" w:hAnsiTheme="majorEastAsia" w:eastAsiaTheme="majorEastAsia"/>
          <w:highlight w:val="none"/>
        </w:rPr>
        <w:t>[变更与调整]的有关约定。</w:t>
      </w:r>
    </w:p>
    <w:p w14:paraId="7B015E8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0CFA62F3">
      <w:pPr>
        <w:spacing w:line="560" w:lineRule="exact"/>
        <w:ind w:firstLine="410" w:firstLineChars="171"/>
        <w:rPr>
          <w:rFonts w:asciiTheme="majorEastAsia" w:hAnsiTheme="majorEastAsia" w:eastAsiaTheme="majorEastAsia"/>
          <w:highlight w:val="none"/>
        </w:rPr>
      </w:pPr>
      <w:bookmarkStart w:id="475" w:name="_Ref531953095"/>
      <w:bookmarkStart w:id="476" w:name="_Ref531953097"/>
      <w:bookmarkStart w:id="477" w:name="_Toc54862224"/>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.3 </w:t>
      </w:r>
      <w:r>
        <w:rPr>
          <w:rFonts w:hint="eastAsia" w:asciiTheme="majorEastAsia" w:hAnsiTheme="majorEastAsia" w:eastAsiaTheme="majorEastAsia"/>
          <w:highlight w:val="none"/>
        </w:rPr>
        <w:t>培训</w:t>
      </w:r>
      <w:bookmarkEnd w:id="475"/>
      <w:bookmarkEnd w:id="476"/>
      <w:bookmarkEnd w:id="477"/>
    </w:p>
    <w:p w14:paraId="32EACFC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承包人应按照《发包人要求》，对发包人的雇员或其它发包人指定的人员进行工程操作、维修或其它合同中约定的培训。合同约定接收之前进行培训的，应在第</w:t>
      </w:r>
      <w:r>
        <w:rPr>
          <w:rFonts w:asciiTheme="majorEastAsia" w:hAnsiTheme="majorEastAsia" w:eastAsiaTheme="majorEastAsia"/>
          <w:highlight w:val="none"/>
        </w:rPr>
        <w:t>10.1</w:t>
      </w:r>
      <w:r>
        <w:rPr>
          <w:rFonts w:hint="eastAsia" w:asciiTheme="majorEastAsia" w:hAnsiTheme="majorEastAsia" w:eastAsiaTheme="majorEastAsia"/>
          <w:highlight w:val="none"/>
        </w:rPr>
        <w:t>款[</w:t>
      </w:r>
      <w:r>
        <w:rPr>
          <w:rFonts w:asciiTheme="majorEastAsia" w:hAnsiTheme="majorEastAsia" w:eastAsiaTheme="majorEastAsia"/>
          <w:highlight w:val="none"/>
        </w:rPr>
        <w:t>竣工验收</w:t>
      </w:r>
      <w:r>
        <w:rPr>
          <w:rFonts w:hint="eastAsia" w:asciiTheme="majorEastAsia" w:hAnsiTheme="majorEastAsia" w:eastAsiaTheme="majorEastAsia"/>
          <w:highlight w:val="none"/>
        </w:rPr>
        <w:t>]约定的竣工验收前或试运行结束前完成培训。</w:t>
      </w:r>
    </w:p>
    <w:p w14:paraId="174001A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培训的时长应由双方在专用合同条件中约定，承包人应为培训提供有经验的人员、设施和其它必要条件。</w:t>
      </w:r>
    </w:p>
    <w:p w14:paraId="3B9C2635">
      <w:pPr>
        <w:spacing w:line="560" w:lineRule="exact"/>
        <w:ind w:firstLine="410" w:firstLineChars="171"/>
        <w:rPr>
          <w:rFonts w:asciiTheme="majorEastAsia" w:hAnsiTheme="majorEastAsia" w:eastAsiaTheme="majorEastAsia"/>
          <w:highlight w:val="none"/>
        </w:rPr>
      </w:pPr>
      <w:bookmarkStart w:id="478" w:name="_Toc54862225"/>
      <w:bookmarkStart w:id="479" w:name="_Ref531953105"/>
      <w:bookmarkStart w:id="480" w:name="_Ref531953108"/>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.4 </w:t>
      </w:r>
      <w:r>
        <w:rPr>
          <w:rFonts w:hint="eastAsia" w:asciiTheme="majorEastAsia" w:hAnsiTheme="majorEastAsia" w:eastAsiaTheme="majorEastAsia"/>
          <w:highlight w:val="none"/>
        </w:rPr>
        <w:t>竣工文件</w:t>
      </w:r>
      <w:bookmarkEnd w:id="478"/>
      <w:bookmarkEnd w:id="479"/>
      <w:bookmarkEnd w:id="480"/>
    </w:p>
    <w:p w14:paraId="06B9A348">
      <w:pPr>
        <w:spacing w:line="560" w:lineRule="exact"/>
        <w:ind w:firstLine="410" w:firstLineChars="171"/>
        <w:rPr>
          <w:rFonts w:asciiTheme="majorEastAsia" w:hAnsiTheme="majorEastAsia" w:eastAsiaTheme="majorEastAsia"/>
          <w:highlight w:val="none"/>
        </w:rPr>
      </w:pPr>
      <w:bookmarkStart w:id="481" w:name="_Ref531953134"/>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.4.1 </w:t>
      </w:r>
      <w:r>
        <w:rPr>
          <w:rFonts w:hint="eastAsia" w:asciiTheme="majorEastAsia" w:hAnsiTheme="majorEastAsia" w:eastAsiaTheme="majorEastAsia"/>
          <w:highlight w:val="none"/>
        </w:rPr>
        <w:t>承包人应编制并及时更新反映工程实施结果的竣工记录，如实记载竣工工程的确切位置、尺寸和已实施工作的详细说明。竣工文件的形式、技术标准以及其它相关内容应按照相关法律法规、行业标准与《发包人要求》执行。竣工记录应保存在施工现场，并在竣工试验开始前，按照专用合同条件约定的份数提交给工程师。</w:t>
      </w:r>
      <w:bookmarkEnd w:id="481"/>
    </w:p>
    <w:p w14:paraId="0CA593D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.4.2 </w:t>
      </w:r>
      <w:r>
        <w:rPr>
          <w:rFonts w:hint="eastAsia" w:asciiTheme="majorEastAsia" w:hAnsiTheme="majorEastAsia" w:eastAsiaTheme="majorEastAsia"/>
          <w:highlight w:val="none"/>
        </w:rPr>
        <w:t>在颁发工程接收证书之前，承包人应按照《发包人要求》的份数和形式向工程师提交相应竣工图纸，并取得工程师对尺寸、参照系统及其他有关细节的认可。工程师应按照第</w:t>
      </w:r>
      <w:r>
        <w:rPr>
          <w:rFonts w:asciiTheme="majorEastAsia" w:hAnsiTheme="majorEastAsia" w:eastAsiaTheme="majorEastAsia"/>
          <w:highlight w:val="none"/>
        </w:rPr>
        <w:t>5.2</w:t>
      </w:r>
      <w:r>
        <w:rPr>
          <w:rFonts w:hint="eastAsia" w:asciiTheme="majorEastAsia" w:hAnsiTheme="majorEastAsia" w:eastAsiaTheme="majorEastAsia"/>
          <w:highlight w:val="none"/>
        </w:rPr>
        <w:t>款[</w:t>
      </w:r>
      <w:r>
        <w:rPr>
          <w:rFonts w:asciiTheme="majorEastAsia" w:hAnsiTheme="majorEastAsia" w:eastAsiaTheme="majorEastAsia"/>
          <w:highlight w:val="none"/>
        </w:rPr>
        <w:t>承包人文件审查</w:t>
      </w:r>
      <w:r>
        <w:rPr>
          <w:rFonts w:hint="eastAsia" w:asciiTheme="majorEastAsia" w:hAnsiTheme="majorEastAsia" w:eastAsiaTheme="majorEastAsia"/>
          <w:highlight w:val="none"/>
        </w:rPr>
        <w:t>]的约定进行审查。</w:t>
      </w:r>
    </w:p>
    <w:p w14:paraId="5B3E749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.4.3 </w:t>
      </w:r>
      <w:r>
        <w:rPr>
          <w:rFonts w:hint="eastAsia" w:asciiTheme="majorEastAsia" w:hAnsiTheme="majorEastAsia" w:eastAsiaTheme="majorEastAsia"/>
          <w:highlight w:val="none"/>
        </w:rPr>
        <w:t>除专用合同条件另有约定外，在工程师收到本款下的文件前，不应认为工程已根据第</w:t>
      </w:r>
      <w:r>
        <w:rPr>
          <w:rFonts w:asciiTheme="majorEastAsia" w:hAnsiTheme="majorEastAsia" w:eastAsiaTheme="majorEastAsia"/>
          <w:highlight w:val="none"/>
        </w:rPr>
        <w:t>10.1</w:t>
      </w:r>
      <w:r>
        <w:rPr>
          <w:rFonts w:hint="eastAsia" w:asciiTheme="majorEastAsia" w:hAnsiTheme="majorEastAsia" w:eastAsiaTheme="majorEastAsia"/>
          <w:highlight w:val="none"/>
        </w:rPr>
        <w:t>款[竣工验收]和第</w:t>
      </w:r>
      <w:r>
        <w:rPr>
          <w:rFonts w:asciiTheme="majorEastAsia" w:hAnsiTheme="majorEastAsia" w:eastAsiaTheme="majorEastAsia"/>
          <w:highlight w:val="none"/>
        </w:rPr>
        <w:t>10.2</w:t>
      </w:r>
      <w:r>
        <w:rPr>
          <w:rFonts w:hint="eastAsia" w:asciiTheme="majorEastAsia" w:hAnsiTheme="majorEastAsia" w:eastAsiaTheme="majorEastAsia"/>
          <w:highlight w:val="none"/>
        </w:rPr>
        <w:t>款[</w:t>
      </w:r>
      <w:r>
        <w:rPr>
          <w:rFonts w:asciiTheme="majorEastAsia" w:hAnsiTheme="majorEastAsia" w:eastAsiaTheme="majorEastAsia"/>
          <w:highlight w:val="none"/>
        </w:rPr>
        <w:t>单位/区段工程的验收</w:t>
      </w:r>
      <w:r>
        <w:rPr>
          <w:rFonts w:hint="eastAsia" w:asciiTheme="majorEastAsia" w:hAnsiTheme="majorEastAsia" w:eastAsiaTheme="majorEastAsia"/>
          <w:highlight w:val="none"/>
        </w:rPr>
        <w:t>]的约定完成验收。</w:t>
      </w:r>
    </w:p>
    <w:p w14:paraId="12E0F517">
      <w:pPr>
        <w:spacing w:line="560" w:lineRule="exact"/>
        <w:ind w:firstLine="410" w:firstLineChars="171"/>
        <w:rPr>
          <w:rFonts w:asciiTheme="majorEastAsia" w:hAnsiTheme="majorEastAsia" w:eastAsiaTheme="majorEastAsia"/>
          <w:highlight w:val="none"/>
        </w:rPr>
      </w:pPr>
      <w:bookmarkStart w:id="482" w:name="_Toc54862226"/>
      <w:bookmarkStart w:id="483" w:name="_Ref531953117"/>
      <w:bookmarkStart w:id="484" w:name="_Ref531953119"/>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.5 </w:t>
      </w:r>
      <w:r>
        <w:rPr>
          <w:rFonts w:hint="eastAsia" w:asciiTheme="majorEastAsia" w:hAnsiTheme="majorEastAsia" w:eastAsiaTheme="majorEastAsia"/>
          <w:highlight w:val="none"/>
        </w:rPr>
        <w:t>操作和维修手册</w:t>
      </w:r>
      <w:bookmarkEnd w:id="482"/>
      <w:bookmarkEnd w:id="483"/>
      <w:bookmarkEnd w:id="484"/>
    </w:p>
    <w:p w14:paraId="362553BC">
      <w:pPr>
        <w:spacing w:line="560" w:lineRule="exact"/>
        <w:ind w:firstLine="410" w:firstLineChars="171"/>
        <w:rPr>
          <w:rFonts w:asciiTheme="majorEastAsia" w:hAnsiTheme="majorEastAsia" w:eastAsiaTheme="majorEastAsia"/>
          <w:highlight w:val="none"/>
        </w:rPr>
      </w:pPr>
      <w:bookmarkStart w:id="485" w:name="_Ref531953145"/>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.5.1 </w:t>
      </w:r>
      <w:r>
        <w:rPr>
          <w:rFonts w:hint="eastAsia" w:asciiTheme="majorEastAsia" w:hAnsiTheme="majorEastAsia" w:eastAsiaTheme="majorEastAsia"/>
          <w:highlight w:val="none"/>
        </w:rPr>
        <w:t>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bookmarkEnd w:id="485"/>
    </w:p>
    <w:p w14:paraId="11D71A8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.5.2 </w:t>
      </w:r>
      <w:r>
        <w:rPr>
          <w:rFonts w:hint="eastAsia" w:asciiTheme="majorEastAsia" w:hAnsiTheme="majorEastAsia" w:eastAsiaTheme="majorEastAsia"/>
          <w:highlight w:val="none"/>
        </w:rPr>
        <w:t>工程师收到承包人提交的文件后，应依据第</w:t>
      </w:r>
      <w:r>
        <w:rPr>
          <w:rFonts w:asciiTheme="majorEastAsia" w:hAnsiTheme="majorEastAsia" w:eastAsiaTheme="majorEastAsia"/>
          <w:highlight w:val="none"/>
        </w:rPr>
        <w:t>5.2</w:t>
      </w:r>
      <w:r>
        <w:rPr>
          <w:rFonts w:hint="eastAsia" w:asciiTheme="majorEastAsia" w:hAnsiTheme="majorEastAsia" w:eastAsiaTheme="majorEastAsia"/>
          <w:highlight w:val="none"/>
        </w:rPr>
        <w:t>款[</w:t>
      </w:r>
      <w:r>
        <w:rPr>
          <w:rFonts w:asciiTheme="majorEastAsia" w:hAnsiTheme="majorEastAsia" w:eastAsiaTheme="majorEastAsia"/>
          <w:highlight w:val="none"/>
        </w:rPr>
        <w:t>承包人文件审查</w:t>
      </w:r>
      <w:r>
        <w:rPr>
          <w:rFonts w:hint="eastAsia" w:asciiTheme="majorEastAsia" w:hAnsiTheme="majorEastAsia" w:eastAsiaTheme="majorEastAsia"/>
          <w:highlight w:val="none"/>
        </w:rPr>
        <w:t>]的约定对操作和维修手册进行审查，竣工试验工程中，承包人应为任何因操作和维修手册错误或遗漏引起的风险或损失承担责任。</w:t>
      </w:r>
    </w:p>
    <w:p w14:paraId="20BB687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.5.3 </w:t>
      </w:r>
      <w:r>
        <w:rPr>
          <w:rFonts w:hint="eastAsia" w:asciiTheme="majorEastAsia" w:hAnsiTheme="majorEastAsia" w:eastAsiaTheme="majorEastAsia"/>
          <w:highlight w:val="none"/>
        </w:rPr>
        <w:t>除专用合同条件另有约定外，承包人应提交足够详细的最终操作和维修手册，以及在《发包人要求》中明确的相关操作和维修手册。除专用合同条件另有约定外，在工程师收到上述文件前，不应认为工程已根据第</w:t>
      </w:r>
      <w:r>
        <w:rPr>
          <w:rFonts w:asciiTheme="majorEastAsia" w:hAnsiTheme="majorEastAsia" w:eastAsiaTheme="majorEastAsia"/>
          <w:highlight w:val="none"/>
        </w:rPr>
        <w:t>10.1</w:t>
      </w:r>
      <w:r>
        <w:rPr>
          <w:rFonts w:hint="eastAsia" w:asciiTheme="majorEastAsia" w:hAnsiTheme="majorEastAsia" w:eastAsiaTheme="majorEastAsia"/>
          <w:highlight w:val="none"/>
        </w:rPr>
        <w:t>款[竣工验收]和第</w:t>
      </w:r>
      <w:r>
        <w:rPr>
          <w:rFonts w:asciiTheme="majorEastAsia" w:hAnsiTheme="majorEastAsia" w:eastAsiaTheme="majorEastAsia"/>
          <w:highlight w:val="none"/>
        </w:rPr>
        <w:t>10.2</w:t>
      </w:r>
      <w:r>
        <w:rPr>
          <w:rFonts w:hint="eastAsia" w:asciiTheme="majorEastAsia" w:hAnsiTheme="majorEastAsia" w:eastAsiaTheme="majorEastAsia"/>
          <w:highlight w:val="none"/>
        </w:rPr>
        <w:t>款[</w:t>
      </w:r>
      <w:r>
        <w:rPr>
          <w:rFonts w:asciiTheme="majorEastAsia" w:hAnsiTheme="majorEastAsia" w:eastAsiaTheme="majorEastAsia"/>
          <w:highlight w:val="none"/>
        </w:rPr>
        <w:t>单位/区段工程的验收</w:t>
      </w:r>
      <w:r>
        <w:rPr>
          <w:rFonts w:hint="eastAsia" w:asciiTheme="majorEastAsia" w:hAnsiTheme="majorEastAsia" w:eastAsiaTheme="majorEastAsia"/>
          <w:highlight w:val="none"/>
        </w:rPr>
        <w:t>]的约定完成验收。</w:t>
      </w:r>
    </w:p>
    <w:p w14:paraId="173ECD2E">
      <w:pPr>
        <w:spacing w:line="560" w:lineRule="exact"/>
        <w:ind w:firstLine="410" w:firstLineChars="171"/>
        <w:rPr>
          <w:rFonts w:asciiTheme="majorEastAsia" w:hAnsiTheme="majorEastAsia" w:eastAsiaTheme="majorEastAsia"/>
          <w:highlight w:val="none"/>
        </w:rPr>
      </w:pPr>
      <w:bookmarkStart w:id="486" w:name="_Toc54862227"/>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.6 </w:t>
      </w:r>
      <w:r>
        <w:rPr>
          <w:rFonts w:hint="eastAsia" w:asciiTheme="majorEastAsia" w:hAnsiTheme="majorEastAsia" w:eastAsiaTheme="majorEastAsia"/>
          <w:highlight w:val="none"/>
        </w:rPr>
        <w:t>承包人文件错误</w:t>
      </w:r>
      <w:bookmarkEnd w:id="486"/>
      <w:r>
        <w:rPr>
          <w:rFonts w:hint="eastAsia" w:asciiTheme="majorEastAsia" w:hAnsiTheme="majorEastAsia" w:eastAsiaTheme="majorEastAsia"/>
          <w:highlight w:val="none"/>
        </w:rPr>
        <w:t xml:space="preserve"> </w:t>
      </w:r>
    </w:p>
    <w:p w14:paraId="5EB87AA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承包人文件存在错误、遗漏、含混、矛盾、不充分之处或其他缺陷，无论承包人是否根据本款获得了同意，承包人均应自费对前述问题带来的缺陷和工程问题进行改正，并按照第</w:t>
      </w:r>
      <w:r>
        <w:rPr>
          <w:rFonts w:asciiTheme="majorEastAsia" w:hAnsiTheme="majorEastAsia" w:eastAsiaTheme="majorEastAsia"/>
          <w:highlight w:val="none"/>
        </w:rPr>
        <w:t>5.2</w:t>
      </w:r>
      <w:r>
        <w:rPr>
          <w:rFonts w:hint="eastAsia" w:asciiTheme="majorEastAsia" w:hAnsiTheme="majorEastAsia" w:eastAsiaTheme="majorEastAsia"/>
          <w:highlight w:val="none"/>
        </w:rPr>
        <w:t>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2D26C975">
      <w:pPr>
        <w:spacing w:line="560" w:lineRule="exact"/>
        <w:rPr>
          <w:rFonts w:asciiTheme="majorEastAsia" w:hAnsiTheme="majorEastAsia" w:eastAsiaTheme="majorEastAsia"/>
          <w:b/>
          <w:highlight w:val="none"/>
        </w:rPr>
      </w:pPr>
      <w:bookmarkStart w:id="487" w:name="_Toc54862228"/>
      <w:bookmarkStart w:id="488" w:name="_Ref531953765"/>
      <w:bookmarkStart w:id="489" w:name="_Ref531953761"/>
      <w:r>
        <w:rPr>
          <w:rFonts w:hint="eastAsia" w:asciiTheme="majorEastAsia" w:hAnsiTheme="majorEastAsia" w:eastAsiaTheme="majorEastAsia"/>
          <w:b/>
          <w:highlight w:val="none"/>
        </w:rPr>
        <w:t>第6条  材料、工程设备</w:t>
      </w:r>
      <w:bookmarkEnd w:id="487"/>
      <w:bookmarkEnd w:id="488"/>
      <w:bookmarkEnd w:id="489"/>
    </w:p>
    <w:p w14:paraId="7DDECC46">
      <w:pPr>
        <w:spacing w:line="560" w:lineRule="exact"/>
        <w:ind w:firstLine="410" w:firstLineChars="171"/>
        <w:rPr>
          <w:rFonts w:asciiTheme="majorEastAsia" w:hAnsiTheme="majorEastAsia" w:eastAsiaTheme="majorEastAsia"/>
          <w:highlight w:val="none"/>
        </w:rPr>
      </w:pPr>
      <w:bookmarkStart w:id="490" w:name="_Ref531953832"/>
      <w:bookmarkStart w:id="491" w:name="_Toc54862229"/>
      <w:bookmarkStart w:id="492" w:name="_Ref531953828"/>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.1 </w:t>
      </w:r>
      <w:r>
        <w:rPr>
          <w:rFonts w:hint="eastAsia" w:asciiTheme="majorEastAsia" w:hAnsiTheme="majorEastAsia" w:eastAsiaTheme="majorEastAsia"/>
          <w:highlight w:val="none"/>
        </w:rPr>
        <w:t>实施方法</w:t>
      </w:r>
      <w:bookmarkEnd w:id="490"/>
      <w:bookmarkEnd w:id="491"/>
      <w:bookmarkEnd w:id="492"/>
      <w:r>
        <w:rPr>
          <w:rFonts w:hint="eastAsia" w:asciiTheme="majorEastAsia" w:hAnsiTheme="majorEastAsia" w:eastAsiaTheme="majorEastAsia"/>
          <w:highlight w:val="none"/>
        </w:rPr>
        <w:t xml:space="preserve"> </w:t>
      </w:r>
    </w:p>
    <w:p w14:paraId="2D235F2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承包人应按以下方法进行材料的加工、工程设备的采购、制造和安装、以及工程的所有其他实施作业：</w:t>
      </w:r>
    </w:p>
    <w:p w14:paraId="28B54FCE">
      <w:pPr>
        <w:spacing w:line="560" w:lineRule="exact"/>
        <w:ind w:firstLine="410" w:firstLineChars="171"/>
        <w:rPr>
          <w:rFonts w:asciiTheme="majorEastAsia" w:hAnsiTheme="majorEastAsia" w:eastAsiaTheme="majorEastAsia"/>
          <w:highlight w:val="none"/>
        </w:rPr>
      </w:pPr>
      <w:bookmarkStart w:id="493" w:name="_Ref531953847"/>
      <w:r>
        <w:rPr>
          <w:rFonts w:hint="eastAsia" w:asciiTheme="majorEastAsia" w:hAnsiTheme="majorEastAsia" w:eastAsiaTheme="majorEastAsia"/>
          <w:highlight w:val="none"/>
        </w:rPr>
        <w:t>（1）按照法律规定和合同约定的方法</w:t>
      </w:r>
      <w:bookmarkEnd w:id="493"/>
      <w:r>
        <w:rPr>
          <w:rFonts w:hint="eastAsia" w:asciiTheme="majorEastAsia" w:hAnsiTheme="majorEastAsia" w:eastAsiaTheme="majorEastAsia"/>
          <w:highlight w:val="none"/>
        </w:rPr>
        <w:t>；</w:t>
      </w:r>
    </w:p>
    <w:p w14:paraId="40C7163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（2）按照公认的良好行业习惯，使用恰当、审慎、先进的方法；</w:t>
      </w:r>
    </w:p>
    <w:p w14:paraId="74EDC69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（3）除专用合同条件另有规定外，应使用适当配备的实施方法、设备、设施和无危险的材料。</w:t>
      </w:r>
    </w:p>
    <w:p w14:paraId="5B2EF6AD">
      <w:pPr>
        <w:spacing w:line="560" w:lineRule="exact"/>
        <w:ind w:firstLine="410" w:firstLineChars="171"/>
        <w:rPr>
          <w:rFonts w:asciiTheme="majorEastAsia" w:hAnsiTheme="majorEastAsia" w:eastAsiaTheme="majorEastAsia"/>
          <w:highlight w:val="none"/>
        </w:rPr>
      </w:pPr>
      <w:bookmarkStart w:id="494" w:name="_Toc54862230"/>
      <w:bookmarkStart w:id="495" w:name="_Ref11926422"/>
      <w:bookmarkStart w:id="496" w:name="_Ref4427594"/>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.2 </w:t>
      </w:r>
      <w:r>
        <w:rPr>
          <w:rFonts w:hint="eastAsia" w:asciiTheme="majorEastAsia" w:hAnsiTheme="majorEastAsia" w:eastAsiaTheme="majorEastAsia"/>
          <w:highlight w:val="none"/>
        </w:rPr>
        <w:t>材料和工程设备</w:t>
      </w:r>
      <w:bookmarkEnd w:id="494"/>
      <w:bookmarkEnd w:id="495"/>
    </w:p>
    <w:p w14:paraId="2E3F70D5">
      <w:pPr>
        <w:spacing w:line="560" w:lineRule="exact"/>
        <w:ind w:firstLine="410" w:firstLineChars="171"/>
        <w:rPr>
          <w:rFonts w:asciiTheme="majorEastAsia" w:hAnsiTheme="majorEastAsia" w:eastAsiaTheme="majorEastAsia"/>
          <w:highlight w:val="none"/>
        </w:rPr>
      </w:pPr>
      <w:bookmarkStart w:id="497" w:name="_Ref11960295"/>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.2.1 </w:t>
      </w:r>
      <w:r>
        <w:rPr>
          <w:rFonts w:hint="eastAsia" w:asciiTheme="majorEastAsia" w:hAnsiTheme="majorEastAsia" w:eastAsiaTheme="majorEastAsia"/>
          <w:highlight w:val="none"/>
        </w:rPr>
        <w:t>发包人提供的材料和工程设备</w:t>
      </w:r>
      <w:bookmarkEnd w:id="496"/>
      <w:bookmarkEnd w:id="497"/>
    </w:p>
    <w:p w14:paraId="7EFD727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发包人自行供应材料、工程设备的，应在订立合同时在专用合同条件的附件《发包人供应材料设备一览表》中明确材料、工程设备的品种、规格、型号、主要参数、数量、单价、质量等级和交接地点等。</w:t>
      </w:r>
    </w:p>
    <w:p w14:paraId="43E6FB8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承包人应根据项目进度计划的安排，提前28天以书面形式通知工程师供应材料与工程设备的进场计划。承包人按照第</w:t>
      </w:r>
      <w:r>
        <w:rPr>
          <w:rFonts w:asciiTheme="majorEastAsia" w:hAnsiTheme="majorEastAsia" w:eastAsiaTheme="majorEastAsia"/>
          <w:highlight w:val="none"/>
        </w:rPr>
        <w:t>8.4</w:t>
      </w:r>
      <w:r>
        <w:rPr>
          <w:rFonts w:hint="eastAsia" w:asciiTheme="majorEastAsia" w:hAnsiTheme="majorEastAsia" w:eastAsiaTheme="majorEastAsia"/>
          <w:highlight w:val="none"/>
        </w:rPr>
        <w:t>款[项目进度计划]约定修订项目进度计划时，需同时提交经修订后的发包人供应材料与工程设备的进场计划。发包人应按照上述进场计划，向承包人提交材料和工程设备。</w:t>
      </w:r>
    </w:p>
    <w:p w14:paraId="3FCF735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130B378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发包人需要对进场计划进行变更的，承包人不得拒绝，应根据第1</w:t>
      </w:r>
      <w:r>
        <w:rPr>
          <w:rFonts w:asciiTheme="majorEastAsia" w:hAnsiTheme="majorEastAsia" w:eastAsiaTheme="majorEastAsia"/>
          <w:highlight w:val="none"/>
        </w:rPr>
        <w:t>3</w:t>
      </w:r>
      <w:r>
        <w:rPr>
          <w:rFonts w:hint="eastAsia" w:asciiTheme="majorEastAsia" w:hAnsiTheme="majorEastAsia" w:eastAsiaTheme="majorEastAsia"/>
          <w:highlight w:val="none"/>
        </w:rPr>
        <w:t>条[变更与调整]的规定执行，并由发包人承担承包人由此增加的费用，以及引起的工期延误。承包人需要对进场计划进行变更的，应事先报请工程师批准，由此增加的费用和（或）工期延误由承包人承担。</w:t>
      </w:r>
    </w:p>
    <w:p w14:paraId="5EA9DF6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5697BEBE">
      <w:pPr>
        <w:spacing w:line="560" w:lineRule="exact"/>
        <w:ind w:firstLine="410" w:firstLineChars="171"/>
        <w:rPr>
          <w:rFonts w:asciiTheme="majorEastAsia" w:hAnsiTheme="majorEastAsia" w:eastAsiaTheme="majorEastAsia"/>
          <w:highlight w:val="none"/>
        </w:rPr>
      </w:pPr>
      <w:bookmarkStart w:id="498" w:name="_Ref531953918"/>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.2.2 </w:t>
      </w:r>
      <w:r>
        <w:rPr>
          <w:rFonts w:hint="eastAsia" w:asciiTheme="majorEastAsia" w:hAnsiTheme="majorEastAsia" w:eastAsiaTheme="majorEastAsia"/>
          <w:highlight w:val="none"/>
        </w:rPr>
        <w:t>承包人提供的材料和工程设备</w:t>
      </w:r>
      <w:bookmarkEnd w:id="498"/>
    </w:p>
    <w:p w14:paraId="203FAED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6FC2F2A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承包人应按照已被批准的第</w:t>
      </w:r>
      <w:r>
        <w:rPr>
          <w:rFonts w:asciiTheme="majorEastAsia" w:hAnsiTheme="majorEastAsia" w:eastAsiaTheme="majorEastAsia"/>
          <w:highlight w:val="none"/>
        </w:rPr>
        <w:t>8.4</w:t>
      </w:r>
      <w:r>
        <w:rPr>
          <w:rFonts w:hint="eastAsia" w:asciiTheme="majorEastAsia" w:hAnsiTheme="majorEastAsia" w:eastAsiaTheme="majorEastAsia"/>
          <w:highlight w:val="none"/>
        </w:rPr>
        <w:t>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3435EF2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567C9F3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003A351E">
      <w:pPr>
        <w:spacing w:line="560" w:lineRule="exact"/>
        <w:ind w:firstLine="410" w:firstLineChars="171"/>
        <w:rPr>
          <w:rFonts w:asciiTheme="majorEastAsia" w:hAnsiTheme="majorEastAsia" w:eastAsiaTheme="majorEastAsia"/>
          <w:highlight w:val="none"/>
        </w:rPr>
      </w:pPr>
      <w:bookmarkStart w:id="499" w:name="_Ref531953999"/>
      <w:bookmarkStart w:id="500" w:name="_Ref531953991"/>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.2.3 </w:t>
      </w:r>
      <w:r>
        <w:rPr>
          <w:rFonts w:hint="eastAsia" w:asciiTheme="majorEastAsia" w:hAnsiTheme="majorEastAsia" w:eastAsiaTheme="majorEastAsia"/>
          <w:highlight w:val="none"/>
        </w:rPr>
        <w:t>材料和工程设备的保管</w:t>
      </w:r>
      <w:bookmarkEnd w:id="499"/>
      <w:bookmarkEnd w:id="500"/>
      <w:r>
        <w:rPr>
          <w:rFonts w:hint="eastAsia" w:asciiTheme="majorEastAsia" w:hAnsiTheme="majorEastAsia" w:eastAsiaTheme="majorEastAsia"/>
          <w:highlight w:val="none"/>
        </w:rPr>
        <w:t xml:space="preserve"> </w:t>
      </w:r>
    </w:p>
    <w:p w14:paraId="1A560AB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 发包人供应材料与工程设备的保管与使用</w:t>
      </w:r>
    </w:p>
    <w:p w14:paraId="0C9F418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发包人供应的材料和工程设备，承包人清点并接收后由承包人妥善保管，保管费用由承包人承担，但专用合同条件另有约定除外。因承包人原因发生丢失毁损的，由承包人负责赔偿。</w:t>
      </w:r>
    </w:p>
    <w:p w14:paraId="28D090D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发包人供应的材料和工程设备使用前，由承包人负责必要的检验，检验费用由发包人承担，不合格的不得使用。</w:t>
      </w:r>
    </w:p>
    <w:p w14:paraId="73AE1B2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 承包人采购材料与工程设备的保管与使用</w:t>
      </w:r>
    </w:p>
    <w:p w14:paraId="5A869C0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4346964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工程师发现承包人使用不符合设计或有关标准要求的材料和工程设备时，有权要求承包人进行修复、拆除或重新采购，由此增加的费用和（或）延误的工期，由承包人承担。</w:t>
      </w:r>
    </w:p>
    <w:p w14:paraId="3BF0713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.2.4 </w:t>
      </w:r>
      <w:r>
        <w:rPr>
          <w:rFonts w:hint="eastAsia" w:asciiTheme="majorEastAsia" w:hAnsiTheme="majorEastAsia" w:eastAsiaTheme="majorEastAsia"/>
          <w:highlight w:val="none"/>
        </w:rPr>
        <w:t>材料和工程设备的所有权</w:t>
      </w:r>
    </w:p>
    <w:p w14:paraId="3F4F415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除本合同另有约定外，承包人根据第</w:t>
      </w:r>
      <w:r>
        <w:rPr>
          <w:rFonts w:asciiTheme="majorEastAsia" w:hAnsiTheme="majorEastAsia" w:eastAsiaTheme="majorEastAsia"/>
          <w:highlight w:val="none"/>
        </w:rPr>
        <w:t>6.2.2</w:t>
      </w:r>
      <w:r>
        <w:rPr>
          <w:rFonts w:hint="eastAsia" w:asciiTheme="majorEastAsia" w:hAnsiTheme="majorEastAsia" w:eastAsiaTheme="majorEastAsia"/>
          <w:highlight w:val="none"/>
        </w:rPr>
        <w:t>项[承包人提供的材料和工程设备]约定提供的材料和工程设备后，材料及工程设备的价款应列入第1</w:t>
      </w:r>
      <w:r>
        <w:rPr>
          <w:rFonts w:asciiTheme="majorEastAsia" w:hAnsiTheme="majorEastAsia" w:eastAsiaTheme="majorEastAsia"/>
          <w:highlight w:val="none"/>
        </w:rPr>
        <w:t>4.3.1</w:t>
      </w:r>
      <w:r>
        <w:rPr>
          <w:rFonts w:hint="eastAsia" w:asciiTheme="majorEastAsia" w:hAnsiTheme="majorEastAsia" w:eastAsiaTheme="majorEastAsia"/>
          <w:highlight w:val="none"/>
        </w:rPr>
        <w:t>项第（2）目的进度款金额中，发包人支付当期进度款之后，其所有权转为发包人所有（周转性材料除外）；在发包人接收工程前，承包人有义务对材料和工程设备进行保管、维护和保养，未经发包人批准不得运出现场。</w:t>
      </w:r>
    </w:p>
    <w:p w14:paraId="22F41E7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承包人按第</w:t>
      </w:r>
      <w:r>
        <w:rPr>
          <w:rFonts w:asciiTheme="majorEastAsia" w:hAnsiTheme="majorEastAsia" w:eastAsiaTheme="majorEastAsia"/>
          <w:highlight w:val="none"/>
        </w:rPr>
        <w:t>6.2.2项提供的材料和工程设备</w:t>
      </w:r>
      <w:r>
        <w:rPr>
          <w:rFonts w:hint="eastAsia" w:asciiTheme="majorEastAsia" w:hAnsiTheme="majorEastAsia" w:eastAsiaTheme="majorEastAsia"/>
          <w:highlight w:val="none"/>
        </w:rPr>
        <w:t>，承包人应确保发包人取得无权利负担的材料及工程设备所有权，因承包人与第三人的物权争议导致的增加的费用和（或）延误的工期，由承包人承担。</w:t>
      </w:r>
    </w:p>
    <w:p w14:paraId="1E7BFCD5">
      <w:pPr>
        <w:spacing w:line="560" w:lineRule="exact"/>
        <w:ind w:firstLine="410" w:firstLineChars="171"/>
        <w:rPr>
          <w:rFonts w:asciiTheme="majorEastAsia" w:hAnsiTheme="majorEastAsia" w:eastAsiaTheme="majorEastAsia"/>
          <w:highlight w:val="none"/>
        </w:rPr>
      </w:pPr>
      <w:bookmarkStart w:id="501" w:name="_Toc54862231"/>
      <w:bookmarkStart w:id="502" w:name="_Ref4428239"/>
      <w:bookmarkStart w:id="503" w:name="_Toc351203565"/>
      <w:bookmarkStart w:id="504" w:name="_Toc337558785"/>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.3 </w:t>
      </w:r>
      <w:r>
        <w:rPr>
          <w:rFonts w:hint="eastAsia" w:asciiTheme="majorEastAsia" w:hAnsiTheme="majorEastAsia" w:eastAsiaTheme="majorEastAsia"/>
          <w:highlight w:val="none"/>
        </w:rPr>
        <w:t>样品</w:t>
      </w:r>
      <w:bookmarkEnd w:id="501"/>
      <w:bookmarkEnd w:id="502"/>
    </w:p>
    <w:p w14:paraId="6923BB2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.3.1 </w:t>
      </w:r>
      <w:r>
        <w:rPr>
          <w:rFonts w:hint="eastAsia" w:asciiTheme="majorEastAsia" w:hAnsiTheme="majorEastAsia" w:eastAsiaTheme="majorEastAsia"/>
          <w:highlight w:val="none"/>
        </w:rPr>
        <w:t>样品的报送与封存</w:t>
      </w:r>
    </w:p>
    <w:p w14:paraId="4BF3983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需要承包人报送样品的材料或工程设备，样品的种类、名称、规格、数量等要求均应在专用合同条件中约定。样品的报送程序如下：</w:t>
      </w:r>
    </w:p>
    <w:p w14:paraId="7939792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 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2AD4292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46D9CCC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 经工程师审批确认的样品应按约定的方法封样，封存的样品作为检验工程相关部分的标准之一。承包人在施工过程中不得使用与样品不符的材料或工程设备。</w:t>
      </w:r>
    </w:p>
    <w:p w14:paraId="1E615A9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5801795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.3.2 </w:t>
      </w:r>
      <w:r>
        <w:rPr>
          <w:rFonts w:hint="eastAsia" w:asciiTheme="majorEastAsia" w:hAnsiTheme="majorEastAsia" w:eastAsiaTheme="majorEastAsia"/>
          <w:highlight w:val="none"/>
        </w:rPr>
        <w:t>样品的保管</w:t>
      </w:r>
    </w:p>
    <w:p w14:paraId="5449354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经批准的样品应由工程师负责封存于现场，承包人应在现场为保存样品提供适当和固定的场所并保持适当和良好的存储环境条件。</w:t>
      </w:r>
    </w:p>
    <w:p w14:paraId="25F800D7">
      <w:pPr>
        <w:spacing w:line="560" w:lineRule="exact"/>
        <w:ind w:firstLine="410" w:firstLineChars="171"/>
        <w:rPr>
          <w:rFonts w:asciiTheme="majorEastAsia" w:hAnsiTheme="majorEastAsia" w:eastAsiaTheme="majorEastAsia"/>
          <w:highlight w:val="none"/>
        </w:rPr>
      </w:pPr>
      <w:bookmarkStart w:id="505" w:name="_Ref11959210"/>
      <w:bookmarkStart w:id="506" w:name="_Toc54862232"/>
      <w:bookmarkStart w:id="507" w:name="_Ref11959204"/>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.4 </w:t>
      </w:r>
      <w:r>
        <w:rPr>
          <w:rFonts w:hint="eastAsia" w:asciiTheme="majorEastAsia" w:hAnsiTheme="majorEastAsia" w:eastAsiaTheme="majorEastAsia"/>
          <w:highlight w:val="none"/>
        </w:rPr>
        <w:t>质量检查</w:t>
      </w:r>
      <w:bookmarkEnd w:id="505"/>
      <w:bookmarkEnd w:id="506"/>
      <w:bookmarkEnd w:id="507"/>
    </w:p>
    <w:p w14:paraId="6A026CBA">
      <w:pPr>
        <w:spacing w:line="560" w:lineRule="exact"/>
        <w:ind w:firstLine="410" w:firstLineChars="171"/>
        <w:rPr>
          <w:rFonts w:asciiTheme="majorEastAsia" w:hAnsiTheme="majorEastAsia" w:eastAsiaTheme="majorEastAsia"/>
          <w:highlight w:val="none"/>
        </w:rPr>
      </w:pPr>
      <w:bookmarkStart w:id="508" w:name="_Ref18990699"/>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.4.1 </w:t>
      </w:r>
      <w:r>
        <w:rPr>
          <w:rFonts w:hint="eastAsia" w:asciiTheme="majorEastAsia" w:hAnsiTheme="majorEastAsia" w:eastAsiaTheme="majorEastAsia"/>
          <w:highlight w:val="none"/>
        </w:rPr>
        <w:t>工程质量要求</w:t>
      </w:r>
      <w:bookmarkEnd w:id="508"/>
    </w:p>
    <w:p w14:paraId="32C260A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工程质量标准必须符合现行国家有关工程施工质量验收规范和标准的要求。有关工程质量的特殊标准或要求由合同当事人在专用合同条件中约定。</w:t>
      </w:r>
    </w:p>
    <w:p w14:paraId="6F04131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65FACCF9">
      <w:pPr>
        <w:spacing w:line="560" w:lineRule="exact"/>
        <w:ind w:firstLine="410" w:firstLineChars="171"/>
        <w:rPr>
          <w:rFonts w:asciiTheme="majorEastAsia" w:hAnsiTheme="majorEastAsia" w:eastAsiaTheme="majorEastAsia"/>
          <w:highlight w:val="none"/>
        </w:rPr>
      </w:pPr>
      <w:bookmarkStart w:id="509" w:name="_Ref18990717"/>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.4.2 </w:t>
      </w:r>
      <w:r>
        <w:rPr>
          <w:rFonts w:hint="eastAsia" w:asciiTheme="majorEastAsia" w:hAnsiTheme="majorEastAsia" w:eastAsiaTheme="majorEastAsia"/>
          <w:highlight w:val="none"/>
        </w:rPr>
        <w:t>质量检查</w:t>
      </w:r>
      <w:bookmarkEnd w:id="509"/>
    </w:p>
    <w:p w14:paraId="4F5CDFE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41BE6AE1">
      <w:pPr>
        <w:spacing w:line="560" w:lineRule="exact"/>
        <w:ind w:firstLine="410" w:firstLineChars="171"/>
        <w:rPr>
          <w:rFonts w:asciiTheme="majorEastAsia" w:hAnsiTheme="majorEastAsia" w:eastAsiaTheme="majorEastAsia"/>
          <w:highlight w:val="none"/>
        </w:rPr>
      </w:pPr>
      <w:bookmarkStart w:id="510" w:name="_Ref11959222"/>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.4.3 </w:t>
      </w:r>
      <w:r>
        <w:rPr>
          <w:rFonts w:hint="eastAsia" w:asciiTheme="majorEastAsia" w:hAnsiTheme="majorEastAsia" w:eastAsiaTheme="majorEastAsia"/>
          <w:highlight w:val="none"/>
        </w:rPr>
        <w:t>隐蔽工程检查</w:t>
      </w:r>
      <w:bookmarkEnd w:id="510"/>
    </w:p>
    <w:p w14:paraId="6FE8C5C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7DE8471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06128B0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除专用合同条件另有约定外，工程师不能按时进行检查的，应提前向承包人提交书面延期要求，顺延时间不得超过</w:t>
      </w:r>
      <w:r>
        <w:rPr>
          <w:rFonts w:asciiTheme="majorEastAsia" w:hAnsiTheme="majorEastAsia" w:eastAsiaTheme="majorEastAsia"/>
          <w:highlight w:val="none"/>
        </w:rPr>
        <w:t>48小时，</w:t>
      </w:r>
      <w:r>
        <w:rPr>
          <w:rFonts w:hint="eastAsia" w:asciiTheme="majorEastAsia" w:hAnsiTheme="majorEastAsia" w:eastAsiaTheme="majorEastAsia"/>
          <w:highlight w:val="none"/>
        </w:rPr>
        <w:t>由此导致工期延误的，工期应予以顺延，顺延超过</w:t>
      </w:r>
      <w:r>
        <w:rPr>
          <w:rFonts w:asciiTheme="majorEastAsia" w:hAnsiTheme="majorEastAsia" w:eastAsiaTheme="majorEastAsia"/>
          <w:highlight w:val="none"/>
        </w:rPr>
        <w:t>48小时的，由此导致的工期延误及费用增加由发包人承担</w:t>
      </w:r>
      <w:r>
        <w:rPr>
          <w:rFonts w:hint="eastAsia" w:asciiTheme="majorEastAsia" w:hAnsiTheme="majorEastAsia" w:eastAsiaTheme="majorEastAsia"/>
          <w:highlight w:val="none"/>
        </w:rPr>
        <w:t>。工程师未按时进行检查，也未提出延期要求的，视为隐蔽工程检查合格，承包人可自行完成覆盖工作，并作相应记录报送工程师，工程师应签字确认。工程师事后对检查记录有疑问的，可按下列约定重新检查。</w:t>
      </w:r>
    </w:p>
    <w:p w14:paraId="0927CF8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7CB93EA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承包人未通知工程师到场检查，私自将工程隐蔽部位覆盖的，工程师有权指示承包人钻孔探测或揭开检查，无论工程隐蔽部位质量是否合格，由此增加的费用和（或）延误的工期均由承包人承担。</w:t>
      </w:r>
    </w:p>
    <w:bookmarkEnd w:id="503"/>
    <w:p w14:paraId="1A3A3999">
      <w:pPr>
        <w:spacing w:line="560" w:lineRule="exact"/>
        <w:ind w:firstLine="410" w:firstLineChars="171"/>
        <w:rPr>
          <w:rFonts w:asciiTheme="majorEastAsia" w:hAnsiTheme="majorEastAsia" w:eastAsiaTheme="majorEastAsia"/>
          <w:highlight w:val="none"/>
        </w:rPr>
      </w:pPr>
      <w:bookmarkStart w:id="511" w:name="_Ref11927403"/>
      <w:bookmarkStart w:id="512" w:name="_Ref11927389"/>
      <w:bookmarkStart w:id="513" w:name="_Ref11927398"/>
      <w:bookmarkStart w:id="514" w:name="_Ref11959158"/>
      <w:bookmarkStart w:id="515" w:name="_Ref11959175"/>
      <w:bookmarkStart w:id="516" w:name="_Toc54862233"/>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.5 </w:t>
      </w:r>
      <w:r>
        <w:rPr>
          <w:rFonts w:hint="eastAsia" w:asciiTheme="majorEastAsia" w:hAnsiTheme="majorEastAsia" w:eastAsiaTheme="majorEastAsia"/>
          <w:highlight w:val="none"/>
        </w:rPr>
        <w:t>由承包人试验</w:t>
      </w:r>
      <w:bookmarkEnd w:id="511"/>
      <w:bookmarkEnd w:id="512"/>
      <w:bookmarkEnd w:id="513"/>
      <w:r>
        <w:rPr>
          <w:rFonts w:hint="eastAsia" w:asciiTheme="majorEastAsia" w:hAnsiTheme="majorEastAsia" w:eastAsiaTheme="majorEastAsia"/>
          <w:highlight w:val="none"/>
        </w:rPr>
        <w:t>和检验</w:t>
      </w:r>
      <w:bookmarkEnd w:id="514"/>
      <w:bookmarkEnd w:id="515"/>
      <w:bookmarkEnd w:id="516"/>
    </w:p>
    <w:bookmarkEnd w:id="504"/>
    <w:p w14:paraId="3983167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.5.1 </w:t>
      </w:r>
      <w:r>
        <w:rPr>
          <w:rFonts w:hint="eastAsia" w:asciiTheme="majorEastAsia" w:hAnsiTheme="majorEastAsia" w:eastAsiaTheme="majorEastAsia"/>
          <w:highlight w:val="none"/>
        </w:rPr>
        <w:t>试验设备与试验人员</w:t>
      </w:r>
    </w:p>
    <w:p w14:paraId="7DA6966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5577B6D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 承包人应按专用合同条件约定的试验内容、时间和地点提供试验设备、取样装置、试验场所和试验条件，并向工程师提交相应进场计划表。</w:t>
      </w:r>
    </w:p>
    <w:p w14:paraId="11E9917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承包人配置的试验设备要符合相应试验规程的要求并经过具有资质的检测单位检测，且在正式使用该试验设备前，需要经过工程师与承包人共同校定。</w:t>
      </w:r>
    </w:p>
    <w:p w14:paraId="196C663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 承包人应向工程师提交试验人员的名单及其岗位、资格等证明资料，试验人员必须能够熟练进行相应的检测试验，承包人对试验人员的试验程序和试验结果的正确性负责。</w:t>
      </w:r>
    </w:p>
    <w:p w14:paraId="676F5D7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.5.2 </w:t>
      </w:r>
      <w:r>
        <w:rPr>
          <w:rFonts w:hint="eastAsia" w:asciiTheme="majorEastAsia" w:hAnsiTheme="majorEastAsia" w:eastAsiaTheme="majorEastAsia"/>
          <w:highlight w:val="none"/>
        </w:rPr>
        <w:t>取样</w:t>
      </w:r>
    </w:p>
    <w:p w14:paraId="620F5BB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试验属于自检性质的，承包人可以单独取样。试验属于工程师抽检性质的，可由工程师取样，也可由承包人的试验人员在工程师的监督下取样。</w:t>
      </w:r>
    </w:p>
    <w:p w14:paraId="1ABA555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.5.3 </w:t>
      </w:r>
      <w:r>
        <w:rPr>
          <w:rFonts w:hint="eastAsia" w:asciiTheme="majorEastAsia" w:hAnsiTheme="majorEastAsia" w:eastAsiaTheme="majorEastAsia"/>
          <w:highlight w:val="none"/>
        </w:rPr>
        <w:t>材料、工程设备和工程的试验和检验</w:t>
      </w:r>
    </w:p>
    <w:p w14:paraId="0E99BCC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265859F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29384B1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69E593F1">
      <w:pPr>
        <w:spacing w:line="560" w:lineRule="exact"/>
        <w:ind w:firstLine="410" w:firstLineChars="171"/>
        <w:rPr>
          <w:rFonts w:asciiTheme="majorEastAsia" w:hAnsiTheme="majorEastAsia" w:eastAsiaTheme="majorEastAsia"/>
          <w:highlight w:val="none"/>
        </w:rPr>
      </w:pPr>
      <w:bookmarkStart w:id="517" w:name="_Toc351203566"/>
      <w:bookmarkStart w:id="518" w:name="_Toc337558786"/>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.5.4 </w:t>
      </w:r>
      <w:r>
        <w:rPr>
          <w:rFonts w:hint="eastAsia" w:asciiTheme="majorEastAsia" w:hAnsiTheme="majorEastAsia" w:eastAsiaTheme="majorEastAsia"/>
          <w:highlight w:val="none"/>
        </w:rPr>
        <w:t>现场工艺试验</w:t>
      </w:r>
      <w:bookmarkEnd w:id="517"/>
    </w:p>
    <w:bookmarkEnd w:id="518"/>
    <w:p w14:paraId="0FFE531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承包人应按合同约定进行现场工艺试验。对大型的现场工艺试验，发包人认为必要时，承包人应根据发包人提出的工艺试验要求，编制工艺试验措施计划，报送发包人审查。</w:t>
      </w:r>
    </w:p>
    <w:p w14:paraId="1A943184">
      <w:pPr>
        <w:spacing w:line="560" w:lineRule="exact"/>
        <w:ind w:firstLine="410" w:firstLineChars="171"/>
        <w:rPr>
          <w:rFonts w:asciiTheme="majorEastAsia" w:hAnsiTheme="majorEastAsia" w:eastAsiaTheme="majorEastAsia"/>
          <w:highlight w:val="none"/>
        </w:rPr>
      </w:pPr>
      <w:bookmarkStart w:id="519" w:name="_Toc54862234"/>
      <w:bookmarkStart w:id="520" w:name="_Ref532592784"/>
      <w:bookmarkStart w:id="521" w:name="_Ref532592787"/>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.6 </w:t>
      </w:r>
      <w:r>
        <w:rPr>
          <w:rFonts w:hint="eastAsia" w:asciiTheme="majorEastAsia" w:hAnsiTheme="majorEastAsia" w:eastAsiaTheme="majorEastAsia"/>
          <w:highlight w:val="none"/>
        </w:rPr>
        <w:t>缺陷和修补</w:t>
      </w:r>
      <w:bookmarkEnd w:id="519"/>
      <w:bookmarkEnd w:id="520"/>
      <w:bookmarkEnd w:id="521"/>
    </w:p>
    <w:p w14:paraId="50AF4C12">
      <w:pPr>
        <w:spacing w:line="560" w:lineRule="exact"/>
        <w:ind w:firstLine="410" w:firstLineChars="171"/>
        <w:rPr>
          <w:rFonts w:asciiTheme="majorEastAsia" w:hAnsiTheme="majorEastAsia" w:eastAsiaTheme="majorEastAsia"/>
          <w:highlight w:val="none"/>
        </w:rPr>
      </w:pPr>
      <w:bookmarkStart w:id="522" w:name="_Ref16875551"/>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.6.1 </w:t>
      </w:r>
      <w:r>
        <w:rPr>
          <w:rFonts w:hint="eastAsia" w:asciiTheme="majorEastAsia" w:hAnsiTheme="majorEastAsia" w:eastAsiaTheme="majorEastAsia"/>
          <w:highlight w:val="none"/>
        </w:rPr>
        <w:t>发包人可在颁发接收证书前随时指示承包人：</w:t>
      </w:r>
      <w:bookmarkEnd w:id="522"/>
    </w:p>
    <w:p w14:paraId="71CA2CF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 对不符合合同要求的任何工程设备或材料进行修补，或者将其移出现场并进行更换；</w:t>
      </w:r>
    </w:p>
    <w:p w14:paraId="32C956B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 xml:space="preserve">（2） 对不符合合同的其他工作进行修补，或者将其去除并重新实施； </w:t>
      </w:r>
    </w:p>
    <w:p w14:paraId="17B5B7C1">
      <w:pPr>
        <w:spacing w:line="560" w:lineRule="exact"/>
        <w:ind w:firstLine="410" w:firstLineChars="171"/>
        <w:rPr>
          <w:rFonts w:asciiTheme="majorEastAsia" w:hAnsiTheme="majorEastAsia" w:eastAsiaTheme="majorEastAsia"/>
          <w:highlight w:val="none"/>
        </w:rPr>
      </w:pPr>
      <w:bookmarkStart w:id="523" w:name="_Ref4708991"/>
      <w:r>
        <w:rPr>
          <w:rFonts w:hint="eastAsia" w:asciiTheme="majorEastAsia" w:hAnsiTheme="majorEastAsia" w:eastAsiaTheme="majorEastAsia"/>
          <w:highlight w:val="none"/>
        </w:rPr>
        <w:t>（3） 实施因意外、不可预见的事件或其他原因引起的、为工程的安全迫切需要的任何修补工作。</w:t>
      </w:r>
      <w:bookmarkEnd w:id="523"/>
    </w:p>
    <w:p w14:paraId="781F3C46">
      <w:pPr>
        <w:spacing w:line="560" w:lineRule="exact"/>
        <w:ind w:firstLine="410" w:firstLineChars="171"/>
        <w:rPr>
          <w:rFonts w:asciiTheme="majorEastAsia" w:hAnsiTheme="majorEastAsia" w:eastAsiaTheme="majorEastAsia"/>
          <w:highlight w:val="none"/>
        </w:rPr>
      </w:pPr>
      <w:bookmarkStart w:id="524" w:name="_Ref11956964"/>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.6.2 </w:t>
      </w:r>
      <w:r>
        <w:rPr>
          <w:rFonts w:hint="eastAsia" w:asciiTheme="majorEastAsia" w:hAnsiTheme="majorEastAsia" w:eastAsiaTheme="majorEastAsia"/>
          <w:highlight w:val="none"/>
        </w:rPr>
        <w:t>承包人应遵守第</w:t>
      </w:r>
      <w:r>
        <w:rPr>
          <w:rFonts w:asciiTheme="majorEastAsia" w:hAnsiTheme="majorEastAsia" w:eastAsiaTheme="majorEastAsia"/>
          <w:highlight w:val="none"/>
        </w:rPr>
        <w:t>6.6.1项下</w:t>
      </w:r>
      <w:r>
        <w:rPr>
          <w:rFonts w:hint="eastAsia" w:asciiTheme="majorEastAsia" w:hAnsiTheme="majorEastAsia" w:eastAsiaTheme="majorEastAsia"/>
          <w:highlight w:val="none"/>
        </w:rPr>
        <w:t>指示，并在合理可行的情况下，根据上述指示中规定的时间完成修补工作。除因下列原因引起的第</w:t>
      </w:r>
      <w:r>
        <w:rPr>
          <w:rFonts w:asciiTheme="majorEastAsia" w:hAnsiTheme="majorEastAsia" w:eastAsiaTheme="majorEastAsia"/>
          <w:highlight w:val="none"/>
        </w:rPr>
        <w:t>6.6.1</w:t>
      </w:r>
      <w:r>
        <w:rPr>
          <w:rFonts w:hint="eastAsia" w:asciiTheme="majorEastAsia" w:hAnsiTheme="majorEastAsia" w:eastAsiaTheme="majorEastAsia"/>
          <w:highlight w:val="none"/>
        </w:rPr>
        <w:t>项第（3）目下的情形外，承包人应承担所有修补工作的费用：</w:t>
      </w:r>
      <w:bookmarkEnd w:id="524"/>
    </w:p>
    <w:p w14:paraId="4AC554E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（1）因发包人或其人员的任何行为导致的情形，且在此情况下发包人应承担因此引起的工期延误和承包人费用损失，并向承包人支付合理的利润。</w:t>
      </w:r>
    </w:p>
    <w:p w14:paraId="5C47E32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（2）第</w:t>
      </w:r>
      <w:r>
        <w:rPr>
          <w:rFonts w:asciiTheme="majorEastAsia" w:hAnsiTheme="majorEastAsia" w:eastAsiaTheme="majorEastAsia"/>
          <w:highlight w:val="none"/>
        </w:rPr>
        <w:t>17.4</w:t>
      </w:r>
      <w:r>
        <w:rPr>
          <w:rFonts w:hint="eastAsia" w:asciiTheme="majorEastAsia" w:hAnsiTheme="majorEastAsia" w:eastAsiaTheme="majorEastAsia"/>
          <w:highlight w:val="none"/>
        </w:rPr>
        <w:t>款[</w:t>
      </w:r>
      <w:r>
        <w:rPr>
          <w:rFonts w:asciiTheme="majorEastAsia" w:hAnsiTheme="majorEastAsia" w:eastAsiaTheme="majorEastAsia"/>
          <w:highlight w:val="none"/>
        </w:rPr>
        <w:t>不可抗力后果</w:t>
      </w:r>
      <w:r>
        <w:rPr>
          <w:rFonts w:hint="eastAsia" w:asciiTheme="majorEastAsia" w:hAnsiTheme="majorEastAsia" w:eastAsiaTheme="majorEastAsia"/>
          <w:highlight w:val="none"/>
        </w:rPr>
        <w:t>的</w:t>
      </w:r>
      <w:r>
        <w:rPr>
          <w:rFonts w:asciiTheme="majorEastAsia" w:hAnsiTheme="majorEastAsia" w:eastAsiaTheme="majorEastAsia"/>
          <w:highlight w:val="none"/>
        </w:rPr>
        <w:t>承担</w:t>
      </w:r>
      <w:r>
        <w:rPr>
          <w:rFonts w:hint="eastAsia" w:asciiTheme="majorEastAsia" w:hAnsiTheme="majorEastAsia" w:eastAsiaTheme="majorEastAsia"/>
          <w:highlight w:val="none"/>
        </w:rPr>
        <w:t>]中适用的不可抗力事件的情形。</w:t>
      </w:r>
    </w:p>
    <w:p w14:paraId="621540B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w:t>
      </w:r>
      <w:r>
        <w:rPr>
          <w:rFonts w:asciiTheme="majorEastAsia" w:hAnsiTheme="majorEastAsia" w:eastAsiaTheme="majorEastAsia"/>
          <w:highlight w:val="none"/>
        </w:rPr>
        <w:t xml:space="preserve">.6.3 </w:t>
      </w:r>
      <w:r>
        <w:rPr>
          <w:rFonts w:hint="eastAsia" w:asciiTheme="majorEastAsia" w:hAnsiTheme="majorEastAsia" w:eastAsiaTheme="majorEastAsia"/>
          <w:highlight w:val="none"/>
        </w:rPr>
        <w:t>如果承包人未能遵守发包人的指示，发包人可以自行决定请第三方完成上述修补工作，并有权要求承包人支付因未履行指示而产生的所有费用，但承包人根据第</w:t>
      </w:r>
      <w:r>
        <w:rPr>
          <w:rFonts w:asciiTheme="majorEastAsia" w:hAnsiTheme="majorEastAsia" w:eastAsiaTheme="majorEastAsia"/>
          <w:highlight w:val="none"/>
        </w:rPr>
        <w:t>6.6.2</w:t>
      </w:r>
      <w:r>
        <w:rPr>
          <w:rFonts w:hint="eastAsia" w:asciiTheme="majorEastAsia" w:hAnsiTheme="majorEastAsia" w:eastAsiaTheme="majorEastAsia"/>
          <w:highlight w:val="none"/>
        </w:rPr>
        <w:t>项有权就修补工作获得支付的情况除外。</w:t>
      </w:r>
    </w:p>
    <w:p w14:paraId="5FFC17A4">
      <w:pPr>
        <w:spacing w:line="560" w:lineRule="exact"/>
        <w:rPr>
          <w:rFonts w:asciiTheme="majorEastAsia" w:hAnsiTheme="majorEastAsia" w:eastAsiaTheme="majorEastAsia"/>
          <w:b/>
          <w:highlight w:val="none"/>
        </w:rPr>
      </w:pPr>
      <w:bookmarkStart w:id="525" w:name="_Toc54862235"/>
      <w:bookmarkStart w:id="526" w:name="_Ref531954214"/>
      <w:r>
        <w:rPr>
          <w:rFonts w:hint="eastAsia" w:asciiTheme="majorEastAsia" w:hAnsiTheme="majorEastAsia" w:eastAsiaTheme="majorEastAsia"/>
          <w:b/>
          <w:highlight w:val="none"/>
        </w:rPr>
        <w:t>第7条  施工</w:t>
      </w:r>
      <w:bookmarkEnd w:id="525"/>
      <w:bookmarkEnd w:id="526"/>
    </w:p>
    <w:p w14:paraId="17FAF59B">
      <w:pPr>
        <w:spacing w:line="560" w:lineRule="exact"/>
        <w:ind w:firstLine="410" w:firstLineChars="171"/>
        <w:rPr>
          <w:rFonts w:asciiTheme="majorEastAsia" w:hAnsiTheme="majorEastAsia" w:eastAsiaTheme="majorEastAsia"/>
          <w:highlight w:val="none"/>
        </w:rPr>
      </w:pPr>
      <w:bookmarkStart w:id="527" w:name="_Ref531954276"/>
      <w:bookmarkStart w:id="528" w:name="_Ref531954272"/>
      <w:bookmarkStart w:id="529" w:name="_Toc54862236"/>
      <w:bookmarkStart w:id="530" w:name="_Ref531954260"/>
      <w:bookmarkStart w:id="531" w:name="_Ref531954246"/>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.1 </w:t>
      </w:r>
      <w:r>
        <w:rPr>
          <w:rFonts w:hint="eastAsia" w:asciiTheme="majorEastAsia" w:hAnsiTheme="majorEastAsia" w:eastAsiaTheme="majorEastAsia"/>
          <w:highlight w:val="none"/>
        </w:rPr>
        <w:t>交通运输</w:t>
      </w:r>
      <w:bookmarkEnd w:id="527"/>
      <w:bookmarkEnd w:id="528"/>
      <w:bookmarkEnd w:id="529"/>
      <w:r>
        <w:rPr>
          <w:rFonts w:hint="eastAsia" w:asciiTheme="majorEastAsia" w:hAnsiTheme="majorEastAsia" w:eastAsiaTheme="majorEastAsia"/>
          <w:highlight w:val="none"/>
        </w:rPr>
        <w:t xml:space="preserve"> </w:t>
      </w:r>
    </w:p>
    <w:p w14:paraId="51F70423">
      <w:pPr>
        <w:spacing w:line="560" w:lineRule="exact"/>
        <w:ind w:firstLine="410" w:firstLineChars="171"/>
        <w:rPr>
          <w:rFonts w:asciiTheme="majorEastAsia" w:hAnsiTheme="majorEastAsia" w:eastAsiaTheme="majorEastAsia"/>
          <w:highlight w:val="none"/>
        </w:rPr>
      </w:pPr>
      <w:bookmarkStart w:id="532" w:name="_Ref4422645"/>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.1.1 </w:t>
      </w:r>
      <w:r>
        <w:rPr>
          <w:rFonts w:hint="eastAsia" w:asciiTheme="majorEastAsia" w:hAnsiTheme="majorEastAsia" w:eastAsiaTheme="majorEastAsia"/>
          <w:highlight w:val="none"/>
        </w:rPr>
        <w:t>出入现场的权利</w:t>
      </w:r>
      <w:bookmarkEnd w:id="532"/>
    </w:p>
    <w:p w14:paraId="6BC1ECA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5478CE95">
      <w:pPr>
        <w:spacing w:line="560" w:lineRule="exact"/>
        <w:ind w:firstLine="410" w:firstLineChars="171"/>
        <w:rPr>
          <w:rFonts w:asciiTheme="majorEastAsia" w:hAnsiTheme="majorEastAsia" w:eastAsiaTheme="majorEastAsia"/>
          <w:highlight w:val="none"/>
        </w:rPr>
      </w:pPr>
      <w:bookmarkStart w:id="533" w:name="_Ref18957045"/>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.1.2 </w:t>
      </w:r>
      <w:r>
        <w:rPr>
          <w:rFonts w:hint="eastAsia" w:asciiTheme="majorEastAsia" w:hAnsiTheme="majorEastAsia" w:eastAsiaTheme="majorEastAsia"/>
          <w:highlight w:val="none"/>
        </w:rPr>
        <w:t>场外交通</w:t>
      </w:r>
      <w:bookmarkEnd w:id="533"/>
    </w:p>
    <w:p w14:paraId="2FD5EED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7D5E2026">
      <w:pPr>
        <w:spacing w:line="560" w:lineRule="exact"/>
        <w:ind w:firstLine="410" w:firstLineChars="171"/>
        <w:rPr>
          <w:rFonts w:asciiTheme="majorEastAsia" w:hAnsiTheme="majorEastAsia" w:eastAsiaTheme="majorEastAsia"/>
          <w:highlight w:val="none"/>
        </w:rPr>
      </w:pPr>
      <w:bookmarkStart w:id="534" w:name="_Ref4622358"/>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.1.3 </w:t>
      </w:r>
      <w:r>
        <w:rPr>
          <w:rFonts w:hint="eastAsia" w:asciiTheme="majorEastAsia" w:hAnsiTheme="majorEastAsia" w:eastAsiaTheme="majorEastAsia"/>
          <w:highlight w:val="none"/>
        </w:rPr>
        <w:t>场内交通</w:t>
      </w:r>
      <w:bookmarkEnd w:id="534"/>
    </w:p>
    <w:p w14:paraId="748F636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61165494">
      <w:pPr>
        <w:spacing w:line="560" w:lineRule="exact"/>
        <w:ind w:firstLine="410" w:firstLineChars="171"/>
        <w:rPr>
          <w:rFonts w:asciiTheme="majorEastAsia" w:hAnsiTheme="majorEastAsia" w:eastAsiaTheme="majorEastAsia"/>
          <w:highlight w:val="none"/>
        </w:rPr>
      </w:pPr>
      <w:bookmarkStart w:id="535" w:name="_Ref4622376"/>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.1.4 </w:t>
      </w:r>
      <w:r>
        <w:rPr>
          <w:rFonts w:hint="eastAsia" w:asciiTheme="majorEastAsia" w:hAnsiTheme="majorEastAsia" w:eastAsiaTheme="majorEastAsia"/>
          <w:highlight w:val="none"/>
        </w:rPr>
        <w:t>超大件和超重件的运输</w:t>
      </w:r>
      <w:bookmarkEnd w:id="535"/>
    </w:p>
    <w:p w14:paraId="1EDC1F4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5A69ABB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.1.5 </w:t>
      </w:r>
      <w:r>
        <w:rPr>
          <w:rFonts w:hint="eastAsia" w:asciiTheme="majorEastAsia" w:hAnsiTheme="majorEastAsia" w:eastAsiaTheme="majorEastAsia"/>
          <w:highlight w:val="none"/>
        </w:rPr>
        <w:t>道路和桥梁的损坏责任</w:t>
      </w:r>
    </w:p>
    <w:p w14:paraId="156656F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因承包人运输造成施工现场内外公共道路和桥梁损坏的，由承包人承担修复损坏的全部费用和可能引起的赔偿。</w:t>
      </w:r>
    </w:p>
    <w:p w14:paraId="7C118CF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.1.6 </w:t>
      </w:r>
      <w:r>
        <w:rPr>
          <w:rFonts w:hint="eastAsia" w:asciiTheme="majorEastAsia" w:hAnsiTheme="majorEastAsia" w:eastAsiaTheme="majorEastAsia"/>
          <w:highlight w:val="none"/>
        </w:rPr>
        <w:t>水路和航空运输</w:t>
      </w:r>
    </w:p>
    <w:p w14:paraId="5ADE470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本条上述各款的内容适用于水路运输和航空运输，其中“道路”一词的涵义包括河道、航线、船闸、机场、码头、堤防以及水路或航空运输中其他相似结构物；“车辆”一词的涵义包括船舶和飞机等。</w:t>
      </w:r>
    </w:p>
    <w:p w14:paraId="18FBAF30">
      <w:pPr>
        <w:spacing w:line="560" w:lineRule="exact"/>
        <w:ind w:firstLine="410" w:firstLineChars="171"/>
        <w:rPr>
          <w:rFonts w:asciiTheme="majorEastAsia" w:hAnsiTheme="majorEastAsia" w:eastAsiaTheme="majorEastAsia"/>
          <w:highlight w:val="none"/>
        </w:rPr>
      </w:pPr>
      <w:bookmarkStart w:id="536" w:name="_Ref11919459"/>
      <w:bookmarkStart w:id="537" w:name="_Ref11919294"/>
      <w:bookmarkStart w:id="538" w:name="_Toc54862237"/>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.2 </w:t>
      </w:r>
      <w:r>
        <w:rPr>
          <w:rFonts w:hint="eastAsia" w:asciiTheme="majorEastAsia" w:hAnsiTheme="majorEastAsia" w:eastAsiaTheme="majorEastAsia"/>
          <w:highlight w:val="none"/>
        </w:rPr>
        <w:t>施工设备和临时设施</w:t>
      </w:r>
      <w:bookmarkEnd w:id="530"/>
      <w:bookmarkEnd w:id="531"/>
      <w:bookmarkEnd w:id="536"/>
      <w:bookmarkEnd w:id="537"/>
      <w:bookmarkEnd w:id="538"/>
      <w:r>
        <w:rPr>
          <w:rFonts w:hint="eastAsia" w:asciiTheme="majorEastAsia" w:hAnsiTheme="majorEastAsia" w:eastAsiaTheme="majorEastAsia"/>
          <w:highlight w:val="none"/>
        </w:rPr>
        <w:t xml:space="preserve"> </w:t>
      </w:r>
    </w:p>
    <w:p w14:paraId="78DF3075">
      <w:pPr>
        <w:spacing w:line="560" w:lineRule="exact"/>
        <w:ind w:firstLine="410" w:firstLineChars="171"/>
        <w:rPr>
          <w:rFonts w:asciiTheme="majorEastAsia" w:hAnsiTheme="majorEastAsia" w:eastAsiaTheme="majorEastAsia"/>
          <w:highlight w:val="none"/>
        </w:rPr>
      </w:pPr>
      <w:bookmarkStart w:id="539" w:name="_Ref18990767"/>
      <w:bookmarkStart w:id="540" w:name="_Ref509043186"/>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.2.1 </w:t>
      </w:r>
      <w:r>
        <w:rPr>
          <w:rFonts w:hint="eastAsia" w:asciiTheme="majorEastAsia" w:hAnsiTheme="majorEastAsia" w:eastAsiaTheme="majorEastAsia"/>
          <w:highlight w:val="none"/>
        </w:rPr>
        <w:t>承包人提供的施工设备和临时设施</w:t>
      </w:r>
      <w:bookmarkEnd w:id="539"/>
    </w:p>
    <w:p w14:paraId="4416BBB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36CE293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除专用合同条件另有约定外，承包人应自行承担修建临时设施的费用，需要临时占地的，应由发包人办理申请手续并承担相应费用。承包人应在专用合同条件</w:t>
      </w:r>
      <w:r>
        <w:rPr>
          <w:rFonts w:asciiTheme="majorEastAsia" w:hAnsiTheme="majorEastAsia" w:eastAsiaTheme="majorEastAsia"/>
          <w:highlight w:val="none"/>
        </w:rPr>
        <w:t>7.2</w:t>
      </w:r>
      <w:r>
        <w:rPr>
          <w:rFonts w:hint="eastAsia" w:asciiTheme="majorEastAsia" w:hAnsiTheme="majorEastAsia" w:eastAsiaTheme="majorEastAsia"/>
          <w:highlight w:val="none"/>
        </w:rPr>
        <w:t>款</w:t>
      </w:r>
      <w:r>
        <w:rPr>
          <w:rFonts w:asciiTheme="majorEastAsia" w:hAnsiTheme="majorEastAsia" w:eastAsiaTheme="majorEastAsia"/>
          <w:highlight w:val="none"/>
        </w:rPr>
        <w:t>约定的时间内向发包人提交临时占地资料，因承包人未能按时提交资料，导致工期延误的，由此增加的费用和（或）竣工日期延误，由承包人负责。</w:t>
      </w:r>
    </w:p>
    <w:bookmarkEnd w:id="540"/>
    <w:p w14:paraId="666C60F4">
      <w:pPr>
        <w:spacing w:line="560" w:lineRule="exact"/>
        <w:ind w:firstLine="410" w:firstLineChars="171"/>
        <w:rPr>
          <w:rFonts w:asciiTheme="majorEastAsia" w:hAnsiTheme="majorEastAsia" w:eastAsiaTheme="majorEastAsia"/>
          <w:highlight w:val="none"/>
        </w:rPr>
      </w:pPr>
      <w:bookmarkStart w:id="541" w:name="_Ref18990784"/>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.2.2 </w:t>
      </w:r>
      <w:r>
        <w:rPr>
          <w:rFonts w:hint="eastAsia" w:asciiTheme="majorEastAsia" w:hAnsiTheme="majorEastAsia" w:eastAsiaTheme="majorEastAsia"/>
          <w:highlight w:val="none"/>
        </w:rPr>
        <w:t>发包人提供的施工设备和临时设施</w:t>
      </w:r>
      <w:bookmarkEnd w:id="541"/>
    </w:p>
    <w:p w14:paraId="6897507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发包人提供的施工设备或临时设施在专用合同条件中约定。</w:t>
      </w:r>
    </w:p>
    <w:p w14:paraId="2FBD2CD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.2.3 </w:t>
      </w:r>
      <w:r>
        <w:rPr>
          <w:rFonts w:hint="eastAsia" w:asciiTheme="majorEastAsia" w:hAnsiTheme="majorEastAsia" w:eastAsiaTheme="majorEastAsia"/>
          <w:highlight w:val="none"/>
        </w:rPr>
        <w:t>要求承包人增加或更换施工设备</w:t>
      </w:r>
    </w:p>
    <w:p w14:paraId="7FC1F79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承包人使用的施工设备不能满足项目进度计划和（或）质量要求时，工程师有权要求承包人增加或更换施工设备，承包人应及时增加或更换，由此增加的费用和（或）延误的工期由承包人承担。</w:t>
      </w:r>
    </w:p>
    <w:p w14:paraId="2F89902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.2.4 </w:t>
      </w:r>
      <w:r>
        <w:rPr>
          <w:rFonts w:hint="eastAsia" w:asciiTheme="majorEastAsia" w:hAnsiTheme="majorEastAsia" w:eastAsiaTheme="majorEastAsia"/>
          <w:highlight w:val="none"/>
        </w:rPr>
        <w:t>施工设备和临时设施专用于合同工程</w:t>
      </w:r>
    </w:p>
    <w:p w14:paraId="78B910F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2A28E5DC">
      <w:pPr>
        <w:spacing w:line="560" w:lineRule="exact"/>
        <w:ind w:firstLine="410" w:firstLineChars="171"/>
        <w:rPr>
          <w:rFonts w:asciiTheme="majorEastAsia" w:hAnsiTheme="majorEastAsia" w:eastAsiaTheme="majorEastAsia"/>
          <w:highlight w:val="none"/>
        </w:rPr>
      </w:pPr>
      <w:bookmarkStart w:id="542" w:name="_Toc54862238"/>
      <w:bookmarkStart w:id="543" w:name="_Ref11874352"/>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.3 </w:t>
      </w:r>
      <w:r>
        <w:rPr>
          <w:rFonts w:hint="eastAsia" w:asciiTheme="majorEastAsia" w:hAnsiTheme="majorEastAsia" w:eastAsiaTheme="majorEastAsia"/>
          <w:highlight w:val="none"/>
        </w:rPr>
        <w:t>现场合作</w:t>
      </w:r>
      <w:bookmarkEnd w:id="542"/>
      <w:bookmarkEnd w:id="543"/>
    </w:p>
    <w:p w14:paraId="5AC0A77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承包人应按合同约定或发包人的指示，与发包人人员、发包人的其他承包人等人员就在现场或附近实施与工程有关的各项工作进行合作并提供适当条件，包括使用承包人设备、临时工程或进入现场等。</w:t>
      </w:r>
    </w:p>
    <w:p w14:paraId="0A19112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承包人应对其在现场的施工活动负责，并应尽合理努力按合同约定或发包人的指示，协调自身与发包人人员、发包人的其他承包人等人员的活动。</w:t>
      </w:r>
    </w:p>
    <w:p w14:paraId="1795771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66D18DDE">
      <w:pPr>
        <w:spacing w:line="560" w:lineRule="exact"/>
        <w:ind w:firstLine="410" w:firstLineChars="171"/>
        <w:rPr>
          <w:rFonts w:asciiTheme="majorEastAsia" w:hAnsiTheme="majorEastAsia" w:eastAsiaTheme="majorEastAsia"/>
          <w:highlight w:val="none"/>
        </w:rPr>
      </w:pPr>
      <w:bookmarkStart w:id="544" w:name="_Ref531954287"/>
      <w:bookmarkStart w:id="545" w:name="_Ref531954285"/>
      <w:bookmarkStart w:id="546" w:name="_Toc54862239"/>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.4 </w:t>
      </w:r>
      <w:r>
        <w:rPr>
          <w:rFonts w:hint="eastAsia" w:asciiTheme="majorEastAsia" w:hAnsiTheme="majorEastAsia" w:eastAsiaTheme="majorEastAsia"/>
          <w:highlight w:val="none"/>
        </w:rPr>
        <w:t>测量放线</w:t>
      </w:r>
      <w:bookmarkEnd w:id="544"/>
      <w:bookmarkEnd w:id="545"/>
      <w:bookmarkEnd w:id="546"/>
    </w:p>
    <w:p w14:paraId="7A59BCB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.4.1 </w:t>
      </w:r>
      <w:r>
        <w:rPr>
          <w:rFonts w:hint="eastAsia" w:asciiTheme="majorEastAsia" w:hAnsiTheme="majorEastAsia" w:eastAsiaTheme="majorEastAsia"/>
          <w:highlight w:val="none"/>
        </w:rPr>
        <w:t>除专用合同条件另有约定外，承包人应根据国家测绘基准、测绘系统和工程测量技术规范，按基准点（线）以及合同工程精度要求，测设施工控制网，并在专用合同条件约定的期限内，将施工控制网资料报送工程师。</w:t>
      </w:r>
    </w:p>
    <w:p w14:paraId="0300F16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.4.2 </w:t>
      </w:r>
      <w:r>
        <w:rPr>
          <w:rFonts w:hint="eastAsia" w:asciiTheme="majorEastAsia" w:hAnsiTheme="majorEastAsia" w:eastAsiaTheme="majorEastAsia"/>
          <w:highlight w:val="none"/>
        </w:rPr>
        <w:t>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1C6188F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.4.3 </w:t>
      </w:r>
      <w:r>
        <w:rPr>
          <w:rFonts w:hint="eastAsia" w:asciiTheme="majorEastAsia" w:hAnsiTheme="majorEastAsia" w:eastAsiaTheme="majorEastAsia"/>
          <w:highlight w:val="none"/>
        </w:rPr>
        <w:t>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725C1ED3">
      <w:pPr>
        <w:spacing w:line="560" w:lineRule="exact"/>
        <w:ind w:firstLine="410" w:firstLineChars="171"/>
        <w:rPr>
          <w:rFonts w:asciiTheme="majorEastAsia" w:hAnsiTheme="majorEastAsia" w:eastAsiaTheme="majorEastAsia"/>
          <w:highlight w:val="none"/>
        </w:rPr>
      </w:pPr>
      <w:bookmarkStart w:id="547" w:name="_Toc54862240"/>
      <w:bookmarkStart w:id="548" w:name="_Ref531954323"/>
      <w:bookmarkStart w:id="549" w:name="_Ref4770992"/>
      <w:bookmarkStart w:id="550" w:name="_Ref531954329"/>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.5 </w:t>
      </w:r>
      <w:r>
        <w:rPr>
          <w:rFonts w:hint="eastAsia" w:asciiTheme="majorEastAsia" w:hAnsiTheme="majorEastAsia" w:eastAsiaTheme="majorEastAsia"/>
          <w:highlight w:val="none"/>
        </w:rPr>
        <w:t>现场劳动用工</w:t>
      </w:r>
      <w:bookmarkEnd w:id="547"/>
    </w:p>
    <w:p w14:paraId="73E7CAB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7.5.1 承包人及其分包人招用建筑工人的，</w:t>
      </w:r>
      <w:r>
        <w:rPr>
          <w:rFonts w:hint="eastAsia" w:asciiTheme="majorEastAsia" w:hAnsiTheme="majorEastAsia" w:eastAsiaTheme="majorEastAsia"/>
          <w:highlight w:val="none"/>
        </w:rPr>
        <w:t>应当依法与所招用的建筑工人订立</w:t>
      </w:r>
      <w:r>
        <w:rPr>
          <w:rFonts w:asciiTheme="majorEastAsia" w:hAnsiTheme="majorEastAsia" w:eastAsiaTheme="majorEastAsia"/>
          <w:highlight w:val="none"/>
        </w:rPr>
        <w:t>劳动合同，实行建筑工人劳动用工实名制管理，</w:t>
      </w:r>
      <w:r>
        <w:rPr>
          <w:rFonts w:hint="eastAsia" w:asciiTheme="majorEastAsia" w:hAnsiTheme="majorEastAsia" w:eastAsiaTheme="majorEastAsia"/>
          <w:highlight w:val="none"/>
        </w:rPr>
        <w:t>承包人</w:t>
      </w:r>
      <w:r>
        <w:rPr>
          <w:rFonts w:asciiTheme="majorEastAsia" w:hAnsiTheme="majorEastAsia" w:eastAsiaTheme="majorEastAsia"/>
          <w:highlight w:val="none"/>
        </w:rPr>
        <w:t>应当按照有关规定开设建筑工人工资专用账户、存储工资保证金，专项用于支付和保障该工程建设项目建筑工人工资。</w:t>
      </w:r>
    </w:p>
    <w:p w14:paraId="2AD67BC9">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7.5.2 承包人应当在工程项目部配备劳资专管员，对分包单位劳动用工及工资发放实施监督管理。</w:t>
      </w:r>
      <w:r>
        <w:rPr>
          <w:rFonts w:hint="eastAsia" w:asciiTheme="majorEastAsia" w:hAnsiTheme="majorEastAsia" w:eastAsiaTheme="majorEastAsia"/>
          <w:highlight w:val="none"/>
        </w:rPr>
        <w:t>承包人拖欠建筑工人工资的</w:t>
      </w:r>
      <w:r>
        <w:rPr>
          <w:rFonts w:asciiTheme="majorEastAsia" w:hAnsiTheme="majorEastAsia" w:eastAsiaTheme="majorEastAsia"/>
          <w:highlight w:val="none"/>
        </w:rPr>
        <w:t>,应当依法予以清偿。分包人拖欠建筑工人工资的,由承包人先行清偿,再依法进行追偿。</w:t>
      </w:r>
      <w:r>
        <w:rPr>
          <w:rFonts w:hint="eastAsia" w:asciiTheme="majorEastAsia" w:hAnsiTheme="majorEastAsia" w:eastAsiaTheme="majorEastAsia"/>
          <w:highlight w:val="none"/>
        </w:rPr>
        <w:t>因发包人未按照合同约定及时拨付工程款导致建筑工人工资拖欠的，发包人应当以未结清的工程款为限先行垫付被拖欠的建筑工人工资。合同当事人可在专用合同条件中约定具体的清偿事宜和违约责任。</w:t>
      </w:r>
    </w:p>
    <w:p w14:paraId="20F1492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7.5.3 承包人应当按照相关法律法规的要求，进行劳动用工管理和建筑工人工资支付。</w:t>
      </w:r>
    </w:p>
    <w:p w14:paraId="4E35457D">
      <w:pPr>
        <w:spacing w:line="560" w:lineRule="exact"/>
        <w:ind w:firstLine="410" w:firstLineChars="171"/>
        <w:rPr>
          <w:rFonts w:asciiTheme="majorEastAsia" w:hAnsiTheme="majorEastAsia" w:eastAsiaTheme="majorEastAsia"/>
          <w:highlight w:val="none"/>
        </w:rPr>
      </w:pPr>
      <w:bookmarkStart w:id="551" w:name="_Ref41554059"/>
      <w:bookmarkStart w:id="552" w:name="_Toc54862241"/>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.6 </w:t>
      </w:r>
      <w:r>
        <w:rPr>
          <w:rFonts w:hint="eastAsia" w:asciiTheme="majorEastAsia" w:hAnsiTheme="majorEastAsia" w:eastAsiaTheme="majorEastAsia"/>
          <w:highlight w:val="none"/>
        </w:rPr>
        <w:t>安全文明施工</w:t>
      </w:r>
      <w:bookmarkEnd w:id="548"/>
      <w:bookmarkEnd w:id="549"/>
      <w:bookmarkEnd w:id="550"/>
      <w:bookmarkEnd w:id="551"/>
      <w:bookmarkEnd w:id="552"/>
    </w:p>
    <w:p w14:paraId="1B08B11B">
      <w:pPr>
        <w:spacing w:line="560" w:lineRule="exact"/>
        <w:ind w:firstLine="410" w:firstLineChars="171"/>
        <w:rPr>
          <w:rFonts w:asciiTheme="majorEastAsia" w:hAnsiTheme="majorEastAsia" w:eastAsiaTheme="majorEastAsia"/>
          <w:highlight w:val="none"/>
        </w:rPr>
      </w:pPr>
      <w:bookmarkStart w:id="553" w:name="_Ref18990822"/>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.6.1 </w:t>
      </w:r>
      <w:r>
        <w:rPr>
          <w:rFonts w:hint="eastAsia" w:asciiTheme="majorEastAsia" w:hAnsiTheme="majorEastAsia" w:eastAsiaTheme="majorEastAsia"/>
          <w:highlight w:val="none"/>
        </w:rPr>
        <w:t>安全生产要求</w:t>
      </w:r>
      <w:bookmarkEnd w:id="553"/>
    </w:p>
    <w:p w14:paraId="573C60B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1626D51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3E03FD3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因安全生产需要暂停施工的，按照第</w:t>
      </w:r>
      <w:r>
        <w:rPr>
          <w:rFonts w:asciiTheme="majorEastAsia" w:hAnsiTheme="majorEastAsia" w:eastAsiaTheme="majorEastAsia"/>
          <w:highlight w:val="none"/>
        </w:rPr>
        <w:t>8.9</w:t>
      </w:r>
      <w:r>
        <w:rPr>
          <w:rFonts w:hint="eastAsia" w:asciiTheme="majorEastAsia" w:hAnsiTheme="majorEastAsia" w:eastAsiaTheme="majorEastAsia"/>
          <w:highlight w:val="none"/>
        </w:rPr>
        <w:t>款[暂停工作]的约定执行。</w:t>
      </w:r>
    </w:p>
    <w:p w14:paraId="2C9AA96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.6.2 </w:t>
      </w:r>
      <w:r>
        <w:rPr>
          <w:rFonts w:hint="eastAsia" w:asciiTheme="majorEastAsia" w:hAnsiTheme="majorEastAsia" w:eastAsiaTheme="majorEastAsia"/>
          <w:highlight w:val="none"/>
        </w:rPr>
        <w:t>安全生产保证措施</w:t>
      </w:r>
    </w:p>
    <w:p w14:paraId="0E4D50A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16D7EF2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66A9182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259BBE01">
      <w:pPr>
        <w:spacing w:line="560" w:lineRule="exact"/>
        <w:ind w:firstLine="410" w:firstLineChars="171"/>
        <w:rPr>
          <w:rFonts w:asciiTheme="majorEastAsia" w:hAnsiTheme="majorEastAsia" w:eastAsiaTheme="majorEastAsia"/>
          <w:highlight w:val="none"/>
        </w:rPr>
      </w:pPr>
      <w:bookmarkStart w:id="554" w:name="_Ref18990840"/>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.6.3 </w:t>
      </w:r>
      <w:r>
        <w:rPr>
          <w:rFonts w:hint="eastAsia" w:asciiTheme="majorEastAsia" w:hAnsiTheme="majorEastAsia" w:eastAsiaTheme="majorEastAsia"/>
          <w:highlight w:val="none"/>
        </w:rPr>
        <w:t>文明施工</w:t>
      </w:r>
      <w:bookmarkEnd w:id="554"/>
    </w:p>
    <w:p w14:paraId="0A11052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0BDA751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308AD74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.6.4 </w:t>
      </w:r>
      <w:r>
        <w:rPr>
          <w:rFonts w:hint="eastAsia" w:asciiTheme="majorEastAsia" w:hAnsiTheme="majorEastAsia" w:eastAsiaTheme="majorEastAsia"/>
          <w:highlight w:val="none"/>
        </w:rPr>
        <w:t>事故处理</w:t>
      </w:r>
    </w:p>
    <w:p w14:paraId="2658485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1663409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0CCDE95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.6.5 </w:t>
      </w:r>
      <w:r>
        <w:rPr>
          <w:rFonts w:hint="eastAsia" w:asciiTheme="majorEastAsia" w:hAnsiTheme="majorEastAsia" w:eastAsiaTheme="majorEastAsia"/>
          <w:highlight w:val="none"/>
        </w:rPr>
        <w:t>安全生产责任</w:t>
      </w:r>
    </w:p>
    <w:p w14:paraId="6C84EEA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发包人应负责赔偿以下各种情况造成的损失：</w:t>
      </w:r>
    </w:p>
    <w:p w14:paraId="6DEBD10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 工程或工程的任何部分对土地的占用所造成的第三者财产损失；</w:t>
      </w:r>
    </w:p>
    <w:p w14:paraId="28B4060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 由于发包人原因在施工现场及其毗邻地带、履行合同工作中造成的第三者人身伤亡和财产损失；</w:t>
      </w:r>
    </w:p>
    <w:p w14:paraId="6B6AE6A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 由于发包人原因对发包人自身、承包人、工程师造成的人身伤害和财产损失。</w:t>
      </w:r>
    </w:p>
    <w:p w14:paraId="2975979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承包人应负责赔偿由于承包人原因在施工现场及其毗邻地带、履行合同工作中造成的第三者人身伤亡和财产损失。</w:t>
      </w:r>
    </w:p>
    <w:p w14:paraId="00B7B89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如果上述损失是由于发包人和承包人共同原因导致的，则双方应根据过错情况按比例承担。</w:t>
      </w:r>
    </w:p>
    <w:p w14:paraId="3C235C83">
      <w:pPr>
        <w:spacing w:line="560" w:lineRule="exact"/>
        <w:ind w:firstLine="410" w:firstLineChars="171"/>
        <w:rPr>
          <w:rFonts w:asciiTheme="majorEastAsia" w:hAnsiTheme="majorEastAsia" w:eastAsiaTheme="majorEastAsia"/>
          <w:highlight w:val="none"/>
        </w:rPr>
      </w:pPr>
      <w:bookmarkStart w:id="555" w:name="_Ref41554069"/>
      <w:bookmarkStart w:id="556" w:name="_Ref11874562"/>
      <w:bookmarkStart w:id="557" w:name="_Toc54862242"/>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.7 </w:t>
      </w:r>
      <w:r>
        <w:rPr>
          <w:rFonts w:hint="eastAsia" w:asciiTheme="majorEastAsia" w:hAnsiTheme="majorEastAsia" w:eastAsiaTheme="majorEastAsia"/>
          <w:highlight w:val="none"/>
        </w:rPr>
        <w:t>职业健康</w:t>
      </w:r>
      <w:bookmarkEnd w:id="555"/>
      <w:bookmarkEnd w:id="556"/>
      <w:bookmarkEnd w:id="557"/>
    </w:p>
    <w:p w14:paraId="6A1DB09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承包人应遵守适用的职业健康的法律和合同约定（包括对雇用、职业健康、安全、福利等方面的规定），负责现场实施过程中其人员的职业健康和保护，包括：</w:t>
      </w:r>
    </w:p>
    <w:p w14:paraId="68E5797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3B2E37E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 承包人应依法为承包人</w:t>
      </w:r>
      <w:bookmarkStart w:id="558" w:name="_Hlk46339538"/>
      <w:r>
        <w:rPr>
          <w:rFonts w:hint="eastAsia" w:asciiTheme="majorEastAsia" w:hAnsiTheme="majorEastAsia" w:eastAsiaTheme="majorEastAsia"/>
          <w:highlight w:val="none"/>
        </w:rPr>
        <w:t>员工及承包人聘用的第三方人员</w:t>
      </w:r>
      <w:bookmarkEnd w:id="558"/>
      <w:r>
        <w:rPr>
          <w:rFonts w:hint="eastAsia" w:asciiTheme="majorEastAsia" w:hAnsiTheme="majorEastAsia" w:eastAsiaTheme="majorEastAsia"/>
          <w:highlight w:val="none"/>
        </w:rPr>
        <w:t>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4CC0E1B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41BE2DA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58EF238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14:paraId="5C595595">
      <w:pPr>
        <w:spacing w:line="560" w:lineRule="exact"/>
        <w:ind w:firstLine="410" w:firstLineChars="171"/>
        <w:rPr>
          <w:rFonts w:asciiTheme="majorEastAsia" w:hAnsiTheme="majorEastAsia" w:eastAsiaTheme="majorEastAsia"/>
          <w:highlight w:val="none"/>
        </w:rPr>
      </w:pPr>
      <w:bookmarkStart w:id="559" w:name="_Ref11874570"/>
      <w:bookmarkStart w:id="560" w:name="_Toc54862243"/>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.8 </w:t>
      </w:r>
      <w:r>
        <w:rPr>
          <w:rFonts w:hint="eastAsia" w:asciiTheme="majorEastAsia" w:hAnsiTheme="majorEastAsia" w:eastAsiaTheme="majorEastAsia"/>
          <w:highlight w:val="none"/>
        </w:rPr>
        <w:t>环境保护</w:t>
      </w:r>
      <w:bookmarkEnd w:id="559"/>
      <w:bookmarkEnd w:id="560"/>
    </w:p>
    <w:p w14:paraId="7C94FE8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.8.1 </w:t>
      </w:r>
      <w:r>
        <w:rPr>
          <w:rFonts w:hint="eastAsia" w:asciiTheme="majorEastAsia" w:hAnsiTheme="majorEastAsia" w:eastAsiaTheme="majorEastAsia"/>
          <w:highlight w:val="none"/>
        </w:rPr>
        <w:t>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052BBE7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.8.2 </w:t>
      </w:r>
      <w:r>
        <w:rPr>
          <w:rFonts w:hint="eastAsia" w:asciiTheme="majorEastAsia" w:hAnsiTheme="majorEastAsia" w:eastAsiaTheme="majorEastAsia"/>
          <w:highlight w:val="none"/>
        </w:rPr>
        <w:t>承包人应采取措施，并负责控制和（或）处理现场的粉尘、废气、废水、固体废物和噪声对环境的污染和危害。因此发生的伤害、赔偿、罚款等费用增加，和（或）竣工日期延误，由承包人负责。</w:t>
      </w:r>
    </w:p>
    <w:p w14:paraId="59E0543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.8.3 </w:t>
      </w:r>
      <w:r>
        <w:rPr>
          <w:rFonts w:hint="eastAsia" w:asciiTheme="majorEastAsia" w:hAnsiTheme="majorEastAsia" w:eastAsiaTheme="majorEastAsia"/>
          <w:highlight w:val="none"/>
        </w:rPr>
        <w:t>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5D617C66">
      <w:pPr>
        <w:spacing w:line="560" w:lineRule="exact"/>
        <w:ind w:firstLine="410" w:firstLineChars="171"/>
        <w:rPr>
          <w:rFonts w:asciiTheme="majorEastAsia" w:hAnsiTheme="majorEastAsia" w:eastAsiaTheme="majorEastAsia"/>
          <w:highlight w:val="none"/>
        </w:rPr>
      </w:pPr>
      <w:bookmarkStart w:id="561" w:name="_Ref531954344"/>
      <w:bookmarkStart w:id="562" w:name="_Toc54862244"/>
      <w:bookmarkStart w:id="563" w:name="_Ref531954340"/>
      <w:bookmarkStart w:id="564" w:name="_Ref4771116"/>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.9 </w:t>
      </w:r>
      <w:r>
        <w:rPr>
          <w:rFonts w:hint="eastAsia" w:asciiTheme="majorEastAsia" w:hAnsiTheme="majorEastAsia" w:eastAsiaTheme="majorEastAsia"/>
          <w:highlight w:val="none"/>
        </w:rPr>
        <w:t>临时性公用设施</w:t>
      </w:r>
      <w:bookmarkEnd w:id="561"/>
      <w:bookmarkEnd w:id="562"/>
      <w:bookmarkEnd w:id="563"/>
      <w:r>
        <w:rPr>
          <w:rFonts w:hint="eastAsia" w:asciiTheme="majorEastAsia" w:hAnsiTheme="majorEastAsia" w:eastAsiaTheme="majorEastAsia"/>
          <w:highlight w:val="none"/>
        </w:rPr>
        <w:t xml:space="preserve"> </w:t>
      </w:r>
      <w:bookmarkEnd w:id="564"/>
    </w:p>
    <w:p w14:paraId="2F3B7CC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.9.1 </w:t>
      </w:r>
      <w:r>
        <w:rPr>
          <w:rFonts w:hint="eastAsia" w:asciiTheme="majorEastAsia" w:hAnsiTheme="majorEastAsia" w:eastAsiaTheme="majorEastAsia"/>
          <w:highlight w:val="none"/>
        </w:rPr>
        <w:t>提供临时用水、用电等和节点铺设</w:t>
      </w:r>
    </w:p>
    <w:p w14:paraId="72E893E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362AF1E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3768747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.9.2 </w:t>
      </w:r>
      <w:r>
        <w:rPr>
          <w:rFonts w:hint="eastAsia" w:asciiTheme="majorEastAsia" w:hAnsiTheme="majorEastAsia" w:eastAsiaTheme="majorEastAsia"/>
          <w:highlight w:val="none"/>
        </w:rPr>
        <w:t>临时用水、用电等</w:t>
      </w:r>
    </w:p>
    <w:p w14:paraId="2894959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4BB8600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因承包人未能按合同约定提交上述资料，造成发包人费用增加和竣工日期延误时，由承包人负责。</w:t>
      </w:r>
      <w:bookmarkStart w:id="565" w:name="_Ref508893743"/>
    </w:p>
    <w:p w14:paraId="116F65C1">
      <w:pPr>
        <w:spacing w:line="560" w:lineRule="exact"/>
        <w:ind w:firstLine="410" w:firstLineChars="171"/>
        <w:rPr>
          <w:rFonts w:asciiTheme="majorEastAsia" w:hAnsiTheme="majorEastAsia" w:eastAsiaTheme="majorEastAsia"/>
          <w:highlight w:val="none"/>
        </w:rPr>
      </w:pPr>
      <w:bookmarkStart w:id="566" w:name="_Ref531952248"/>
      <w:bookmarkStart w:id="567" w:name="_Ref531952239"/>
      <w:bookmarkStart w:id="568" w:name="_Toc54862245"/>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.10 </w:t>
      </w:r>
      <w:r>
        <w:rPr>
          <w:rFonts w:hint="eastAsia" w:asciiTheme="majorEastAsia" w:hAnsiTheme="majorEastAsia" w:eastAsiaTheme="majorEastAsia"/>
          <w:highlight w:val="none"/>
        </w:rPr>
        <w:t>现场安保</w:t>
      </w:r>
      <w:bookmarkEnd w:id="566"/>
      <w:bookmarkEnd w:id="567"/>
      <w:bookmarkEnd w:id="568"/>
    </w:p>
    <w:p w14:paraId="6A1128B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4BE5593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承包人应将其作业限制在现场区域、合同约定的区域或为履行合同所需的区域内。承包人应采取一切必要的预防措施，以保持承包人的设备和人员处于现场区域内，避免其进入邻近地区。</w:t>
      </w:r>
    </w:p>
    <w:p w14:paraId="3C8F2B3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承包人为履行合同义务而占用的其他场所（如预制加工场所、办公及生活营区） 的安保适用本款前述关于现场安保的规定。</w:t>
      </w:r>
    </w:p>
    <w:p w14:paraId="75102FA5">
      <w:pPr>
        <w:spacing w:line="560" w:lineRule="exact"/>
        <w:ind w:firstLine="410" w:firstLineChars="171"/>
        <w:rPr>
          <w:rFonts w:asciiTheme="majorEastAsia" w:hAnsiTheme="majorEastAsia" w:eastAsiaTheme="majorEastAsia"/>
          <w:highlight w:val="none"/>
        </w:rPr>
      </w:pPr>
      <w:bookmarkStart w:id="569" w:name="_Toc54862246"/>
      <w:r>
        <w:rPr>
          <w:rFonts w:hint="eastAsia" w:asciiTheme="majorEastAsia" w:hAnsiTheme="majorEastAsia" w:eastAsiaTheme="majorEastAsia"/>
          <w:highlight w:val="none"/>
        </w:rPr>
        <w:t>7</w:t>
      </w:r>
      <w:r>
        <w:rPr>
          <w:rFonts w:asciiTheme="majorEastAsia" w:hAnsiTheme="majorEastAsia" w:eastAsiaTheme="majorEastAsia"/>
          <w:highlight w:val="none"/>
        </w:rPr>
        <w:t xml:space="preserve">.11 </w:t>
      </w:r>
      <w:r>
        <w:rPr>
          <w:rFonts w:hint="eastAsia" w:asciiTheme="majorEastAsia" w:hAnsiTheme="majorEastAsia" w:eastAsiaTheme="majorEastAsia"/>
          <w:highlight w:val="none"/>
        </w:rPr>
        <w:t>工程照管</w:t>
      </w:r>
      <w:bookmarkEnd w:id="569"/>
    </w:p>
    <w:p w14:paraId="6DF5B08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自开始现场施工日期起至发包人应当接收工程之日止，承包人应承担工程现场、材料、设备及承包人文件的照管和维护工作。</w:t>
      </w:r>
    </w:p>
    <w:p w14:paraId="27D9C0F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如部分工程于竣工验收前提前交付发包人的，则自交付之日起，该部分工程照管及维护职责由发包人承担。</w:t>
      </w:r>
    </w:p>
    <w:p w14:paraId="1856A90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如发包人及承包人进行竣工验收时尚有部分未竣工工程的，承包人应负责该未竣工工程的照管和维护工作，直至竣工后移交给发包人。</w:t>
      </w:r>
    </w:p>
    <w:p w14:paraId="703D0D2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如合同解除或终止的，承包人自合同解除或终止之日起不再对工程承担照管和维护义务。</w:t>
      </w:r>
    </w:p>
    <w:p w14:paraId="343B9D83">
      <w:pPr>
        <w:spacing w:line="560" w:lineRule="exact"/>
        <w:rPr>
          <w:rFonts w:asciiTheme="majorEastAsia" w:hAnsiTheme="majorEastAsia" w:eastAsiaTheme="majorEastAsia"/>
          <w:b/>
          <w:highlight w:val="none"/>
        </w:rPr>
      </w:pPr>
      <w:bookmarkStart w:id="570" w:name="_Ref508998009"/>
      <w:bookmarkStart w:id="571" w:name="_Toc54862247"/>
      <w:bookmarkStart w:id="572" w:name="_Ref531954505"/>
      <w:bookmarkStart w:id="573" w:name="_Ref531954518"/>
      <w:r>
        <w:rPr>
          <w:rFonts w:hint="eastAsia" w:asciiTheme="majorEastAsia" w:hAnsiTheme="majorEastAsia" w:eastAsiaTheme="majorEastAsia"/>
          <w:b/>
          <w:highlight w:val="none"/>
        </w:rPr>
        <w:t>第8条  工期和进度</w:t>
      </w:r>
      <w:bookmarkEnd w:id="570"/>
      <w:bookmarkEnd w:id="571"/>
    </w:p>
    <w:p w14:paraId="5723C154">
      <w:pPr>
        <w:spacing w:line="560" w:lineRule="exact"/>
        <w:ind w:firstLine="410" w:firstLineChars="171"/>
        <w:rPr>
          <w:rFonts w:asciiTheme="majorEastAsia" w:hAnsiTheme="majorEastAsia" w:eastAsiaTheme="majorEastAsia"/>
          <w:highlight w:val="none"/>
        </w:rPr>
      </w:pPr>
      <w:bookmarkStart w:id="574" w:name="_Ref532362075"/>
      <w:bookmarkStart w:id="575" w:name="_Ref532362777"/>
      <w:bookmarkStart w:id="576" w:name="_Ref532362072"/>
      <w:bookmarkStart w:id="577" w:name="_Toc54862248"/>
      <w:bookmarkStart w:id="578" w:name="_Ref532362774"/>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.1 </w:t>
      </w:r>
      <w:r>
        <w:rPr>
          <w:rFonts w:hint="eastAsia" w:asciiTheme="majorEastAsia" w:hAnsiTheme="majorEastAsia" w:eastAsiaTheme="majorEastAsia"/>
          <w:highlight w:val="none"/>
        </w:rPr>
        <w:t>开始工作</w:t>
      </w:r>
      <w:bookmarkEnd w:id="574"/>
      <w:bookmarkEnd w:id="575"/>
      <w:bookmarkEnd w:id="576"/>
      <w:bookmarkEnd w:id="577"/>
      <w:bookmarkEnd w:id="578"/>
    </w:p>
    <w:p w14:paraId="1C56DE84">
      <w:pPr>
        <w:spacing w:line="560" w:lineRule="exact"/>
        <w:ind w:firstLine="410" w:firstLineChars="171"/>
        <w:rPr>
          <w:rFonts w:asciiTheme="majorEastAsia" w:hAnsiTheme="majorEastAsia" w:eastAsiaTheme="majorEastAsia"/>
          <w:highlight w:val="none"/>
        </w:rPr>
      </w:pPr>
      <w:bookmarkStart w:id="579" w:name="_Ref4428890"/>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.1.1 </w:t>
      </w:r>
      <w:r>
        <w:rPr>
          <w:rFonts w:hint="eastAsia" w:asciiTheme="majorEastAsia" w:hAnsiTheme="majorEastAsia" w:eastAsiaTheme="majorEastAsia"/>
          <w:highlight w:val="none"/>
        </w:rPr>
        <w:t>开始工作准备</w:t>
      </w:r>
      <w:bookmarkEnd w:id="579"/>
    </w:p>
    <w:p w14:paraId="12769EE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合同当事人应按专用合同条件约定完成开始工作准备工作。</w:t>
      </w:r>
    </w:p>
    <w:p w14:paraId="2A141A0A">
      <w:pPr>
        <w:spacing w:line="560" w:lineRule="exact"/>
        <w:ind w:firstLine="410" w:firstLineChars="171"/>
        <w:rPr>
          <w:rFonts w:asciiTheme="majorEastAsia" w:hAnsiTheme="majorEastAsia" w:eastAsiaTheme="majorEastAsia"/>
          <w:highlight w:val="none"/>
        </w:rPr>
      </w:pPr>
      <w:bookmarkStart w:id="580" w:name="_Ref536790534"/>
      <w:bookmarkStart w:id="581" w:name="_Hlk51506490"/>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.1.2 </w:t>
      </w:r>
      <w:r>
        <w:rPr>
          <w:rFonts w:hint="eastAsia" w:asciiTheme="majorEastAsia" w:hAnsiTheme="majorEastAsia" w:eastAsiaTheme="majorEastAsia"/>
          <w:highlight w:val="none"/>
        </w:rPr>
        <w:t>开始工作通知</w:t>
      </w:r>
      <w:bookmarkEnd w:id="580"/>
    </w:p>
    <w:bookmarkEnd w:id="581"/>
    <w:p w14:paraId="79D66C2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经发包人同意后，工程师应提前7天向承包人发出经发包人签认的开始工作通知，工期自开始工作通知中载明的开始工作日期起算。</w:t>
      </w:r>
    </w:p>
    <w:p w14:paraId="57AD88D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除专用合同条件另有约定外，因发包人原因造成实际开始现场施工日期迟于</w:t>
      </w:r>
      <w:bookmarkStart w:id="582" w:name="_Hlk51506566"/>
      <w:r>
        <w:rPr>
          <w:rFonts w:hint="eastAsia" w:asciiTheme="majorEastAsia" w:hAnsiTheme="majorEastAsia" w:eastAsiaTheme="majorEastAsia"/>
          <w:highlight w:val="none"/>
        </w:rPr>
        <w:t>计划开始现场施工日期</w:t>
      </w:r>
      <w:bookmarkEnd w:id="582"/>
      <w:r>
        <w:rPr>
          <w:rFonts w:hint="eastAsia" w:asciiTheme="majorEastAsia" w:hAnsiTheme="majorEastAsia" w:eastAsiaTheme="majorEastAsia"/>
          <w:highlight w:val="none"/>
        </w:rPr>
        <w:t>后第</w:t>
      </w:r>
      <w:r>
        <w:rPr>
          <w:rFonts w:asciiTheme="majorEastAsia" w:hAnsiTheme="majorEastAsia" w:eastAsiaTheme="majorEastAsia"/>
          <w:highlight w:val="none"/>
        </w:rPr>
        <w:t>84</w:t>
      </w:r>
      <w:r>
        <w:rPr>
          <w:rFonts w:hint="eastAsia" w:asciiTheme="majorEastAsia" w:hAnsiTheme="majorEastAsia" w:eastAsiaTheme="majorEastAsia"/>
          <w:highlight w:val="none"/>
        </w:rPr>
        <w:t>天的，承包人有权提出价格调整要求，或者解除合同。发包人应当承担由此增加的费用和（或）延误的工期，并向承包人支付合理利润。</w:t>
      </w:r>
    </w:p>
    <w:p w14:paraId="22C44A32">
      <w:pPr>
        <w:spacing w:line="560" w:lineRule="exact"/>
        <w:ind w:firstLine="410" w:firstLineChars="171"/>
        <w:rPr>
          <w:rFonts w:asciiTheme="majorEastAsia" w:hAnsiTheme="majorEastAsia" w:eastAsiaTheme="majorEastAsia"/>
          <w:highlight w:val="none"/>
        </w:rPr>
      </w:pPr>
      <w:bookmarkStart w:id="583" w:name="_Toc54862249"/>
      <w:bookmarkStart w:id="584" w:name="_Ref532362124"/>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.2 </w:t>
      </w:r>
      <w:r>
        <w:rPr>
          <w:rFonts w:hint="eastAsia" w:asciiTheme="majorEastAsia" w:hAnsiTheme="majorEastAsia" w:eastAsiaTheme="majorEastAsia"/>
          <w:highlight w:val="none"/>
        </w:rPr>
        <w:t>竣工日期</w:t>
      </w:r>
      <w:bookmarkEnd w:id="583"/>
      <w:bookmarkEnd w:id="584"/>
      <w:r>
        <w:rPr>
          <w:rFonts w:hint="eastAsia" w:asciiTheme="majorEastAsia" w:hAnsiTheme="majorEastAsia" w:eastAsiaTheme="majorEastAsia"/>
          <w:highlight w:val="none"/>
        </w:rPr>
        <w:t xml:space="preserve"> </w:t>
      </w:r>
    </w:p>
    <w:p w14:paraId="5BD9E1F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承包人应在合同协议书约定的工期内完成合同工作。除专用合同条件另有约定外，工程的竣工日期以第</w:t>
      </w:r>
      <w:r>
        <w:rPr>
          <w:rFonts w:asciiTheme="majorEastAsia" w:hAnsiTheme="majorEastAsia" w:eastAsiaTheme="majorEastAsia"/>
          <w:highlight w:val="none"/>
        </w:rPr>
        <w:t>10.1</w:t>
      </w:r>
      <w:r>
        <w:rPr>
          <w:rFonts w:hint="eastAsia" w:asciiTheme="majorEastAsia" w:hAnsiTheme="majorEastAsia" w:eastAsiaTheme="majorEastAsia"/>
          <w:highlight w:val="none"/>
        </w:rPr>
        <w:t>条[竣工验收]的约定为准，并在工程接收证书中写明。</w:t>
      </w:r>
    </w:p>
    <w:p w14:paraId="16D717A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因发包人原因，在工程师收到承包人竣工验收申请报告</w:t>
      </w:r>
      <w:r>
        <w:rPr>
          <w:rFonts w:asciiTheme="majorEastAsia" w:hAnsiTheme="majorEastAsia" w:eastAsiaTheme="majorEastAsia"/>
          <w:highlight w:val="none"/>
        </w:rPr>
        <w:t>42</w:t>
      </w:r>
      <w:r>
        <w:rPr>
          <w:rFonts w:hint="eastAsia" w:asciiTheme="majorEastAsia" w:hAnsiTheme="majorEastAsia" w:eastAsiaTheme="majorEastAsia"/>
          <w:highlight w:val="none"/>
        </w:rPr>
        <w:t>天后未进行验收的，视为验收合格，实际竣工日期以提交竣工验收申请报告的日期为准，但发包人由于不可抗力不能进行验收的除外。</w:t>
      </w:r>
    </w:p>
    <w:p w14:paraId="050A842A">
      <w:pPr>
        <w:spacing w:line="560" w:lineRule="exact"/>
        <w:ind w:firstLine="410" w:firstLineChars="171"/>
        <w:rPr>
          <w:rFonts w:asciiTheme="majorEastAsia" w:hAnsiTheme="majorEastAsia" w:eastAsiaTheme="majorEastAsia"/>
          <w:highlight w:val="none"/>
        </w:rPr>
      </w:pPr>
      <w:bookmarkStart w:id="585" w:name="_Toc54862250"/>
      <w:bookmarkStart w:id="586" w:name="_Ref11863334"/>
      <w:bookmarkStart w:id="587" w:name="_Ref532352856"/>
      <w:bookmarkStart w:id="588" w:name="_Ref532352853"/>
      <w:bookmarkStart w:id="589" w:name="_Ref532362204"/>
      <w:bookmarkStart w:id="590" w:name="_Ref532362207"/>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.3 </w:t>
      </w:r>
      <w:r>
        <w:rPr>
          <w:rFonts w:hint="eastAsia" w:asciiTheme="majorEastAsia" w:hAnsiTheme="majorEastAsia" w:eastAsiaTheme="majorEastAsia"/>
          <w:highlight w:val="none"/>
        </w:rPr>
        <w:t>项目实施计划</w:t>
      </w:r>
      <w:bookmarkEnd w:id="585"/>
      <w:bookmarkEnd w:id="586"/>
    </w:p>
    <w:p w14:paraId="0B290526">
      <w:pPr>
        <w:spacing w:line="560" w:lineRule="exact"/>
        <w:ind w:firstLine="410" w:firstLineChars="171"/>
        <w:rPr>
          <w:rFonts w:asciiTheme="majorEastAsia" w:hAnsiTheme="majorEastAsia" w:eastAsiaTheme="majorEastAsia"/>
          <w:highlight w:val="none"/>
        </w:rPr>
      </w:pPr>
      <w:bookmarkStart w:id="591" w:name="_Ref18990904"/>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.3.1 </w:t>
      </w:r>
      <w:r>
        <w:rPr>
          <w:rFonts w:hint="eastAsia" w:asciiTheme="majorEastAsia" w:hAnsiTheme="majorEastAsia" w:eastAsiaTheme="majorEastAsia"/>
          <w:highlight w:val="none"/>
        </w:rPr>
        <w:t>项目实施计划的内容</w:t>
      </w:r>
      <w:bookmarkEnd w:id="591"/>
    </w:p>
    <w:p w14:paraId="65FE1A3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22E051DB">
      <w:pPr>
        <w:spacing w:line="560" w:lineRule="exact"/>
        <w:ind w:firstLine="410" w:firstLineChars="171"/>
        <w:rPr>
          <w:rFonts w:asciiTheme="majorEastAsia" w:hAnsiTheme="majorEastAsia" w:eastAsiaTheme="majorEastAsia"/>
          <w:highlight w:val="none"/>
        </w:rPr>
      </w:pPr>
      <w:bookmarkStart w:id="592" w:name="_Ref18990921"/>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.3.2 </w:t>
      </w:r>
      <w:r>
        <w:rPr>
          <w:rFonts w:hint="eastAsia" w:asciiTheme="majorEastAsia" w:hAnsiTheme="majorEastAsia" w:eastAsiaTheme="majorEastAsia"/>
          <w:highlight w:val="none"/>
        </w:rPr>
        <w:t>项目实施计划的提交和修改</w:t>
      </w:r>
      <w:bookmarkEnd w:id="592"/>
    </w:p>
    <w:p w14:paraId="0396E2B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6EC32AA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项目进度计划的编制和修改按照第</w:t>
      </w:r>
      <w:r>
        <w:rPr>
          <w:rFonts w:asciiTheme="majorEastAsia" w:hAnsiTheme="majorEastAsia" w:eastAsiaTheme="majorEastAsia"/>
          <w:highlight w:val="none"/>
        </w:rPr>
        <w:t>8.4</w:t>
      </w:r>
      <w:r>
        <w:rPr>
          <w:rFonts w:hint="eastAsia" w:asciiTheme="majorEastAsia" w:hAnsiTheme="majorEastAsia" w:eastAsiaTheme="majorEastAsia"/>
          <w:highlight w:val="none"/>
        </w:rPr>
        <w:t>款[项目进度计划]执行。</w:t>
      </w:r>
    </w:p>
    <w:p w14:paraId="184E25FF">
      <w:pPr>
        <w:spacing w:line="560" w:lineRule="exact"/>
        <w:ind w:firstLine="410" w:firstLineChars="171"/>
        <w:rPr>
          <w:rFonts w:asciiTheme="majorEastAsia" w:hAnsiTheme="majorEastAsia" w:eastAsiaTheme="majorEastAsia"/>
          <w:highlight w:val="none"/>
        </w:rPr>
      </w:pPr>
      <w:bookmarkStart w:id="593" w:name="_Toc54862251"/>
      <w:bookmarkStart w:id="594" w:name="_Ref11865507"/>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.4 </w:t>
      </w:r>
      <w:r>
        <w:rPr>
          <w:rFonts w:hint="eastAsia" w:asciiTheme="majorEastAsia" w:hAnsiTheme="majorEastAsia" w:eastAsiaTheme="majorEastAsia"/>
          <w:highlight w:val="none"/>
        </w:rPr>
        <w:t>项目进度计划</w:t>
      </w:r>
      <w:bookmarkEnd w:id="587"/>
      <w:bookmarkEnd w:id="588"/>
      <w:bookmarkEnd w:id="589"/>
      <w:bookmarkEnd w:id="590"/>
      <w:bookmarkEnd w:id="593"/>
      <w:bookmarkEnd w:id="594"/>
    </w:p>
    <w:p w14:paraId="1B61F6DF">
      <w:pPr>
        <w:spacing w:line="560" w:lineRule="exact"/>
        <w:ind w:firstLine="410" w:firstLineChars="171"/>
        <w:rPr>
          <w:rFonts w:asciiTheme="majorEastAsia" w:hAnsiTheme="majorEastAsia" w:eastAsiaTheme="majorEastAsia"/>
          <w:highlight w:val="none"/>
        </w:rPr>
      </w:pPr>
      <w:bookmarkStart w:id="595" w:name="_Ref4681217"/>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.4.1 </w:t>
      </w:r>
      <w:r>
        <w:rPr>
          <w:rFonts w:hint="eastAsia" w:asciiTheme="majorEastAsia" w:hAnsiTheme="majorEastAsia" w:eastAsiaTheme="majorEastAsia"/>
          <w:highlight w:val="none"/>
        </w:rPr>
        <w:t>项目进度计划的提交和修改</w:t>
      </w:r>
      <w:bookmarkEnd w:id="595"/>
    </w:p>
    <w:p w14:paraId="203C43A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承包人应按照第</w:t>
      </w:r>
      <w:r>
        <w:rPr>
          <w:rFonts w:asciiTheme="majorEastAsia" w:hAnsiTheme="majorEastAsia" w:eastAsiaTheme="majorEastAsia"/>
          <w:highlight w:val="none"/>
        </w:rPr>
        <w:t>8.3</w:t>
      </w:r>
      <w:r>
        <w:rPr>
          <w:rFonts w:hint="eastAsia" w:asciiTheme="majorEastAsia" w:hAnsiTheme="majorEastAsia" w:eastAsiaTheme="majorEastAsia"/>
          <w:highlight w:val="none"/>
        </w:rPr>
        <w:t>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37AF8F9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5EA8AF62">
      <w:pPr>
        <w:spacing w:line="560" w:lineRule="exact"/>
        <w:ind w:firstLine="410" w:firstLineChars="171"/>
        <w:rPr>
          <w:rFonts w:asciiTheme="majorEastAsia" w:hAnsiTheme="majorEastAsia" w:eastAsiaTheme="majorEastAsia"/>
          <w:highlight w:val="none"/>
        </w:rPr>
      </w:pPr>
      <w:bookmarkStart w:id="596" w:name="_Ref4429079"/>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.4.2 </w:t>
      </w:r>
      <w:r>
        <w:rPr>
          <w:rFonts w:hint="eastAsia" w:asciiTheme="majorEastAsia" w:hAnsiTheme="majorEastAsia" w:eastAsiaTheme="majorEastAsia"/>
          <w:highlight w:val="none"/>
        </w:rPr>
        <w:t>项目进度计划的内容</w:t>
      </w:r>
      <w:bookmarkEnd w:id="596"/>
    </w:p>
    <w:p w14:paraId="5EFFEBF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6F66CDC6">
      <w:pPr>
        <w:spacing w:line="560" w:lineRule="exact"/>
        <w:ind w:firstLine="410" w:firstLineChars="171"/>
        <w:rPr>
          <w:rFonts w:asciiTheme="majorEastAsia" w:hAnsiTheme="majorEastAsia" w:eastAsiaTheme="majorEastAsia"/>
          <w:highlight w:val="none"/>
        </w:rPr>
      </w:pPr>
      <w:bookmarkStart w:id="597" w:name="_Ref3848203"/>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.4.3 </w:t>
      </w:r>
      <w:r>
        <w:rPr>
          <w:rFonts w:hint="eastAsia" w:asciiTheme="majorEastAsia" w:hAnsiTheme="majorEastAsia" w:eastAsiaTheme="majorEastAsia"/>
          <w:highlight w:val="none"/>
        </w:rPr>
        <w:t>项目进度计划的修订</w:t>
      </w:r>
      <w:bookmarkEnd w:id="597"/>
    </w:p>
    <w:p w14:paraId="2718413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7B20D94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11B0B79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除合同当事人另有约定外，项目进度计划的修订并不能减轻或者免除双方按第</w:t>
      </w:r>
      <w:r>
        <w:rPr>
          <w:rFonts w:asciiTheme="majorEastAsia" w:hAnsiTheme="majorEastAsia" w:eastAsiaTheme="majorEastAsia"/>
          <w:highlight w:val="none"/>
        </w:rPr>
        <w:t>8.7</w:t>
      </w:r>
      <w:r>
        <w:rPr>
          <w:rFonts w:hint="eastAsia" w:asciiTheme="majorEastAsia" w:hAnsiTheme="majorEastAsia" w:eastAsiaTheme="majorEastAsia"/>
          <w:highlight w:val="none"/>
        </w:rPr>
        <w:t>款[工期延误]、第</w:t>
      </w:r>
      <w:r>
        <w:rPr>
          <w:rFonts w:asciiTheme="majorEastAsia" w:hAnsiTheme="majorEastAsia" w:eastAsiaTheme="majorEastAsia"/>
          <w:highlight w:val="none"/>
        </w:rPr>
        <w:t>8.8</w:t>
      </w:r>
      <w:r>
        <w:rPr>
          <w:rFonts w:hint="eastAsia" w:asciiTheme="majorEastAsia" w:hAnsiTheme="majorEastAsia" w:eastAsiaTheme="majorEastAsia"/>
          <w:highlight w:val="none"/>
        </w:rPr>
        <w:t>款[工期提前]、第</w:t>
      </w:r>
      <w:r>
        <w:rPr>
          <w:rFonts w:asciiTheme="majorEastAsia" w:hAnsiTheme="majorEastAsia" w:eastAsiaTheme="majorEastAsia"/>
          <w:highlight w:val="none"/>
        </w:rPr>
        <w:t>8.9</w:t>
      </w:r>
      <w:r>
        <w:rPr>
          <w:rFonts w:hint="eastAsia" w:asciiTheme="majorEastAsia" w:hAnsiTheme="majorEastAsia" w:eastAsiaTheme="majorEastAsia"/>
          <w:highlight w:val="none"/>
        </w:rPr>
        <w:t>款[暂停工作]应承担的合同责任。</w:t>
      </w:r>
    </w:p>
    <w:p w14:paraId="651BA0F9">
      <w:pPr>
        <w:spacing w:line="560" w:lineRule="exact"/>
        <w:ind w:firstLine="410" w:firstLineChars="171"/>
        <w:rPr>
          <w:rFonts w:asciiTheme="majorEastAsia" w:hAnsiTheme="majorEastAsia" w:eastAsiaTheme="majorEastAsia"/>
          <w:highlight w:val="none"/>
        </w:rPr>
      </w:pPr>
      <w:bookmarkStart w:id="598" w:name="_Toc54862252"/>
      <w:bookmarkStart w:id="599" w:name="_Ref532362278"/>
      <w:bookmarkStart w:id="600" w:name="_Ref532362276"/>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.5 </w:t>
      </w:r>
      <w:r>
        <w:rPr>
          <w:rFonts w:hint="eastAsia" w:asciiTheme="majorEastAsia" w:hAnsiTheme="majorEastAsia" w:eastAsiaTheme="majorEastAsia"/>
          <w:highlight w:val="none"/>
        </w:rPr>
        <w:t>进度报告</w:t>
      </w:r>
      <w:bookmarkEnd w:id="598"/>
      <w:bookmarkEnd w:id="599"/>
      <w:bookmarkEnd w:id="600"/>
    </w:p>
    <w:p w14:paraId="069AA2A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项目实施过程中，承包人应进行实际进度记录，并根据工程师的要求编制月进度报告，并提交给工程师。进度报告应包含以下主要内容：</w:t>
      </w:r>
    </w:p>
    <w:p w14:paraId="3708EF7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（1）工程设计、采购、施工等各个工作内容的进展报告；</w:t>
      </w:r>
    </w:p>
    <w:p w14:paraId="1D04AE6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（2）工程施工方法的一般说明；</w:t>
      </w:r>
    </w:p>
    <w:p w14:paraId="22B5F84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（3）当月工程实施介入的项目人员、设备和材料的预估明细报告；</w:t>
      </w:r>
    </w:p>
    <w:p w14:paraId="06DD1DD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 xml:space="preserve">（4）当月实际进度与进度计划对比分析，以及提出未来可能引起工期延误的情形，同时提出应对措施；需要修订项目进度计划的，应对项目进度计划的修订部分进行说明； </w:t>
      </w:r>
    </w:p>
    <w:p w14:paraId="53A87A0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（5）承包人对于解决工期延误所提出的建议；</w:t>
      </w:r>
    </w:p>
    <w:p w14:paraId="708AD10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（6）其他与工程有关的重大事项。</w:t>
      </w:r>
    </w:p>
    <w:p w14:paraId="11BE331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进度报告的具体要求等，在专用合同条件约定。</w:t>
      </w:r>
    </w:p>
    <w:p w14:paraId="72FD5FA0">
      <w:pPr>
        <w:spacing w:line="560" w:lineRule="exact"/>
        <w:ind w:firstLine="410" w:firstLineChars="171"/>
        <w:rPr>
          <w:rFonts w:asciiTheme="majorEastAsia" w:hAnsiTheme="majorEastAsia" w:eastAsiaTheme="majorEastAsia"/>
          <w:highlight w:val="none"/>
        </w:rPr>
      </w:pPr>
      <w:bookmarkStart w:id="601" w:name="_Toc54862253"/>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.6 </w:t>
      </w:r>
      <w:r>
        <w:rPr>
          <w:rFonts w:hint="eastAsia" w:asciiTheme="majorEastAsia" w:hAnsiTheme="majorEastAsia" w:eastAsiaTheme="majorEastAsia"/>
          <w:highlight w:val="none"/>
        </w:rPr>
        <w:t>提前预警</w:t>
      </w:r>
      <w:bookmarkEnd w:id="601"/>
    </w:p>
    <w:p w14:paraId="1DA798C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任何一方应当在下列情形发生时尽快书面通知另一方：</w:t>
      </w:r>
    </w:p>
    <w:p w14:paraId="6BA3321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（1）该情形可能对合同的履行或实现合同目的产生不利影响；</w:t>
      </w:r>
    </w:p>
    <w:p w14:paraId="1B5BE93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（2）该情形可能对工程完成后的使用产生不利影响；</w:t>
      </w:r>
    </w:p>
    <w:p w14:paraId="6B4DBD3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（3）该情形可能导致合同价款增加；</w:t>
      </w:r>
    </w:p>
    <w:p w14:paraId="2B35511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（4）该情形可能导致整个工程或单位/区段工程的工期延长。</w:t>
      </w:r>
    </w:p>
    <w:p w14:paraId="26DD0EF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发包人有权要求承包人根据第</w:t>
      </w:r>
      <w:r>
        <w:rPr>
          <w:rFonts w:asciiTheme="majorEastAsia" w:hAnsiTheme="majorEastAsia" w:eastAsiaTheme="majorEastAsia"/>
          <w:highlight w:val="none"/>
        </w:rPr>
        <w:t>13.2</w:t>
      </w:r>
      <w:r>
        <w:rPr>
          <w:rFonts w:hint="eastAsia" w:asciiTheme="majorEastAsia" w:hAnsiTheme="majorEastAsia" w:eastAsiaTheme="majorEastAsia"/>
          <w:highlight w:val="none"/>
        </w:rPr>
        <w:t>款[承包人的合理化建议]的约定提交变更建议，采取措施尽量避免或最小化上述情形的发生或影响。</w:t>
      </w:r>
    </w:p>
    <w:p w14:paraId="62B1E0FA">
      <w:pPr>
        <w:spacing w:line="560" w:lineRule="exact"/>
        <w:ind w:firstLine="410" w:firstLineChars="171"/>
        <w:rPr>
          <w:rFonts w:asciiTheme="majorEastAsia" w:hAnsiTheme="majorEastAsia" w:eastAsiaTheme="majorEastAsia"/>
          <w:highlight w:val="none"/>
        </w:rPr>
      </w:pPr>
      <w:bookmarkStart w:id="602" w:name="_Toc4784162"/>
      <w:bookmarkEnd w:id="602"/>
      <w:bookmarkStart w:id="603" w:name="_Toc4784159"/>
      <w:bookmarkEnd w:id="603"/>
      <w:bookmarkStart w:id="604" w:name="_Toc4784165"/>
      <w:bookmarkEnd w:id="604"/>
      <w:bookmarkStart w:id="605" w:name="_Toc4784171"/>
      <w:bookmarkEnd w:id="605"/>
      <w:bookmarkStart w:id="606" w:name="_Toc4784166"/>
      <w:bookmarkEnd w:id="606"/>
      <w:bookmarkStart w:id="607" w:name="_Toc4784154"/>
      <w:bookmarkEnd w:id="607"/>
      <w:bookmarkStart w:id="608" w:name="_Toc4784167"/>
      <w:bookmarkEnd w:id="608"/>
      <w:bookmarkStart w:id="609" w:name="_Toc4784160"/>
      <w:bookmarkEnd w:id="609"/>
      <w:bookmarkStart w:id="610" w:name="_Toc4784170"/>
      <w:bookmarkEnd w:id="610"/>
      <w:bookmarkStart w:id="611" w:name="_Toc4784168"/>
      <w:bookmarkEnd w:id="611"/>
      <w:bookmarkStart w:id="612" w:name="_Toc4784158"/>
      <w:bookmarkEnd w:id="612"/>
      <w:bookmarkStart w:id="613" w:name="_Toc4784174"/>
      <w:bookmarkEnd w:id="613"/>
      <w:bookmarkStart w:id="614" w:name="_Toc4784161"/>
      <w:bookmarkEnd w:id="614"/>
      <w:bookmarkStart w:id="615" w:name="_Toc4784169"/>
      <w:bookmarkEnd w:id="615"/>
      <w:bookmarkStart w:id="616" w:name="_Toc4784157"/>
      <w:bookmarkEnd w:id="616"/>
      <w:bookmarkStart w:id="617" w:name="_Toc4784172"/>
      <w:bookmarkEnd w:id="617"/>
      <w:bookmarkStart w:id="618" w:name="_Toc4784175"/>
      <w:bookmarkEnd w:id="618"/>
      <w:bookmarkStart w:id="619" w:name="_Toc4784173"/>
      <w:bookmarkEnd w:id="619"/>
      <w:bookmarkStart w:id="620" w:name="_Toc4784155"/>
      <w:bookmarkEnd w:id="620"/>
      <w:bookmarkStart w:id="621" w:name="_Toc4784164"/>
      <w:bookmarkEnd w:id="621"/>
      <w:bookmarkStart w:id="622" w:name="_Toc4784163"/>
      <w:bookmarkEnd w:id="622"/>
      <w:bookmarkStart w:id="623" w:name="_Toc4784156"/>
      <w:bookmarkEnd w:id="623"/>
      <w:bookmarkStart w:id="624" w:name="_Ref4770106"/>
      <w:bookmarkStart w:id="625" w:name="_Toc54862254"/>
      <w:bookmarkStart w:id="626" w:name="_Ref532362359"/>
      <w:bookmarkStart w:id="627" w:name="_Ref532362356"/>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.7 </w:t>
      </w:r>
      <w:r>
        <w:rPr>
          <w:rFonts w:hint="eastAsia" w:asciiTheme="majorEastAsia" w:hAnsiTheme="majorEastAsia" w:eastAsiaTheme="majorEastAsia"/>
          <w:highlight w:val="none"/>
        </w:rPr>
        <w:t>工期延误</w:t>
      </w:r>
      <w:bookmarkEnd w:id="624"/>
      <w:bookmarkEnd w:id="625"/>
    </w:p>
    <w:p w14:paraId="24F51F73">
      <w:pPr>
        <w:spacing w:line="560" w:lineRule="exact"/>
        <w:ind w:firstLine="410" w:firstLineChars="171"/>
        <w:rPr>
          <w:rFonts w:asciiTheme="majorEastAsia" w:hAnsiTheme="majorEastAsia" w:eastAsiaTheme="majorEastAsia"/>
          <w:highlight w:val="none"/>
        </w:rPr>
      </w:pPr>
      <w:bookmarkStart w:id="628" w:name="_Ref4796050"/>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.7.1 </w:t>
      </w:r>
      <w:r>
        <w:rPr>
          <w:rFonts w:hint="eastAsia" w:asciiTheme="majorEastAsia" w:hAnsiTheme="majorEastAsia" w:eastAsiaTheme="majorEastAsia"/>
          <w:highlight w:val="none"/>
        </w:rPr>
        <w:t>因发包人原因导致工期延误</w:t>
      </w:r>
      <w:bookmarkEnd w:id="628"/>
    </w:p>
    <w:p w14:paraId="13BA69D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在合同履行过程中，因下列情况导致工期延误和（或）费用增加的，由发包人承担由此延误的工期和（或）增加的费用，且发包人应支付承包人合理的利润：</w:t>
      </w:r>
    </w:p>
    <w:p w14:paraId="1217102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（1）根据第</w:t>
      </w:r>
      <w:r>
        <w:rPr>
          <w:rFonts w:asciiTheme="majorEastAsia" w:hAnsiTheme="majorEastAsia" w:eastAsiaTheme="majorEastAsia"/>
          <w:highlight w:val="none"/>
        </w:rPr>
        <w:t>13条</w:t>
      </w:r>
      <w:r>
        <w:rPr>
          <w:rFonts w:hint="eastAsia" w:asciiTheme="majorEastAsia" w:hAnsiTheme="majorEastAsia" w:eastAsiaTheme="majorEastAsia"/>
          <w:highlight w:val="none"/>
        </w:rPr>
        <w:t>[变更与调整]的约定构成一项变更的；</w:t>
      </w:r>
    </w:p>
    <w:p w14:paraId="492D4DC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（2）发包人违反本合同约定，导致工期延误和（或）费用增加的；</w:t>
      </w:r>
    </w:p>
    <w:p w14:paraId="3CE03B9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（3）发包人、发包人代表、工程师或发包人聘请的任意第三方造成或引起的任何延误、妨碍和阻碍；</w:t>
      </w:r>
    </w:p>
    <w:p w14:paraId="41BA66E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（4）发包人未能依据第</w:t>
      </w:r>
      <w:r>
        <w:rPr>
          <w:rFonts w:asciiTheme="majorEastAsia" w:hAnsiTheme="majorEastAsia" w:eastAsiaTheme="majorEastAsia"/>
          <w:highlight w:val="none"/>
        </w:rPr>
        <w:t>6.2.1</w:t>
      </w:r>
      <w:r>
        <w:rPr>
          <w:rFonts w:hint="eastAsia" w:asciiTheme="majorEastAsia" w:hAnsiTheme="majorEastAsia" w:eastAsiaTheme="majorEastAsia"/>
          <w:highlight w:val="none"/>
        </w:rPr>
        <w:t>项[发包人提供的材料和工程设备]的约定提供材料和工程设备导致工期延误和（或）费用增加的；</w:t>
      </w:r>
    </w:p>
    <w:p w14:paraId="6470C3A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（5）因发包人原因导致的暂停施工；</w:t>
      </w:r>
    </w:p>
    <w:p w14:paraId="43B9DFE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（6）发包人未及时履行相关合同义务，造成工期延误的其他原因。</w:t>
      </w:r>
    </w:p>
    <w:p w14:paraId="642B9B50">
      <w:pPr>
        <w:spacing w:line="560" w:lineRule="exact"/>
        <w:ind w:firstLine="410" w:firstLineChars="171"/>
        <w:rPr>
          <w:rFonts w:asciiTheme="majorEastAsia" w:hAnsiTheme="majorEastAsia" w:eastAsiaTheme="majorEastAsia"/>
          <w:highlight w:val="none"/>
        </w:rPr>
      </w:pPr>
      <w:bookmarkStart w:id="629" w:name="_Ref4770209"/>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.7.2 </w:t>
      </w:r>
      <w:r>
        <w:rPr>
          <w:rFonts w:hint="eastAsia" w:asciiTheme="majorEastAsia" w:hAnsiTheme="majorEastAsia" w:eastAsiaTheme="majorEastAsia"/>
          <w:highlight w:val="none"/>
        </w:rPr>
        <w:t>因承包人原因导致工期延误</w:t>
      </w:r>
      <w:bookmarkEnd w:id="629"/>
    </w:p>
    <w:p w14:paraId="215A364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由于承包人的原因，未能按项目进度计划完成工作，承包人应采取措施加快进度，并承担加快进度所增加的费用。</w:t>
      </w:r>
    </w:p>
    <w:p w14:paraId="13FA48C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1717E728">
      <w:pPr>
        <w:spacing w:line="560" w:lineRule="exact"/>
        <w:ind w:firstLine="410" w:firstLineChars="171"/>
        <w:rPr>
          <w:rFonts w:asciiTheme="majorEastAsia" w:hAnsiTheme="majorEastAsia" w:eastAsiaTheme="majorEastAsia"/>
          <w:highlight w:val="none"/>
        </w:rPr>
      </w:pPr>
      <w:bookmarkStart w:id="630" w:name="_Ref4770872"/>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.7.3 </w:t>
      </w:r>
      <w:r>
        <w:rPr>
          <w:rFonts w:hint="eastAsia" w:asciiTheme="majorEastAsia" w:hAnsiTheme="majorEastAsia" w:eastAsiaTheme="majorEastAsia"/>
          <w:highlight w:val="none"/>
        </w:rPr>
        <w:t>行政审批迟延</w:t>
      </w:r>
      <w:bookmarkEnd w:id="630"/>
      <w:r>
        <w:rPr>
          <w:rFonts w:hint="eastAsia" w:asciiTheme="majorEastAsia" w:hAnsiTheme="majorEastAsia" w:eastAsiaTheme="majorEastAsia"/>
          <w:highlight w:val="none"/>
        </w:rPr>
        <w:t xml:space="preserve"> </w:t>
      </w:r>
    </w:p>
    <w:p w14:paraId="6AF7B05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30E4C362">
      <w:pPr>
        <w:spacing w:line="560" w:lineRule="exact"/>
        <w:ind w:firstLine="410" w:firstLineChars="171"/>
        <w:rPr>
          <w:rFonts w:asciiTheme="majorEastAsia" w:hAnsiTheme="majorEastAsia" w:eastAsiaTheme="majorEastAsia"/>
          <w:highlight w:val="none"/>
        </w:rPr>
      </w:pPr>
      <w:bookmarkStart w:id="631" w:name="_Ref4770933"/>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.7.4 </w:t>
      </w:r>
      <w:r>
        <w:rPr>
          <w:rFonts w:hint="eastAsia" w:asciiTheme="majorEastAsia" w:hAnsiTheme="majorEastAsia" w:eastAsiaTheme="majorEastAsia"/>
          <w:highlight w:val="none"/>
        </w:rPr>
        <w:t>异常恶劣的气候条件</w:t>
      </w:r>
      <w:bookmarkEnd w:id="631"/>
    </w:p>
    <w:p w14:paraId="34BA926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73E732F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承包人应采取克服异常恶劣的气候条件的合理措施继续施工，并及时通知工程师。工程师应当及时发出指示，指示构成变更的，按第</w:t>
      </w:r>
      <w:r>
        <w:rPr>
          <w:rFonts w:asciiTheme="majorEastAsia" w:hAnsiTheme="majorEastAsia" w:eastAsiaTheme="majorEastAsia"/>
          <w:highlight w:val="none"/>
        </w:rPr>
        <w:t>13条</w:t>
      </w:r>
      <w:r>
        <w:rPr>
          <w:rFonts w:hint="eastAsia" w:asciiTheme="majorEastAsia" w:hAnsiTheme="majorEastAsia" w:eastAsiaTheme="majorEastAsia"/>
          <w:highlight w:val="none"/>
        </w:rPr>
        <w:t>[变更与调整]约定办理。承包人因采取合理措施而延误的工期由发包人承担。</w:t>
      </w:r>
    </w:p>
    <w:p w14:paraId="14E54036">
      <w:pPr>
        <w:spacing w:line="560" w:lineRule="exact"/>
        <w:ind w:firstLine="410" w:firstLineChars="171"/>
        <w:rPr>
          <w:rFonts w:asciiTheme="majorEastAsia" w:hAnsiTheme="majorEastAsia" w:eastAsiaTheme="majorEastAsia"/>
          <w:highlight w:val="none"/>
        </w:rPr>
      </w:pPr>
      <w:bookmarkStart w:id="632" w:name="_Ref4781828"/>
      <w:bookmarkStart w:id="633" w:name="_Toc54862255"/>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.8 </w:t>
      </w:r>
      <w:r>
        <w:rPr>
          <w:rFonts w:hint="eastAsia" w:asciiTheme="majorEastAsia" w:hAnsiTheme="majorEastAsia" w:eastAsiaTheme="majorEastAsia"/>
          <w:highlight w:val="none"/>
        </w:rPr>
        <w:t>工期提前</w:t>
      </w:r>
      <w:bookmarkEnd w:id="626"/>
      <w:bookmarkEnd w:id="627"/>
      <w:bookmarkEnd w:id="632"/>
      <w:bookmarkEnd w:id="633"/>
    </w:p>
    <w:p w14:paraId="3CA7A06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.8.1 </w:t>
      </w:r>
      <w:r>
        <w:rPr>
          <w:rFonts w:hint="eastAsia" w:asciiTheme="majorEastAsia" w:hAnsiTheme="majorEastAsia" w:eastAsiaTheme="majorEastAsia"/>
          <w:highlight w:val="none"/>
        </w:rPr>
        <w:t>发包人指示承包人提前竣工且被承包人接受的，应与承包人共同协商采取加快工程进度的措施和修订项目进度计划。发包人应承担承包人由此增加的费用，增加的费用按第</w:t>
      </w:r>
      <w:r>
        <w:rPr>
          <w:rFonts w:asciiTheme="majorEastAsia" w:hAnsiTheme="majorEastAsia" w:eastAsiaTheme="majorEastAsia"/>
          <w:highlight w:val="none"/>
        </w:rPr>
        <w:t>13条</w:t>
      </w:r>
      <w:r>
        <w:rPr>
          <w:rFonts w:hint="eastAsia" w:asciiTheme="majorEastAsia" w:hAnsiTheme="majorEastAsia" w:eastAsiaTheme="majorEastAsia"/>
          <w:highlight w:val="none"/>
        </w:rPr>
        <w:t>[</w:t>
      </w:r>
      <w:r>
        <w:rPr>
          <w:rFonts w:asciiTheme="majorEastAsia" w:hAnsiTheme="majorEastAsia" w:eastAsiaTheme="majorEastAsia"/>
          <w:highlight w:val="none"/>
        </w:rPr>
        <w:t>变更与调整</w:t>
      </w:r>
      <w:r>
        <w:rPr>
          <w:rFonts w:hint="eastAsia" w:asciiTheme="majorEastAsia" w:hAnsiTheme="majorEastAsia" w:eastAsiaTheme="majorEastAsia"/>
          <w:highlight w:val="none"/>
        </w:rPr>
        <w:t>]的约定执行；发包人不得以任何理由要求承包人超过合理限度压缩工期。承包人有权不接受提前竣工的指示，工期按照合同约定执行。</w:t>
      </w:r>
    </w:p>
    <w:p w14:paraId="528BD88C">
      <w:pPr>
        <w:spacing w:line="560" w:lineRule="exact"/>
        <w:ind w:firstLine="410" w:firstLineChars="171"/>
        <w:rPr>
          <w:rFonts w:asciiTheme="majorEastAsia" w:hAnsiTheme="majorEastAsia" w:eastAsiaTheme="majorEastAsia"/>
          <w:highlight w:val="none"/>
        </w:rPr>
      </w:pPr>
      <w:bookmarkStart w:id="634" w:name="_Ref4429347"/>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.8.2 </w:t>
      </w:r>
      <w:r>
        <w:rPr>
          <w:rFonts w:hint="eastAsia" w:asciiTheme="majorEastAsia" w:hAnsiTheme="majorEastAsia" w:eastAsiaTheme="majorEastAsia"/>
          <w:highlight w:val="none"/>
        </w:rPr>
        <w:t>承包人提出提前竣工的建议且发包人接受的，应与发包人共同协商采取加快工程进度的措施和修订项目进度计划。发包人应承担承包人由此增加的费用，增加的费用按第</w:t>
      </w:r>
      <w:r>
        <w:rPr>
          <w:rFonts w:asciiTheme="majorEastAsia" w:hAnsiTheme="majorEastAsia" w:eastAsiaTheme="majorEastAsia"/>
          <w:highlight w:val="none"/>
        </w:rPr>
        <w:t>13条</w:t>
      </w:r>
      <w:r>
        <w:rPr>
          <w:rFonts w:hint="eastAsia" w:asciiTheme="majorEastAsia" w:hAnsiTheme="majorEastAsia" w:eastAsiaTheme="majorEastAsia"/>
          <w:highlight w:val="none"/>
        </w:rPr>
        <w:t>[</w:t>
      </w:r>
      <w:r>
        <w:rPr>
          <w:rFonts w:asciiTheme="majorEastAsia" w:hAnsiTheme="majorEastAsia" w:eastAsiaTheme="majorEastAsia"/>
          <w:highlight w:val="none"/>
        </w:rPr>
        <w:t>变更与调整</w:t>
      </w:r>
      <w:r>
        <w:rPr>
          <w:rFonts w:hint="eastAsia" w:asciiTheme="majorEastAsia" w:hAnsiTheme="majorEastAsia" w:eastAsiaTheme="majorEastAsia"/>
          <w:highlight w:val="none"/>
        </w:rPr>
        <w:t>]的约定执行，并向承包人支付专用合同条件约定的相应奖励金。</w:t>
      </w:r>
      <w:bookmarkEnd w:id="634"/>
    </w:p>
    <w:p w14:paraId="69B8C54C">
      <w:pPr>
        <w:spacing w:line="560" w:lineRule="exact"/>
        <w:ind w:firstLine="410" w:firstLineChars="171"/>
        <w:rPr>
          <w:rFonts w:asciiTheme="majorEastAsia" w:hAnsiTheme="majorEastAsia" w:eastAsiaTheme="majorEastAsia"/>
          <w:highlight w:val="none"/>
        </w:rPr>
      </w:pPr>
      <w:bookmarkStart w:id="635" w:name="_Toc54862256"/>
      <w:bookmarkStart w:id="636" w:name="_Ref4615031"/>
      <w:bookmarkStart w:id="637" w:name="_Ref4615040"/>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.9 </w:t>
      </w:r>
      <w:r>
        <w:rPr>
          <w:rFonts w:hint="eastAsia" w:asciiTheme="majorEastAsia" w:hAnsiTheme="majorEastAsia" w:eastAsiaTheme="majorEastAsia"/>
          <w:highlight w:val="none"/>
        </w:rPr>
        <w:t>暂停工作</w:t>
      </w:r>
      <w:bookmarkEnd w:id="635"/>
      <w:bookmarkEnd w:id="636"/>
      <w:bookmarkEnd w:id="637"/>
      <w:r>
        <w:rPr>
          <w:rFonts w:hint="eastAsia" w:asciiTheme="majorEastAsia" w:hAnsiTheme="majorEastAsia" w:eastAsiaTheme="majorEastAsia"/>
          <w:highlight w:val="none"/>
        </w:rPr>
        <w:t xml:space="preserve"> </w:t>
      </w:r>
    </w:p>
    <w:p w14:paraId="005F45D4">
      <w:pPr>
        <w:spacing w:line="560" w:lineRule="exact"/>
        <w:ind w:firstLine="410" w:firstLineChars="171"/>
        <w:rPr>
          <w:rFonts w:asciiTheme="majorEastAsia" w:hAnsiTheme="majorEastAsia" w:eastAsiaTheme="majorEastAsia"/>
          <w:highlight w:val="none"/>
        </w:rPr>
      </w:pPr>
      <w:bookmarkStart w:id="638" w:name="_Ref4709151"/>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.9.1 </w:t>
      </w:r>
      <w:r>
        <w:rPr>
          <w:rFonts w:hint="eastAsia" w:asciiTheme="majorEastAsia" w:hAnsiTheme="majorEastAsia" w:eastAsiaTheme="majorEastAsia"/>
          <w:highlight w:val="none"/>
        </w:rPr>
        <w:t>由发包人暂停工作</w:t>
      </w:r>
      <w:bookmarkEnd w:id="638"/>
    </w:p>
    <w:p w14:paraId="4451CD4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发包人认为必要时，可通过工程师向承包人发出经发包人签认的暂停工作通知，应列明暂停原因、暂停的日期及预计暂停的期限。承包人应按该通知暂停工作。</w:t>
      </w:r>
      <w:bookmarkStart w:id="639" w:name="_Ref4709233"/>
    </w:p>
    <w:p w14:paraId="29E4D7D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承包人因执行暂停工作通知而造成费用的增加和（或）工期延误由发包人承担，并有权要求发包人支付合理利润，但</w:t>
      </w:r>
      <w:bookmarkEnd w:id="639"/>
      <w:r>
        <w:rPr>
          <w:rFonts w:hint="eastAsia" w:asciiTheme="majorEastAsia" w:hAnsiTheme="majorEastAsia" w:eastAsiaTheme="majorEastAsia"/>
          <w:highlight w:val="none"/>
        </w:rPr>
        <w:t>由于承包人原因造成发包人暂停工作的除外。</w:t>
      </w:r>
    </w:p>
    <w:p w14:paraId="18C8840A">
      <w:pPr>
        <w:spacing w:line="560" w:lineRule="exact"/>
        <w:ind w:firstLine="410" w:firstLineChars="171"/>
        <w:rPr>
          <w:rFonts w:asciiTheme="majorEastAsia" w:hAnsiTheme="majorEastAsia" w:eastAsiaTheme="majorEastAsia"/>
          <w:highlight w:val="none"/>
        </w:rPr>
      </w:pPr>
      <w:bookmarkStart w:id="640" w:name="_Ref18972173"/>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.9.2 </w:t>
      </w:r>
      <w:r>
        <w:rPr>
          <w:rFonts w:hint="eastAsia" w:asciiTheme="majorEastAsia" w:hAnsiTheme="majorEastAsia" w:eastAsiaTheme="majorEastAsia"/>
          <w:highlight w:val="none"/>
        </w:rPr>
        <w:t>由承包人暂停工作</w:t>
      </w:r>
      <w:bookmarkEnd w:id="640"/>
      <w:r>
        <w:rPr>
          <w:rFonts w:hint="eastAsia" w:asciiTheme="majorEastAsia" w:hAnsiTheme="majorEastAsia" w:eastAsiaTheme="majorEastAsia"/>
          <w:highlight w:val="none"/>
        </w:rPr>
        <w:t xml:space="preserve"> </w:t>
      </w:r>
    </w:p>
    <w:p w14:paraId="179D333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因承包人原因所造成部分或全部工程的暂停，承包人应采取措施尽快复工并赶上进度，由此造成费用的增加或工期延误由承包人承担。因此造成逾期竣工的，承包人应按第</w:t>
      </w:r>
      <w:r>
        <w:rPr>
          <w:rFonts w:asciiTheme="majorEastAsia" w:hAnsiTheme="majorEastAsia" w:eastAsiaTheme="majorEastAsia"/>
          <w:highlight w:val="none"/>
        </w:rPr>
        <w:t>8.7.2</w:t>
      </w:r>
      <w:r>
        <w:rPr>
          <w:rFonts w:hint="eastAsia" w:asciiTheme="majorEastAsia" w:hAnsiTheme="majorEastAsia" w:eastAsiaTheme="majorEastAsia"/>
          <w:highlight w:val="none"/>
        </w:rPr>
        <w:t>项[</w:t>
      </w:r>
      <w:r>
        <w:rPr>
          <w:rFonts w:asciiTheme="majorEastAsia" w:hAnsiTheme="majorEastAsia" w:eastAsiaTheme="majorEastAsia"/>
          <w:highlight w:val="none"/>
        </w:rPr>
        <w:t>因承包人原因导致工期延误</w:t>
      </w:r>
      <w:r>
        <w:rPr>
          <w:rFonts w:hint="eastAsia" w:asciiTheme="majorEastAsia" w:hAnsiTheme="majorEastAsia" w:eastAsiaTheme="majorEastAsia"/>
          <w:highlight w:val="none"/>
        </w:rPr>
        <w:t>]承担逾期竣工违约责任。</w:t>
      </w:r>
    </w:p>
    <w:p w14:paraId="6B36159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14:paraId="5FF49E2C">
      <w:pPr>
        <w:spacing w:line="560" w:lineRule="exact"/>
        <w:ind w:firstLine="410" w:firstLineChars="171"/>
        <w:rPr>
          <w:rFonts w:asciiTheme="majorEastAsia" w:hAnsiTheme="majorEastAsia" w:eastAsiaTheme="majorEastAsia"/>
          <w:highlight w:val="none"/>
        </w:rPr>
      </w:pPr>
      <w:bookmarkStart w:id="641" w:name="_Ref4709224"/>
      <w:r>
        <w:rPr>
          <w:rFonts w:hint="eastAsia" w:asciiTheme="majorEastAsia" w:hAnsiTheme="majorEastAsia" w:eastAsiaTheme="majorEastAsia"/>
          <w:highlight w:val="none"/>
        </w:rPr>
        <w:t>（1）发包人拖延、拒绝批准付款申请和支付证书，或未能按合同约定支付价款，导致付款延误的</w:t>
      </w:r>
      <w:bookmarkEnd w:id="641"/>
      <w:r>
        <w:rPr>
          <w:rFonts w:hint="eastAsia" w:asciiTheme="majorEastAsia" w:hAnsiTheme="majorEastAsia" w:eastAsiaTheme="majorEastAsia"/>
          <w:highlight w:val="none"/>
        </w:rPr>
        <w:t>；</w:t>
      </w:r>
    </w:p>
    <w:p w14:paraId="35ACD27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（2）发包人未按约定履行合同其他义务导致承包人无法继续履行合同的，或者发包人明确表示暂停或实质上已暂停履行合同的。</w:t>
      </w:r>
    </w:p>
    <w:p w14:paraId="3F2B1F5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.9.3 </w:t>
      </w:r>
      <w:r>
        <w:rPr>
          <w:rFonts w:hint="eastAsia" w:asciiTheme="majorEastAsia" w:hAnsiTheme="majorEastAsia" w:eastAsiaTheme="majorEastAsia"/>
          <w:highlight w:val="none"/>
        </w:rPr>
        <w:t>除上述原因以外的暂停工作，双方应遵守第1</w:t>
      </w:r>
      <w:r>
        <w:rPr>
          <w:rFonts w:asciiTheme="majorEastAsia" w:hAnsiTheme="majorEastAsia" w:eastAsiaTheme="majorEastAsia"/>
          <w:highlight w:val="none"/>
        </w:rPr>
        <w:t>7</w:t>
      </w:r>
      <w:r>
        <w:rPr>
          <w:rFonts w:hint="eastAsia" w:asciiTheme="majorEastAsia" w:hAnsiTheme="majorEastAsia" w:eastAsiaTheme="majorEastAsia"/>
          <w:highlight w:val="none"/>
        </w:rPr>
        <w:t>条[不可抗力]的相关约定。</w:t>
      </w:r>
    </w:p>
    <w:p w14:paraId="425BBF92">
      <w:pPr>
        <w:spacing w:line="560" w:lineRule="exact"/>
        <w:ind w:firstLine="410" w:firstLineChars="171"/>
        <w:rPr>
          <w:rFonts w:asciiTheme="majorEastAsia" w:hAnsiTheme="majorEastAsia" w:eastAsiaTheme="majorEastAsia"/>
          <w:highlight w:val="none"/>
        </w:rPr>
      </w:pPr>
      <w:bookmarkStart w:id="642" w:name="_Ref4709158"/>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.9.4 </w:t>
      </w:r>
      <w:r>
        <w:rPr>
          <w:rFonts w:hint="eastAsia" w:asciiTheme="majorEastAsia" w:hAnsiTheme="majorEastAsia" w:eastAsiaTheme="majorEastAsia"/>
          <w:highlight w:val="none"/>
        </w:rPr>
        <w:t>暂停工作期间的工程照管</w:t>
      </w:r>
      <w:bookmarkEnd w:id="642"/>
      <w:r>
        <w:rPr>
          <w:rFonts w:hint="eastAsia" w:asciiTheme="majorEastAsia" w:hAnsiTheme="majorEastAsia" w:eastAsiaTheme="majorEastAsia"/>
          <w:highlight w:val="none"/>
        </w:rPr>
        <w:t xml:space="preserve"> </w:t>
      </w:r>
    </w:p>
    <w:p w14:paraId="74A3B9D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不论由于何种原因引起暂停工作的，暂停工作期间，承包人应负责对工程、工程物资及文件等进行照管和保护，并提供安全保障，由此增加的费用按第</w:t>
      </w:r>
      <w:r>
        <w:rPr>
          <w:rFonts w:asciiTheme="majorEastAsia" w:hAnsiTheme="majorEastAsia" w:eastAsiaTheme="majorEastAsia"/>
          <w:highlight w:val="none"/>
        </w:rPr>
        <w:t>8.9.1</w:t>
      </w:r>
      <w:r>
        <w:rPr>
          <w:rFonts w:hint="eastAsia" w:asciiTheme="majorEastAsia" w:hAnsiTheme="majorEastAsia" w:eastAsiaTheme="majorEastAsia"/>
          <w:highlight w:val="none"/>
        </w:rPr>
        <w:t>项[由发包人暂停工作]和第</w:t>
      </w:r>
      <w:r>
        <w:rPr>
          <w:rFonts w:asciiTheme="majorEastAsia" w:hAnsiTheme="majorEastAsia" w:eastAsiaTheme="majorEastAsia"/>
          <w:highlight w:val="none"/>
        </w:rPr>
        <w:t>8.9.2</w:t>
      </w:r>
      <w:r>
        <w:rPr>
          <w:rFonts w:hint="eastAsia" w:asciiTheme="majorEastAsia" w:hAnsiTheme="majorEastAsia" w:eastAsiaTheme="majorEastAsia"/>
          <w:highlight w:val="none"/>
        </w:rPr>
        <w:t>项[由承包人暂停工作]的约定承担。</w:t>
      </w:r>
    </w:p>
    <w:p w14:paraId="2456FB0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因承包人未能尽到照管、保护的责任造成损失的，使发包人的费用增加，（或）竣工日期延误的，由承包人按本合同约定承担责任。</w:t>
      </w:r>
    </w:p>
    <w:p w14:paraId="38AF8F2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.9.5 </w:t>
      </w:r>
      <w:r>
        <w:rPr>
          <w:rFonts w:hint="eastAsia" w:asciiTheme="majorEastAsia" w:hAnsiTheme="majorEastAsia" w:eastAsiaTheme="majorEastAsia"/>
          <w:highlight w:val="none"/>
        </w:rPr>
        <w:t>拖长的暂停</w:t>
      </w:r>
    </w:p>
    <w:p w14:paraId="65302D5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根据第</w:t>
      </w:r>
      <w:r>
        <w:rPr>
          <w:rFonts w:asciiTheme="majorEastAsia" w:hAnsiTheme="majorEastAsia" w:eastAsiaTheme="majorEastAsia"/>
          <w:highlight w:val="none"/>
        </w:rPr>
        <w:t>8.9.1</w:t>
      </w:r>
      <w:r>
        <w:rPr>
          <w:rFonts w:hint="eastAsia" w:asciiTheme="majorEastAsia" w:hAnsiTheme="majorEastAsia" w:eastAsiaTheme="majorEastAsia"/>
          <w:highlight w:val="none"/>
        </w:rPr>
        <w:t>项[由发包人暂停工作]暂停工作持续超过56天的，承包人可向发包人发出要求复工的通知。如果发包人没有在收到书面通知后28天内准许已暂停工作的全部或部分继续工作，承包人有权根据第</w:t>
      </w:r>
      <w:r>
        <w:rPr>
          <w:rFonts w:asciiTheme="majorEastAsia" w:hAnsiTheme="majorEastAsia" w:eastAsiaTheme="majorEastAsia"/>
          <w:highlight w:val="none"/>
        </w:rPr>
        <w:t>13条</w:t>
      </w:r>
      <w:r>
        <w:rPr>
          <w:rFonts w:hint="eastAsia" w:asciiTheme="majorEastAsia" w:hAnsiTheme="majorEastAsia" w:eastAsiaTheme="majorEastAsia"/>
          <w:highlight w:val="none"/>
        </w:rPr>
        <w:t>[变更与调整]的约定，要求以变更方式调减受暂停影响的部分工程。发包人的暂停超过56天且暂停影响到整个工程的，承包人有权根据第</w:t>
      </w:r>
      <w:r>
        <w:rPr>
          <w:rFonts w:asciiTheme="majorEastAsia" w:hAnsiTheme="majorEastAsia" w:eastAsiaTheme="majorEastAsia"/>
          <w:highlight w:val="none"/>
        </w:rPr>
        <w:t>16.2</w:t>
      </w:r>
      <w:r>
        <w:rPr>
          <w:rFonts w:hint="eastAsia" w:asciiTheme="majorEastAsia" w:hAnsiTheme="majorEastAsia" w:eastAsiaTheme="majorEastAsia"/>
          <w:highlight w:val="none"/>
        </w:rPr>
        <w:t>款[</w:t>
      </w:r>
      <w:r>
        <w:rPr>
          <w:rFonts w:asciiTheme="majorEastAsia" w:hAnsiTheme="majorEastAsia" w:eastAsiaTheme="majorEastAsia"/>
          <w:highlight w:val="none"/>
        </w:rPr>
        <w:t>由承包人解除合同</w:t>
      </w:r>
      <w:r>
        <w:rPr>
          <w:rFonts w:hint="eastAsia" w:asciiTheme="majorEastAsia" w:hAnsiTheme="majorEastAsia" w:eastAsiaTheme="majorEastAsia"/>
          <w:highlight w:val="none"/>
        </w:rPr>
        <w:t>]的约定，发出解除合同的通知。</w:t>
      </w:r>
    </w:p>
    <w:p w14:paraId="3BA2320E">
      <w:pPr>
        <w:spacing w:line="560" w:lineRule="exact"/>
        <w:ind w:firstLine="410" w:firstLineChars="171"/>
        <w:rPr>
          <w:rFonts w:asciiTheme="majorEastAsia" w:hAnsiTheme="majorEastAsia" w:eastAsiaTheme="majorEastAsia"/>
          <w:highlight w:val="none"/>
        </w:rPr>
      </w:pPr>
      <w:bookmarkStart w:id="643" w:name="_Toc54862257"/>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.10 </w:t>
      </w:r>
      <w:r>
        <w:rPr>
          <w:rFonts w:hint="eastAsia" w:asciiTheme="majorEastAsia" w:hAnsiTheme="majorEastAsia" w:eastAsiaTheme="majorEastAsia"/>
          <w:highlight w:val="none"/>
        </w:rPr>
        <w:t>复工</w:t>
      </w:r>
      <w:bookmarkEnd w:id="643"/>
      <w:r>
        <w:rPr>
          <w:rFonts w:hint="eastAsia" w:asciiTheme="majorEastAsia" w:hAnsiTheme="majorEastAsia" w:eastAsiaTheme="majorEastAsia"/>
          <w:highlight w:val="none"/>
        </w:rPr>
        <w:t xml:space="preserve"> </w:t>
      </w:r>
    </w:p>
    <w:p w14:paraId="2431BB2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.10.1 </w:t>
      </w:r>
      <w:r>
        <w:rPr>
          <w:rFonts w:hint="eastAsia" w:asciiTheme="majorEastAsia" w:hAnsiTheme="majorEastAsia" w:eastAsiaTheme="majorEastAsia"/>
          <w:highlight w:val="none"/>
        </w:rPr>
        <w:t>收到发包人的复工通知后，承包人应按通知时间复工；发包人通知的复工时间应当给予承包人必要的准备复工时间。</w:t>
      </w:r>
    </w:p>
    <w:p w14:paraId="22061BA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.10.2 </w:t>
      </w:r>
      <w:r>
        <w:rPr>
          <w:rFonts w:hint="eastAsia" w:asciiTheme="majorEastAsia" w:hAnsiTheme="majorEastAsia" w:eastAsiaTheme="majorEastAsia"/>
          <w:highlight w:val="none"/>
        </w:rPr>
        <w:t>不论由于何种原因引起暂停工作，双方均可要求对方一同对受暂停影响的工程、工程设备和工程物资进行检查，承包人应将检查结果及需要恢复、修复的内容和估算通知发包人。</w:t>
      </w:r>
    </w:p>
    <w:p w14:paraId="70F2CA2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8</w:t>
      </w:r>
      <w:r>
        <w:rPr>
          <w:rFonts w:asciiTheme="majorEastAsia" w:hAnsiTheme="majorEastAsia" w:eastAsiaTheme="majorEastAsia"/>
          <w:highlight w:val="none"/>
        </w:rPr>
        <w:t xml:space="preserve">.10.3 </w:t>
      </w:r>
      <w:r>
        <w:rPr>
          <w:rFonts w:hint="eastAsia" w:asciiTheme="majorEastAsia" w:hAnsiTheme="majorEastAsia" w:eastAsiaTheme="majorEastAsia"/>
          <w:highlight w:val="none"/>
        </w:rPr>
        <w:t>除第</w:t>
      </w:r>
      <w:r>
        <w:rPr>
          <w:rFonts w:asciiTheme="majorEastAsia" w:hAnsiTheme="majorEastAsia" w:eastAsiaTheme="majorEastAsia"/>
          <w:highlight w:val="none"/>
        </w:rPr>
        <w:t>17条</w:t>
      </w:r>
      <w:r>
        <w:rPr>
          <w:rFonts w:hint="eastAsia" w:asciiTheme="majorEastAsia" w:hAnsiTheme="majorEastAsia" w:eastAsiaTheme="majorEastAsia"/>
          <w:highlight w:val="none"/>
        </w:rPr>
        <w:t>[不可抗力]另有约定外，发生的恢复、修复价款及工期延误的后果由责任方承担。</w:t>
      </w:r>
    </w:p>
    <w:p w14:paraId="79BE6070">
      <w:pPr>
        <w:spacing w:line="560" w:lineRule="exact"/>
        <w:rPr>
          <w:rFonts w:asciiTheme="majorEastAsia" w:hAnsiTheme="majorEastAsia" w:eastAsiaTheme="majorEastAsia"/>
          <w:b/>
          <w:highlight w:val="none"/>
        </w:rPr>
      </w:pPr>
      <w:bookmarkStart w:id="644" w:name="_Toc54862258"/>
      <w:bookmarkStart w:id="645" w:name="_Ref4621029"/>
      <w:bookmarkStart w:id="646" w:name="_Ref4621041"/>
      <w:r>
        <w:rPr>
          <w:rFonts w:hint="eastAsia" w:asciiTheme="majorEastAsia" w:hAnsiTheme="majorEastAsia" w:eastAsiaTheme="majorEastAsia"/>
          <w:b/>
          <w:highlight w:val="none"/>
        </w:rPr>
        <w:t>第9条  竣工试验</w:t>
      </w:r>
      <w:bookmarkEnd w:id="572"/>
      <w:bookmarkEnd w:id="644"/>
      <w:bookmarkEnd w:id="645"/>
      <w:bookmarkEnd w:id="646"/>
      <w:r>
        <w:rPr>
          <w:rFonts w:hint="eastAsia" w:asciiTheme="majorEastAsia" w:hAnsiTheme="majorEastAsia" w:eastAsiaTheme="majorEastAsia"/>
          <w:b/>
          <w:highlight w:val="none"/>
        </w:rPr>
        <w:t xml:space="preserve"> </w:t>
      </w:r>
    </w:p>
    <w:p w14:paraId="1DD45772">
      <w:pPr>
        <w:spacing w:line="560" w:lineRule="exact"/>
        <w:ind w:firstLine="410" w:firstLineChars="171"/>
        <w:rPr>
          <w:rFonts w:asciiTheme="majorEastAsia" w:hAnsiTheme="majorEastAsia" w:eastAsiaTheme="majorEastAsia"/>
          <w:highlight w:val="none"/>
        </w:rPr>
      </w:pPr>
      <w:bookmarkStart w:id="647" w:name="_Ref532586251"/>
      <w:bookmarkStart w:id="648" w:name="_Ref532586248"/>
      <w:bookmarkStart w:id="649" w:name="_Toc54862259"/>
      <w:r>
        <w:rPr>
          <w:rFonts w:hint="eastAsia" w:asciiTheme="majorEastAsia" w:hAnsiTheme="majorEastAsia" w:eastAsiaTheme="majorEastAsia"/>
          <w:highlight w:val="none"/>
        </w:rPr>
        <w:t>9</w:t>
      </w:r>
      <w:r>
        <w:rPr>
          <w:rFonts w:asciiTheme="majorEastAsia" w:hAnsiTheme="majorEastAsia" w:eastAsiaTheme="majorEastAsia"/>
          <w:highlight w:val="none"/>
        </w:rPr>
        <w:t xml:space="preserve">.1 </w:t>
      </w:r>
      <w:r>
        <w:rPr>
          <w:rFonts w:hint="eastAsia" w:asciiTheme="majorEastAsia" w:hAnsiTheme="majorEastAsia" w:eastAsiaTheme="majorEastAsia"/>
          <w:highlight w:val="none"/>
        </w:rPr>
        <w:t>竣工试验的义务</w:t>
      </w:r>
      <w:bookmarkEnd w:id="647"/>
      <w:bookmarkEnd w:id="648"/>
      <w:bookmarkEnd w:id="649"/>
    </w:p>
    <w:p w14:paraId="1B12192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9</w:t>
      </w:r>
      <w:r>
        <w:rPr>
          <w:rFonts w:asciiTheme="majorEastAsia" w:hAnsiTheme="majorEastAsia" w:eastAsiaTheme="majorEastAsia"/>
          <w:highlight w:val="none"/>
        </w:rPr>
        <w:t xml:space="preserve">.1.1 </w:t>
      </w:r>
      <w:r>
        <w:rPr>
          <w:rFonts w:hint="eastAsia" w:asciiTheme="majorEastAsia" w:hAnsiTheme="majorEastAsia" w:eastAsiaTheme="majorEastAsia"/>
          <w:highlight w:val="none"/>
        </w:rPr>
        <w:t>承包人完成工程或区段工程进行竣工试验所需的作业，并根据第</w:t>
      </w:r>
      <w:r>
        <w:rPr>
          <w:rFonts w:asciiTheme="majorEastAsia" w:hAnsiTheme="majorEastAsia" w:eastAsiaTheme="majorEastAsia"/>
          <w:highlight w:val="none"/>
        </w:rPr>
        <w:t>5.4</w:t>
      </w:r>
      <w:r>
        <w:rPr>
          <w:rFonts w:hint="eastAsia" w:asciiTheme="majorEastAsia" w:hAnsiTheme="majorEastAsia" w:eastAsiaTheme="majorEastAsia"/>
          <w:highlight w:val="none"/>
        </w:rPr>
        <w:t>款[竣工文件]和第</w:t>
      </w:r>
      <w:r>
        <w:rPr>
          <w:rFonts w:asciiTheme="majorEastAsia" w:hAnsiTheme="majorEastAsia" w:eastAsiaTheme="majorEastAsia"/>
          <w:highlight w:val="none"/>
        </w:rPr>
        <w:t>5.5</w:t>
      </w:r>
      <w:r>
        <w:rPr>
          <w:rFonts w:hint="eastAsia" w:asciiTheme="majorEastAsia" w:hAnsiTheme="majorEastAsia" w:eastAsiaTheme="majorEastAsia"/>
          <w:highlight w:val="none"/>
        </w:rPr>
        <w:t>款[操作和维修手册]提交文件后，进行竣工试验。</w:t>
      </w:r>
      <w:bookmarkStart w:id="650" w:name="_Ref532586608"/>
    </w:p>
    <w:p w14:paraId="59130350">
      <w:pPr>
        <w:spacing w:line="560" w:lineRule="exact"/>
        <w:ind w:firstLine="410" w:firstLineChars="171"/>
        <w:rPr>
          <w:rFonts w:asciiTheme="majorEastAsia" w:hAnsiTheme="majorEastAsia" w:eastAsiaTheme="majorEastAsia"/>
          <w:highlight w:val="none"/>
        </w:rPr>
      </w:pPr>
      <w:bookmarkStart w:id="651" w:name="_Ref11919920"/>
      <w:r>
        <w:rPr>
          <w:rFonts w:hint="eastAsia" w:asciiTheme="majorEastAsia" w:hAnsiTheme="majorEastAsia" w:eastAsiaTheme="majorEastAsia"/>
          <w:highlight w:val="none"/>
        </w:rPr>
        <w:t>9</w:t>
      </w:r>
      <w:r>
        <w:rPr>
          <w:rFonts w:asciiTheme="majorEastAsia" w:hAnsiTheme="majorEastAsia" w:eastAsiaTheme="majorEastAsia"/>
          <w:highlight w:val="none"/>
        </w:rPr>
        <w:t xml:space="preserve">.1.2 </w:t>
      </w:r>
      <w:r>
        <w:rPr>
          <w:rFonts w:hint="eastAsia" w:asciiTheme="majorEastAsia" w:hAnsiTheme="majorEastAsia" w:eastAsiaTheme="majorEastAsia"/>
          <w:highlight w:val="none"/>
        </w:rPr>
        <w:t>承包人应在进行竣工试验之前，至少提前42天向工程师提交详细的竣工试验计划，该计划应载明竣工试验的内容、地点、拟开展时间和需要发包人提供的资源条件。</w:t>
      </w:r>
      <w:bookmarkEnd w:id="650"/>
      <w:r>
        <w:rPr>
          <w:rFonts w:hint="eastAsia" w:asciiTheme="majorEastAsia" w:hAnsiTheme="majorEastAsia" w:eastAsiaTheme="majorEastAsia"/>
          <w:highlight w:val="none"/>
        </w:rPr>
        <w:t>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651"/>
    </w:p>
    <w:p w14:paraId="330A62F1">
      <w:pPr>
        <w:spacing w:line="560" w:lineRule="exact"/>
        <w:ind w:firstLine="410" w:firstLineChars="171"/>
        <w:rPr>
          <w:rFonts w:asciiTheme="majorEastAsia" w:hAnsiTheme="majorEastAsia" w:eastAsiaTheme="majorEastAsia"/>
          <w:highlight w:val="none"/>
        </w:rPr>
      </w:pPr>
      <w:bookmarkStart w:id="652" w:name="_Ref532688147"/>
      <w:r>
        <w:rPr>
          <w:rFonts w:hint="eastAsia" w:asciiTheme="majorEastAsia" w:hAnsiTheme="majorEastAsia" w:eastAsiaTheme="majorEastAsia"/>
          <w:highlight w:val="none"/>
        </w:rPr>
        <w:t>9</w:t>
      </w:r>
      <w:r>
        <w:rPr>
          <w:rFonts w:asciiTheme="majorEastAsia" w:hAnsiTheme="majorEastAsia" w:eastAsiaTheme="majorEastAsia"/>
          <w:highlight w:val="none"/>
        </w:rPr>
        <w:t xml:space="preserve">.1.3 </w:t>
      </w:r>
      <w:r>
        <w:rPr>
          <w:rFonts w:hint="eastAsia" w:asciiTheme="majorEastAsia" w:hAnsiTheme="majorEastAsia" w:eastAsiaTheme="majorEastAsia"/>
          <w:highlight w:val="none"/>
        </w:rPr>
        <w:t>承包人应根据经确认的竣工试验计划以及第</w:t>
      </w:r>
      <w:r>
        <w:rPr>
          <w:rFonts w:asciiTheme="majorEastAsia" w:hAnsiTheme="majorEastAsia" w:eastAsiaTheme="majorEastAsia"/>
          <w:highlight w:val="none"/>
        </w:rPr>
        <w:t>6.5</w:t>
      </w:r>
      <w:r>
        <w:rPr>
          <w:rFonts w:hint="eastAsia" w:asciiTheme="majorEastAsia" w:hAnsiTheme="majorEastAsia" w:eastAsiaTheme="majorEastAsia"/>
          <w:highlight w:val="none"/>
        </w:rPr>
        <w:t>款[</w:t>
      </w:r>
      <w:r>
        <w:rPr>
          <w:rFonts w:asciiTheme="majorEastAsia" w:hAnsiTheme="majorEastAsia" w:eastAsiaTheme="majorEastAsia"/>
          <w:highlight w:val="none"/>
        </w:rPr>
        <w:t>由承包人试验</w:t>
      </w:r>
      <w:r>
        <w:rPr>
          <w:rFonts w:hint="eastAsia" w:asciiTheme="majorEastAsia" w:hAnsiTheme="majorEastAsia" w:eastAsiaTheme="majorEastAsia"/>
          <w:highlight w:val="none"/>
        </w:rPr>
        <w:t>和</w:t>
      </w:r>
      <w:r>
        <w:rPr>
          <w:rFonts w:asciiTheme="majorEastAsia" w:hAnsiTheme="majorEastAsia" w:eastAsiaTheme="majorEastAsia"/>
          <w:highlight w:val="none"/>
        </w:rPr>
        <w:t>检验</w:t>
      </w:r>
      <w:r>
        <w:rPr>
          <w:rFonts w:hint="eastAsia" w:asciiTheme="majorEastAsia" w:hAnsiTheme="majorEastAsia" w:eastAsiaTheme="majorEastAsia"/>
          <w:highlight w:val="none"/>
        </w:rPr>
        <w:t>]进行竣工试验。除《发包人要求》中另有说明外，竣工试验应按以下顺序分阶段进行，即只有在工程或区段工程已通过上一阶段试验的情况下，才可进行下一阶段试验：</w:t>
      </w:r>
      <w:bookmarkEnd w:id="652"/>
    </w:p>
    <w:p w14:paraId="6BD48D7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（1）承包人进行启动前试验，包括适当的检查和功能性试验，以证明工程或区段工程的每一部分均能够安全地承受下一阶段试验；</w:t>
      </w:r>
    </w:p>
    <w:p w14:paraId="10BFB9B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（2）承包人进行启动试验，以证明工程或区段工程能够在所有可利用的操作条件下安全运行，并按照专用合同条件和《发包人要求》中的规定操作；</w:t>
      </w:r>
    </w:p>
    <w:p w14:paraId="6926950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（3）承包人进行试运行试验。当工程或区段工程能稳定安全运行时，承包人应通知工程师，可以进行其他竣工试验，包括各种性能测试，以证明工程或区段工程符合《发包人要求》中列明的性能保证指标。</w:t>
      </w:r>
    </w:p>
    <w:p w14:paraId="12BD78C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进行上述试验不应构成第</w:t>
      </w:r>
      <w:r>
        <w:rPr>
          <w:rFonts w:asciiTheme="majorEastAsia" w:hAnsiTheme="majorEastAsia" w:eastAsiaTheme="majorEastAsia"/>
          <w:highlight w:val="none"/>
        </w:rPr>
        <w:t>10条</w:t>
      </w:r>
      <w:r>
        <w:rPr>
          <w:rFonts w:hint="eastAsia" w:asciiTheme="majorEastAsia" w:hAnsiTheme="majorEastAsia" w:eastAsiaTheme="majorEastAsia"/>
          <w:highlight w:val="none"/>
        </w:rPr>
        <w:t>[验收和工程接收]规定的接收，但试验所产生的任何产品或其他收益均应归属于发包人。</w:t>
      </w:r>
    </w:p>
    <w:p w14:paraId="4E4061F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9</w:t>
      </w:r>
      <w:r>
        <w:rPr>
          <w:rFonts w:asciiTheme="majorEastAsia" w:hAnsiTheme="majorEastAsia" w:eastAsiaTheme="majorEastAsia"/>
          <w:highlight w:val="none"/>
        </w:rPr>
        <w:t xml:space="preserve">.1.4 </w:t>
      </w:r>
      <w:r>
        <w:rPr>
          <w:rFonts w:hint="eastAsia" w:asciiTheme="majorEastAsia" w:hAnsiTheme="majorEastAsia" w:eastAsiaTheme="majorEastAsia"/>
          <w:highlight w:val="none"/>
        </w:rPr>
        <w:t>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3496E412">
      <w:pPr>
        <w:spacing w:line="560" w:lineRule="exact"/>
        <w:ind w:firstLine="410" w:firstLineChars="171"/>
        <w:rPr>
          <w:rFonts w:asciiTheme="majorEastAsia" w:hAnsiTheme="majorEastAsia" w:eastAsiaTheme="majorEastAsia"/>
          <w:highlight w:val="none"/>
        </w:rPr>
      </w:pPr>
      <w:bookmarkStart w:id="653" w:name="_Toc54862260"/>
      <w:r>
        <w:rPr>
          <w:rFonts w:hint="eastAsia" w:asciiTheme="majorEastAsia" w:hAnsiTheme="majorEastAsia" w:eastAsiaTheme="majorEastAsia"/>
          <w:highlight w:val="none"/>
        </w:rPr>
        <w:t>9</w:t>
      </w:r>
      <w:r>
        <w:rPr>
          <w:rFonts w:asciiTheme="majorEastAsia" w:hAnsiTheme="majorEastAsia" w:eastAsiaTheme="majorEastAsia"/>
          <w:highlight w:val="none"/>
        </w:rPr>
        <w:t xml:space="preserve">.2 </w:t>
      </w:r>
      <w:r>
        <w:rPr>
          <w:rFonts w:hint="eastAsia" w:asciiTheme="majorEastAsia" w:hAnsiTheme="majorEastAsia" w:eastAsiaTheme="majorEastAsia"/>
          <w:highlight w:val="none"/>
        </w:rPr>
        <w:t>延误的试验</w:t>
      </w:r>
      <w:bookmarkEnd w:id="653"/>
    </w:p>
    <w:p w14:paraId="0C26823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9</w:t>
      </w:r>
      <w:r>
        <w:rPr>
          <w:rFonts w:asciiTheme="majorEastAsia" w:hAnsiTheme="majorEastAsia" w:eastAsiaTheme="majorEastAsia"/>
          <w:highlight w:val="none"/>
        </w:rPr>
        <w:t xml:space="preserve">.2.1 </w:t>
      </w:r>
      <w:r>
        <w:rPr>
          <w:rFonts w:hint="eastAsia" w:asciiTheme="majorEastAsia" w:hAnsiTheme="majorEastAsia" w:eastAsiaTheme="majorEastAsia"/>
          <w:highlight w:val="none"/>
        </w:rPr>
        <w:t>如果承包人已根据第</w:t>
      </w:r>
      <w:r>
        <w:rPr>
          <w:rFonts w:asciiTheme="majorEastAsia" w:hAnsiTheme="majorEastAsia" w:eastAsiaTheme="majorEastAsia"/>
          <w:highlight w:val="none"/>
        </w:rPr>
        <w:t>9.1</w:t>
      </w:r>
      <w:r>
        <w:rPr>
          <w:rFonts w:hint="eastAsia" w:asciiTheme="majorEastAsia" w:hAnsiTheme="majorEastAsia" w:eastAsiaTheme="majorEastAsia"/>
          <w:highlight w:val="none"/>
        </w:rPr>
        <w:t>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0CBD5C0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9</w:t>
      </w:r>
      <w:r>
        <w:rPr>
          <w:rFonts w:asciiTheme="majorEastAsia" w:hAnsiTheme="majorEastAsia" w:eastAsiaTheme="majorEastAsia"/>
          <w:highlight w:val="none"/>
        </w:rPr>
        <w:t xml:space="preserve">.2.2 </w:t>
      </w:r>
      <w:r>
        <w:rPr>
          <w:rFonts w:hint="eastAsia" w:asciiTheme="majorEastAsia" w:hAnsiTheme="majorEastAsia" w:eastAsiaTheme="majorEastAsia"/>
          <w:highlight w:val="none"/>
        </w:rPr>
        <w:t>承包人无正当理由延误进行竣工试验的，工程师可向其发出通知，要求其在收到通知后的21天内进行该项竣工试验。承包人应在该21天的期限内确定进行试验的日期，并至少提前7天通知工程师。</w:t>
      </w:r>
    </w:p>
    <w:p w14:paraId="0010FF3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9</w:t>
      </w:r>
      <w:r>
        <w:rPr>
          <w:rFonts w:asciiTheme="majorEastAsia" w:hAnsiTheme="majorEastAsia" w:eastAsiaTheme="majorEastAsia"/>
          <w:highlight w:val="none"/>
        </w:rPr>
        <w:t xml:space="preserve">.2.3 </w:t>
      </w:r>
      <w:r>
        <w:rPr>
          <w:rFonts w:hint="eastAsia" w:asciiTheme="majorEastAsia" w:hAnsiTheme="majorEastAsia" w:eastAsiaTheme="majorEastAsia"/>
          <w:highlight w:val="none"/>
        </w:rPr>
        <w:t>如果承包人未在该期限内进行竣工试验，则发包人有权自行组织该项竣工试验，由此产生的合理费用由承包人承担。发包人应在试验完成后28天内向承包人发送试验结果。</w:t>
      </w:r>
    </w:p>
    <w:p w14:paraId="535A94FD">
      <w:pPr>
        <w:spacing w:line="560" w:lineRule="exact"/>
        <w:ind w:firstLine="410" w:firstLineChars="171"/>
        <w:rPr>
          <w:rFonts w:asciiTheme="majorEastAsia" w:hAnsiTheme="majorEastAsia" w:eastAsiaTheme="majorEastAsia"/>
          <w:highlight w:val="none"/>
        </w:rPr>
      </w:pPr>
      <w:bookmarkStart w:id="654" w:name="_Ref532594588"/>
      <w:bookmarkStart w:id="655" w:name="_Toc54862261"/>
      <w:bookmarkStart w:id="656" w:name="_Ref532594592"/>
      <w:r>
        <w:rPr>
          <w:rFonts w:hint="eastAsia" w:asciiTheme="majorEastAsia" w:hAnsiTheme="majorEastAsia" w:eastAsiaTheme="majorEastAsia"/>
          <w:highlight w:val="none"/>
        </w:rPr>
        <w:t>9</w:t>
      </w:r>
      <w:r>
        <w:rPr>
          <w:rFonts w:asciiTheme="majorEastAsia" w:hAnsiTheme="majorEastAsia" w:eastAsiaTheme="majorEastAsia"/>
          <w:highlight w:val="none"/>
        </w:rPr>
        <w:t xml:space="preserve">.3 </w:t>
      </w:r>
      <w:r>
        <w:rPr>
          <w:rFonts w:hint="eastAsia" w:asciiTheme="majorEastAsia" w:hAnsiTheme="majorEastAsia" w:eastAsiaTheme="majorEastAsia"/>
          <w:highlight w:val="none"/>
        </w:rPr>
        <w:t>重新试验</w:t>
      </w:r>
      <w:bookmarkEnd w:id="654"/>
      <w:bookmarkEnd w:id="655"/>
      <w:bookmarkEnd w:id="656"/>
      <w:r>
        <w:rPr>
          <w:rFonts w:hint="eastAsia" w:asciiTheme="majorEastAsia" w:hAnsiTheme="majorEastAsia" w:eastAsiaTheme="majorEastAsia"/>
          <w:highlight w:val="none"/>
        </w:rPr>
        <w:t xml:space="preserve"> </w:t>
      </w:r>
    </w:p>
    <w:p w14:paraId="472A994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如果工程或区段工程未能通过竣工试验，则承包人应根据第</w:t>
      </w:r>
      <w:r>
        <w:rPr>
          <w:rFonts w:asciiTheme="majorEastAsia" w:hAnsiTheme="majorEastAsia" w:eastAsiaTheme="majorEastAsia"/>
          <w:highlight w:val="none"/>
        </w:rPr>
        <w:t>6.6</w:t>
      </w:r>
      <w:r>
        <w:rPr>
          <w:rFonts w:hint="eastAsia" w:asciiTheme="majorEastAsia" w:hAnsiTheme="majorEastAsia" w:eastAsiaTheme="majorEastAsia"/>
          <w:highlight w:val="none"/>
        </w:rPr>
        <w:t>款[缺陷和修补]修补缺陷。发包人或承包人可要求按相同的条件，重新进行未通过的试验以及相关工程或区段工程的竣工试验。该等重新进行的试验仍应适用本条对于竣工试验的规定。</w:t>
      </w:r>
    </w:p>
    <w:p w14:paraId="1F5995ED">
      <w:pPr>
        <w:spacing w:line="560" w:lineRule="exact"/>
        <w:ind w:firstLine="410" w:firstLineChars="171"/>
        <w:rPr>
          <w:rFonts w:asciiTheme="majorEastAsia" w:hAnsiTheme="majorEastAsia" w:eastAsiaTheme="majorEastAsia"/>
          <w:highlight w:val="none"/>
        </w:rPr>
      </w:pPr>
      <w:bookmarkStart w:id="657" w:name="_Ref532688221"/>
      <w:bookmarkStart w:id="658" w:name="_Toc54862262"/>
      <w:bookmarkStart w:id="659" w:name="_Ref532688226"/>
      <w:r>
        <w:rPr>
          <w:rFonts w:hint="eastAsia" w:asciiTheme="majorEastAsia" w:hAnsiTheme="majorEastAsia" w:eastAsiaTheme="majorEastAsia"/>
          <w:highlight w:val="none"/>
        </w:rPr>
        <w:t>9</w:t>
      </w:r>
      <w:r>
        <w:rPr>
          <w:rFonts w:asciiTheme="majorEastAsia" w:hAnsiTheme="majorEastAsia" w:eastAsiaTheme="majorEastAsia"/>
          <w:highlight w:val="none"/>
        </w:rPr>
        <w:t xml:space="preserve">.4 </w:t>
      </w:r>
      <w:r>
        <w:rPr>
          <w:rFonts w:hint="eastAsia" w:asciiTheme="majorEastAsia" w:hAnsiTheme="majorEastAsia" w:eastAsiaTheme="majorEastAsia"/>
          <w:highlight w:val="none"/>
        </w:rPr>
        <w:t>未能通过竣工试验</w:t>
      </w:r>
      <w:bookmarkEnd w:id="657"/>
      <w:bookmarkEnd w:id="658"/>
      <w:bookmarkEnd w:id="659"/>
    </w:p>
    <w:p w14:paraId="25F48B8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9</w:t>
      </w:r>
      <w:r>
        <w:rPr>
          <w:rFonts w:asciiTheme="majorEastAsia" w:hAnsiTheme="majorEastAsia" w:eastAsiaTheme="majorEastAsia"/>
          <w:highlight w:val="none"/>
        </w:rPr>
        <w:t xml:space="preserve">.4.1 </w:t>
      </w:r>
      <w:r>
        <w:rPr>
          <w:rFonts w:hint="eastAsia" w:asciiTheme="majorEastAsia" w:hAnsiTheme="majorEastAsia" w:eastAsiaTheme="majorEastAsia"/>
          <w:highlight w:val="none"/>
        </w:rPr>
        <w:t>因发包人原因导致竣工试验未能通过的，承包人进行竣工试验的费用由发包人承担，竣工日期相应顺延。</w:t>
      </w:r>
    </w:p>
    <w:p w14:paraId="2819C12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9</w:t>
      </w:r>
      <w:r>
        <w:rPr>
          <w:rFonts w:asciiTheme="majorEastAsia" w:hAnsiTheme="majorEastAsia" w:eastAsiaTheme="majorEastAsia"/>
          <w:highlight w:val="none"/>
        </w:rPr>
        <w:t xml:space="preserve">.4.2 </w:t>
      </w:r>
      <w:r>
        <w:rPr>
          <w:rFonts w:hint="eastAsia" w:asciiTheme="majorEastAsia" w:hAnsiTheme="majorEastAsia" w:eastAsiaTheme="majorEastAsia"/>
          <w:highlight w:val="none"/>
        </w:rPr>
        <w:t>如果工程或区段工程未能通过根据第</w:t>
      </w:r>
      <w:r>
        <w:rPr>
          <w:rFonts w:asciiTheme="majorEastAsia" w:hAnsiTheme="majorEastAsia" w:eastAsiaTheme="majorEastAsia"/>
          <w:highlight w:val="none"/>
        </w:rPr>
        <w:t>9.3</w:t>
      </w:r>
      <w:r>
        <w:rPr>
          <w:rFonts w:hint="eastAsia" w:asciiTheme="majorEastAsia" w:hAnsiTheme="majorEastAsia" w:eastAsiaTheme="majorEastAsia"/>
          <w:highlight w:val="none"/>
        </w:rPr>
        <w:t>款[重新试验]重新进行的竣工试验的，则：</w:t>
      </w:r>
    </w:p>
    <w:p w14:paraId="395EB47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（1）发包人有权要求承包人根据第</w:t>
      </w:r>
      <w:r>
        <w:rPr>
          <w:rFonts w:asciiTheme="majorEastAsia" w:hAnsiTheme="majorEastAsia" w:eastAsiaTheme="majorEastAsia"/>
          <w:highlight w:val="none"/>
        </w:rPr>
        <w:t>6.6</w:t>
      </w:r>
      <w:r>
        <w:rPr>
          <w:rFonts w:hint="eastAsia" w:asciiTheme="majorEastAsia" w:hAnsiTheme="majorEastAsia" w:eastAsiaTheme="majorEastAsia"/>
          <w:highlight w:val="none"/>
        </w:rPr>
        <w:t>款[缺陷和修补]继续进行修补和改正，并根据第</w:t>
      </w:r>
      <w:r>
        <w:rPr>
          <w:rFonts w:asciiTheme="majorEastAsia" w:hAnsiTheme="majorEastAsia" w:eastAsiaTheme="majorEastAsia"/>
          <w:highlight w:val="none"/>
        </w:rPr>
        <w:t>9.3</w:t>
      </w:r>
      <w:r>
        <w:rPr>
          <w:rFonts w:hint="eastAsia" w:asciiTheme="majorEastAsia" w:hAnsiTheme="majorEastAsia" w:eastAsiaTheme="majorEastAsia"/>
          <w:highlight w:val="none"/>
        </w:rPr>
        <w:t>款[重新试验]再次进行竣工试验；</w:t>
      </w:r>
    </w:p>
    <w:p w14:paraId="562B0F5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6F84F706">
      <w:pPr>
        <w:spacing w:line="560" w:lineRule="exact"/>
        <w:ind w:firstLine="410" w:firstLineChars="171"/>
        <w:rPr>
          <w:rFonts w:asciiTheme="majorEastAsia" w:hAnsiTheme="majorEastAsia" w:eastAsiaTheme="majorEastAsia"/>
          <w:highlight w:val="none"/>
        </w:rPr>
      </w:pPr>
      <w:bookmarkStart w:id="660" w:name="_Ref4621461"/>
      <w:r>
        <w:rPr>
          <w:rFonts w:hint="eastAsia" w:asciiTheme="majorEastAsia" w:hAnsiTheme="majorEastAsia" w:eastAsiaTheme="majorEastAsia"/>
          <w:highlight w:val="none"/>
        </w:rPr>
        <w:t>（3）未能通过竣工试验，使工程或区段工程的任何主要部分丧失了生产、使用功能时，发包人有权指令承包人更换相关部分，承包人应承担因此增加的费用和误期损害赔偿责任，并赔偿发包人的相应损失</w:t>
      </w:r>
      <w:bookmarkEnd w:id="660"/>
      <w:r>
        <w:rPr>
          <w:rFonts w:hint="eastAsia" w:asciiTheme="majorEastAsia" w:hAnsiTheme="majorEastAsia" w:eastAsiaTheme="majorEastAsia"/>
          <w:highlight w:val="none"/>
        </w:rPr>
        <w:t>；</w:t>
      </w:r>
    </w:p>
    <w:p w14:paraId="10E0EF5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w:t>
      </w:r>
      <w:r>
        <w:rPr>
          <w:rFonts w:asciiTheme="majorEastAsia" w:hAnsiTheme="majorEastAsia" w:eastAsiaTheme="majorEastAsia"/>
          <w:highlight w:val="none"/>
        </w:rPr>
        <w:t>16.1</w:t>
      </w:r>
      <w:r>
        <w:rPr>
          <w:rFonts w:hint="eastAsia" w:asciiTheme="majorEastAsia" w:hAnsiTheme="majorEastAsia" w:eastAsiaTheme="majorEastAsia"/>
          <w:highlight w:val="none"/>
        </w:rPr>
        <w:t>款[由发包人解除合同]的约定解除合同。</w:t>
      </w:r>
    </w:p>
    <w:p w14:paraId="3DAD0B16">
      <w:pPr>
        <w:spacing w:line="560" w:lineRule="exact"/>
        <w:rPr>
          <w:rFonts w:asciiTheme="majorEastAsia" w:hAnsiTheme="majorEastAsia" w:eastAsiaTheme="majorEastAsia"/>
          <w:b/>
          <w:highlight w:val="none"/>
        </w:rPr>
      </w:pPr>
      <w:bookmarkStart w:id="661" w:name="_Ref4618348"/>
      <w:bookmarkStart w:id="662" w:name="_Toc54862263"/>
      <w:bookmarkStart w:id="663" w:name="_Ref4618338"/>
      <w:bookmarkStart w:id="664" w:name="_Ref4624043"/>
      <w:r>
        <w:rPr>
          <w:rFonts w:hint="eastAsia" w:asciiTheme="majorEastAsia" w:hAnsiTheme="majorEastAsia" w:eastAsiaTheme="majorEastAsia"/>
          <w:b/>
          <w:highlight w:val="none"/>
        </w:rPr>
        <w:t>第1</w:t>
      </w:r>
      <w:r>
        <w:rPr>
          <w:rFonts w:asciiTheme="majorEastAsia" w:hAnsiTheme="majorEastAsia" w:eastAsiaTheme="majorEastAsia"/>
          <w:b/>
          <w:highlight w:val="none"/>
        </w:rPr>
        <w:t>0</w:t>
      </w:r>
      <w:r>
        <w:rPr>
          <w:rFonts w:hint="eastAsia" w:asciiTheme="majorEastAsia" w:hAnsiTheme="majorEastAsia" w:eastAsiaTheme="majorEastAsia"/>
          <w:b/>
          <w:highlight w:val="none"/>
        </w:rPr>
        <w:t>条  验收和工程接收</w:t>
      </w:r>
      <w:bookmarkEnd w:id="661"/>
      <w:bookmarkEnd w:id="662"/>
      <w:bookmarkEnd w:id="663"/>
      <w:bookmarkEnd w:id="664"/>
    </w:p>
    <w:p w14:paraId="4EA801A7">
      <w:pPr>
        <w:spacing w:line="560" w:lineRule="exact"/>
        <w:ind w:firstLine="410" w:firstLineChars="171"/>
        <w:rPr>
          <w:rFonts w:asciiTheme="majorEastAsia" w:hAnsiTheme="majorEastAsia" w:eastAsiaTheme="majorEastAsia"/>
          <w:highlight w:val="none"/>
        </w:rPr>
      </w:pPr>
      <w:bookmarkStart w:id="665" w:name="_Ref532300804"/>
      <w:bookmarkStart w:id="666" w:name="_Ref532301199"/>
      <w:bookmarkStart w:id="667" w:name="_Ref532301202"/>
      <w:bookmarkStart w:id="668" w:name="_Toc54862264"/>
      <w:bookmarkStart w:id="669" w:name="_Ref532300801"/>
      <w:bookmarkStart w:id="670" w:name="_Ref532359152"/>
      <w:bookmarkStart w:id="671" w:name="_Ref532359143"/>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0.1 </w:t>
      </w:r>
      <w:r>
        <w:rPr>
          <w:rFonts w:hint="eastAsia" w:asciiTheme="majorEastAsia" w:hAnsiTheme="majorEastAsia" w:eastAsiaTheme="majorEastAsia"/>
          <w:highlight w:val="none"/>
        </w:rPr>
        <w:t>竣工验收</w:t>
      </w:r>
      <w:bookmarkEnd w:id="665"/>
      <w:bookmarkEnd w:id="666"/>
      <w:bookmarkEnd w:id="667"/>
      <w:bookmarkEnd w:id="668"/>
      <w:bookmarkEnd w:id="669"/>
      <w:bookmarkEnd w:id="670"/>
      <w:bookmarkEnd w:id="671"/>
    </w:p>
    <w:p w14:paraId="258E0D26">
      <w:pPr>
        <w:spacing w:line="560" w:lineRule="exact"/>
        <w:ind w:firstLine="410" w:firstLineChars="171"/>
        <w:rPr>
          <w:rFonts w:asciiTheme="majorEastAsia" w:hAnsiTheme="majorEastAsia" w:eastAsiaTheme="majorEastAsia"/>
          <w:highlight w:val="none"/>
        </w:rPr>
      </w:pPr>
      <w:bookmarkStart w:id="672" w:name="_Ref532628356"/>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0.1.1 </w:t>
      </w:r>
      <w:r>
        <w:rPr>
          <w:rFonts w:hint="eastAsia" w:asciiTheme="majorEastAsia" w:hAnsiTheme="majorEastAsia" w:eastAsiaTheme="majorEastAsia"/>
          <w:highlight w:val="none"/>
        </w:rPr>
        <w:t>竣工验收条件</w:t>
      </w:r>
    </w:p>
    <w:p w14:paraId="566EAB5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工程具备以下条件的，承包人可以申请竣工验收：</w:t>
      </w:r>
    </w:p>
    <w:p w14:paraId="10A097F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（1）除因第</w:t>
      </w:r>
      <w:r>
        <w:rPr>
          <w:rFonts w:asciiTheme="majorEastAsia" w:hAnsiTheme="majorEastAsia" w:eastAsiaTheme="majorEastAsia"/>
          <w:highlight w:val="none"/>
        </w:rPr>
        <w:t>13条</w:t>
      </w:r>
      <w:r>
        <w:rPr>
          <w:rFonts w:hint="eastAsia" w:asciiTheme="majorEastAsia" w:hAnsiTheme="majorEastAsia" w:eastAsiaTheme="majorEastAsia"/>
          <w:highlight w:val="none"/>
        </w:rPr>
        <w:t>[变更与调整]导致的工程量删减和第</w:t>
      </w:r>
      <w:r>
        <w:rPr>
          <w:rFonts w:asciiTheme="majorEastAsia" w:hAnsiTheme="majorEastAsia" w:eastAsiaTheme="majorEastAsia"/>
          <w:highlight w:val="none"/>
        </w:rPr>
        <w:t>14.5.3</w:t>
      </w:r>
      <w:r>
        <w:rPr>
          <w:rFonts w:hint="eastAsia" w:asciiTheme="majorEastAsia" w:hAnsiTheme="majorEastAsia" w:eastAsiaTheme="majorEastAsia"/>
          <w:highlight w:val="none"/>
        </w:rPr>
        <w:t>项[扫尾工作清单]列入缺陷责任期内完成的扫尾工程和缺陷修补工作外，合同范围内的全部单位/区段工程以及有关工作，包括合同要求的试验和竣工试验均已完成，并符合合同要求；</w:t>
      </w:r>
    </w:p>
    <w:p w14:paraId="2FC7A6B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（2）已按合同约定编制了扫尾工作和缺陷修补工作清单以及相应实施计划；</w:t>
      </w:r>
    </w:p>
    <w:p w14:paraId="64C3421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（3）已按合同约定的内容和份数备齐竣工资料；</w:t>
      </w:r>
    </w:p>
    <w:p w14:paraId="414A7B6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（4）合同约定要求在竣工验收前应完成的其他工作。</w:t>
      </w:r>
    </w:p>
    <w:bookmarkEnd w:id="672"/>
    <w:p w14:paraId="2356A6ED">
      <w:pPr>
        <w:spacing w:line="560" w:lineRule="exact"/>
        <w:ind w:firstLine="410" w:firstLineChars="171"/>
        <w:rPr>
          <w:rFonts w:asciiTheme="majorEastAsia" w:hAnsiTheme="majorEastAsia" w:eastAsiaTheme="majorEastAsia"/>
          <w:highlight w:val="none"/>
        </w:rPr>
      </w:pPr>
      <w:bookmarkStart w:id="673" w:name="_Ref4429424"/>
      <w:bookmarkStart w:id="674" w:name="_Hlk51506601"/>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0.1.2 </w:t>
      </w:r>
      <w:r>
        <w:rPr>
          <w:rFonts w:hint="eastAsia" w:asciiTheme="majorEastAsia" w:hAnsiTheme="majorEastAsia" w:eastAsiaTheme="majorEastAsia"/>
          <w:highlight w:val="none"/>
        </w:rPr>
        <w:t>竣工验收程序</w:t>
      </w:r>
      <w:bookmarkEnd w:id="673"/>
    </w:p>
    <w:bookmarkEnd w:id="674"/>
    <w:p w14:paraId="42CBDD1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除专用合同条件另有约定外，承包人申请竣工验收的，应当按照以下程序进行：</w:t>
      </w:r>
    </w:p>
    <w:p w14:paraId="45B119D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（1）承包人向工程师报送竣工验收申请报告，工程师应在收到竣工验收申请报告后14天内完成审查并报送发包人。工程师审查后认为尚不具备竣工验收条件的，应在收到竣工验收申请报告后的</w:t>
      </w:r>
      <w:r>
        <w:rPr>
          <w:rFonts w:asciiTheme="majorEastAsia" w:hAnsiTheme="majorEastAsia" w:eastAsiaTheme="majorEastAsia"/>
          <w:highlight w:val="none"/>
        </w:rPr>
        <w:t>14</w:t>
      </w:r>
      <w:r>
        <w:rPr>
          <w:rFonts w:hint="eastAsia" w:asciiTheme="majorEastAsia" w:hAnsiTheme="majorEastAsia" w:eastAsiaTheme="majorEastAsia"/>
          <w:highlight w:val="none"/>
        </w:rPr>
        <w:t>天内通知承包人，指出在颁发接收证书前承包人还需进行的工作内容。承包人完成工程师通知的全部工作内容后，应再次提交竣工验收申请报告，直至工程师同意为止。</w:t>
      </w:r>
    </w:p>
    <w:p w14:paraId="2B12A19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（2）工程师同意承包人提交的竣工验收申请报告的，或工程师收到竣工验收申请报告后</w:t>
      </w:r>
      <w:r>
        <w:rPr>
          <w:rFonts w:asciiTheme="majorEastAsia" w:hAnsiTheme="majorEastAsia" w:eastAsiaTheme="majorEastAsia"/>
          <w:highlight w:val="none"/>
        </w:rPr>
        <w:t>14</w:t>
      </w:r>
      <w:r>
        <w:rPr>
          <w:rFonts w:hint="eastAsia" w:asciiTheme="majorEastAsia" w:hAnsiTheme="majorEastAsia" w:eastAsiaTheme="majorEastAsia"/>
          <w:highlight w:val="none"/>
        </w:rPr>
        <w:t>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2785A0F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118C6578">
      <w:pPr>
        <w:spacing w:line="560" w:lineRule="exact"/>
        <w:ind w:firstLine="410" w:firstLineChars="171"/>
        <w:rPr>
          <w:rFonts w:asciiTheme="majorEastAsia" w:hAnsiTheme="majorEastAsia" w:eastAsiaTheme="majorEastAsia"/>
          <w:highlight w:val="none"/>
        </w:rPr>
      </w:pPr>
      <w:bookmarkStart w:id="675" w:name="_Hlk51506640"/>
      <w:r>
        <w:rPr>
          <w:rFonts w:hint="eastAsia" w:asciiTheme="majorEastAsia" w:hAnsiTheme="majorEastAsia" w:eastAsiaTheme="majorEastAsia"/>
          <w:highlight w:val="none"/>
        </w:rPr>
        <w:t>（4）因发包人原因，未在工程师收到承包人竣工验收申请报告之日起</w:t>
      </w:r>
      <w:r>
        <w:rPr>
          <w:rFonts w:asciiTheme="majorEastAsia" w:hAnsiTheme="majorEastAsia" w:eastAsiaTheme="majorEastAsia"/>
          <w:highlight w:val="none"/>
        </w:rPr>
        <w:t>42</w:t>
      </w:r>
      <w:r>
        <w:rPr>
          <w:rFonts w:hint="eastAsia" w:asciiTheme="majorEastAsia" w:hAnsiTheme="majorEastAsia" w:eastAsiaTheme="majorEastAsia"/>
          <w:highlight w:val="none"/>
        </w:rPr>
        <w:t>天内完成竣工验收的，以承包人提交竣工验收申请报告之日</w:t>
      </w:r>
      <w:r>
        <w:rPr>
          <w:rFonts w:asciiTheme="majorEastAsia" w:hAnsiTheme="majorEastAsia" w:eastAsiaTheme="majorEastAsia"/>
          <w:highlight w:val="none"/>
        </w:rPr>
        <w:t>作为工程实际竣工日期</w:t>
      </w:r>
      <w:r>
        <w:rPr>
          <w:rFonts w:hint="eastAsia" w:asciiTheme="majorEastAsia" w:hAnsiTheme="majorEastAsia" w:eastAsiaTheme="majorEastAsia"/>
          <w:highlight w:val="none"/>
        </w:rPr>
        <w:t>。</w:t>
      </w:r>
    </w:p>
    <w:bookmarkEnd w:id="675"/>
    <w:p w14:paraId="664D80C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（5）工程未经竣工验收，发包人擅自使用的，以转移占有工程之日为实际竣工日期。</w:t>
      </w:r>
    </w:p>
    <w:p w14:paraId="4F69201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除专用合同条件另有约定外，发包人不按照本项和第</w:t>
      </w:r>
      <w:r>
        <w:rPr>
          <w:rFonts w:asciiTheme="majorEastAsia" w:hAnsiTheme="majorEastAsia" w:eastAsiaTheme="majorEastAsia"/>
          <w:highlight w:val="none"/>
        </w:rPr>
        <w:t>10.4</w:t>
      </w:r>
      <w:r>
        <w:rPr>
          <w:rFonts w:hint="eastAsia" w:asciiTheme="majorEastAsia" w:hAnsiTheme="majorEastAsia" w:eastAsiaTheme="majorEastAsia"/>
          <w:highlight w:val="none"/>
        </w:rPr>
        <w:t>款</w:t>
      </w:r>
      <w:r>
        <w:rPr>
          <w:rFonts w:asciiTheme="majorEastAsia" w:hAnsiTheme="majorEastAsia" w:eastAsiaTheme="majorEastAsia"/>
          <w:highlight w:val="none"/>
        </w:rPr>
        <w:t>[接收证书]</w:t>
      </w:r>
      <w:r>
        <w:rPr>
          <w:rFonts w:hint="eastAsia" w:asciiTheme="majorEastAsia" w:hAnsiTheme="majorEastAsia" w:eastAsiaTheme="majorEastAsia"/>
          <w:highlight w:val="none"/>
        </w:rPr>
        <w:t>约定组织竣工验收、颁发工程接收证书的，每逾期一天，应以签约合同价为基数，按照贷款市场报价利率（LPR）支付违约金。</w:t>
      </w:r>
    </w:p>
    <w:p w14:paraId="6FC9533C">
      <w:pPr>
        <w:spacing w:line="560" w:lineRule="exact"/>
        <w:ind w:firstLine="410" w:firstLineChars="171"/>
        <w:rPr>
          <w:rFonts w:asciiTheme="majorEastAsia" w:hAnsiTheme="majorEastAsia" w:eastAsiaTheme="majorEastAsia"/>
          <w:highlight w:val="none"/>
        </w:rPr>
      </w:pPr>
      <w:bookmarkStart w:id="676" w:name="_Ref532301210"/>
      <w:bookmarkStart w:id="677" w:name="_Toc54862265"/>
      <w:bookmarkStart w:id="678" w:name="_Ref532301213"/>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0.2 </w:t>
      </w:r>
      <w:r>
        <w:rPr>
          <w:rFonts w:hint="eastAsia" w:asciiTheme="majorEastAsia" w:hAnsiTheme="majorEastAsia" w:eastAsiaTheme="majorEastAsia"/>
          <w:highlight w:val="none"/>
        </w:rPr>
        <w:t>单位/区段工程的验收</w:t>
      </w:r>
      <w:bookmarkEnd w:id="676"/>
      <w:bookmarkEnd w:id="677"/>
      <w:bookmarkEnd w:id="678"/>
    </w:p>
    <w:p w14:paraId="0CB6118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0.2.1 </w:t>
      </w:r>
      <w:r>
        <w:rPr>
          <w:rFonts w:hint="eastAsia" w:asciiTheme="majorEastAsia" w:hAnsiTheme="majorEastAsia" w:eastAsiaTheme="majorEastAsia"/>
          <w:highlight w:val="none"/>
        </w:rPr>
        <w:t>发包人根据项目进度计划安排，在全部工程竣工前需要使用已经竣工的单位/区段工程时，或承包人提出经发包人同意时，可进行单位/区段工程验收。验收的程序可参照第</w:t>
      </w:r>
      <w:r>
        <w:rPr>
          <w:rFonts w:asciiTheme="majorEastAsia" w:hAnsiTheme="majorEastAsia" w:eastAsiaTheme="majorEastAsia"/>
          <w:highlight w:val="none"/>
        </w:rPr>
        <w:t>10.1</w:t>
      </w:r>
      <w:r>
        <w:rPr>
          <w:rFonts w:hint="eastAsia" w:asciiTheme="majorEastAsia" w:hAnsiTheme="majorEastAsia" w:eastAsiaTheme="majorEastAsia"/>
          <w:highlight w:val="none"/>
        </w:rPr>
        <w:t>款[竣工验收]的约定进行。验收合格后，由工程师向承包人出具经发包人签认的单位/区段工程验收证书。单位/区段工程的验收成果和结论作为全部工程竣工验收申请报告的附件。</w:t>
      </w:r>
    </w:p>
    <w:p w14:paraId="04EA4CE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0.2.2 </w:t>
      </w:r>
      <w:r>
        <w:rPr>
          <w:rFonts w:hint="eastAsia" w:asciiTheme="majorEastAsia" w:hAnsiTheme="majorEastAsia" w:eastAsiaTheme="majorEastAsia"/>
          <w:highlight w:val="none"/>
        </w:rPr>
        <w:t>发包人在全部工程竣工前，使用已接收的单位/区段工程导致承包人费用增加的，发包人应承担由此增加的费用和（或）工期延误，并支付承包人合理利润。</w:t>
      </w:r>
    </w:p>
    <w:p w14:paraId="732FCBB7">
      <w:pPr>
        <w:spacing w:line="560" w:lineRule="exact"/>
        <w:ind w:firstLine="410" w:firstLineChars="171"/>
        <w:rPr>
          <w:rFonts w:asciiTheme="majorEastAsia" w:hAnsiTheme="majorEastAsia" w:eastAsiaTheme="majorEastAsia"/>
          <w:highlight w:val="none"/>
        </w:rPr>
      </w:pPr>
      <w:bookmarkStart w:id="679" w:name="_Toc54862266"/>
      <w:bookmarkStart w:id="680" w:name="_Ref4429473"/>
      <w:bookmarkStart w:id="681" w:name="_Ref532688351"/>
      <w:bookmarkStart w:id="682" w:name="_Ref532688354"/>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0.3 </w:t>
      </w:r>
      <w:r>
        <w:rPr>
          <w:rFonts w:hint="eastAsia" w:asciiTheme="majorEastAsia" w:hAnsiTheme="majorEastAsia" w:eastAsiaTheme="majorEastAsia"/>
          <w:highlight w:val="none"/>
        </w:rPr>
        <w:t>工程的接收</w:t>
      </w:r>
      <w:bookmarkEnd w:id="679"/>
    </w:p>
    <w:p w14:paraId="743FCE4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0.3.1 </w:t>
      </w:r>
      <w:r>
        <w:rPr>
          <w:rFonts w:hint="eastAsia" w:asciiTheme="majorEastAsia" w:hAnsiTheme="majorEastAsia" w:eastAsiaTheme="majorEastAsia"/>
          <w:highlight w:val="none"/>
        </w:rPr>
        <w:t>根据工程项目的具体情况和特点，可按工程或单位/区段工程进行接收，并在专用合同条件约定接收的先后顺序、时间安排和其他要求。</w:t>
      </w:r>
    </w:p>
    <w:p w14:paraId="7885827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0.3.2 </w:t>
      </w:r>
      <w:r>
        <w:rPr>
          <w:rFonts w:hint="eastAsia" w:asciiTheme="majorEastAsia" w:hAnsiTheme="majorEastAsia" w:eastAsiaTheme="majorEastAsia"/>
          <w:highlight w:val="none"/>
        </w:rPr>
        <w:t>除按本条约定已经提交的资料外，接收工程时承包人需提交竣工验收资料的类别、内容、份数和提交时间，在专用合同条件中约定。</w:t>
      </w:r>
    </w:p>
    <w:p w14:paraId="6A7F180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0.3.3 </w:t>
      </w:r>
      <w:r>
        <w:rPr>
          <w:rFonts w:hint="eastAsia" w:asciiTheme="majorEastAsia" w:hAnsiTheme="majorEastAsia" w:eastAsiaTheme="majorEastAsia"/>
          <w:highlight w:val="none"/>
        </w:rPr>
        <w:t>发包人无正当理由不接收工程的，发包人自应当接收工程之日起，承担工程照管、成品保护、保管等与工程有关的各项费用，合同当事人可以在专用合同条件中另行约定发包人逾期接收工程的违约责任。</w:t>
      </w:r>
    </w:p>
    <w:p w14:paraId="191EB3F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0.3.4 </w:t>
      </w:r>
      <w:r>
        <w:rPr>
          <w:rFonts w:hint="eastAsia" w:asciiTheme="majorEastAsia" w:hAnsiTheme="majorEastAsia" w:eastAsiaTheme="majorEastAsia"/>
          <w:highlight w:val="none"/>
        </w:rPr>
        <w:t>承包人无正当理由不移交工程的，承包人应承担工程照管、成品保护、保管等与工程有关的各项费用，合同当事人可以在专用合同条件中另行约定承包人无正当理由不移交工程的违约责任。</w:t>
      </w:r>
    </w:p>
    <w:p w14:paraId="0C43AD00">
      <w:pPr>
        <w:spacing w:line="560" w:lineRule="exact"/>
        <w:ind w:firstLine="410" w:firstLineChars="171"/>
        <w:rPr>
          <w:rFonts w:asciiTheme="majorEastAsia" w:hAnsiTheme="majorEastAsia" w:eastAsiaTheme="majorEastAsia"/>
          <w:highlight w:val="none"/>
        </w:rPr>
      </w:pPr>
      <w:bookmarkStart w:id="683" w:name="_Toc54862267"/>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0.4 </w:t>
      </w:r>
      <w:r>
        <w:rPr>
          <w:rFonts w:hint="eastAsia" w:asciiTheme="majorEastAsia" w:hAnsiTheme="majorEastAsia" w:eastAsiaTheme="majorEastAsia"/>
          <w:highlight w:val="none"/>
        </w:rPr>
        <w:t>接收证书</w:t>
      </w:r>
      <w:bookmarkEnd w:id="680"/>
      <w:bookmarkEnd w:id="683"/>
    </w:p>
    <w:p w14:paraId="1F978651">
      <w:pPr>
        <w:spacing w:line="560" w:lineRule="exact"/>
        <w:ind w:firstLine="410" w:firstLineChars="171"/>
        <w:rPr>
          <w:rFonts w:asciiTheme="majorEastAsia" w:hAnsiTheme="majorEastAsia" w:eastAsiaTheme="majorEastAsia"/>
          <w:highlight w:val="none"/>
        </w:rPr>
      </w:pPr>
      <w:bookmarkStart w:id="684" w:name="_Ref442954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0.4.1 </w:t>
      </w:r>
      <w:r>
        <w:rPr>
          <w:rFonts w:hint="eastAsia" w:asciiTheme="majorEastAsia" w:hAnsiTheme="majorEastAsia" w:eastAsiaTheme="majorEastAsia"/>
          <w:highlight w:val="none"/>
        </w:rPr>
        <w:t>除专用合同条件另有约定外，承包人应在竣工验收合格后向发包人提交第</w:t>
      </w:r>
      <w:r>
        <w:rPr>
          <w:rFonts w:asciiTheme="majorEastAsia" w:hAnsiTheme="majorEastAsia" w:eastAsiaTheme="majorEastAsia"/>
          <w:highlight w:val="none"/>
        </w:rPr>
        <w:t>14.6</w:t>
      </w:r>
      <w:r>
        <w:rPr>
          <w:rFonts w:hint="eastAsia" w:asciiTheme="majorEastAsia" w:hAnsiTheme="majorEastAsia" w:eastAsiaTheme="majorEastAsia"/>
          <w:highlight w:val="none"/>
        </w:rPr>
        <w:t>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684"/>
    </w:p>
    <w:p w14:paraId="677B98E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0.4.2 </w:t>
      </w:r>
      <w:r>
        <w:rPr>
          <w:rFonts w:hint="eastAsia" w:asciiTheme="majorEastAsia" w:hAnsiTheme="majorEastAsia" w:eastAsiaTheme="majorEastAsia"/>
          <w:highlight w:val="none"/>
        </w:rPr>
        <w:t>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67ED6F2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0.4.3 </w:t>
      </w:r>
      <w:r>
        <w:rPr>
          <w:rFonts w:hint="eastAsia" w:asciiTheme="majorEastAsia" w:hAnsiTheme="majorEastAsia" w:eastAsiaTheme="majorEastAsia"/>
          <w:highlight w:val="none"/>
        </w:rPr>
        <w:t>竣工验收合格而发包人无正当理由逾期不颁发工程接收证书的，自验收合格后第15天起视为已颁发工程接收证书。</w:t>
      </w:r>
    </w:p>
    <w:p w14:paraId="4549BE7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0.4.4 </w:t>
      </w:r>
      <w:r>
        <w:rPr>
          <w:rFonts w:hint="eastAsia" w:asciiTheme="majorEastAsia" w:hAnsiTheme="majorEastAsia" w:eastAsiaTheme="majorEastAsia"/>
          <w:highlight w:val="none"/>
        </w:rPr>
        <w:t>工程未经验收或验收不合格，发包人擅自使用的，应在转移占有工程后7天内向承包人颁发工程接收证书；发包人无正当理由逾期不颁发工程接收证书的，自转移占有后第15天起视为已颁发工程接收证书。</w:t>
      </w:r>
    </w:p>
    <w:p w14:paraId="7A4684E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0.4.5 </w:t>
      </w:r>
      <w:r>
        <w:rPr>
          <w:rFonts w:hint="eastAsia" w:asciiTheme="majorEastAsia" w:hAnsiTheme="majorEastAsia" w:eastAsiaTheme="majorEastAsia"/>
          <w:highlight w:val="none"/>
        </w:rPr>
        <w:t>存在扫尾工作的，工程接收证书中应当将第</w:t>
      </w:r>
      <w:r>
        <w:rPr>
          <w:rFonts w:asciiTheme="majorEastAsia" w:hAnsiTheme="majorEastAsia" w:eastAsiaTheme="majorEastAsia"/>
          <w:highlight w:val="none"/>
        </w:rPr>
        <w:t>14.5.3</w:t>
      </w:r>
      <w:r>
        <w:rPr>
          <w:rFonts w:hint="eastAsia" w:asciiTheme="majorEastAsia" w:hAnsiTheme="majorEastAsia" w:eastAsiaTheme="majorEastAsia"/>
          <w:highlight w:val="none"/>
        </w:rPr>
        <w:t>项[扫尾工作清单]中约定的扫尾工作清单作为工程接收证书附件。</w:t>
      </w:r>
    </w:p>
    <w:bookmarkEnd w:id="681"/>
    <w:bookmarkEnd w:id="682"/>
    <w:p w14:paraId="4CF6EE1F">
      <w:pPr>
        <w:spacing w:line="560" w:lineRule="exact"/>
        <w:ind w:firstLine="410" w:firstLineChars="171"/>
        <w:rPr>
          <w:rFonts w:asciiTheme="majorEastAsia" w:hAnsiTheme="majorEastAsia" w:eastAsiaTheme="majorEastAsia"/>
          <w:highlight w:val="none"/>
        </w:rPr>
      </w:pPr>
      <w:bookmarkStart w:id="685" w:name="_Toc54862268"/>
      <w:bookmarkStart w:id="686" w:name="_Ref4429935"/>
      <w:bookmarkStart w:id="687" w:name="_Ref442993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0.5 </w:t>
      </w:r>
      <w:r>
        <w:rPr>
          <w:rFonts w:hint="eastAsia" w:asciiTheme="majorEastAsia" w:hAnsiTheme="majorEastAsia" w:eastAsiaTheme="majorEastAsia"/>
          <w:highlight w:val="none"/>
        </w:rPr>
        <w:t>竣工退场</w:t>
      </w:r>
      <w:bookmarkEnd w:id="685"/>
      <w:bookmarkEnd w:id="686"/>
      <w:bookmarkEnd w:id="687"/>
    </w:p>
    <w:p w14:paraId="3F6DCF0F">
      <w:pPr>
        <w:spacing w:line="560" w:lineRule="exact"/>
        <w:ind w:firstLine="410" w:firstLineChars="171"/>
        <w:rPr>
          <w:rFonts w:asciiTheme="majorEastAsia" w:hAnsiTheme="majorEastAsia" w:eastAsiaTheme="majorEastAsia"/>
          <w:highlight w:val="none"/>
        </w:rPr>
      </w:pPr>
      <w:bookmarkStart w:id="688" w:name="_Ref4429943"/>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0.5.1 </w:t>
      </w:r>
      <w:r>
        <w:rPr>
          <w:rFonts w:hint="eastAsia" w:asciiTheme="majorEastAsia" w:hAnsiTheme="majorEastAsia" w:eastAsiaTheme="majorEastAsia"/>
          <w:highlight w:val="none"/>
        </w:rPr>
        <w:t>竣工退场</w:t>
      </w:r>
      <w:bookmarkEnd w:id="688"/>
    </w:p>
    <w:p w14:paraId="0D8F7DF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颁发工程接收证书后，承包人应对施工现场进行清理，并撤离相关人员，使得施工现场处于以下状态，直至工程师检验合格为止：</w:t>
      </w:r>
    </w:p>
    <w:p w14:paraId="15E709B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（1）施工现场内残留的垃圾已全部清除出场；</w:t>
      </w:r>
    </w:p>
    <w:p w14:paraId="2AE1117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（2）临时工程已拆除，场地已按合同约定进行清理、平整或复原；</w:t>
      </w:r>
    </w:p>
    <w:p w14:paraId="59AC916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（3）按合同约定应撤离的人员、承包人提供的施工设备和剩余的材料，包括废弃的施工设备和材料，已按计划撤离施工现场；</w:t>
      </w:r>
    </w:p>
    <w:p w14:paraId="0367A56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（4）施工现场周边及其附近道路、河道的施工堆积物，已全部清理；</w:t>
      </w:r>
    </w:p>
    <w:p w14:paraId="3EB480A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（5）施工现场其他竣工退场工作已全部完成。</w:t>
      </w:r>
    </w:p>
    <w:p w14:paraId="1C7D352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1EDEE0D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0.5.2 </w:t>
      </w:r>
      <w:r>
        <w:rPr>
          <w:rFonts w:hint="eastAsia" w:asciiTheme="majorEastAsia" w:hAnsiTheme="majorEastAsia" w:eastAsiaTheme="majorEastAsia"/>
          <w:highlight w:val="none"/>
        </w:rPr>
        <w:t>地表还原</w:t>
      </w:r>
    </w:p>
    <w:p w14:paraId="2CB83CD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承包人应按合同约定和工程师的要求恢复临时占地及清理场地，否则发包人有权委托其他人恢复或清理，所发生的费用由承包人承担。</w:t>
      </w:r>
    </w:p>
    <w:p w14:paraId="7FD2A3BE">
      <w:pPr>
        <w:spacing w:line="560" w:lineRule="exact"/>
        <w:ind w:firstLine="410" w:firstLineChars="171"/>
        <w:rPr>
          <w:rFonts w:asciiTheme="majorEastAsia" w:hAnsiTheme="majorEastAsia" w:eastAsiaTheme="majorEastAsia"/>
          <w:highlight w:val="none"/>
        </w:rPr>
      </w:pPr>
      <w:bookmarkStart w:id="689" w:name="_Ref20159437"/>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0.5.3 </w:t>
      </w:r>
      <w:r>
        <w:rPr>
          <w:rFonts w:hint="eastAsia" w:asciiTheme="majorEastAsia" w:hAnsiTheme="majorEastAsia" w:eastAsiaTheme="majorEastAsia"/>
          <w:highlight w:val="none"/>
        </w:rPr>
        <w:t>人员撤离</w:t>
      </w:r>
      <w:bookmarkEnd w:id="689"/>
    </w:p>
    <w:p w14:paraId="453D21E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573"/>
    </w:p>
    <w:p w14:paraId="53141CA6">
      <w:pPr>
        <w:spacing w:line="560" w:lineRule="exact"/>
        <w:rPr>
          <w:rFonts w:asciiTheme="majorEastAsia" w:hAnsiTheme="majorEastAsia" w:eastAsiaTheme="majorEastAsia"/>
          <w:b/>
          <w:highlight w:val="none"/>
        </w:rPr>
      </w:pPr>
      <w:bookmarkStart w:id="690" w:name="_Ref4796906"/>
      <w:bookmarkStart w:id="691" w:name="_Toc54862269"/>
      <w:bookmarkStart w:id="692" w:name="_Ref4796909"/>
      <w:bookmarkStart w:id="693" w:name="_Ref531955009"/>
      <w:r>
        <w:rPr>
          <w:rFonts w:hint="eastAsia" w:asciiTheme="majorEastAsia" w:hAnsiTheme="majorEastAsia" w:eastAsiaTheme="majorEastAsia"/>
          <w:b/>
          <w:highlight w:val="none"/>
        </w:rPr>
        <w:t>第1</w:t>
      </w:r>
      <w:r>
        <w:rPr>
          <w:rFonts w:asciiTheme="majorEastAsia" w:hAnsiTheme="majorEastAsia" w:eastAsiaTheme="majorEastAsia"/>
          <w:b/>
          <w:highlight w:val="none"/>
        </w:rPr>
        <w:t>1</w:t>
      </w:r>
      <w:r>
        <w:rPr>
          <w:rFonts w:hint="eastAsia" w:asciiTheme="majorEastAsia" w:hAnsiTheme="majorEastAsia" w:eastAsiaTheme="majorEastAsia"/>
          <w:b/>
          <w:highlight w:val="none"/>
        </w:rPr>
        <w:t>条  缺陷责任与保修</w:t>
      </w:r>
      <w:bookmarkEnd w:id="690"/>
      <w:bookmarkEnd w:id="691"/>
      <w:bookmarkEnd w:id="692"/>
      <w:bookmarkEnd w:id="693"/>
      <w:r>
        <w:rPr>
          <w:rFonts w:hint="eastAsia" w:asciiTheme="majorEastAsia" w:hAnsiTheme="majorEastAsia" w:eastAsiaTheme="majorEastAsia"/>
          <w:b/>
          <w:highlight w:val="none"/>
        </w:rPr>
        <w:t xml:space="preserve"> </w:t>
      </w:r>
    </w:p>
    <w:p w14:paraId="4EC6878C">
      <w:pPr>
        <w:spacing w:line="560" w:lineRule="exact"/>
        <w:ind w:firstLine="410" w:firstLineChars="171"/>
        <w:rPr>
          <w:rFonts w:asciiTheme="majorEastAsia" w:hAnsiTheme="majorEastAsia" w:eastAsiaTheme="majorEastAsia"/>
          <w:highlight w:val="none"/>
        </w:rPr>
      </w:pPr>
      <w:bookmarkStart w:id="694" w:name="_Toc54862270"/>
      <w:bookmarkStart w:id="695" w:name="_Ref531955245"/>
      <w:bookmarkStart w:id="696" w:name="_Ref531955248"/>
      <w:bookmarkStart w:id="697" w:name="_Ref532362928"/>
      <w:bookmarkStart w:id="698" w:name="_Toc296346648"/>
      <w:bookmarkStart w:id="699" w:name="_Toc337558841"/>
      <w:bookmarkStart w:id="700" w:name="_Toc296503147"/>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1.1 </w:t>
      </w:r>
      <w:r>
        <w:rPr>
          <w:rFonts w:hint="eastAsia" w:asciiTheme="majorEastAsia" w:hAnsiTheme="majorEastAsia" w:eastAsiaTheme="majorEastAsia"/>
          <w:highlight w:val="none"/>
        </w:rPr>
        <w:t>工程保修的原则</w:t>
      </w:r>
      <w:bookmarkEnd w:id="694"/>
    </w:p>
    <w:p w14:paraId="3AC5DA2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在工程移交发包人后，因承包人原因产生的质量缺陷，承包人应承担质量缺陷责任和保修义务。缺陷责任期届满，承包人仍应按合同约定的工程各部位保修年限承担保修义务。</w:t>
      </w:r>
    </w:p>
    <w:p w14:paraId="1644D791">
      <w:pPr>
        <w:spacing w:line="560" w:lineRule="exact"/>
        <w:ind w:firstLine="410" w:firstLineChars="171"/>
        <w:rPr>
          <w:rFonts w:asciiTheme="majorEastAsia" w:hAnsiTheme="majorEastAsia" w:eastAsiaTheme="majorEastAsia"/>
          <w:highlight w:val="none"/>
        </w:rPr>
      </w:pPr>
      <w:bookmarkStart w:id="701" w:name="_Toc54862271"/>
      <w:bookmarkStart w:id="702" w:name="_Ref443006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1.2 </w:t>
      </w:r>
      <w:r>
        <w:rPr>
          <w:rFonts w:hint="eastAsia" w:asciiTheme="majorEastAsia" w:hAnsiTheme="majorEastAsia" w:eastAsiaTheme="majorEastAsia"/>
          <w:highlight w:val="none"/>
        </w:rPr>
        <w:t>缺陷责任</w:t>
      </w:r>
      <w:bookmarkEnd w:id="695"/>
      <w:bookmarkEnd w:id="696"/>
      <w:r>
        <w:rPr>
          <w:rFonts w:hint="eastAsia" w:asciiTheme="majorEastAsia" w:hAnsiTheme="majorEastAsia" w:eastAsiaTheme="majorEastAsia"/>
          <w:highlight w:val="none"/>
        </w:rPr>
        <w:t>期</w:t>
      </w:r>
      <w:bookmarkEnd w:id="697"/>
      <w:bookmarkEnd w:id="701"/>
      <w:bookmarkEnd w:id="702"/>
      <w:r>
        <w:rPr>
          <w:rFonts w:hint="eastAsia" w:asciiTheme="majorEastAsia" w:hAnsiTheme="majorEastAsia" w:eastAsiaTheme="majorEastAsia"/>
          <w:highlight w:val="none"/>
        </w:rPr>
        <w:t xml:space="preserve"> </w:t>
      </w:r>
    </w:p>
    <w:p w14:paraId="3CE6911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缺陷责任期原则上从工程竣工验收合格之日起计算，合同当事人应在专用合同条件约定缺陷责任期的具体期限，但该期限最长不超过24个月。</w:t>
      </w:r>
    </w:p>
    <w:p w14:paraId="00417DC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66EF18B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650F3A57">
      <w:pPr>
        <w:spacing w:line="560" w:lineRule="exact"/>
        <w:ind w:firstLine="410" w:firstLineChars="171"/>
        <w:rPr>
          <w:rFonts w:asciiTheme="majorEastAsia" w:hAnsiTheme="majorEastAsia" w:eastAsiaTheme="majorEastAsia"/>
          <w:highlight w:val="none"/>
        </w:rPr>
      </w:pPr>
      <w:bookmarkStart w:id="703" w:name="_Ref532662491"/>
      <w:bookmarkStart w:id="704" w:name="_Toc54862272"/>
      <w:bookmarkStart w:id="705" w:name="_Ref532662486"/>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 </w:t>
      </w:r>
      <w:r>
        <w:rPr>
          <w:rFonts w:hint="eastAsia" w:asciiTheme="majorEastAsia" w:hAnsiTheme="majorEastAsia" w:eastAsiaTheme="majorEastAsia"/>
          <w:highlight w:val="none"/>
        </w:rPr>
        <w:t>缺陷调查</w:t>
      </w:r>
      <w:bookmarkEnd w:id="703"/>
      <w:bookmarkEnd w:id="704"/>
      <w:bookmarkEnd w:id="705"/>
    </w:p>
    <w:p w14:paraId="3E96672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1.3.1 </w:t>
      </w:r>
      <w:r>
        <w:rPr>
          <w:rFonts w:hint="eastAsia" w:asciiTheme="majorEastAsia" w:hAnsiTheme="majorEastAsia" w:eastAsiaTheme="majorEastAsia"/>
          <w:highlight w:val="none"/>
        </w:rPr>
        <w:t>承包人缺陷调查</w:t>
      </w:r>
    </w:p>
    <w:p w14:paraId="4B519D0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7DCEE1E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31BFFC3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1.3.2 </w:t>
      </w:r>
      <w:r>
        <w:rPr>
          <w:rFonts w:hint="eastAsia" w:asciiTheme="majorEastAsia" w:hAnsiTheme="majorEastAsia" w:eastAsiaTheme="majorEastAsia"/>
          <w:highlight w:val="none"/>
        </w:rPr>
        <w:t>缺陷责任</w:t>
      </w:r>
    </w:p>
    <w:p w14:paraId="6C989A1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3E051AA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1.3.3 </w:t>
      </w:r>
      <w:r>
        <w:rPr>
          <w:rFonts w:hint="eastAsia" w:asciiTheme="majorEastAsia" w:hAnsiTheme="majorEastAsia" w:eastAsiaTheme="majorEastAsia"/>
          <w:highlight w:val="none"/>
        </w:rPr>
        <w:t>修复费用</w:t>
      </w:r>
    </w:p>
    <w:p w14:paraId="34BBA35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发包人和承包人应共同查清缺陷或损坏的原因。经查明属承包人原因造成的，应由承包人承担修复的费用。经查验非承包人原因造成的，发包人应承担修复的费用，并支付承包人合理利润。</w:t>
      </w:r>
    </w:p>
    <w:p w14:paraId="7D11A9D4">
      <w:pPr>
        <w:spacing w:line="560" w:lineRule="exact"/>
        <w:ind w:firstLine="410" w:firstLineChars="171"/>
        <w:rPr>
          <w:rFonts w:asciiTheme="majorEastAsia" w:hAnsiTheme="majorEastAsia" w:eastAsiaTheme="majorEastAsia"/>
          <w:highlight w:val="none"/>
        </w:rPr>
      </w:pPr>
      <w:bookmarkStart w:id="706" w:name="_Ref531955041"/>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1.3.4 </w:t>
      </w:r>
      <w:r>
        <w:rPr>
          <w:rFonts w:hint="eastAsia" w:asciiTheme="majorEastAsia" w:hAnsiTheme="majorEastAsia" w:eastAsiaTheme="majorEastAsia"/>
          <w:highlight w:val="none"/>
        </w:rPr>
        <w:t>修复通知</w:t>
      </w:r>
      <w:bookmarkEnd w:id="706"/>
    </w:p>
    <w:p w14:paraId="178CD6A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2177160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1.3.5 </w:t>
      </w:r>
      <w:r>
        <w:rPr>
          <w:rFonts w:hint="eastAsia" w:asciiTheme="majorEastAsia" w:hAnsiTheme="majorEastAsia" w:eastAsiaTheme="majorEastAsia"/>
          <w:highlight w:val="none"/>
        </w:rPr>
        <w:t>在现场外修复</w:t>
      </w:r>
    </w:p>
    <w:p w14:paraId="5E94265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1F5EE16F">
      <w:pPr>
        <w:spacing w:line="560" w:lineRule="exact"/>
        <w:ind w:firstLine="410" w:firstLineChars="171"/>
        <w:rPr>
          <w:rFonts w:asciiTheme="majorEastAsia" w:hAnsiTheme="majorEastAsia" w:eastAsiaTheme="majorEastAsia"/>
          <w:highlight w:val="none"/>
        </w:rPr>
      </w:pPr>
      <w:bookmarkStart w:id="707" w:name="_Ref4534291"/>
      <w:bookmarkStart w:id="708" w:name="_Hlk51506786"/>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1.3.6 </w:t>
      </w:r>
      <w:r>
        <w:rPr>
          <w:rFonts w:hint="eastAsia" w:asciiTheme="majorEastAsia" w:hAnsiTheme="majorEastAsia" w:eastAsiaTheme="majorEastAsia"/>
          <w:highlight w:val="none"/>
        </w:rPr>
        <w:t>未能修复</w:t>
      </w:r>
      <w:bookmarkEnd w:id="707"/>
    </w:p>
    <w:bookmarkEnd w:id="708"/>
    <w:p w14:paraId="127851F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227D456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如果工程或工程设备的缺陷或损害使发包人实质上失去了工程的整体功能，发包人有权向承包人追回已支付的工程款项，并要求其赔偿发包人相应损失。</w:t>
      </w:r>
    </w:p>
    <w:bookmarkEnd w:id="698"/>
    <w:bookmarkEnd w:id="699"/>
    <w:bookmarkEnd w:id="700"/>
    <w:p w14:paraId="302E34E7">
      <w:pPr>
        <w:spacing w:line="560" w:lineRule="exact"/>
        <w:ind w:firstLine="410" w:firstLineChars="171"/>
        <w:rPr>
          <w:rFonts w:asciiTheme="majorEastAsia" w:hAnsiTheme="majorEastAsia" w:eastAsiaTheme="majorEastAsia"/>
          <w:highlight w:val="none"/>
        </w:rPr>
      </w:pPr>
      <w:bookmarkStart w:id="709" w:name="_Toc54862273"/>
      <w:bookmarkStart w:id="710" w:name="_Ref532662552"/>
      <w:bookmarkStart w:id="711" w:name="_Ref532662554"/>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1.4 </w:t>
      </w:r>
      <w:r>
        <w:rPr>
          <w:rFonts w:hint="eastAsia" w:asciiTheme="majorEastAsia" w:hAnsiTheme="majorEastAsia" w:eastAsiaTheme="majorEastAsia"/>
          <w:highlight w:val="none"/>
        </w:rPr>
        <w:t>缺陷修复后的进一步试验</w:t>
      </w:r>
      <w:bookmarkEnd w:id="709"/>
      <w:bookmarkEnd w:id="710"/>
      <w:bookmarkEnd w:id="711"/>
    </w:p>
    <w:p w14:paraId="4720843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任何一项缺陷修补后的7天内，承包人应向发包人发出通知，告知已修补的情况。如根据第</w:t>
      </w:r>
      <w:r>
        <w:rPr>
          <w:rFonts w:asciiTheme="majorEastAsia" w:hAnsiTheme="majorEastAsia" w:eastAsiaTheme="majorEastAsia"/>
          <w:highlight w:val="none"/>
        </w:rPr>
        <w:t>9条</w:t>
      </w:r>
      <w:r>
        <w:rPr>
          <w:rFonts w:hint="eastAsia" w:asciiTheme="majorEastAsia" w:hAnsiTheme="majorEastAsia" w:eastAsiaTheme="majorEastAsia"/>
          <w:highlight w:val="none"/>
        </w:rPr>
        <w:t>[竣工试验]或第</w:t>
      </w:r>
      <w:r>
        <w:rPr>
          <w:rFonts w:asciiTheme="majorEastAsia" w:hAnsiTheme="majorEastAsia" w:eastAsiaTheme="majorEastAsia"/>
          <w:highlight w:val="none"/>
        </w:rPr>
        <w:t>12条</w:t>
      </w:r>
      <w:r>
        <w:rPr>
          <w:rFonts w:hint="eastAsia" w:asciiTheme="majorEastAsia" w:hAnsiTheme="majorEastAsia" w:eastAsiaTheme="majorEastAsia"/>
          <w:highlight w:val="none"/>
        </w:rPr>
        <w:t>[</w:t>
      </w:r>
      <w:r>
        <w:rPr>
          <w:rFonts w:asciiTheme="majorEastAsia" w:hAnsiTheme="majorEastAsia" w:eastAsiaTheme="majorEastAsia"/>
          <w:highlight w:val="none"/>
        </w:rPr>
        <w:t>竣工后试验</w:t>
      </w:r>
      <w:r>
        <w:rPr>
          <w:rFonts w:hint="eastAsia" w:asciiTheme="majorEastAsia" w:hAnsiTheme="majorEastAsia" w:eastAsiaTheme="majorEastAsia"/>
          <w:highlight w:val="none"/>
        </w:rPr>
        <w:t>]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1CC53E4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所有的重复试验应按照适用于先前试验的条款进行，但应由责任方承担修补工作的成本和重新试验的风险和费用。</w:t>
      </w:r>
    </w:p>
    <w:p w14:paraId="62C992F7">
      <w:pPr>
        <w:spacing w:line="560" w:lineRule="exact"/>
        <w:ind w:firstLine="410" w:firstLineChars="171"/>
        <w:rPr>
          <w:rFonts w:asciiTheme="majorEastAsia" w:hAnsiTheme="majorEastAsia" w:eastAsiaTheme="majorEastAsia"/>
          <w:highlight w:val="none"/>
        </w:rPr>
      </w:pPr>
      <w:bookmarkStart w:id="712" w:name="_Toc54862274"/>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1.5 </w:t>
      </w:r>
      <w:r>
        <w:rPr>
          <w:rFonts w:hint="eastAsia" w:asciiTheme="majorEastAsia" w:hAnsiTheme="majorEastAsia" w:eastAsiaTheme="majorEastAsia"/>
          <w:highlight w:val="none"/>
        </w:rPr>
        <w:t>承包人出入权</w:t>
      </w:r>
      <w:bookmarkEnd w:id="712"/>
    </w:p>
    <w:p w14:paraId="376335F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4EDB78CE">
      <w:pPr>
        <w:spacing w:line="560" w:lineRule="exact"/>
        <w:ind w:firstLine="410" w:firstLineChars="171"/>
        <w:rPr>
          <w:rFonts w:asciiTheme="majorEastAsia" w:hAnsiTheme="majorEastAsia" w:eastAsiaTheme="majorEastAsia"/>
          <w:highlight w:val="none"/>
        </w:rPr>
      </w:pPr>
      <w:bookmarkStart w:id="713" w:name="_Toc54862275"/>
      <w:bookmarkStart w:id="714" w:name="_Ref4430229"/>
      <w:bookmarkStart w:id="715" w:name="_Ref4430223"/>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1.6 </w:t>
      </w:r>
      <w:r>
        <w:rPr>
          <w:rFonts w:hint="eastAsia" w:asciiTheme="majorEastAsia" w:hAnsiTheme="majorEastAsia" w:eastAsiaTheme="majorEastAsia"/>
          <w:highlight w:val="none"/>
        </w:rPr>
        <w:t>缺陷责任期终止证书</w:t>
      </w:r>
      <w:bookmarkEnd w:id="713"/>
      <w:bookmarkEnd w:id="714"/>
      <w:bookmarkEnd w:id="715"/>
    </w:p>
    <w:p w14:paraId="468C27F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w:t>
      </w:r>
      <w:bookmarkStart w:id="716" w:name="_Hlk4686672"/>
      <w:r>
        <w:rPr>
          <w:rFonts w:hint="eastAsia" w:asciiTheme="majorEastAsia" w:hAnsiTheme="majorEastAsia" w:eastAsiaTheme="majorEastAsia"/>
          <w:highlight w:val="none"/>
        </w:rPr>
        <w:t>承包人应于缺陷责任期届满前7天内向发包人发出缺陷责任期即将届满通知，发包人应在收到通知后</w:t>
      </w:r>
      <w:r>
        <w:rPr>
          <w:rFonts w:asciiTheme="majorEastAsia" w:hAnsiTheme="majorEastAsia" w:eastAsiaTheme="majorEastAsia"/>
          <w:highlight w:val="none"/>
        </w:rPr>
        <w:t>7</w:t>
      </w:r>
      <w:r>
        <w:rPr>
          <w:rFonts w:hint="eastAsia" w:asciiTheme="majorEastAsia" w:hAnsiTheme="majorEastAsia" w:eastAsiaTheme="majorEastAsia"/>
          <w:highlight w:val="none"/>
        </w:rPr>
        <w:t>天内核实承包人是否履行缺陷修复义务，承包人未能履行缺陷修复义务的，发包人有权扣除相应金额的维修费用。发包人应在缺陷责任期届满之日，向承包人颁发缺陷责任期终止证书，并按第</w:t>
      </w:r>
      <w:r>
        <w:rPr>
          <w:rFonts w:asciiTheme="majorEastAsia" w:hAnsiTheme="majorEastAsia" w:eastAsiaTheme="majorEastAsia"/>
          <w:highlight w:val="none"/>
        </w:rPr>
        <w:t>14.6.3</w:t>
      </w:r>
      <w:r>
        <w:rPr>
          <w:rFonts w:hint="eastAsia" w:asciiTheme="majorEastAsia" w:hAnsiTheme="majorEastAsia" w:eastAsiaTheme="majorEastAsia"/>
          <w:highlight w:val="none"/>
        </w:rPr>
        <w:t>项[质量保证金的返还]返还质量保证金。</w:t>
      </w:r>
      <w:bookmarkEnd w:id="716"/>
    </w:p>
    <w:p w14:paraId="1B9A694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如根据第</w:t>
      </w:r>
      <w:r>
        <w:rPr>
          <w:rFonts w:asciiTheme="majorEastAsia" w:hAnsiTheme="majorEastAsia" w:eastAsiaTheme="majorEastAsia"/>
          <w:highlight w:val="none"/>
        </w:rPr>
        <w:t>10.5.3</w:t>
      </w:r>
      <w:r>
        <w:rPr>
          <w:rFonts w:hint="eastAsia" w:asciiTheme="majorEastAsia" w:hAnsiTheme="majorEastAsia" w:eastAsiaTheme="majorEastAsia"/>
          <w:highlight w:val="none"/>
        </w:rPr>
        <w:t>项[人员撤离]承包人在施工现场还留有人员、施工设备和临时工程的，承包人应当在收到缺陷责任期终止证书后28天内，将上述人员、施工设备和临时工程撤离施工现场。</w:t>
      </w:r>
    </w:p>
    <w:p w14:paraId="4E2BA659">
      <w:pPr>
        <w:spacing w:line="560" w:lineRule="exact"/>
        <w:ind w:firstLine="410" w:firstLineChars="171"/>
        <w:rPr>
          <w:rFonts w:asciiTheme="majorEastAsia" w:hAnsiTheme="majorEastAsia" w:eastAsiaTheme="majorEastAsia"/>
          <w:highlight w:val="none"/>
        </w:rPr>
      </w:pPr>
      <w:bookmarkStart w:id="717" w:name="_Toc54862276"/>
      <w:bookmarkStart w:id="718" w:name="_Ref443027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1.7 </w:t>
      </w:r>
      <w:r>
        <w:rPr>
          <w:rFonts w:hint="eastAsia" w:asciiTheme="majorEastAsia" w:hAnsiTheme="majorEastAsia" w:eastAsiaTheme="majorEastAsia"/>
          <w:highlight w:val="none"/>
        </w:rPr>
        <w:t>保修责任</w:t>
      </w:r>
      <w:bookmarkEnd w:id="717"/>
      <w:bookmarkEnd w:id="718"/>
    </w:p>
    <w:p w14:paraId="3470190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因承包人原因导致的质量缺陷责任，由合同当事人根据有关法律规定，在专用合同条件和工程质量保修书中约定工程质量保修范围、期限和责任。</w:t>
      </w:r>
      <w:bookmarkEnd w:id="565"/>
      <w:bookmarkStart w:id="719" w:name="_Ref531957860"/>
      <w:bookmarkStart w:id="720" w:name="_Ref531958289"/>
    </w:p>
    <w:bookmarkEnd w:id="719"/>
    <w:p w14:paraId="1F2ABD8F">
      <w:pPr>
        <w:spacing w:line="560" w:lineRule="exact"/>
        <w:rPr>
          <w:rFonts w:asciiTheme="majorEastAsia" w:hAnsiTheme="majorEastAsia" w:eastAsiaTheme="majorEastAsia"/>
          <w:b/>
          <w:highlight w:val="none"/>
        </w:rPr>
      </w:pPr>
      <w:bookmarkStart w:id="721" w:name="_Ref4621057"/>
      <w:bookmarkStart w:id="722" w:name="_Toc54862277"/>
      <w:bookmarkStart w:id="723" w:name="_Ref4621065"/>
      <w:bookmarkStart w:id="724" w:name="_Ref4796955"/>
      <w:bookmarkStart w:id="725" w:name="_Ref4796958"/>
      <w:r>
        <w:rPr>
          <w:rFonts w:hint="eastAsia" w:asciiTheme="majorEastAsia" w:hAnsiTheme="majorEastAsia" w:eastAsiaTheme="majorEastAsia"/>
          <w:b/>
          <w:highlight w:val="none"/>
        </w:rPr>
        <w:t>第1</w:t>
      </w:r>
      <w:r>
        <w:rPr>
          <w:rFonts w:asciiTheme="majorEastAsia" w:hAnsiTheme="majorEastAsia" w:eastAsiaTheme="majorEastAsia"/>
          <w:b/>
          <w:highlight w:val="none"/>
        </w:rPr>
        <w:t>2</w:t>
      </w:r>
      <w:r>
        <w:rPr>
          <w:rFonts w:hint="eastAsia" w:asciiTheme="majorEastAsia" w:hAnsiTheme="majorEastAsia" w:eastAsiaTheme="majorEastAsia"/>
          <w:b/>
          <w:highlight w:val="none"/>
        </w:rPr>
        <w:t>条  竣工后试验</w:t>
      </w:r>
      <w:bookmarkEnd w:id="721"/>
      <w:bookmarkEnd w:id="722"/>
      <w:bookmarkEnd w:id="723"/>
    </w:p>
    <w:p w14:paraId="0E02BC0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本合同工程包含竣工后试验的，遵守本条约定。</w:t>
      </w:r>
    </w:p>
    <w:p w14:paraId="59533326">
      <w:pPr>
        <w:spacing w:line="560" w:lineRule="exact"/>
        <w:ind w:firstLine="410" w:firstLineChars="171"/>
        <w:rPr>
          <w:rFonts w:asciiTheme="majorEastAsia" w:hAnsiTheme="majorEastAsia" w:eastAsiaTheme="majorEastAsia"/>
          <w:highlight w:val="none"/>
        </w:rPr>
      </w:pPr>
      <w:bookmarkStart w:id="726" w:name="_Ref531954601"/>
      <w:bookmarkStart w:id="727" w:name="_Ref531954604"/>
      <w:bookmarkStart w:id="728" w:name="_Toc54862278"/>
      <w:bookmarkStart w:id="729" w:name="_Ref531954694"/>
      <w:bookmarkStart w:id="730" w:name="_Hlk522259976"/>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2.1 </w:t>
      </w:r>
      <w:r>
        <w:rPr>
          <w:rFonts w:hint="eastAsia" w:asciiTheme="majorEastAsia" w:hAnsiTheme="majorEastAsia" w:eastAsiaTheme="majorEastAsia"/>
          <w:highlight w:val="none"/>
        </w:rPr>
        <w:t>竣工后试验</w:t>
      </w:r>
      <w:bookmarkEnd w:id="726"/>
      <w:bookmarkEnd w:id="727"/>
      <w:r>
        <w:rPr>
          <w:rFonts w:hint="eastAsia" w:asciiTheme="majorEastAsia" w:hAnsiTheme="majorEastAsia" w:eastAsiaTheme="majorEastAsia"/>
          <w:highlight w:val="none"/>
        </w:rPr>
        <w:t>的程序</w:t>
      </w:r>
      <w:bookmarkEnd w:id="728"/>
      <w:bookmarkEnd w:id="729"/>
    </w:p>
    <w:p w14:paraId="507B7115">
      <w:pPr>
        <w:spacing w:line="560" w:lineRule="exact"/>
        <w:ind w:firstLine="410" w:firstLineChars="171"/>
        <w:rPr>
          <w:rFonts w:asciiTheme="majorEastAsia" w:hAnsiTheme="majorEastAsia" w:eastAsiaTheme="majorEastAsia"/>
          <w:highlight w:val="none"/>
        </w:rPr>
      </w:pPr>
      <w:bookmarkStart w:id="731" w:name="_Ref11920184"/>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2.1.1 </w:t>
      </w:r>
      <w:r>
        <w:rPr>
          <w:rFonts w:hint="eastAsia" w:asciiTheme="majorEastAsia" w:hAnsiTheme="majorEastAsia" w:eastAsiaTheme="majorEastAsia"/>
          <w:highlight w:val="none"/>
        </w:rPr>
        <w:t>工程或区段工程被发包人接收后，在合理可行的情况下应根据合同约定尽早进行竣工后试验。</w:t>
      </w:r>
      <w:bookmarkEnd w:id="731"/>
    </w:p>
    <w:p w14:paraId="6914AD6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2.1.2 </w:t>
      </w:r>
      <w:r>
        <w:rPr>
          <w:rFonts w:hint="eastAsia" w:asciiTheme="majorEastAsia" w:hAnsiTheme="majorEastAsia" w:eastAsiaTheme="majorEastAsia"/>
          <w:highlight w:val="none"/>
        </w:rPr>
        <w:t>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0795B834">
      <w:pPr>
        <w:spacing w:line="560" w:lineRule="exact"/>
        <w:ind w:firstLine="410" w:firstLineChars="171"/>
        <w:rPr>
          <w:rFonts w:asciiTheme="majorEastAsia" w:hAnsiTheme="majorEastAsia" w:eastAsiaTheme="majorEastAsia"/>
          <w:highlight w:val="none"/>
        </w:rPr>
      </w:pPr>
      <w:bookmarkStart w:id="732" w:name="_Ref1192016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2.1.3 </w:t>
      </w:r>
      <w:r>
        <w:rPr>
          <w:rFonts w:hint="eastAsia" w:asciiTheme="majorEastAsia" w:hAnsiTheme="majorEastAsia" w:eastAsiaTheme="majorEastAsia"/>
          <w:highlight w:val="none"/>
        </w:rPr>
        <w:t>除《发包人要求》另有约定外，发包人应在合理可行的情况下尽快进行每项竣工后试验，并至少提前21天将该项竣工后试验的内容、地点和时间，以及显示其他竣工后试验拟开展时间的竣工后试验计划通知承包人。</w:t>
      </w:r>
      <w:bookmarkEnd w:id="732"/>
    </w:p>
    <w:p w14:paraId="03BA466D">
      <w:pPr>
        <w:spacing w:line="560" w:lineRule="exact"/>
        <w:ind w:firstLine="410" w:firstLineChars="171"/>
        <w:rPr>
          <w:rFonts w:asciiTheme="majorEastAsia" w:hAnsiTheme="majorEastAsia" w:eastAsiaTheme="majorEastAsia"/>
          <w:highlight w:val="none"/>
        </w:rPr>
      </w:pPr>
      <w:bookmarkStart w:id="733" w:name="_Ref11920146"/>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2.1.4 </w:t>
      </w:r>
      <w:r>
        <w:rPr>
          <w:rFonts w:hint="eastAsia" w:asciiTheme="majorEastAsia" w:hAnsiTheme="majorEastAsia" w:eastAsiaTheme="majorEastAsia"/>
          <w:highlight w:val="none"/>
        </w:rPr>
        <w:t>发包人应根据《发包人要求》、承包人按照第</w:t>
      </w:r>
      <w:r>
        <w:rPr>
          <w:rFonts w:asciiTheme="majorEastAsia" w:hAnsiTheme="majorEastAsia" w:eastAsiaTheme="majorEastAsia"/>
          <w:highlight w:val="none"/>
        </w:rPr>
        <w:t>5.5</w:t>
      </w:r>
      <w:r>
        <w:rPr>
          <w:rFonts w:hint="eastAsia" w:asciiTheme="majorEastAsia" w:hAnsiTheme="majorEastAsia" w:eastAsiaTheme="majorEastAsia"/>
          <w:highlight w:val="none"/>
        </w:rPr>
        <w:t>款</w:t>
      </w:r>
      <w:bookmarkStart w:id="734" w:name="_Hlk18943978"/>
      <w:r>
        <w:rPr>
          <w:rFonts w:hint="eastAsia" w:asciiTheme="majorEastAsia" w:hAnsiTheme="majorEastAsia" w:eastAsiaTheme="majorEastAsia"/>
          <w:highlight w:val="none"/>
        </w:rPr>
        <w:t>[</w:t>
      </w:r>
      <w:r>
        <w:rPr>
          <w:rFonts w:asciiTheme="majorEastAsia" w:hAnsiTheme="majorEastAsia" w:eastAsiaTheme="majorEastAsia"/>
          <w:highlight w:val="none"/>
        </w:rPr>
        <w:t>操作和维修手册</w:t>
      </w:r>
      <w:r>
        <w:rPr>
          <w:rFonts w:hint="eastAsia" w:asciiTheme="majorEastAsia" w:hAnsiTheme="majorEastAsia" w:eastAsiaTheme="majorEastAsia"/>
          <w:highlight w:val="none"/>
        </w:rPr>
        <w:t>]</w:t>
      </w:r>
      <w:bookmarkEnd w:id="734"/>
      <w:r>
        <w:rPr>
          <w:rFonts w:hint="eastAsia" w:asciiTheme="majorEastAsia" w:hAnsiTheme="majorEastAsia" w:eastAsiaTheme="majorEastAsia"/>
          <w:highlight w:val="none"/>
        </w:rPr>
        <w:t>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733"/>
    </w:p>
    <w:p w14:paraId="3DB866C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2.1.5 </w:t>
      </w:r>
      <w:r>
        <w:rPr>
          <w:rFonts w:hint="eastAsia" w:asciiTheme="majorEastAsia" w:hAnsiTheme="majorEastAsia" w:eastAsiaTheme="majorEastAsia"/>
          <w:highlight w:val="none"/>
        </w:rPr>
        <w:t>竣工后试验的结果应由双方进行整理和评价，并应适当考虑发包人对工程或其任何部分的使用，对工程或区段工程的性能、特性和试验结果产生的影响。</w:t>
      </w:r>
    </w:p>
    <w:p w14:paraId="0B04A71B">
      <w:pPr>
        <w:spacing w:line="560" w:lineRule="exact"/>
        <w:ind w:firstLine="410" w:firstLineChars="171"/>
        <w:rPr>
          <w:rFonts w:asciiTheme="majorEastAsia" w:hAnsiTheme="majorEastAsia" w:eastAsiaTheme="majorEastAsia"/>
          <w:highlight w:val="none"/>
        </w:rPr>
      </w:pPr>
      <w:bookmarkStart w:id="735" w:name="_Ref531954785"/>
      <w:bookmarkStart w:id="736" w:name="_Ref531954781"/>
      <w:bookmarkStart w:id="737" w:name="_Toc54862279"/>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2.2 </w:t>
      </w:r>
      <w:r>
        <w:rPr>
          <w:rFonts w:hint="eastAsia" w:asciiTheme="majorEastAsia" w:hAnsiTheme="majorEastAsia" w:eastAsiaTheme="majorEastAsia"/>
          <w:highlight w:val="none"/>
        </w:rPr>
        <w:t>延误的试验</w:t>
      </w:r>
      <w:bookmarkEnd w:id="735"/>
      <w:bookmarkEnd w:id="736"/>
      <w:bookmarkEnd w:id="737"/>
      <w:r>
        <w:rPr>
          <w:rFonts w:hint="eastAsia" w:asciiTheme="majorEastAsia" w:hAnsiTheme="majorEastAsia" w:eastAsiaTheme="majorEastAsia"/>
          <w:highlight w:val="none"/>
        </w:rPr>
        <w:t xml:space="preserve"> </w:t>
      </w:r>
    </w:p>
    <w:p w14:paraId="240EDAA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2.2.1 </w:t>
      </w:r>
      <w:r>
        <w:rPr>
          <w:rFonts w:hint="eastAsia" w:asciiTheme="majorEastAsia" w:hAnsiTheme="majorEastAsia" w:eastAsiaTheme="majorEastAsia"/>
          <w:highlight w:val="none"/>
        </w:rPr>
        <w:t>如果竣工后试验因发包人原因被延误的，发包人应承担承包人由此增加的费用并支付承包人合理利润。</w:t>
      </w:r>
    </w:p>
    <w:p w14:paraId="2495D5A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2.2.2 </w:t>
      </w:r>
      <w:r>
        <w:rPr>
          <w:rFonts w:hint="eastAsia" w:asciiTheme="majorEastAsia" w:hAnsiTheme="majorEastAsia" w:eastAsiaTheme="majorEastAsia"/>
          <w:highlight w:val="none"/>
        </w:rPr>
        <w:t>如果因承包人以外的原因，导致竣工后试验未能在缺陷责任期或双方另行同意的其他期限内完成，则相关工程或区段工程应视为已通过该竣工后试验。</w:t>
      </w:r>
    </w:p>
    <w:p w14:paraId="3189D43C">
      <w:pPr>
        <w:spacing w:line="560" w:lineRule="exact"/>
        <w:ind w:firstLine="410" w:firstLineChars="171"/>
        <w:rPr>
          <w:rFonts w:asciiTheme="majorEastAsia" w:hAnsiTheme="majorEastAsia" w:eastAsiaTheme="majorEastAsia"/>
          <w:highlight w:val="none"/>
        </w:rPr>
      </w:pPr>
      <w:bookmarkStart w:id="738" w:name="_Toc54862280"/>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2.3 </w:t>
      </w:r>
      <w:r>
        <w:rPr>
          <w:rFonts w:hint="eastAsia" w:asciiTheme="majorEastAsia" w:hAnsiTheme="majorEastAsia" w:eastAsiaTheme="majorEastAsia"/>
          <w:highlight w:val="none"/>
        </w:rPr>
        <w:t>重新试验</w:t>
      </w:r>
      <w:bookmarkEnd w:id="738"/>
    </w:p>
    <w:p w14:paraId="4EF2438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如工程或区段工程未能通过竣工后试验，则承包人应根据第</w:t>
      </w:r>
      <w:r>
        <w:rPr>
          <w:rFonts w:asciiTheme="majorEastAsia" w:hAnsiTheme="majorEastAsia" w:eastAsiaTheme="majorEastAsia"/>
          <w:highlight w:val="none"/>
        </w:rPr>
        <w:t>11.3</w:t>
      </w:r>
      <w:r>
        <w:rPr>
          <w:rFonts w:hint="eastAsia" w:asciiTheme="majorEastAsia" w:hAnsiTheme="majorEastAsia" w:eastAsiaTheme="majorEastAsia"/>
          <w:highlight w:val="none"/>
        </w:rPr>
        <w:t>款[缺陷调查]的规定修补缺陷，以达到合同约定的要求；并按照第</w:t>
      </w:r>
      <w:r>
        <w:rPr>
          <w:rFonts w:asciiTheme="majorEastAsia" w:hAnsiTheme="majorEastAsia" w:eastAsiaTheme="majorEastAsia"/>
          <w:highlight w:val="none"/>
        </w:rPr>
        <w:t>11.4</w:t>
      </w:r>
      <w:r>
        <w:rPr>
          <w:rFonts w:hint="eastAsia" w:asciiTheme="majorEastAsia" w:hAnsiTheme="majorEastAsia" w:eastAsiaTheme="majorEastAsia"/>
          <w:highlight w:val="none"/>
        </w:rPr>
        <w:t>款[缺陷修复后的进一步试验]重新进行竣工后试验以及承担风险和费用。如未通过试验和重新试验是承包人原因造成的，则承包人还应承担发包人因此增加的费用。</w:t>
      </w:r>
    </w:p>
    <w:bookmarkEnd w:id="730"/>
    <w:p w14:paraId="342FCB80">
      <w:pPr>
        <w:spacing w:line="560" w:lineRule="exact"/>
        <w:ind w:firstLine="410" w:firstLineChars="171"/>
        <w:rPr>
          <w:rFonts w:asciiTheme="majorEastAsia" w:hAnsiTheme="majorEastAsia" w:eastAsiaTheme="majorEastAsia"/>
          <w:highlight w:val="none"/>
        </w:rPr>
      </w:pPr>
      <w:bookmarkStart w:id="739" w:name="_Ref531954819"/>
      <w:bookmarkStart w:id="740" w:name="_Toc54862281"/>
      <w:bookmarkStart w:id="741" w:name="_Ref531954811"/>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2.4 </w:t>
      </w:r>
      <w:r>
        <w:rPr>
          <w:rFonts w:hint="eastAsia" w:asciiTheme="majorEastAsia" w:hAnsiTheme="majorEastAsia" w:eastAsiaTheme="majorEastAsia"/>
          <w:highlight w:val="none"/>
        </w:rPr>
        <w:t>未能通过竣工后试验</w:t>
      </w:r>
      <w:bookmarkEnd w:id="739"/>
      <w:bookmarkEnd w:id="740"/>
      <w:bookmarkEnd w:id="741"/>
    </w:p>
    <w:p w14:paraId="655A89E9">
      <w:pPr>
        <w:spacing w:line="560" w:lineRule="exact"/>
        <w:ind w:firstLine="410" w:firstLineChars="171"/>
        <w:rPr>
          <w:rFonts w:asciiTheme="majorEastAsia" w:hAnsiTheme="majorEastAsia" w:eastAsiaTheme="majorEastAsia"/>
          <w:highlight w:val="none"/>
        </w:rPr>
      </w:pPr>
      <w:bookmarkStart w:id="742" w:name="_Ref531954829"/>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2.4.1 </w:t>
      </w:r>
      <w:r>
        <w:rPr>
          <w:rFonts w:hint="eastAsia" w:asciiTheme="majorEastAsia" w:hAnsiTheme="majorEastAsia" w:eastAsiaTheme="majorEastAsia"/>
          <w:highlight w:val="none"/>
        </w:rPr>
        <w:t>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742"/>
    </w:p>
    <w:p w14:paraId="00DA416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2.4.2 </w:t>
      </w:r>
      <w:r>
        <w:rPr>
          <w:rFonts w:hint="eastAsia" w:asciiTheme="majorEastAsia" w:hAnsiTheme="majorEastAsia" w:eastAsiaTheme="majorEastAsia"/>
          <w:highlight w:val="none"/>
        </w:rPr>
        <w:t>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380B9C6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2.4.3 </w:t>
      </w:r>
      <w:r>
        <w:rPr>
          <w:rFonts w:hint="eastAsia" w:asciiTheme="majorEastAsia" w:hAnsiTheme="majorEastAsia" w:eastAsiaTheme="majorEastAsia"/>
          <w:highlight w:val="none"/>
        </w:rPr>
        <w:t>发包人无故拖延给予承包人进行调查、调整或修补所需的进入工程或区段工程的许可，并造成承包人费用增加的，应承担由此增加的费用并支付承包人合理利润。</w:t>
      </w:r>
    </w:p>
    <w:p w14:paraId="5CFD77A8">
      <w:pPr>
        <w:spacing w:line="560" w:lineRule="exact"/>
        <w:rPr>
          <w:rFonts w:asciiTheme="majorEastAsia" w:hAnsiTheme="majorEastAsia" w:eastAsiaTheme="majorEastAsia"/>
          <w:b/>
          <w:highlight w:val="none"/>
        </w:rPr>
      </w:pPr>
      <w:bookmarkStart w:id="743" w:name="_Ref4415801"/>
      <w:bookmarkStart w:id="744" w:name="_Toc54862282"/>
      <w:r>
        <w:rPr>
          <w:rFonts w:hint="eastAsia" w:asciiTheme="majorEastAsia" w:hAnsiTheme="majorEastAsia" w:eastAsiaTheme="majorEastAsia"/>
          <w:b/>
          <w:highlight w:val="none"/>
        </w:rPr>
        <w:t>第1</w:t>
      </w:r>
      <w:r>
        <w:rPr>
          <w:rFonts w:asciiTheme="majorEastAsia" w:hAnsiTheme="majorEastAsia" w:eastAsiaTheme="majorEastAsia"/>
          <w:b/>
          <w:highlight w:val="none"/>
        </w:rPr>
        <w:t>3</w:t>
      </w:r>
      <w:r>
        <w:rPr>
          <w:rFonts w:hint="eastAsia" w:asciiTheme="majorEastAsia" w:hAnsiTheme="majorEastAsia" w:eastAsiaTheme="majorEastAsia"/>
          <w:b/>
          <w:highlight w:val="none"/>
        </w:rPr>
        <w:t>条  变更与调整</w:t>
      </w:r>
      <w:bookmarkEnd w:id="743"/>
      <w:bookmarkEnd w:id="744"/>
    </w:p>
    <w:p w14:paraId="020BF778">
      <w:pPr>
        <w:spacing w:line="560" w:lineRule="exact"/>
        <w:ind w:firstLine="410" w:firstLineChars="171"/>
        <w:rPr>
          <w:rFonts w:asciiTheme="majorEastAsia" w:hAnsiTheme="majorEastAsia" w:eastAsiaTheme="majorEastAsia"/>
          <w:highlight w:val="none"/>
        </w:rPr>
      </w:pPr>
      <w:bookmarkStart w:id="745" w:name="_Ref532677084"/>
      <w:bookmarkStart w:id="746" w:name="_Ref532668573"/>
      <w:bookmarkStart w:id="747" w:name="_Ref532670393"/>
      <w:bookmarkStart w:id="748" w:name="_Toc54862283"/>
      <w:bookmarkStart w:id="749" w:name="_Ref532670395"/>
      <w:bookmarkStart w:id="750" w:name="_Ref532677087"/>
      <w:bookmarkStart w:id="751" w:name="_Ref532668569"/>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3.1 </w:t>
      </w:r>
      <w:r>
        <w:rPr>
          <w:rFonts w:hint="eastAsia" w:asciiTheme="majorEastAsia" w:hAnsiTheme="majorEastAsia" w:eastAsiaTheme="majorEastAsia"/>
          <w:highlight w:val="none"/>
        </w:rPr>
        <w:t>发包人变更权</w:t>
      </w:r>
      <w:bookmarkEnd w:id="745"/>
      <w:bookmarkEnd w:id="746"/>
      <w:bookmarkEnd w:id="747"/>
      <w:bookmarkEnd w:id="748"/>
      <w:bookmarkEnd w:id="749"/>
      <w:bookmarkEnd w:id="750"/>
      <w:bookmarkEnd w:id="751"/>
      <w:r>
        <w:rPr>
          <w:rFonts w:hint="eastAsia" w:asciiTheme="majorEastAsia" w:hAnsiTheme="majorEastAsia" w:eastAsiaTheme="majorEastAsia"/>
          <w:highlight w:val="none"/>
        </w:rPr>
        <w:t xml:space="preserve"> </w:t>
      </w:r>
    </w:p>
    <w:p w14:paraId="1797F066">
      <w:pPr>
        <w:spacing w:line="560" w:lineRule="exact"/>
        <w:ind w:firstLine="410" w:firstLineChars="171"/>
        <w:rPr>
          <w:rFonts w:asciiTheme="majorEastAsia" w:hAnsiTheme="majorEastAsia" w:eastAsiaTheme="majorEastAsia"/>
          <w:highlight w:val="none"/>
        </w:rPr>
      </w:pPr>
      <w:bookmarkStart w:id="752" w:name="_Ref4534979"/>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3.1.1 </w:t>
      </w:r>
      <w:r>
        <w:rPr>
          <w:rFonts w:hint="eastAsia" w:asciiTheme="majorEastAsia" w:hAnsiTheme="majorEastAsia" w:eastAsiaTheme="majorEastAsia"/>
          <w:highlight w:val="none"/>
        </w:rPr>
        <w:t>变更指示应经发包人同意，并由工程师发出经发包人签认的变更指示。除第</w:t>
      </w:r>
      <w:r>
        <w:rPr>
          <w:rFonts w:asciiTheme="majorEastAsia" w:hAnsiTheme="majorEastAsia" w:eastAsiaTheme="majorEastAsia"/>
          <w:highlight w:val="none"/>
        </w:rPr>
        <w:t>11.3.6</w:t>
      </w:r>
      <w:r>
        <w:rPr>
          <w:rFonts w:hint="eastAsia" w:asciiTheme="majorEastAsia" w:hAnsiTheme="majorEastAsia" w:eastAsiaTheme="majorEastAsia"/>
          <w:highlight w:val="none"/>
        </w:rPr>
        <w:t>项[未能修复]约定的情况外，变更不应包括准备将任何工作删减并交由他人或发包人自行实施的情况。承包人收到变更指示后，方可实施变更。未经许可，承包人不得擅自对工程的任何部分进行变更。</w:t>
      </w:r>
      <w:bookmarkEnd w:id="752"/>
      <w:r>
        <w:rPr>
          <w:rFonts w:hint="eastAsia" w:asciiTheme="majorEastAsia" w:hAnsiTheme="majorEastAsia" w:eastAsiaTheme="majorEastAsia"/>
          <w:highlight w:val="none"/>
        </w:rPr>
        <w:t>发包人与承包人对某项指示或批准是否构成变更产生争议的，按第</w:t>
      </w:r>
      <w:r>
        <w:rPr>
          <w:rFonts w:asciiTheme="majorEastAsia" w:hAnsiTheme="majorEastAsia" w:eastAsiaTheme="majorEastAsia"/>
          <w:highlight w:val="none"/>
        </w:rPr>
        <w:t>20条</w:t>
      </w:r>
      <w:r>
        <w:rPr>
          <w:rFonts w:hint="eastAsia" w:asciiTheme="majorEastAsia" w:hAnsiTheme="majorEastAsia" w:eastAsiaTheme="majorEastAsia"/>
          <w:highlight w:val="none"/>
        </w:rPr>
        <w:t>[争议解决]处理。</w:t>
      </w:r>
    </w:p>
    <w:p w14:paraId="4F1A8BC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3.1.2 </w:t>
      </w:r>
      <w:r>
        <w:rPr>
          <w:rFonts w:hint="eastAsia" w:asciiTheme="majorEastAsia" w:hAnsiTheme="majorEastAsia" w:eastAsiaTheme="majorEastAsia"/>
          <w:highlight w:val="none"/>
        </w:rPr>
        <w:t>承包人应按照变更指示执行，除非承包人及时向工程师发出通知，说明该项变更指示将降低工程的安全性、稳定性或适用性；涉及的工作内容和范围不可预见；所涉设备难以采购；导致承包人无法执行第</w:t>
      </w:r>
      <w:r>
        <w:rPr>
          <w:rFonts w:asciiTheme="majorEastAsia" w:hAnsiTheme="majorEastAsia" w:eastAsiaTheme="majorEastAsia"/>
          <w:highlight w:val="none"/>
        </w:rPr>
        <w:t>7.5</w:t>
      </w:r>
      <w:r>
        <w:rPr>
          <w:rFonts w:hint="eastAsia" w:asciiTheme="majorEastAsia" w:hAnsiTheme="majorEastAsia" w:eastAsiaTheme="majorEastAsia"/>
          <w:highlight w:val="none"/>
        </w:rPr>
        <w:t>款[现场劳动用工]、第7</w:t>
      </w:r>
      <w:r>
        <w:rPr>
          <w:rFonts w:asciiTheme="majorEastAsia" w:hAnsiTheme="majorEastAsia" w:eastAsiaTheme="majorEastAsia"/>
          <w:highlight w:val="none"/>
        </w:rPr>
        <w:t>.6</w:t>
      </w:r>
      <w:r>
        <w:rPr>
          <w:rFonts w:hint="eastAsia" w:asciiTheme="majorEastAsia" w:hAnsiTheme="majorEastAsia" w:eastAsiaTheme="majorEastAsia"/>
          <w:highlight w:val="none"/>
        </w:rPr>
        <w:t>款[安全文明施工</w:t>
      </w:r>
      <w:r>
        <w:rPr>
          <w:rFonts w:asciiTheme="majorEastAsia" w:hAnsiTheme="majorEastAsia" w:eastAsiaTheme="majorEastAsia"/>
          <w:highlight w:val="none"/>
        </w:rPr>
        <w:t>]</w:t>
      </w:r>
      <w:r>
        <w:rPr>
          <w:rFonts w:hint="eastAsia" w:asciiTheme="majorEastAsia" w:hAnsiTheme="majorEastAsia" w:eastAsiaTheme="majorEastAsia"/>
          <w:highlight w:val="none"/>
        </w:rPr>
        <w:t>、第</w:t>
      </w:r>
      <w:r>
        <w:rPr>
          <w:rFonts w:asciiTheme="majorEastAsia" w:hAnsiTheme="majorEastAsia" w:eastAsiaTheme="majorEastAsia"/>
          <w:highlight w:val="none"/>
        </w:rPr>
        <w:t>7.7</w:t>
      </w:r>
      <w:r>
        <w:rPr>
          <w:rFonts w:hint="eastAsia" w:asciiTheme="majorEastAsia" w:hAnsiTheme="majorEastAsia" w:eastAsiaTheme="majorEastAsia"/>
          <w:highlight w:val="none"/>
        </w:rPr>
        <w:t>款[</w:t>
      </w:r>
      <w:r>
        <w:rPr>
          <w:rFonts w:asciiTheme="majorEastAsia" w:hAnsiTheme="majorEastAsia" w:eastAsiaTheme="majorEastAsia"/>
          <w:highlight w:val="none"/>
        </w:rPr>
        <w:t>职业健康]</w:t>
      </w:r>
      <w:r>
        <w:rPr>
          <w:rFonts w:hint="eastAsia" w:asciiTheme="majorEastAsia" w:hAnsiTheme="majorEastAsia" w:eastAsiaTheme="majorEastAsia"/>
          <w:highlight w:val="none"/>
        </w:rPr>
        <w:t>或第</w:t>
      </w:r>
      <w:r>
        <w:rPr>
          <w:rFonts w:asciiTheme="majorEastAsia" w:hAnsiTheme="majorEastAsia" w:eastAsiaTheme="majorEastAsia"/>
          <w:highlight w:val="none"/>
        </w:rPr>
        <w:t>7.8</w:t>
      </w:r>
      <w:r>
        <w:rPr>
          <w:rFonts w:hint="eastAsia" w:asciiTheme="majorEastAsia" w:hAnsiTheme="majorEastAsia" w:eastAsiaTheme="majorEastAsia"/>
          <w:highlight w:val="none"/>
        </w:rPr>
        <w:t>款[环境保护</w:t>
      </w:r>
      <w:r>
        <w:rPr>
          <w:rFonts w:asciiTheme="majorEastAsia" w:hAnsiTheme="majorEastAsia" w:eastAsiaTheme="majorEastAsia"/>
          <w:highlight w:val="none"/>
        </w:rPr>
        <w:t>]</w:t>
      </w:r>
      <w:r>
        <w:rPr>
          <w:rFonts w:hint="eastAsia" w:asciiTheme="majorEastAsia" w:hAnsiTheme="majorEastAsia" w:eastAsiaTheme="majorEastAsia"/>
          <w:highlight w:val="none"/>
        </w:rPr>
        <w:t>内容；将造成工期延误；与第</w:t>
      </w:r>
      <w:r>
        <w:rPr>
          <w:rFonts w:asciiTheme="majorEastAsia" w:hAnsiTheme="majorEastAsia" w:eastAsiaTheme="majorEastAsia"/>
          <w:highlight w:val="none"/>
        </w:rPr>
        <w:t>4.1</w:t>
      </w:r>
      <w:r>
        <w:rPr>
          <w:rFonts w:hint="eastAsia" w:asciiTheme="majorEastAsia" w:hAnsiTheme="majorEastAsia" w:eastAsiaTheme="majorEastAsia"/>
          <w:highlight w:val="none"/>
        </w:rPr>
        <w:t>款[</w:t>
      </w:r>
      <w:r>
        <w:rPr>
          <w:rFonts w:asciiTheme="majorEastAsia" w:hAnsiTheme="majorEastAsia" w:eastAsiaTheme="majorEastAsia"/>
          <w:highlight w:val="none"/>
        </w:rPr>
        <w:t>承包人的一般义务]</w:t>
      </w:r>
      <w:r>
        <w:rPr>
          <w:rFonts w:hint="eastAsia" w:asciiTheme="majorEastAsia" w:hAnsiTheme="majorEastAsia" w:eastAsiaTheme="majorEastAsia"/>
          <w:highlight w:val="none"/>
        </w:rPr>
        <w:t>相冲突等无法执行的理由。工程师接到承包人的通知后，应作出经发包人签认的取消、确认或改变原指示的书面回复。</w:t>
      </w:r>
    </w:p>
    <w:p w14:paraId="54BF1BC1">
      <w:pPr>
        <w:spacing w:line="560" w:lineRule="exact"/>
        <w:ind w:firstLine="410" w:firstLineChars="171"/>
        <w:rPr>
          <w:rFonts w:asciiTheme="majorEastAsia" w:hAnsiTheme="majorEastAsia" w:eastAsiaTheme="majorEastAsia"/>
          <w:highlight w:val="none"/>
        </w:rPr>
      </w:pPr>
      <w:bookmarkStart w:id="753" w:name="_Ref531955590"/>
      <w:bookmarkStart w:id="754" w:name="_Ref531955587"/>
      <w:bookmarkStart w:id="755" w:name="_Ref4623207"/>
      <w:bookmarkStart w:id="756" w:name="_Toc54862284"/>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3.2 </w:t>
      </w:r>
      <w:r>
        <w:rPr>
          <w:rFonts w:hint="eastAsia" w:asciiTheme="majorEastAsia" w:hAnsiTheme="majorEastAsia" w:eastAsiaTheme="majorEastAsia"/>
          <w:highlight w:val="none"/>
        </w:rPr>
        <w:t>承</w:t>
      </w:r>
      <w:bookmarkEnd w:id="753"/>
      <w:bookmarkEnd w:id="754"/>
      <w:r>
        <w:rPr>
          <w:rFonts w:hint="eastAsia" w:asciiTheme="majorEastAsia" w:hAnsiTheme="majorEastAsia" w:eastAsiaTheme="majorEastAsia"/>
          <w:highlight w:val="none"/>
        </w:rPr>
        <w:t>包人的合理化建议</w:t>
      </w:r>
      <w:bookmarkEnd w:id="755"/>
      <w:bookmarkEnd w:id="756"/>
    </w:p>
    <w:p w14:paraId="7B6873B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3.2.1 </w:t>
      </w:r>
      <w:r>
        <w:rPr>
          <w:rFonts w:hint="eastAsia" w:asciiTheme="majorEastAsia" w:hAnsiTheme="majorEastAsia" w:eastAsiaTheme="majorEastAsia"/>
          <w:highlight w:val="none"/>
        </w:rPr>
        <w:t>承包人提出合理化建议的，应向工程师提交合理化建议说明，说明建议的内容、理由以及实施该建议对合同价格和工期的影响。</w:t>
      </w:r>
    </w:p>
    <w:p w14:paraId="18B661B9">
      <w:pPr>
        <w:spacing w:line="560" w:lineRule="exact"/>
        <w:ind w:firstLine="410" w:firstLineChars="171"/>
        <w:rPr>
          <w:rFonts w:asciiTheme="majorEastAsia" w:hAnsiTheme="majorEastAsia" w:eastAsiaTheme="majorEastAsia"/>
          <w:highlight w:val="none"/>
        </w:rPr>
      </w:pPr>
      <w:bookmarkStart w:id="757" w:name="_Ref4681686"/>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3.2.2 </w:t>
      </w:r>
      <w:r>
        <w:rPr>
          <w:rFonts w:hint="eastAsia" w:asciiTheme="majorEastAsia" w:hAnsiTheme="majorEastAsia" w:eastAsiaTheme="majorEastAsia"/>
          <w:highlight w:val="none"/>
        </w:rPr>
        <w:t>除专用合同条件另有约定外，</w:t>
      </w:r>
      <w:bookmarkStart w:id="758" w:name="_Hlk4682273"/>
      <w:r>
        <w:rPr>
          <w:rFonts w:hint="eastAsia" w:asciiTheme="majorEastAsia" w:hAnsiTheme="majorEastAsia" w:eastAsiaTheme="majorEastAsia"/>
          <w:highlight w:val="none"/>
        </w:rPr>
        <w:t>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w:t>
      </w:r>
      <w:r>
        <w:rPr>
          <w:rFonts w:asciiTheme="majorEastAsia" w:hAnsiTheme="majorEastAsia" w:eastAsiaTheme="majorEastAsia"/>
          <w:highlight w:val="none"/>
        </w:rPr>
        <w:t>13.3.3</w:t>
      </w:r>
      <w:r>
        <w:rPr>
          <w:rFonts w:hint="eastAsia" w:asciiTheme="majorEastAsia" w:hAnsiTheme="majorEastAsia" w:eastAsiaTheme="majorEastAsia"/>
          <w:highlight w:val="none"/>
        </w:rPr>
        <w:t>项[</w:t>
      </w:r>
      <w:r>
        <w:rPr>
          <w:rFonts w:asciiTheme="majorEastAsia" w:hAnsiTheme="majorEastAsia" w:eastAsiaTheme="majorEastAsia"/>
          <w:highlight w:val="none"/>
        </w:rPr>
        <w:t>变更估价</w:t>
      </w:r>
      <w:r>
        <w:rPr>
          <w:rFonts w:hint="eastAsia" w:asciiTheme="majorEastAsia" w:hAnsiTheme="majorEastAsia" w:eastAsiaTheme="majorEastAsia"/>
          <w:highlight w:val="none"/>
        </w:rPr>
        <w:t>]约定执行。发包人不同意变更的，工程师应书面通知承包人</w:t>
      </w:r>
      <w:bookmarkEnd w:id="757"/>
      <w:r>
        <w:rPr>
          <w:rFonts w:hint="eastAsia" w:asciiTheme="majorEastAsia" w:hAnsiTheme="majorEastAsia" w:eastAsiaTheme="majorEastAsia"/>
          <w:highlight w:val="none"/>
        </w:rPr>
        <w:t>。</w:t>
      </w:r>
    </w:p>
    <w:p w14:paraId="7F5320EF">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 xml:space="preserve">13.2.3 </w:t>
      </w:r>
      <w:r>
        <w:rPr>
          <w:rFonts w:hint="eastAsia" w:asciiTheme="majorEastAsia" w:hAnsiTheme="majorEastAsia" w:eastAsiaTheme="majorEastAsia"/>
          <w:highlight w:val="none"/>
        </w:rPr>
        <w:t>合理化建议降低了合同价格、缩短了工期或者提高了工程经济效益的，双方可以按照专用合同条件的约定进行利益分享。</w:t>
      </w:r>
    </w:p>
    <w:bookmarkEnd w:id="758"/>
    <w:p w14:paraId="315A3795">
      <w:pPr>
        <w:spacing w:line="560" w:lineRule="exact"/>
        <w:ind w:firstLine="410" w:firstLineChars="171"/>
        <w:rPr>
          <w:rFonts w:asciiTheme="majorEastAsia" w:hAnsiTheme="majorEastAsia" w:eastAsiaTheme="majorEastAsia"/>
          <w:highlight w:val="none"/>
        </w:rPr>
      </w:pPr>
      <w:bookmarkStart w:id="759" w:name="_Ref532669305"/>
      <w:bookmarkStart w:id="760" w:name="_Ref532669302"/>
      <w:bookmarkStart w:id="761" w:name="_Ref532673541"/>
      <w:bookmarkStart w:id="762" w:name="_Ref532673538"/>
      <w:bookmarkStart w:id="763" w:name="_Toc54862285"/>
      <w:bookmarkStart w:id="764" w:name="_Ref532671484"/>
      <w:bookmarkStart w:id="765" w:name="_Ref532671480"/>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3.3 </w:t>
      </w:r>
      <w:r>
        <w:rPr>
          <w:rFonts w:hint="eastAsia" w:asciiTheme="majorEastAsia" w:hAnsiTheme="majorEastAsia" w:eastAsiaTheme="majorEastAsia"/>
          <w:highlight w:val="none"/>
        </w:rPr>
        <w:t>变更程序</w:t>
      </w:r>
      <w:bookmarkEnd w:id="759"/>
      <w:bookmarkEnd w:id="760"/>
      <w:bookmarkEnd w:id="761"/>
      <w:bookmarkEnd w:id="762"/>
      <w:bookmarkEnd w:id="763"/>
      <w:bookmarkEnd w:id="764"/>
      <w:bookmarkEnd w:id="765"/>
    </w:p>
    <w:p w14:paraId="16A4C22A">
      <w:pPr>
        <w:spacing w:line="560" w:lineRule="exact"/>
        <w:ind w:firstLine="410" w:firstLineChars="171"/>
        <w:rPr>
          <w:rFonts w:asciiTheme="majorEastAsia" w:hAnsiTheme="majorEastAsia" w:eastAsiaTheme="majorEastAsia"/>
          <w:highlight w:val="none"/>
        </w:rPr>
      </w:pPr>
      <w:bookmarkStart w:id="766" w:name="_Ref4534600"/>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3.3.1 </w:t>
      </w:r>
      <w:r>
        <w:rPr>
          <w:rFonts w:hint="eastAsia" w:asciiTheme="majorEastAsia" w:hAnsiTheme="majorEastAsia" w:eastAsiaTheme="majorEastAsia"/>
          <w:highlight w:val="none"/>
        </w:rPr>
        <w:t>发包人提出变更</w:t>
      </w:r>
      <w:bookmarkEnd w:id="766"/>
    </w:p>
    <w:p w14:paraId="3D528D0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发包人提出变更的，应通过工程师向承包人发出书面形式的变更指示，变更指示应说明计划变更的工程范围和变更的内容。</w:t>
      </w:r>
    </w:p>
    <w:p w14:paraId="08BE9025">
      <w:pPr>
        <w:spacing w:line="560" w:lineRule="exact"/>
        <w:ind w:firstLine="410" w:firstLineChars="171"/>
        <w:rPr>
          <w:rFonts w:asciiTheme="majorEastAsia" w:hAnsiTheme="majorEastAsia" w:eastAsiaTheme="majorEastAsia"/>
          <w:highlight w:val="none"/>
        </w:rPr>
      </w:pPr>
      <w:bookmarkStart w:id="767" w:name="_Ref4534617"/>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3.3.2 </w:t>
      </w:r>
      <w:r>
        <w:rPr>
          <w:rFonts w:hint="eastAsia" w:asciiTheme="majorEastAsia" w:hAnsiTheme="majorEastAsia" w:eastAsiaTheme="majorEastAsia"/>
          <w:highlight w:val="none"/>
        </w:rPr>
        <w:t>变更执行</w:t>
      </w:r>
      <w:bookmarkEnd w:id="767"/>
    </w:p>
    <w:p w14:paraId="17995F4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w:t>
      </w:r>
      <w:r>
        <w:rPr>
          <w:rFonts w:asciiTheme="majorEastAsia" w:hAnsiTheme="majorEastAsia" w:eastAsiaTheme="majorEastAsia"/>
          <w:highlight w:val="none"/>
        </w:rPr>
        <w:t>13.3.3</w:t>
      </w:r>
      <w:r>
        <w:rPr>
          <w:rFonts w:hint="eastAsia" w:asciiTheme="majorEastAsia" w:hAnsiTheme="majorEastAsia" w:eastAsiaTheme="majorEastAsia"/>
          <w:highlight w:val="none"/>
        </w:rPr>
        <w:t>项[变更估价]约定确定变更估价。</w:t>
      </w:r>
    </w:p>
    <w:p w14:paraId="0C3F4B64">
      <w:pPr>
        <w:spacing w:line="560" w:lineRule="exact"/>
        <w:ind w:firstLine="410" w:firstLineChars="171"/>
        <w:rPr>
          <w:rFonts w:asciiTheme="majorEastAsia" w:hAnsiTheme="majorEastAsia" w:eastAsiaTheme="majorEastAsia"/>
          <w:highlight w:val="none"/>
        </w:rPr>
      </w:pPr>
      <w:bookmarkStart w:id="768" w:name="_Ref3835481"/>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3.3.3 </w:t>
      </w:r>
      <w:r>
        <w:rPr>
          <w:rFonts w:hint="eastAsia" w:asciiTheme="majorEastAsia" w:hAnsiTheme="majorEastAsia" w:eastAsiaTheme="majorEastAsia"/>
          <w:highlight w:val="none"/>
        </w:rPr>
        <w:t>变更估价</w:t>
      </w:r>
      <w:bookmarkEnd w:id="768"/>
    </w:p>
    <w:p w14:paraId="30841C7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3.3.3.1 </w:t>
      </w:r>
      <w:r>
        <w:rPr>
          <w:rFonts w:hint="eastAsia" w:asciiTheme="majorEastAsia" w:hAnsiTheme="majorEastAsia" w:eastAsiaTheme="majorEastAsia"/>
          <w:highlight w:val="none"/>
        </w:rPr>
        <w:t>变更估价原则</w:t>
      </w:r>
    </w:p>
    <w:p w14:paraId="6301D3FC">
      <w:pPr>
        <w:spacing w:line="560" w:lineRule="exact"/>
        <w:ind w:firstLine="410" w:firstLineChars="171"/>
        <w:rPr>
          <w:rFonts w:asciiTheme="majorEastAsia" w:hAnsiTheme="majorEastAsia" w:eastAsiaTheme="majorEastAsia"/>
          <w:highlight w:val="none"/>
        </w:rPr>
      </w:pPr>
      <w:bookmarkStart w:id="769" w:name="_Toc54862286"/>
      <w:bookmarkStart w:id="770" w:name="_Ref4431237"/>
      <w:bookmarkStart w:id="771" w:name="_Ref531955607"/>
      <w:bookmarkStart w:id="772" w:name="_Ref531955605"/>
      <w:bookmarkStart w:id="773" w:name="_Toc296346651"/>
      <w:bookmarkStart w:id="774" w:name="_Toc296503150"/>
      <w:bookmarkStart w:id="775" w:name="_Toc337558844"/>
      <w:r>
        <w:rPr>
          <w:rFonts w:hint="eastAsia" w:asciiTheme="majorEastAsia" w:hAnsiTheme="majorEastAsia" w:eastAsiaTheme="majorEastAsia"/>
          <w:highlight w:val="none"/>
        </w:rPr>
        <w:t>关于变更估价原则的约定：</w:t>
      </w:r>
    </w:p>
    <w:p w14:paraId="03512DE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1、关于变更估价的约定:</w:t>
      </w:r>
    </w:p>
    <w:p w14:paraId="076E87D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a、由于发包人原因，或因设计变更等原因造成分部分项工程增加新的工程量清单项目，其对应综合单价按下列方法确定：①合同中已有适用的综合单价，按合同中已有的综合单价确定；②合同中有类似的综合单价，参照类似的综合单价确定；③合同中没有适用或类似的综合单价，按相关计价依据以及投标同期材料价格进行组价后乘以报价浮动率L，由承包人提出综合单价，工程师、造价单位进行审核，发包人确认，经发包人确认后的单价作为工程结算的依据。</w:t>
      </w:r>
    </w:p>
    <w:p w14:paraId="410397E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b、新增项目综合单价的确定方法如下：按云南省住房和城乡建设厅关于《云南省建设工程造价计价标准（</w:t>
      </w:r>
      <w:r>
        <w:rPr>
          <w:rFonts w:asciiTheme="majorEastAsia" w:hAnsiTheme="majorEastAsia" w:eastAsiaTheme="majorEastAsia"/>
          <w:highlight w:val="none"/>
        </w:rPr>
        <w:t>2020）版》发布实施的通知、《云南省建设工程造价计价规则及机械仪器台班费用定额》（DBJ53/T-58-2020）、《云南省市政工程计价标准》（DBJ53/T-59-2020）、《云南省园林绿化工程计价标准》（DBJ53/T-60-2020）、《云南省建筑工程计价标准》（DBJ53/T-61-2020）、《云南省通用安装工程计价标准》（DBJ53/T-63-2020）</w:t>
      </w:r>
      <w:r>
        <w:rPr>
          <w:rFonts w:hint="eastAsia" w:asciiTheme="majorEastAsia" w:hAnsiTheme="majorEastAsia" w:eastAsiaTheme="majorEastAsia"/>
          <w:highlight w:val="none"/>
        </w:rPr>
        <w:t>等规定的工程量清单计价方式计价，计价标准执行云南省住房和城乡建设厅关于《云南省建设工程造价计价标准（</w:t>
      </w:r>
      <w:r>
        <w:rPr>
          <w:rFonts w:asciiTheme="majorEastAsia" w:hAnsiTheme="majorEastAsia" w:eastAsiaTheme="majorEastAsia"/>
          <w:highlight w:val="none"/>
        </w:rPr>
        <w:t>2020）版》发布实施的通知、《云南省建设工程造价计价规则及机械仪器台班费用定额》（DBJ53/T-58-2020）、《云南省市政工程计价标准》（DBJ53/T-59-2020）、《云南省园林绿化工程计价标准》（DBJ53/T-60-2020）、《云南省建筑工程计价标准》（DBJ53/T-61-2020）、《云南省通用安装工程计价标准》（DBJ53/T-63-2020）</w:t>
      </w:r>
      <w:r>
        <w:rPr>
          <w:rFonts w:hint="eastAsia" w:asciiTheme="majorEastAsia" w:hAnsiTheme="majorEastAsia" w:eastAsiaTheme="majorEastAsia"/>
          <w:highlight w:val="none"/>
        </w:rPr>
        <w:t>等现行有关配套计价文件；</w:t>
      </w:r>
    </w:p>
    <w:p w14:paraId="4BBEEFE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c、新增项目综合单价中主要材料价格的确定：材料价格以投标当期的《当地价格指导》，按相关计价规范组价后的综合单价按投标报价浮动率L下浮，《当地价格指导》中没有的材料，则参照云南省同期《价格信息》及四方（发包方、工程师、造价方、承包方）共同认可的市场采购价计价。</w:t>
      </w:r>
    </w:p>
    <w:p w14:paraId="39A3BFD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d、新增项目单价由承包人编制报送，由工程师、监理单位、发包方现场代表初审，将完整资料报送跟踪造价单位，跟踪造价单位审核，建设单位审批的单价作为结算依据。</w:t>
      </w:r>
    </w:p>
    <w:p w14:paraId="11182A2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e、承包人报价浮动率L=（1-中标价/招标控制价）×100%</w:t>
      </w:r>
    </w:p>
    <w:p w14:paraId="151A771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2、关于变更的范围的约定：由发包人、设计人原因引起的变更均需经工程师、发包人或项目主管单位确认后可计入工程结算（设计错误引起的变更除外）。</w:t>
      </w:r>
    </w:p>
    <w:p w14:paraId="4978850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3、允许调整合同价款的内容</w:t>
      </w:r>
    </w:p>
    <w:p w14:paraId="30C08B7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本工程采用固定价格合同，承包人投标时综合单价不予调整。但施工过程中如出现工程变更、工程量清单缺项、工程量偏差、合同约定可以调整的材料价差、不可抗力、工期误工赔偿、现场签证，结算可调整合同价款。</w:t>
      </w:r>
    </w:p>
    <w:p w14:paraId="4158923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施工期间承包人采购的工程材料价格波动允许调整的主要材料为：钢筋、钢管、钢板、电缆、水泥、砂、石、混凝土、燃料动力（汽油、柴油、施工用水、施工用电）。因承包人原因造成工期延误所产生的材料价格上涨不予调整，若材料价格下跌的对应调整。</w:t>
      </w:r>
    </w:p>
    <w:p w14:paraId="16DA2BA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（3）合同约定的允许调整主要材料单价变化超过±5%时，超过部分的价格按以下方法调整：</w:t>
      </w:r>
    </w:p>
    <w:p w14:paraId="48D4059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a承包人投标报价中材料单价低于基准单价：施工期间材料单价涨幅以基准单价为基础超过合同约定的风险幅度值，或材料单价跌幅以投标报价为基础超过合同约定的风险幅度值时，其超过部分按实调整；</w:t>
      </w:r>
    </w:p>
    <w:p w14:paraId="7212C7C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b承包人投标报价中材料单价高于基准单价：施工期间材料单价跌幅以基准单价为基础超过合同约定的风险幅度值，或材料单价涨幅以投标报价为基础超过合同约定的风险幅度值时，其超过部分按实调整；</w:t>
      </w:r>
    </w:p>
    <w:p w14:paraId="00C784D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c承包人投标报价中材料单价等于基准单价：施工期间材料单价涨、跌幅以基准单价为基础超合同约定的风险幅度值时，其超过部分按实调整。</w:t>
      </w:r>
    </w:p>
    <w:p w14:paraId="2A64E92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注：基准单价为投标截止日前28天的价格标准。</w:t>
      </w:r>
    </w:p>
    <w:p w14:paraId="04402B3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发生工程量清单漏项、工程量偏差、设计变更及甲方指令的按实际发生并经四方（发包方、工程师方、造价方、承包方）共同认可后方可进入结算。工程量的增减价格调整方法按云南省住房和城乡建设厅关于《云南省建设工程造价计价标准（</w:t>
      </w:r>
      <w:r>
        <w:rPr>
          <w:rFonts w:asciiTheme="majorEastAsia" w:hAnsiTheme="majorEastAsia" w:eastAsiaTheme="majorEastAsia"/>
          <w:highlight w:val="none"/>
        </w:rPr>
        <w:t>2020）版》发布实施的通知、《云南省建设工程造价计价规则及机械仪器台班费用定额》（DBJ53/T-58-2020）、《云南省市政工程计价标准》（DBJ53/T-59-2020）、《云南省园林绿化工程计价标准》（DBJ53/T-60-2020）、《云南省建筑工程计价标准》（DBJ53/T-61-2020）、《云南省通用安装工程计价标准》（DBJ53/T-63-2020）等相应文件</w:t>
      </w:r>
      <w:r>
        <w:rPr>
          <w:rFonts w:hint="eastAsia" w:asciiTheme="majorEastAsia" w:hAnsiTheme="majorEastAsia" w:eastAsiaTheme="majorEastAsia"/>
          <w:highlight w:val="none"/>
        </w:rPr>
        <w:t>的规定执行。</w:t>
      </w:r>
    </w:p>
    <w:p w14:paraId="13D08F5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4、承包人实施本项目的风险范围包括以下内容，合同价格不作调整：</w:t>
      </w:r>
    </w:p>
    <w:p w14:paraId="77F95BF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 xml:space="preserve">（1）经过承包人标价的工程量清单或承包人投标报价书中的工程量与有关合同图纸及合同附件的技术规范所达到的要求之间的任何差异； </w:t>
      </w:r>
    </w:p>
    <w:p w14:paraId="266EEC0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（2）经过承包人标价的工程量清单或承包人投标报价书中的任何错、漏项；</w:t>
      </w:r>
    </w:p>
    <w:p w14:paraId="6B6539B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（3）经过承包人标价的工程量清单或承包人投标报价书中的任何计算错误；</w:t>
      </w:r>
    </w:p>
    <w:p w14:paraId="4304B04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（4）节假日、雨雪天、冬季施工、夜间加班等原因引起的任何风险及费用；</w:t>
      </w:r>
    </w:p>
    <w:p w14:paraId="0DAE303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（5）办理保函产生的费用；</w:t>
      </w:r>
    </w:p>
    <w:p w14:paraId="35617C8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（6）除合同约定承包人必须购买外，承包人自行购买的保险及因此产生的费用；</w:t>
      </w:r>
    </w:p>
    <w:p w14:paraId="069667C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（7）本合同约定的承包人负责协助发包人办理的各种报建、报监、许可及验收手续、现场安全文明环保、对外协调等直至协助发包人办理权证的所有风险及费用；</w:t>
      </w:r>
    </w:p>
    <w:p w14:paraId="49E87BD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（8）发包人提供的基础资料内的地下管线破坏及暗浜修复的风险及费用；</w:t>
      </w:r>
    </w:p>
    <w:p w14:paraId="400836B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（9）与本项目相邻建筑相关的所有风险及费用（无论红线内还是红线外）；</w:t>
      </w:r>
    </w:p>
    <w:p w14:paraId="3F9A39A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（10）作为有经验的承包人在投标阶段可以合理预见的其他风险事件。</w:t>
      </w:r>
    </w:p>
    <w:p w14:paraId="087968E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3.4 </w:t>
      </w:r>
      <w:r>
        <w:rPr>
          <w:rFonts w:hint="eastAsia" w:asciiTheme="majorEastAsia" w:hAnsiTheme="majorEastAsia" w:eastAsiaTheme="majorEastAsia"/>
          <w:highlight w:val="none"/>
        </w:rPr>
        <w:t>暂估价</w:t>
      </w:r>
      <w:bookmarkEnd w:id="769"/>
      <w:bookmarkEnd w:id="770"/>
    </w:p>
    <w:p w14:paraId="147A0E71">
      <w:pPr>
        <w:spacing w:line="560" w:lineRule="exact"/>
        <w:ind w:firstLine="410" w:firstLineChars="171"/>
        <w:rPr>
          <w:rFonts w:asciiTheme="majorEastAsia" w:hAnsiTheme="majorEastAsia" w:eastAsiaTheme="majorEastAsia"/>
          <w:highlight w:val="none"/>
        </w:rPr>
      </w:pPr>
      <w:bookmarkStart w:id="776" w:name="_Ref4616729"/>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3.4.1 </w:t>
      </w:r>
      <w:r>
        <w:rPr>
          <w:rFonts w:hint="eastAsia" w:asciiTheme="majorEastAsia" w:hAnsiTheme="majorEastAsia" w:eastAsiaTheme="majorEastAsia"/>
          <w:highlight w:val="none"/>
        </w:rPr>
        <w:t>依法必须招标的暂估价项目</w:t>
      </w:r>
      <w:bookmarkEnd w:id="776"/>
    </w:p>
    <w:p w14:paraId="57F2340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07F3608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专用合同条件约定由发包人和承包人共同作为招标人的，与组织招标工作有关的费用在专用合同条件中约定。</w:t>
      </w:r>
    </w:p>
    <w:p w14:paraId="18926A3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具体的招标程序以及发包人和承包人权利义务关系可在专用合同条件中约定。暂估价项目的中标金额与价格清单中所列暂估价的金额差以及相应的税金等其他费用应列入合同价格。</w:t>
      </w:r>
    </w:p>
    <w:p w14:paraId="49F87EB1">
      <w:pPr>
        <w:spacing w:line="560" w:lineRule="exact"/>
        <w:ind w:firstLine="410" w:firstLineChars="171"/>
        <w:rPr>
          <w:rFonts w:asciiTheme="majorEastAsia" w:hAnsiTheme="majorEastAsia" w:eastAsiaTheme="majorEastAsia"/>
          <w:highlight w:val="none"/>
        </w:rPr>
      </w:pPr>
      <w:bookmarkStart w:id="777" w:name="_Ref468231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3.4.2 </w:t>
      </w:r>
      <w:r>
        <w:rPr>
          <w:rFonts w:hint="eastAsia" w:asciiTheme="majorEastAsia" w:hAnsiTheme="majorEastAsia" w:eastAsiaTheme="majorEastAsia"/>
          <w:highlight w:val="none"/>
        </w:rPr>
        <w:t>不属于依法必须招标的暂估价项目</w:t>
      </w:r>
      <w:bookmarkEnd w:id="777"/>
    </w:p>
    <w:p w14:paraId="75AE6ED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5E42C2F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46013957">
      <w:pPr>
        <w:spacing w:line="560" w:lineRule="exact"/>
        <w:ind w:firstLine="410" w:firstLineChars="171"/>
        <w:rPr>
          <w:rFonts w:asciiTheme="majorEastAsia" w:hAnsiTheme="majorEastAsia" w:eastAsiaTheme="majorEastAsia"/>
          <w:highlight w:val="none"/>
        </w:rPr>
      </w:pPr>
      <w:bookmarkStart w:id="778" w:name="_Toc54862287"/>
      <w:bookmarkStart w:id="779" w:name="_Ref4431250"/>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3.5 </w:t>
      </w:r>
      <w:r>
        <w:rPr>
          <w:rFonts w:hint="eastAsia" w:asciiTheme="majorEastAsia" w:hAnsiTheme="majorEastAsia" w:eastAsiaTheme="majorEastAsia"/>
          <w:highlight w:val="none"/>
        </w:rPr>
        <w:t>暂列金额</w:t>
      </w:r>
      <w:bookmarkEnd w:id="778"/>
      <w:bookmarkEnd w:id="779"/>
      <w:r>
        <w:rPr>
          <w:rFonts w:hint="eastAsia" w:asciiTheme="majorEastAsia" w:hAnsiTheme="majorEastAsia" w:eastAsiaTheme="majorEastAsia"/>
          <w:highlight w:val="none"/>
        </w:rPr>
        <w:t xml:space="preserve"> </w:t>
      </w:r>
      <w:bookmarkEnd w:id="771"/>
      <w:bookmarkEnd w:id="772"/>
    </w:p>
    <w:bookmarkEnd w:id="773"/>
    <w:bookmarkEnd w:id="774"/>
    <w:bookmarkEnd w:id="775"/>
    <w:p w14:paraId="15E3AA8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4C77BFF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对于每笔暂列金额，发包人可以指示用于下列支付：</w:t>
      </w:r>
    </w:p>
    <w:p w14:paraId="336764B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（1）发包人根据第</w:t>
      </w:r>
      <w:r>
        <w:rPr>
          <w:rFonts w:asciiTheme="majorEastAsia" w:hAnsiTheme="majorEastAsia" w:eastAsiaTheme="majorEastAsia"/>
          <w:highlight w:val="none"/>
        </w:rPr>
        <w:t>13.1</w:t>
      </w:r>
      <w:r>
        <w:rPr>
          <w:rFonts w:hint="eastAsia" w:asciiTheme="majorEastAsia" w:hAnsiTheme="majorEastAsia" w:eastAsiaTheme="majorEastAsia"/>
          <w:highlight w:val="none"/>
        </w:rPr>
        <w:t>款[发包人变更权]指示变更，决定对合同价格和付款计划表（如有）进行调整的、由承包人实施的工作（包括要提供的工程设备、材料和服务）；</w:t>
      </w:r>
    </w:p>
    <w:p w14:paraId="3C27BFE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承包人购买的工程设备、材料、工作或服务，应支付包括承包人已付（或应付）的实际金额以及相应的管理费等费用和利润（管理费和利润应以实际金额为基数根据合同约定的费率（如有）或百分比计算）。</w:t>
      </w:r>
    </w:p>
    <w:p w14:paraId="054ECF3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5944C67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每份包含暂列金额的文件还应包括用以证明暂列金额的所有有效的发票、凭证和账户或收据。</w:t>
      </w:r>
    </w:p>
    <w:p w14:paraId="3C04A1FC">
      <w:pPr>
        <w:spacing w:line="560" w:lineRule="exact"/>
        <w:ind w:firstLine="410" w:firstLineChars="171"/>
        <w:rPr>
          <w:rFonts w:asciiTheme="majorEastAsia" w:hAnsiTheme="majorEastAsia" w:eastAsiaTheme="majorEastAsia"/>
          <w:highlight w:val="none"/>
        </w:rPr>
      </w:pPr>
      <w:bookmarkStart w:id="780" w:name="_Toc337558845"/>
      <w:bookmarkStart w:id="781" w:name="_Toc296503152"/>
      <w:bookmarkStart w:id="782" w:name="_Toc54862288"/>
      <w:bookmarkStart w:id="783" w:name="_Toc296346653"/>
      <w:bookmarkStart w:id="784" w:name="_Ref4431438"/>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3.6 </w:t>
      </w:r>
      <w:r>
        <w:rPr>
          <w:rFonts w:hint="eastAsia" w:asciiTheme="majorEastAsia" w:hAnsiTheme="majorEastAsia" w:eastAsiaTheme="majorEastAsia"/>
          <w:highlight w:val="none"/>
        </w:rPr>
        <w:t>计日工</w:t>
      </w:r>
      <w:bookmarkEnd w:id="780"/>
      <w:bookmarkEnd w:id="781"/>
      <w:bookmarkEnd w:id="782"/>
      <w:bookmarkEnd w:id="783"/>
      <w:bookmarkEnd w:id="784"/>
    </w:p>
    <w:p w14:paraId="72BFE3D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3.6.1 </w:t>
      </w:r>
      <w:r>
        <w:rPr>
          <w:rFonts w:hint="eastAsia" w:asciiTheme="majorEastAsia" w:hAnsiTheme="majorEastAsia" w:eastAsiaTheme="majorEastAsia"/>
          <w:highlight w:val="none"/>
        </w:rPr>
        <w:t>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w:t>
      </w:r>
      <w:r>
        <w:rPr>
          <w:rFonts w:asciiTheme="majorEastAsia" w:hAnsiTheme="majorEastAsia" w:eastAsiaTheme="majorEastAsia"/>
          <w:highlight w:val="none"/>
        </w:rPr>
        <w:t>3.6</w:t>
      </w:r>
      <w:r>
        <w:rPr>
          <w:rFonts w:hint="eastAsia" w:asciiTheme="majorEastAsia" w:hAnsiTheme="majorEastAsia" w:eastAsiaTheme="majorEastAsia"/>
          <w:highlight w:val="none"/>
        </w:rPr>
        <w:t>款[商定或确定]确定计日工的单价。</w:t>
      </w:r>
    </w:p>
    <w:p w14:paraId="69A367A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3.6.2 </w:t>
      </w:r>
      <w:r>
        <w:rPr>
          <w:rFonts w:hint="eastAsia" w:asciiTheme="majorEastAsia" w:hAnsiTheme="majorEastAsia" w:eastAsiaTheme="majorEastAsia"/>
          <w:highlight w:val="none"/>
        </w:rPr>
        <w:t>采用计日工计价的任何一项工作，承包人应在该项工作实施过程中，每天提交以下报表和有关凭证报送工程师审查：</w:t>
      </w:r>
    </w:p>
    <w:p w14:paraId="55E96BC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（1）工作名称、内容和数量；</w:t>
      </w:r>
    </w:p>
    <w:p w14:paraId="7A13523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（2）投入该工作的所有人员的姓名、专业、工种、级别和耗用工时；</w:t>
      </w:r>
    </w:p>
    <w:p w14:paraId="07F1812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（3）投入该工作的材料类别和数量；</w:t>
      </w:r>
    </w:p>
    <w:p w14:paraId="6A67C46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（4）投入该工作的施工设备型号、台数和耗用台时；</w:t>
      </w:r>
    </w:p>
    <w:p w14:paraId="3427A6D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w:t>
      </w:r>
      <w:r>
        <w:rPr>
          <w:rFonts w:asciiTheme="majorEastAsia" w:hAnsiTheme="majorEastAsia" w:eastAsiaTheme="majorEastAsia"/>
          <w:highlight w:val="none"/>
        </w:rPr>
        <w:t>5</w:t>
      </w:r>
      <w:r>
        <w:rPr>
          <w:rFonts w:hint="eastAsia" w:asciiTheme="majorEastAsia" w:hAnsiTheme="majorEastAsia" w:eastAsiaTheme="majorEastAsia"/>
          <w:highlight w:val="none"/>
        </w:rPr>
        <w:t>）其他有关资料和凭证。</w:t>
      </w:r>
    </w:p>
    <w:p w14:paraId="38926EC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计日工由承包人汇总后，列入最近一期进度付款申请单，由工程师审查并经发包人批准后列入进度付款。</w:t>
      </w:r>
    </w:p>
    <w:p w14:paraId="1D728F11">
      <w:pPr>
        <w:spacing w:line="560" w:lineRule="exact"/>
        <w:ind w:firstLine="410" w:firstLineChars="171"/>
        <w:rPr>
          <w:rFonts w:asciiTheme="majorEastAsia" w:hAnsiTheme="majorEastAsia" w:eastAsiaTheme="majorEastAsia"/>
          <w:highlight w:val="none"/>
        </w:rPr>
      </w:pPr>
      <w:bookmarkStart w:id="785" w:name="_Ref4617331"/>
      <w:bookmarkStart w:id="786" w:name="_Ref4617318"/>
      <w:bookmarkStart w:id="787" w:name="_Toc54862289"/>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3.7 </w:t>
      </w:r>
      <w:r>
        <w:rPr>
          <w:rFonts w:hint="eastAsia" w:asciiTheme="majorEastAsia" w:hAnsiTheme="majorEastAsia" w:eastAsiaTheme="majorEastAsia"/>
          <w:highlight w:val="none"/>
        </w:rPr>
        <w:t>法律变化引起的调整</w:t>
      </w:r>
      <w:bookmarkEnd w:id="785"/>
      <w:bookmarkEnd w:id="786"/>
      <w:bookmarkEnd w:id="787"/>
    </w:p>
    <w:p w14:paraId="2FD25D2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3.7.1 </w:t>
      </w:r>
      <w:r>
        <w:rPr>
          <w:rFonts w:hint="eastAsia" w:asciiTheme="majorEastAsia" w:hAnsiTheme="majorEastAsia" w:eastAsiaTheme="majorEastAsia"/>
          <w:highlight w:val="none"/>
        </w:rPr>
        <w:t>基准日期后，法律变化导致承包人在合同履行过程中所需要的费用发生除第13.</w:t>
      </w:r>
      <w:r>
        <w:rPr>
          <w:rFonts w:asciiTheme="majorEastAsia" w:hAnsiTheme="majorEastAsia" w:eastAsiaTheme="majorEastAsia"/>
          <w:highlight w:val="none"/>
        </w:rPr>
        <w:t>8</w:t>
      </w:r>
      <w:r>
        <w:rPr>
          <w:rFonts w:hint="eastAsia" w:asciiTheme="majorEastAsia" w:hAnsiTheme="majorEastAsia" w:eastAsiaTheme="majorEastAsia"/>
          <w:highlight w:val="none"/>
        </w:rPr>
        <w:t>款[市场价格波动引起的调整]约定以外的增加时，由发包人承担由此增加的费用；减少时，应从合同价格中予以扣减。基准日期后，因法律变化造成工期延误时，工期应予以顺延。</w:t>
      </w:r>
    </w:p>
    <w:p w14:paraId="2B2ABBF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3.7.2 </w:t>
      </w:r>
      <w:r>
        <w:rPr>
          <w:rFonts w:hint="eastAsia" w:asciiTheme="majorEastAsia" w:hAnsiTheme="majorEastAsia" w:eastAsiaTheme="majorEastAsia"/>
          <w:highlight w:val="none"/>
        </w:rPr>
        <w:t>因法律变化引起的合同价格和工期调整，合同当事人无法达成一致的，由工程师按第</w:t>
      </w:r>
      <w:r>
        <w:rPr>
          <w:rFonts w:asciiTheme="majorEastAsia" w:hAnsiTheme="majorEastAsia" w:eastAsiaTheme="majorEastAsia"/>
          <w:highlight w:val="none"/>
        </w:rPr>
        <w:t>3.6</w:t>
      </w:r>
      <w:r>
        <w:rPr>
          <w:rFonts w:hint="eastAsia" w:asciiTheme="majorEastAsia" w:hAnsiTheme="majorEastAsia" w:eastAsiaTheme="majorEastAsia"/>
          <w:highlight w:val="none"/>
        </w:rPr>
        <w:t>款[商定或确定]的约定处理。</w:t>
      </w:r>
    </w:p>
    <w:p w14:paraId="63B6250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3.7.3 </w:t>
      </w:r>
      <w:r>
        <w:rPr>
          <w:rFonts w:hint="eastAsia" w:asciiTheme="majorEastAsia" w:hAnsiTheme="majorEastAsia" w:eastAsiaTheme="majorEastAsia"/>
          <w:highlight w:val="none"/>
        </w:rPr>
        <w:t>因承包人原因造成工期延误，在工期延误期间出现法律变化的，由此增加的费用和（或）延误的工期由承包人承担。</w:t>
      </w:r>
    </w:p>
    <w:p w14:paraId="2B00202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3.7.4 </w:t>
      </w:r>
      <w:r>
        <w:rPr>
          <w:rFonts w:hint="eastAsia" w:asciiTheme="majorEastAsia" w:hAnsiTheme="majorEastAsia" w:eastAsiaTheme="majorEastAsia"/>
          <w:highlight w:val="none"/>
        </w:rPr>
        <w:t>因法律变化而需要对工程的实施进行任何调整的，承包人应迅速通知发包人，或者发包人应迅速通知承包人，并附上详细的辅助资料。发包人接到通知后，应根据第</w:t>
      </w:r>
      <w:r>
        <w:rPr>
          <w:rFonts w:asciiTheme="majorEastAsia" w:hAnsiTheme="majorEastAsia" w:eastAsiaTheme="majorEastAsia"/>
          <w:highlight w:val="none"/>
        </w:rPr>
        <w:t>13.3</w:t>
      </w:r>
      <w:r>
        <w:rPr>
          <w:rFonts w:hint="eastAsia" w:asciiTheme="majorEastAsia" w:hAnsiTheme="majorEastAsia" w:eastAsiaTheme="majorEastAsia"/>
          <w:highlight w:val="none"/>
        </w:rPr>
        <w:t>款[</w:t>
      </w:r>
      <w:r>
        <w:rPr>
          <w:rFonts w:asciiTheme="majorEastAsia" w:hAnsiTheme="majorEastAsia" w:eastAsiaTheme="majorEastAsia"/>
          <w:highlight w:val="none"/>
        </w:rPr>
        <w:t>变更程序</w:t>
      </w:r>
      <w:r>
        <w:rPr>
          <w:rFonts w:hint="eastAsia" w:asciiTheme="majorEastAsia" w:hAnsiTheme="majorEastAsia" w:eastAsiaTheme="majorEastAsia"/>
          <w:highlight w:val="none"/>
        </w:rPr>
        <w:t>]发出变更指示。</w:t>
      </w:r>
    </w:p>
    <w:p w14:paraId="20667EA8">
      <w:pPr>
        <w:spacing w:line="560" w:lineRule="exact"/>
        <w:ind w:firstLine="410" w:firstLineChars="171"/>
        <w:rPr>
          <w:rFonts w:asciiTheme="majorEastAsia" w:hAnsiTheme="majorEastAsia" w:eastAsiaTheme="majorEastAsia"/>
          <w:highlight w:val="none"/>
        </w:rPr>
      </w:pPr>
      <w:bookmarkStart w:id="788" w:name="_Ref531955627"/>
      <w:bookmarkStart w:id="789" w:name="_Toc54862290"/>
      <w:bookmarkStart w:id="790" w:name="_Ref531955630"/>
      <w:bookmarkStart w:id="791" w:name="_Ref18977613"/>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3.8 </w:t>
      </w:r>
      <w:r>
        <w:rPr>
          <w:rFonts w:hint="eastAsia" w:asciiTheme="majorEastAsia" w:hAnsiTheme="majorEastAsia" w:eastAsiaTheme="majorEastAsia"/>
          <w:highlight w:val="none"/>
        </w:rPr>
        <w:t>市场价格波动引起的调整</w:t>
      </w:r>
      <w:bookmarkEnd w:id="788"/>
      <w:bookmarkEnd w:id="789"/>
      <w:bookmarkEnd w:id="790"/>
      <w:bookmarkEnd w:id="791"/>
    </w:p>
    <w:p w14:paraId="6347EE25">
      <w:pPr>
        <w:spacing w:line="560" w:lineRule="exact"/>
        <w:ind w:firstLine="410" w:firstLineChars="171"/>
        <w:rPr>
          <w:rFonts w:asciiTheme="majorEastAsia" w:hAnsiTheme="majorEastAsia" w:eastAsiaTheme="majorEastAsia"/>
          <w:highlight w:val="none"/>
        </w:rPr>
      </w:pPr>
      <w:bookmarkStart w:id="792" w:name="_Ref4709841"/>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3.8.1 </w:t>
      </w:r>
      <w:r>
        <w:rPr>
          <w:rFonts w:hint="eastAsia" w:asciiTheme="majorEastAsia" w:hAnsiTheme="majorEastAsia" w:eastAsiaTheme="majorEastAsia"/>
          <w:highlight w:val="none"/>
        </w:rPr>
        <w:t>主要工程材料、设备、人工价格与招标时基期价相比，波动幅度超过合同约定幅度的，双方按照合同约定的价格调整方式调整。</w:t>
      </w:r>
    </w:p>
    <w:p w14:paraId="51C6757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3.8.2 </w:t>
      </w:r>
      <w:r>
        <w:rPr>
          <w:rFonts w:hint="eastAsia" w:asciiTheme="majorEastAsia" w:hAnsiTheme="majorEastAsia" w:eastAsiaTheme="majorEastAsia"/>
          <w:highlight w:val="none"/>
        </w:rPr>
        <w:t>发包人与承包人在专用合同条件中约定采用《价格指数权重表》的，适用本项约定。</w:t>
      </w:r>
    </w:p>
    <w:p w14:paraId="3D7C193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3.8.2.1 </w:t>
      </w:r>
      <w:r>
        <w:rPr>
          <w:rFonts w:hint="eastAsia" w:asciiTheme="majorEastAsia" w:hAnsiTheme="majorEastAsia" w:eastAsiaTheme="majorEastAsia"/>
          <w:highlight w:val="none"/>
        </w:rPr>
        <w:t>双方当事人可以将部分主要工程材料、工程设备、人工价格及其他双方认为应当根据市场价格调整的费用列入附件</w:t>
      </w:r>
      <w:r>
        <w:rPr>
          <w:rFonts w:asciiTheme="majorEastAsia" w:hAnsiTheme="majorEastAsia" w:eastAsiaTheme="majorEastAsia"/>
          <w:highlight w:val="none"/>
        </w:rPr>
        <w:t>6</w:t>
      </w:r>
      <w:r>
        <w:rPr>
          <w:rFonts w:hint="eastAsia" w:asciiTheme="majorEastAsia" w:hAnsiTheme="majorEastAsia" w:eastAsiaTheme="majorEastAsia"/>
          <w:highlight w:val="none"/>
        </w:rPr>
        <w:t>[</w:t>
      </w:r>
      <w:r>
        <w:rPr>
          <w:rFonts w:asciiTheme="majorEastAsia" w:hAnsiTheme="majorEastAsia" w:eastAsiaTheme="majorEastAsia"/>
          <w:highlight w:val="none"/>
        </w:rPr>
        <w:t>价格指数权重表</w:t>
      </w:r>
      <w:r>
        <w:rPr>
          <w:rFonts w:hint="eastAsia" w:asciiTheme="majorEastAsia" w:hAnsiTheme="majorEastAsia" w:eastAsiaTheme="majorEastAsia"/>
          <w:highlight w:val="none"/>
        </w:rPr>
        <w:t>]</w:t>
      </w:r>
      <w:r>
        <w:rPr>
          <w:rFonts w:asciiTheme="majorEastAsia" w:hAnsiTheme="majorEastAsia" w:eastAsiaTheme="majorEastAsia"/>
          <w:highlight w:val="none"/>
        </w:rPr>
        <w:t>，并根据以下公式计算差额并调整合同价格：</w:t>
      </w:r>
    </w:p>
    <w:bookmarkEnd w:id="792"/>
    <w:p w14:paraId="581614BB">
      <w:pPr>
        <w:spacing w:line="560" w:lineRule="exact"/>
        <w:ind w:firstLine="410" w:firstLineChars="171"/>
        <w:rPr>
          <w:rFonts w:asciiTheme="majorEastAsia" w:hAnsiTheme="majorEastAsia" w:eastAsiaTheme="majorEastAsia"/>
          <w:highlight w:val="none"/>
        </w:rPr>
      </w:pPr>
      <w:bookmarkStart w:id="793" w:name="_Ref4616996"/>
      <w:r>
        <w:rPr>
          <w:rFonts w:hint="eastAsia" w:asciiTheme="majorEastAsia" w:hAnsiTheme="majorEastAsia" w:eastAsiaTheme="majorEastAsia"/>
          <w:highlight w:val="none"/>
        </w:rPr>
        <w:t>（1）价格调整公式</w:t>
      </w:r>
      <w:bookmarkEnd w:id="793"/>
    </w:p>
    <w:p w14:paraId="64CCB3E8">
      <w:pPr>
        <w:spacing w:line="560" w:lineRule="exact"/>
        <w:ind w:firstLine="410" w:firstLineChars="171"/>
        <w:rPr>
          <w:rFonts w:asciiTheme="majorEastAsia" w:hAnsiTheme="majorEastAsia" w:eastAsiaTheme="majorEastAsia"/>
          <w:highlight w:val="none"/>
        </w:rPr>
      </w:pPr>
    </w:p>
    <w:p w14:paraId="4254FB11">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drawing>
          <wp:anchor distT="0" distB="0" distL="114300" distR="114300" simplePos="0" relativeHeight="251659264" behindDoc="0" locked="0" layoutInCell="1" allowOverlap="1">
            <wp:simplePos x="0" y="0"/>
            <wp:positionH relativeFrom="column">
              <wp:posOffset>40005</wp:posOffset>
            </wp:positionH>
            <wp:positionV relativeFrom="paragraph">
              <wp:posOffset>209550</wp:posOffset>
            </wp:positionV>
            <wp:extent cx="6068695" cy="861060"/>
            <wp:effectExtent l="0" t="0" r="8255" b="0"/>
            <wp:wrapTopAndBottom/>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6068695" cy="861060"/>
                    </a:xfrm>
                    <a:prstGeom prst="rect">
                      <a:avLst/>
                    </a:prstGeom>
                    <a:noFill/>
                    <a:ln>
                      <a:noFill/>
                    </a:ln>
                  </pic:spPr>
                </pic:pic>
              </a:graphicData>
            </a:graphic>
          </wp:anchor>
        </w:drawing>
      </w:r>
      <w:r>
        <w:rPr>
          <w:rFonts w:hint="eastAsia" w:asciiTheme="majorEastAsia" w:hAnsiTheme="majorEastAsia" w:eastAsiaTheme="majorEastAsia"/>
          <w:highlight w:val="none"/>
        </w:rPr>
        <w:t>公式中：△P---需调整的价格差额；</w:t>
      </w:r>
    </w:p>
    <w:p w14:paraId="5D0E620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PO---付款证书中承包人应得到的已完成工作量的金额。此项金额应不包括价格调整、不计质量保证金的预留和支付、预付款的支付和扣回。第13条[变更与</w:t>
      </w:r>
      <w:r>
        <w:rPr>
          <w:rFonts w:asciiTheme="majorEastAsia" w:hAnsiTheme="majorEastAsia" w:eastAsiaTheme="majorEastAsia"/>
          <w:highlight w:val="none"/>
        </w:rPr>
        <w:t>调整</w:t>
      </w:r>
      <w:r>
        <w:rPr>
          <w:rFonts w:hint="eastAsia" w:asciiTheme="majorEastAsia" w:hAnsiTheme="majorEastAsia" w:eastAsiaTheme="majorEastAsia"/>
          <w:highlight w:val="none"/>
        </w:rPr>
        <w:t>]约定的变更及其他金额已按当期价格计价的，也不计在内；</w:t>
      </w:r>
    </w:p>
    <w:p w14:paraId="1EB0F8B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 xml:space="preserve">A ---定值权重（即不调部分的权重）； </w:t>
      </w:r>
    </w:p>
    <w:p w14:paraId="41B9AA20">
      <w:pPr>
        <w:spacing w:line="560" w:lineRule="exact"/>
        <w:ind w:firstLine="410" w:firstLineChars="171"/>
        <w:rPr>
          <w:rFonts w:asciiTheme="majorEastAsia" w:hAnsiTheme="majorEastAsia" w:eastAsiaTheme="majorEastAsia"/>
          <w:highlight w:val="none"/>
        </w:rPr>
      </w:pPr>
      <w:bookmarkStart w:id="794" w:name="_Hlk24103184"/>
      <w:r>
        <w:rPr>
          <w:rFonts w:hint="eastAsia" w:asciiTheme="majorEastAsia" w:hAnsiTheme="majorEastAsia" w:eastAsiaTheme="majorEastAsia"/>
          <w:highlight w:val="none"/>
        </w:rPr>
        <w:t>B1</w:t>
      </w:r>
      <w:bookmarkEnd w:id="794"/>
      <w:bookmarkStart w:id="795" w:name="_Hlk24103205"/>
      <w:r>
        <w:rPr>
          <w:rFonts w:hint="eastAsia" w:asciiTheme="majorEastAsia" w:hAnsiTheme="majorEastAsia" w:eastAsiaTheme="majorEastAsia"/>
          <w:highlight w:val="none"/>
        </w:rPr>
        <w:t>；B2</w:t>
      </w:r>
      <w:bookmarkEnd w:id="795"/>
      <w:bookmarkStart w:id="796" w:name="_Hlk24103220"/>
      <w:r>
        <w:rPr>
          <w:rFonts w:hint="eastAsia" w:asciiTheme="majorEastAsia" w:hAnsiTheme="majorEastAsia" w:eastAsiaTheme="majorEastAsia"/>
          <w:highlight w:val="none"/>
        </w:rPr>
        <w:t>；B3</w:t>
      </w:r>
      <w:bookmarkEnd w:id="796"/>
      <w:r>
        <w:rPr>
          <w:rFonts w:hint="eastAsia" w:asciiTheme="majorEastAsia" w:hAnsiTheme="majorEastAsia" w:eastAsiaTheme="majorEastAsia"/>
          <w:highlight w:val="none"/>
        </w:rPr>
        <w:t>；……</w:t>
      </w:r>
      <w:bookmarkStart w:id="797" w:name="_Hlk24103245"/>
      <w:r>
        <w:rPr>
          <w:rFonts w:hint="eastAsia" w:asciiTheme="majorEastAsia" w:hAnsiTheme="majorEastAsia" w:eastAsiaTheme="majorEastAsia"/>
          <w:highlight w:val="none"/>
        </w:rPr>
        <w:t>Bn</w:t>
      </w:r>
      <w:bookmarkEnd w:id="797"/>
      <w:r>
        <w:rPr>
          <w:rFonts w:hint="eastAsia" w:asciiTheme="majorEastAsia" w:hAnsiTheme="majorEastAsia" w:eastAsiaTheme="majorEastAsia"/>
          <w:highlight w:val="none"/>
        </w:rPr>
        <w:t>---各可调因子的变值权重（即可调部分的权重）为各可调因子在投标函投标总报价中所占的比例，且A+B1+B2+B3+……+Bn=1；</w:t>
      </w:r>
    </w:p>
    <w:p w14:paraId="537D867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Ft1；Ft2；Ft3；……Ftn---各可调因子的当期价格指数，指付款证书相关周期最后一天的前42天的各可调因子的价格指数；</w:t>
      </w:r>
    </w:p>
    <w:p w14:paraId="5041A4F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F01；F02；F03；……F0n---各可调因子的基本价格指数，指基准日期的各可调因子的价格指数。</w:t>
      </w:r>
    </w:p>
    <w:p w14:paraId="6716DAE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3EB5640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（2）暂时确定调整差额</w:t>
      </w:r>
    </w:p>
    <w:p w14:paraId="474A270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在计算调整差额时得不到当期价格指数的，可暂用上一次价格指数计算，并在以后的付款中再按实际价格指数进行调整。</w:t>
      </w:r>
    </w:p>
    <w:p w14:paraId="2A9591B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（3）权重的调整</w:t>
      </w:r>
    </w:p>
    <w:p w14:paraId="2E71C31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按第</w:t>
      </w:r>
      <w:r>
        <w:rPr>
          <w:rFonts w:asciiTheme="majorEastAsia" w:hAnsiTheme="majorEastAsia" w:eastAsiaTheme="majorEastAsia"/>
          <w:highlight w:val="none"/>
        </w:rPr>
        <w:t>13.1</w:t>
      </w:r>
      <w:r>
        <w:rPr>
          <w:rFonts w:hint="eastAsia" w:asciiTheme="majorEastAsia" w:hAnsiTheme="majorEastAsia" w:eastAsiaTheme="majorEastAsia"/>
          <w:highlight w:val="none"/>
        </w:rPr>
        <w:t>款[发包人变更权]约定的变更导致原定合同中的权重不合理的，由工程师与承包人和发包人协商后进行调整。</w:t>
      </w:r>
    </w:p>
    <w:p w14:paraId="442FF9D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（4）承包人原因工期延误后的价格调整</w:t>
      </w:r>
    </w:p>
    <w:p w14:paraId="2ABD5CD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14:paraId="207E534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（5）发包人引起的工期延误后的价格调整</w:t>
      </w:r>
    </w:p>
    <w:p w14:paraId="59F3C8B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1640FC8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3.8.2.2 </w:t>
      </w:r>
      <w:r>
        <w:rPr>
          <w:rFonts w:hint="eastAsia" w:asciiTheme="majorEastAsia" w:hAnsiTheme="majorEastAsia" w:eastAsiaTheme="majorEastAsia"/>
          <w:highlight w:val="none"/>
        </w:rPr>
        <w:t>未列入</w:t>
      </w:r>
      <w:bookmarkStart w:id="798" w:name="_Hlk24494865"/>
      <w:r>
        <w:rPr>
          <w:rFonts w:hint="eastAsia" w:asciiTheme="majorEastAsia" w:hAnsiTheme="majorEastAsia" w:eastAsiaTheme="majorEastAsia"/>
          <w:highlight w:val="none"/>
        </w:rPr>
        <w:t>《价格指数权重表》</w:t>
      </w:r>
      <w:bookmarkEnd w:id="798"/>
      <w:r>
        <w:rPr>
          <w:rFonts w:hint="eastAsia" w:asciiTheme="majorEastAsia" w:hAnsiTheme="majorEastAsia" w:eastAsiaTheme="majorEastAsia"/>
          <w:highlight w:val="none"/>
        </w:rPr>
        <w:t>的费用不因市场变化而调整。</w:t>
      </w:r>
    </w:p>
    <w:p w14:paraId="73B94AE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3.8.3 </w:t>
      </w:r>
      <w:r>
        <w:rPr>
          <w:rFonts w:hint="eastAsia" w:asciiTheme="majorEastAsia" w:hAnsiTheme="majorEastAsia" w:eastAsiaTheme="majorEastAsia"/>
          <w:highlight w:val="none"/>
        </w:rPr>
        <w:t>双方约定采用其他方式调整合同价款的，以专用合同条件约定为准。</w:t>
      </w:r>
    </w:p>
    <w:p w14:paraId="51365E78">
      <w:pPr>
        <w:spacing w:line="560" w:lineRule="exact"/>
        <w:rPr>
          <w:rFonts w:asciiTheme="majorEastAsia" w:hAnsiTheme="majorEastAsia" w:eastAsiaTheme="majorEastAsia"/>
          <w:b/>
          <w:highlight w:val="none"/>
        </w:rPr>
      </w:pPr>
      <w:bookmarkStart w:id="799" w:name="_Ref531955885"/>
      <w:bookmarkStart w:id="800" w:name="_Ref531955880"/>
      <w:bookmarkStart w:id="801" w:name="_Toc54862291"/>
      <w:r>
        <w:rPr>
          <w:rFonts w:hint="eastAsia" w:asciiTheme="majorEastAsia" w:hAnsiTheme="majorEastAsia" w:eastAsiaTheme="majorEastAsia"/>
          <w:b/>
          <w:highlight w:val="none"/>
        </w:rPr>
        <w:t>第1</w:t>
      </w:r>
      <w:r>
        <w:rPr>
          <w:rFonts w:asciiTheme="majorEastAsia" w:hAnsiTheme="majorEastAsia" w:eastAsiaTheme="majorEastAsia"/>
          <w:b/>
          <w:highlight w:val="none"/>
        </w:rPr>
        <w:t>4</w:t>
      </w:r>
      <w:r>
        <w:rPr>
          <w:rFonts w:hint="eastAsia" w:asciiTheme="majorEastAsia" w:hAnsiTheme="majorEastAsia" w:eastAsiaTheme="majorEastAsia"/>
          <w:b/>
          <w:highlight w:val="none"/>
        </w:rPr>
        <w:t>条  合同价格与支付</w:t>
      </w:r>
      <w:bookmarkEnd w:id="799"/>
      <w:bookmarkEnd w:id="800"/>
      <w:bookmarkEnd w:id="801"/>
    </w:p>
    <w:p w14:paraId="1DCE618C">
      <w:pPr>
        <w:spacing w:line="560" w:lineRule="exact"/>
        <w:ind w:firstLine="410" w:firstLineChars="171"/>
        <w:rPr>
          <w:rFonts w:asciiTheme="majorEastAsia" w:hAnsiTheme="majorEastAsia" w:eastAsiaTheme="majorEastAsia"/>
          <w:highlight w:val="none"/>
        </w:rPr>
      </w:pPr>
      <w:bookmarkStart w:id="802" w:name="_Ref4431521"/>
      <w:bookmarkStart w:id="803" w:name="_Ref4431531"/>
      <w:bookmarkStart w:id="804" w:name="_Toc5486229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4.1 </w:t>
      </w:r>
      <w:r>
        <w:rPr>
          <w:rFonts w:hint="eastAsia" w:asciiTheme="majorEastAsia" w:hAnsiTheme="majorEastAsia" w:eastAsiaTheme="majorEastAsia"/>
          <w:highlight w:val="none"/>
        </w:rPr>
        <w:t>合同价格形式</w:t>
      </w:r>
      <w:bookmarkEnd w:id="802"/>
      <w:bookmarkEnd w:id="803"/>
      <w:bookmarkEnd w:id="804"/>
    </w:p>
    <w:p w14:paraId="20DF53B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4.1.1 </w:t>
      </w:r>
      <w:r>
        <w:rPr>
          <w:rFonts w:hint="eastAsia" w:asciiTheme="majorEastAsia" w:hAnsiTheme="majorEastAsia" w:eastAsiaTheme="majorEastAsia"/>
          <w:highlight w:val="none"/>
        </w:rPr>
        <w:t>除专用合同条件中另有约定外，本合同为总价合同，除根据第</w:t>
      </w:r>
      <w:r>
        <w:rPr>
          <w:rFonts w:asciiTheme="majorEastAsia" w:hAnsiTheme="majorEastAsia" w:eastAsiaTheme="majorEastAsia"/>
          <w:highlight w:val="none"/>
        </w:rPr>
        <w:t>13条</w:t>
      </w:r>
      <w:r>
        <w:rPr>
          <w:rFonts w:hint="eastAsia" w:asciiTheme="majorEastAsia" w:hAnsiTheme="majorEastAsia" w:eastAsiaTheme="majorEastAsia"/>
          <w:highlight w:val="none"/>
        </w:rPr>
        <w:t>[</w:t>
      </w:r>
      <w:r>
        <w:rPr>
          <w:rFonts w:asciiTheme="majorEastAsia" w:hAnsiTheme="majorEastAsia" w:eastAsiaTheme="majorEastAsia"/>
          <w:highlight w:val="none"/>
        </w:rPr>
        <w:t>变更与调整]</w:t>
      </w:r>
      <w:r>
        <w:rPr>
          <w:rFonts w:hint="eastAsia" w:asciiTheme="majorEastAsia" w:hAnsiTheme="majorEastAsia" w:eastAsiaTheme="majorEastAsia"/>
          <w:highlight w:val="none"/>
        </w:rPr>
        <w:t>，以及合同中其它相关增减金额的约定进行调整外，合同价格不做调整。</w:t>
      </w:r>
    </w:p>
    <w:p w14:paraId="6A73A4F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4.1.2 </w:t>
      </w:r>
      <w:r>
        <w:rPr>
          <w:rFonts w:hint="eastAsia" w:asciiTheme="majorEastAsia" w:hAnsiTheme="majorEastAsia" w:eastAsiaTheme="majorEastAsia"/>
          <w:highlight w:val="none"/>
        </w:rPr>
        <w:t>除专用合同条件另有约定外：</w:t>
      </w:r>
    </w:p>
    <w:p w14:paraId="12C0246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 工程款的支付应以合同协议书约定的签约合同价格为基础，按照合同约定进行调整；</w:t>
      </w:r>
    </w:p>
    <w:p w14:paraId="000C4FA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 承包人应支付根据法律规定或合同约定应由其支付的各项税费，除第</w:t>
      </w:r>
      <w:r>
        <w:rPr>
          <w:rFonts w:asciiTheme="majorEastAsia" w:hAnsiTheme="majorEastAsia" w:eastAsiaTheme="majorEastAsia"/>
          <w:highlight w:val="none"/>
        </w:rPr>
        <w:t>13.7</w:t>
      </w:r>
      <w:r>
        <w:rPr>
          <w:rFonts w:hint="eastAsia" w:asciiTheme="majorEastAsia" w:hAnsiTheme="majorEastAsia" w:eastAsiaTheme="majorEastAsia"/>
          <w:highlight w:val="none"/>
        </w:rPr>
        <w:t>款[</w:t>
      </w:r>
      <w:r>
        <w:rPr>
          <w:rFonts w:asciiTheme="majorEastAsia" w:hAnsiTheme="majorEastAsia" w:eastAsiaTheme="majorEastAsia"/>
          <w:highlight w:val="none"/>
        </w:rPr>
        <w:t>法律变化引起的调整]</w:t>
      </w:r>
      <w:r>
        <w:rPr>
          <w:rFonts w:hint="eastAsia" w:asciiTheme="majorEastAsia" w:hAnsiTheme="majorEastAsia" w:eastAsiaTheme="majorEastAsia"/>
          <w:highlight w:val="none"/>
        </w:rPr>
        <w:t>约定外，合同价格不应因任何这些税费进行调整；</w:t>
      </w:r>
    </w:p>
    <w:p w14:paraId="5FF082F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11B96BE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4.1.3 </w:t>
      </w:r>
      <w:r>
        <w:rPr>
          <w:rFonts w:hint="eastAsia" w:asciiTheme="majorEastAsia" w:hAnsiTheme="majorEastAsia" w:eastAsiaTheme="majorEastAsia"/>
          <w:highlight w:val="none"/>
        </w:rPr>
        <w:t>合同约定工程的某部分按照实际完成的工程量进行支付的，应按照专用合同条件的约定进行计量和估价，并据此调整合同价格。</w:t>
      </w:r>
    </w:p>
    <w:p w14:paraId="50997B96">
      <w:pPr>
        <w:spacing w:line="560" w:lineRule="exact"/>
        <w:ind w:firstLine="410" w:firstLineChars="171"/>
        <w:rPr>
          <w:rFonts w:asciiTheme="majorEastAsia" w:hAnsiTheme="majorEastAsia" w:eastAsiaTheme="majorEastAsia"/>
          <w:highlight w:val="none"/>
        </w:rPr>
      </w:pPr>
      <w:bookmarkStart w:id="805" w:name="_Toc54862293"/>
      <w:bookmarkStart w:id="806" w:name="_Ref531956881"/>
      <w:bookmarkStart w:id="807" w:name="_Ref531956884"/>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4.2 </w:t>
      </w:r>
      <w:r>
        <w:rPr>
          <w:rFonts w:hint="eastAsia" w:asciiTheme="majorEastAsia" w:hAnsiTheme="majorEastAsia" w:eastAsiaTheme="majorEastAsia"/>
          <w:highlight w:val="none"/>
        </w:rPr>
        <w:t>预付款</w:t>
      </w:r>
      <w:bookmarkEnd w:id="805"/>
      <w:bookmarkEnd w:id="806"/>
      <w:bookmarkEnd w:id="807"/>
    </w:p>
    <w:p w14:paraId="438FFEE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4.2.1 </w:t>
      </w:r>
      <w:r>
        <w:rPr>
          <w:rFonts w:hint="eastAsia" w:asciiTheme="majorEastAsia" w:hAnsiTheme="majorEastAsia" w:eastAsiaTheme="majorEastAsia"/>
          <w:highlight w:val="none"/>
        </w:rPr>
        <w:t>预付款支付</w:t>
      </w:r>
    </w:p>
    <w:p w14:paraId="18E3619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预付款的额度和支付按照专用合同条件约定执行。预付款应当专用于承包人为合同工程的设计和工程实施购置材料、工程设备、施工设备、修建临时设施以及组织施工队伍进场等合同工作。</w:t>
      </w:r>
    </w:p>
    <w:p w14:paraId="5142C49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除专用合同条件另有约定外，预付款在进度付款中同比例扣回。在颁发工程接收证书前，提前解除合同的，尚未扣完的预付款应与合同价款一并结算。</w:t>
      </w:r>
    </w:p>
    <w:p w14:paraId="1A354B5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发包人逾期支付预付款超过7天的，承包人有权向发包人发出要求预付的催告通知，发包人收到通知后7天内仍未支付的，承包人有权暂停施工，并按第15.1.1项[发包人违约的情形]执行。</w:t>
      </w:r>
    </w:p>
    <w:p w14:paraId="087E1C3B">
      <w:pPr>
        <w:spacing w:line="560" w:lineRule="exact"/>
        <w:ind w:firstLine="410" w:firstLineChars="171"/>
        <w:rPr>
          <w:rFonts w:asciiTheme="majorEastAsia" w:hAnsiTheme="majorEastAsia" w:eastAsiaTheme="majorEastAsia"/>
          <w:highlight w:val="none"/>
        </w:rPr>
      </w:pPr>
      <w:bookmarkStart w:id="808" w:name="_Ref531956907"/>
      <w:bookmarkStart w:id="809" w:name="_Ref4797624"/>
      <w:bookmarkStart w:id="810" w:name="_Hlk54429963"/>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4.2.2 </w:t>
      </w:r>
      <w:r>
        <w:rPr>
          <w:rFonts w:hint="eastAsia" w:asciiTheme="majorEastAsia" w:hAnsiTheme="majorEastAsia" w:eastAsiaTheme="majorEastAsia"/>
          <w:highlight w:val="none"/>
        </w:rPr>
        <w:t>预付款</w:t>
      </w:r>
      <w:bookmarkEnd w:id="808"/>
      <w:r>
        <w:rPr>
          <w:rFonts w:hint="eastAsia" w:asciiTheme="majorEastAsia" w:hAnsiTheme="majorEastAsia" w:eastAsiaTheme="majorEastAsia"/>
          <w:highlight w:val="none"/>
        </w:rPr>
        <w:t>担保</w:t>
      </w:r>
      <w:bookmarkEnd w:id="809"/>
    </w:p>
    <w:bookmarkEnd w:id="810"/>
    <w:p w14:paraId="5DB769E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542E304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发包人在工程款中逐期扣回预付款后，预付款担保额度应相应减少，但剩余的预付款担保金额不得低于未被扣回的预付款金额。</w:t>
      </w:r>
    </w:p>
    <w:p w14:paraId="4713398A">
      <w:pPr>
        <w:spacing w:line="560" w:lineRule="exact"/>
        <w:ind w:firstLine="410" w:firstLineChars="171"/>
        <w:rPr>
          <w:rFonts w:asciiTheme="majorEastAsia" w:hAnsiTheme="majorEastAsia" w:eastAsiaTheme="majorEastAsia"/>
          <w:highlight w:val="none"/>
        </w:rPr>
      </w:pPr>
      <w:bookmarkStart w:id="811" w:name="_Toc4784194"/>
      <w:bookmarkEnd w:id="811"/>
      <w:bookmarkStart w:id="812" w:name="_Toc4784195"/>
      <w:bookmarkEnd w:id="812"/>
      <w:bookmarkStart w:id="813" w:name="_Toc4784193"/>
      <w:bookmarkEnd w:id="813"/>
      <w:bookmarkStart w:id="814" w:name="_Ref4623398"/>
      <w:bookmarkStart w:id="815" w:name="_Ref531956967"/>
      <w:bookmarkStart w:id="816" w:name="_Ref531956963"/>
      <w:bookmarkStart w:id="817" w:name="_Toc54862294"/>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4.3 </w:t>
      </w:r>
      <w:r>
        <w:rPr>
          <w:rFonts w:hint="eastAsia" w:asciiTheme="majorEastAsia" w:hAnsiTheme="majorEastAsia" w:eastAsiaTheme="majorEastAsia"/>
          <w:highlight w:val="none"/>
        </w:rPr>
        <w:t>工程进度款</w:t>
      </w:r>
      <w:bookmarkEnd w:id="814"/>
      <w:bookmarkEnd w:id="815"/>
      <w:bookmarkEnd w:id="816"/>
      <w:bookmarkEnd w:id="817"/>
    </w:p>
    <w:p w14:paraId="68B743A9">
      <w:pPr>
        <w:spacing w:line="560" w:lineRule="exact"/>
        <w:ind w:firstLine="410" w:firstLineChars="171"/>
        <w:rPr>
          <w:rFonts w:asciiTheme="majorEastAsia" w:hAnsiTheme="majorEastAsia" w:eastAsiaTheme="majorEastAsia"/>
          <w:highlight w:val="none"/>
        </w:rPr>
      </w:pPr>
      <w:bookmarkStart w:id="818" w:name="_Ref532679934"/>
      <w:bookmarkStart w:id="819" w:name="_Ref531956987"/>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4.3.1 </w:t>
      </w:r>
      <w:r>
        <w:rPr>
          <w:rFonts w:hint="eastAsia" w:asciiTheme="majorEastAsia" w:hAnsiTheme="majorEastAsia" w:eastAsiaTheme="majorEastAsia"/>
          <w:highlight w:val="none"/>
        </w:rPr>
        <w:t>工程进度付款申请</w:t>
      </w:r>
      <w:bookmarkEnd w:id="818"/>
      <w:bookmarkEnd w:id="819"/>
    </w:p>
    <w:p w14:paraId="7B7281B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（1）人工费的申请</w:t>
      </w:r>
    </w:p>
    <w:p w14:paraId="12BD2E11">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r>
        <w:rPr>
          <w:rFonts w:hint="eastAsia" w:asciiTheme="majorEastAsia" w:hAnsiTheme="majorEastAsia" w:eastAsiaTheme="majorEastAsia"/>
          <w:highlight w:val="none"/>
        </w:rPr>
        <w:t>。</w:t>
      </w:r>
    </w:p>
    <w:p w14:paraId="7AB6A7C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（2）除专用合同条件另有约定外，承包人应在每月月末向工程师提交进度付款申请单，该进度付款申请单应包括下列内容：</w:t>
      </w:r>
    </w:p>
    <w:p w14:paraId="2DF2DD2A">
      <w:pPr>
        <w:spacing w:line="560" w:lineRule="exact"/>
        <w:ind w:firstLine="410" w:firstLineChars="171"/>
        <w:rPr>
          <w:rFonts w:asciiTheme="majorEastAsia" w:hAnsiTheme="majorEastAsia" w:eastAsiaTheme="majorEastAsia"/>
          <w:highlight w:val="none"/>
        </w:rPr>
      </w:pPr>
      <w:bookmarkStart w:id="820" w:name="_Ref24496054"/>
      <w:r>
        <w:rPr>
          <w:rFonts w:hint="eastAsia" w:asciiTheme="majorEastAsia" w:hAnsiTheme="majorEastAsia" w:eastAsiaTheme="majorEastAsia"/>
          <w:highlight w:val="none"/>
        </w:rPr>
        <w:t>1）截至本次付款周期内已完成工作对应的金额</w:t>
      </w:r>
      <w:bookmarkEnd w:id="820"/>
      <w:r>
        <w:rPr>
          <w:rFonts w:hint="eastAsia" w:asciiTheme="majorEastAsia" w:hAnsiTheme="majorEastAsia" w:eastAsiaTheme="majorEastAsia"/>
          <w:highlight w:val="none"/>
        </w:rPr>
        <w:t>；</w:t>
      </w:r>
    </w:p>
    <w:p w14:paraId="66AB5B2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w:t>
      </w:r>
      <w:r>
        <w:rPr>
          <w:rFonts w:hint="eastAsia" w:asciiTheme="majorEastAsia" w:hAnsiTheme="majorEastAsia" w:eastAsiaTheme="majorEastAsia"/>
          <w:highlight w:val="none"/>
        </w:rPr>
        <w:t>）扣除依据本款第（</w:t>
      </w:r>
      <w:r>
        <w:rPr>
          <w:rFonts w:asciiTheme="majorEastAsia" w:hAnsiTheme="majorEastAsia" w:eastAsiaTheme="majorEastAsia"/>
          <w:highlight w:val="none"/>
        </w:rPr>
        <w:t>1）</w:t>
      </w:r>
      <w:r>
        <w:rPr>
          <w:rFonts w:hint="eastAsia" w:asciiTheme="majorEastAsia" w:hAnsiTheme="majorEastAsia" w:eastAsiaTheme="majorEastAsia"/>
          <w:highlight w:val="none"/>
        </w:rPr>
        <w:t>目</w:t>
      </w:r>
      <w:r>
        <w:rPr>
          <w:rFonts w:asciiTheme="majorEastAsia" w:hAnsiTheme="majorEastAsia" w:eastAsiaTheme="majorEastAsia"/>
          <w:highlight w:val="none"/>
        </w:rPr>
        <w:t>约定中已扣除的人工费金额</w:t>
      </w:r>
      <w:r>
        <w:rPr>
          <w:rFonts w:hint="eastAsia" w:asciiTheme="majorEastAsia" w:hAnsiTheme="majorEastAsia" w:eastAsiaTheme="majorEastAsia"/>
          <w:highlight w:val="none"/>
        </w:rPr>
        <w:t>；</w:t>
      </w:r>
    </w:p>
    <w:p w14:paraId="72647D7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3）根据第</w:t>
      </w:r>
      <w:r>
        <w:rPr>
          <w:rFonts w:asciiTheme="majorEastAsia" w:hAnsiTheme="majorEastAsia" w:eastAsiaTheme="majorEastAsia"/>
          <w:highlight w:val="none"/>
        </w:rPr>
        <w:t>13条</w:t>
      </w:r>
      <w:r>
        <w:rPr>
          <w:rFonts w:hint="eastAsia" w:asciiTheme="majorEastAsia" w:hAnsiTheme="majorEastAsia" w:eastAsiaTheme="majorEastAsia"/>
          <w:highlight w:val="none"/>
        </w:rPr>
        <w:t>[变更与调整]应增加和扣减的变更金额；</w:t>
      </w:r>
    </w:p>
    <w:p w14:paraId="189DC23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w:t>
      </w:r>
      <w:r>
        <w:rPr>
          <w:rFonts w:hint="eastAsia" w:asciiTheme="majorEastAsia" w:hAnsiTheme="majorEastAsia" w:eastAsiaTheme="majorEastAsia"/>
          <w:highlight w:val="none"/>
        </w:rPr>
        <w:t>）根据第</w:t>
      </w:r>
      <w:r>
        <w:rPr>
          <w:rFonts w:asciiTheme="majorEastAsia" w:hAnsiTheme="majorEastAsia" w:eastAsiaTheme="majorEastAsia"/>
          <w:highlight w:val="none"/>
        </w:rPr>
        <w:t>14.2</w:t>
      </w:r>
      <w:r>
        <w:rPr>
          <w:rFonts w:hint="eastAsia" w:asciiTheme="majorEastAsia" w:hAnsiTheme="majorEastAsia" w:eastAsiaTheme="majorEastAsia"/>
          <w:highlight w:val="none"/>
        </w:rPr>
        <w:t>款[预付款]约定应支付的预付款和扣减的返还预付款；</w:t>
      </w:r>
    </w:p>
    <w:p w14:paraId="0F3901E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5</w:t>
      </w:r>
      <w:r>
        <w:rPr>
          <w:rFonts w:hint="eastAsia" w:asciiTheme="majorEastAsia" w:hAnsiTheme="majorEastAsia" w:eastAsiaTheme="majorEastAsia"/>
          <w:highlight w:val="none"/>
        </w:rPr>
        <w:t>）根据第</w:t>
      </w:r>
      <w:r>
        <w:rPr>
          <w:rFonts w:asciiTheme="majorEastAsia" w:hAnsiTheme="majorEastAsia" w:eastAsiaTheme="majorEastAsia"/>
          <w:highlight w:val="none"/>
        </w:rPr>
        <w:t>14.6.2</w:t>
      </w:r>
      <w:r>
        <w:rPr>
          <w:rFonts w:hint="eastAsia" w:asciiTheme="majorEastAsia" w:hAnsiTheme="majorEastAsia" w:eastAsiaTheme="majorEastAsia"/>
          <w:highlight w:val="none"/>
        </w:rPr>
        <w:t>项[质量保证金的预留]约定应预留的质量保证金金额；</w:t>
      </w:r>
    </w:p>
    <w:p w14:paraId="67496E4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6</w:t>
      </w:r>
      <w:r>
        <w:rPr>
          <w:rFonts w:hint="eastAsia" w:asciiTheme="majorEastAsia" w:hAnsiTheme="majorEastAsia" w:eastAsiaTheme="majorEastAsia"/>
          <w:highlight w:val="none"/>
        </w:rPr>
        <w:t>）根据第</w:t>
      </w:r>
      <w:r>
        <w:rPr>
          <w:rFonts w:asciiTheme="majorEastAsia" w:hAnsiTheme="majorEastAsia" w:eastAsiaTheme="majorEastAsia"/>
          <w:highlight w:val="none"/>
        </w:rPr>
        <w:t>19条</w:t>
      </w:r>
      <w:r>
        <w:rPr>
          <w:rFonts w:hint="eastAsia" w:asciiTheme="majorEastAsia" w:hAnsiTheme="majorEastAsia" w:eastAsiaTheme="majorEastAsia"/>
          <w:highlight w:val="none"/>
        </w:rPr>
        <w:t>[索赔]应增加和扣减的索赔金额；</w:t>
      </w:r>
    </w:p>
    <w:p w14:paraId="7D1302E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w:t>
      </w:r>
      <w:r>
        <w:rPr>
          <w:rFonts w:hint="eastAsia" w:asciiTheme="majorEastAsia" w:hAnsiTheme="majorEastAsia" w:eastAsiaTheme="majorEastAsia"/>
          <w:highlight w:val="none"/>
        </w:rPr>
        <w:t>）对已签发的进度款支付证书中出现错误的修正，应在本次进度付款中支付或扣除的金额；</w:t>
      </w:r>
    </w:p>
    <w:p w14:paraId="100921F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8）根据合同约定应增加和扣减的其他金额。</w:t>
      </w:r>
    </w:p>
    <w:p w14:paraId="4B8593F3">
      <w:pPr>
        <w:spacing w:line="560" w:lineRule="exact"/>
        <w:ind w:firstLine="410" w:firstLineChars="171"/>
        <w:rPr>
          <w:rFonts w:asciiTheme="majorEastAsia" w:hAnsiTheme="majorEastAsia" w:eastAsiaTheme="majorEastAsia"/>
          <w:highlight w:val="none"/>
        </w:rPr>
      </w:pPr>
      <w:bookmarkStart w:id="821" w:name="_Ref531957608"/>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4.3.2 </w:t>
      </w:r>
      <w:r>
        <w:rPr>
          <w:rFonts w:hint="eastAsia" w:asciiTheme="majorEastAsia" w:hAnsiTheme="majorEastAsia" w:eastAsiaTheme="majorEastAsia"/>
          <w:highlight w:val="none"/>
        </w:rPr>
        <w:t>进度付款审核和支付</w:t>
      </w:r>
      <w:bookmarkEnd w:id="821"/>
    </w:p>
    <w:p w14:paraId="5A61EE7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2E7EF14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w:t>
      </w:r>
      <w:r>
        <w:rPr>
          <w:rFonts w:asciiTheme="majorEastAsia" w:hAnsiTheme="majorEastAsia" w:eastAsiaTheme="majorEastAsia"/>
          <w:highlight w:val="none"/>
        </w:rPr>
        <w:t>20条</w:t>
      </w:r>
      <w:r>
        <w:rPr>
          <w:rFonts w:hint="eastAsia" w:asciiTheme="majorEastAsia" w:hAnsiTheme="majorEastAsia" w:eastAsiaTheme="majorEastAsia"/>
          <w:highlight w:val="none"/>
        </w:rPr>
        <w:t>[争议解决]的约定处理。</w:t>
      </w:r>
    </w:p>
    <w:p w14:paraId="32E8B5E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07C4E27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发包人签发进度款支付证书，不表明发包人已同意、批准或接受了承包人完成的相应部分的工作。</w:t>
      </w:r>
    </w:p>
    <w:p w14:paraId="09354107">
      <w:pPr>
        <w:spacing w:line="560" w:lineRule="exact"/>
        <w:ind w:firstLine="410" w:firstLineChars="171"/>
        <w:rPr>
          <w:rFonts w:asciiTheme="majorEastAsia" w:hAnsiTheme="majorEastAsia" w:eastAsiaTheme="majorEastAsia"/>
          <w:highlight w:val="none"/>
        </w:rPr>
      </w:pPr>
      <w:bookmarkStart w:id="822" w:name="_Ref531957023"/>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4.3.3 </w:t>
      </w:r>
      <w:r>
        <w:rPr>
          <w:rFonts w:hint="eastAsia" w:asciiTheme="majorEastAsia" w:hAnsiTheme="majorEastAsia" w:eastAsiaTheme="majorEastAsia"/>
          <w:highlight w:val="none"/>
        </w:rPr>
        <w:t>进度付款的修正</w:t>
      </w:r>
      <w:bookmarkEnd w:id="822"/>
    </w:p>
    <w:p w14:paraId="5551DCA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在对已签发的进度款支付证书进行阶段汇总和复核中发现错误、遗漏或重复的，发包人和承包人均有权提出修正申请。经发包人和承包人同意的修正，应在下期进度付款中支付或扣除。</w:t>
      </w:r>
    </w:p>
    <w:p w14:paraId="1195E59B">
      <w:pPr>
        <w:spacing w:line="560" w:lineRule="exact"/>
        <w:ind w:firstLine="410" w:firstLineChars="171"/>
        <w:rPr>
          <w:rFonts w:asciiTheme="majorEastAsia" w:hAnsiTheme="majorEastAsia" w:eastAsiaTheme="majorEastAsia"/>
          <w:highlight w:val="none"/>
        </w:rPr>
      </w:pPr>
      <w:bookmarkStart w:id="823" w:name="_Ref4538578"/>
      <w:bookmarkStart w:id="824" w:name="_Toc54862295"/>
      <w:bookmarkStart w:id="825" w:name="_Ref536647822"/>
      <w:bookmarkStart w:id="826" w:name="_Ref536647814"/>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4.4 </w:t>
      </w:r>
      <w:r>
        <w:rPr>
          <w:rFonts w:hint="eastAsia" w:asciiTheme="majorEastAsia" w:hAnsiTheme="majorEastAsia" w:eastAsiaTheme="majorEastAsia"/>
          <w:highlight w:val="none"/>
        </w:rPr>
        <w:t>付款计划表</w:t>
      </w:r>
      <w:bookmarkEnd w:id="823"/>
      <w:bookmarkEnd w:id="824"/>
    </w:p>
    <w:p w14:paraId="7CFCA245">
      <w:pPr>
        <w:spacing w:line="560" w:lineRule="exact"/>
        <w:ind w:firstLine="410" w:firstLineChars="171"/>
        <w:rPr>
          <w:rFonts w:asciiTheme="majorEastAsia" w:hAnsiTheme="majorEastAsia" w:eastAsiaTheme="majorEastAsia"/>
          <w:highlight w:val="none"/>
        </w:rPr>
      </w:pPr>
      <w:bookmarkStart w:id="827" w:name="_Ref4570974"/>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4.4.1 </w:t>
      </w:r>
      <w:r>
        <w:rPr>
          <w:rFonts w:hint="eastAsia" w:asciiTheme="majorEastAsia" w:hAnsiTheme="majorEastAsia" w:eastAsiaTheme="majorEastAsia"/>
          <w:highlight w:val="none"/>
        </w:rPr>
        <w:t>付款计划表的编制要求</w:t>
      </w:r>
      <w:bookmarkEnd w:id="827"/>
    </w:p>
    <w:p w14:paraId="794D01E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除专用合同条件另有约定外，付款计划表按如下要求编制：</w:t>
      </w:r>
    </w:p>
    <w:p w14:paraId="1026B6E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（1）付款计划表中所列的每期付款金额，应为第</w:t>
      </w:r>
      <w:r>
        <w:rPr>
          <w:rFonts w:asciiTheme="majorEastAsia" w:hAnsiTheme="majorEastAsia" w:eastAsiaTheme="majorEastAsia"/>
          <w:highlight w:val="none"/>
        </w:rPr>
        <w:t>14.3.1</w:t>
      </w:r>
      <w:r>
        <w:rPr>
          <w:rFonts w:hint="eastAsia" w:asciiTheme="majorEastAsia" w:hAnsiTheme="majorEastAsia" w:eastAsiaTheme="majorEastAsia"/>
          <w:highlight w:val="none"/>
        </w:rPr>
        <w:t>项[工程进度付款申请]每期进度款的估算金额；</w:t>
      </w:r>
    </w:p>
    <w:p w14:paraId="23FCFBE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（2）实际进度与项目进度计划不一致的，合同当事人可按照第</w:t>
      </w:r>
      <w:r>
        <w:rPr>
          <w:rFonts w:asciiTheme="majorEastAsia" w:hAnsiTheme="majorEastAsia" w:eastAsiaTheme="majorEastAsia"/>
          <w:highlight w:val="none"/>
        </w:rPr>
        <w:t>3.6</w:t>
      </w:r>
      <w:r>
        <w:rPr>
          <w:rFonts w:hint="eastAsia" w:asciiTheme="majorEastAsia" w:hAnsiTheme="majorEastAsia" w:eastAsiaTheme="majorEastAsia"/>
          <w:highlight w:val="none"/>
        </w:rPr>
        <w:t>款[</w:t>
      </w:r>
      <w:r>
        <w:rPr>
          <w:rFonts w:asciiTheme="majorEastAsia" w:hAnsiTheme="majorEastAsia" w:eastAsiaTheme="majorEastAsia"/>
          <w:highlight w:val="none"/>
        </w:rPr>
        <w:t>商定或确定</w:t>
      </w:r>
      <w:r>
        <w:rPr>
          <w:rFonts w:hint="eastAsia" w:asciiTheme="majorEastAsia" w:hAnsiTheme="majorEastAsia" w:eastAsiaTheme="majorEastAsia"/>
          <w:highlight w:val="none"/>
        </w:rPr>
        <w:t>]修改付款计划表；</w:t>
      </w:r>
    </w:p>
    <w:p w14:paraId="5CD8999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（3）不采用付款计划表的，承包人应向工程师提交按季度编制的支付估算付款计划表，用于支付参考。</w:t>
      </w:r>
    </w:p>
    <w:p w14:paraId="03B4D8DF">
      <w:pPr>
        <w:spacing w:line="560" w:lineRule="exact"/>
        <w:ind w:firstLine="410" w:firstLineChars="171"/>
        <w:rPr>
          <w:rFonts w:asciiTheme="majorEastAsia" w:hAnsiTheme="majorEastAsia" w:eastAsiaTheme="majorEastAsia"/>
          <w:highlight w:val="none"/>
        </w:rPr>
      </w:pPr>
      <w:bookmarkStart w:id="828" w:name="_Ref4571011"/>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4.4.2 </w:t>
      </w:r>
      <w:r>
        <w:rPr>
          <w:rFonts w:hint="eastAsia" w:asciiTheme="majorEastAsia" w:hAnsiTheme="majorEastAsia" w:eastAsiaTheme="majorEastAsia"/>
          <w:highlight w:val="none"/>
        </w:rPr>
        <w:t>付款计划表的编制与审批</w:t>
      </w:r>
      <w:bookmarkEnd w:id="828"/>
    </w:p>
    <w:p w14:paraId="3E0A872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 除专用合同条件另有约定外，承包人应根据第</w:t>
      </w:r>
      <w:r>
        <w:rPr>
          <w:rFonts w:asciiTheme="majorEastAsia" w:hAnsiTheme="majorEastAsia" w:eastAsiaTheme="majorEastAsia"/>
          <w:highlight w:val="none"/>
        </w:rPr>
        <w:t>8.4</w:t>
      </w:r>
      <w:r>
        <w:rPr>
          <w:rFonts w:hint="eastAsia" w:asciiTheme="majorEastAsia" w:hAnsiTheme="majorEastAsia" w:eastAsiaTheme="majorEastAsia"/>
          <w:highlight w:val="none"/>
        </w:rPr>
        <w:t>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2203F95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 工程师应在收到付款计划表后7天内完成审核并报送发包人。发包人应在收到经工程师审核的付款计划表后7天内完成审批，经发包人批准的付款计划表为有约束力的付款计划表。</w:t>
      </w:r>
    </w:p>
    <w:p w14:paraId="21E875E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 发包人逾期未完成付款计划表审批的，也未及时要求承包人进行修正和提供补充资料的，则承包人提交的付款计划表视为已经获得发包人批准。</w:t>
      </w:r>
    </w:p>
    <w:p w14:paraId="5DD35E4A">
      <w:pPr>
        <w:spacing w:line="560" w:lineRule="exact"/>
        <w:ind w:firstLine="410" w:firstLineChars="171"/>
        <w:rPr>
          <w:rFonts w:asciiTheme="majorEastAsia" w:hAnsiTheme="majorEastAsia" w:eastAsiaTheme="majorEastAsia"/>
          <w:highlight w:val="none"/>
        </w:rPr>
      </w:pPr>
      <w:bookmarkStart w:id="829" w:name="_Ref4538634"/>
      <w:bookmarkStart w:id="830" w:name="_Toc54862296"/>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4.5 </w:t>
      </w:r>
      <w:r>
        <w:rPr>
          <w:rFonts w:hint="eastAsia" w:asciiTheme="majorEastAsia" w:hAnsiTheme="majorEastAsia" w:eastAsiaTheme="majorEastAsia"/>
          <w:highlight w:val="none"/>
        </w:rPr>
        <w:t>竣工结算</w:t>
      </w:r>
      <w:bookmarkEnd w:id="829"/>
      <w:bookmarkEnd w:id="830"/>
    </w:p>
    <w:p w14:paraId="60E80487">
      <w:pPr>
        <w:spacing w:line="560" w:lineRule="exact"/>
        <w:ind w:firstLine="410" w:firstLineChars="171"/>
        <w:rPr>
          <w:rFonts w:asciiTheme="majorEastAsia" w:hAnsiTheme="majorEastAsia" w:eastAsiaTheme="majorEastAsia"/>
          <w:highlight w:val="none"/>
        </w:rPr>
      </w:pPr>
      <w:bookmarkStart w:id="831" w:name="_Ref4571361"/>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4.5.1 </w:t>
      </w:r>
      <w:r>
        <w:rPr>
          <w:rFonts w:hint="eastAsia" w:asciiTheme="majorEastAsia" w:hAnsiTheme="majorEastAsia" w:eastAsiaTheme="majorEastAsia"/>
          <w:highlight w:val="none"/>
        </w:rPr>
        <w:t>竣工结算申请</w:t>
      </w:r>
      <w:bookmarkEnd w:id="831"/>
    </w:p>
    <w:p w14:paraId="740684B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00F844B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除专用合同条件另有约定外，竣工结算申请单应包括以下内容：</w:t>
      </w:r>
    </w:p>
    <w:p w14:paraId="517EF18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（1）竣工结算合同价格；</w:t>
      </w:r>
    </w:p>
    <w:p w14:paraId="5DCE67F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（2）发包人已支付承包人的款项；</w:t>
      </w:r>
    </w:p>
    <w:p w14:paraId="7F79181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（3）采用第</w:t>
      </w:r>
      <w:r>
        <w:rPr>
          <w:rFonts w:asciiTheme="majorEastAsia" w:hAnsiTheme="majorEastAsia" w:eastAsiaTheme="majorEastAsia"/>
          <w:highlight w:val="none"/>
        </w:rPr>
        <w:t>14.6.1</w:t>
      </w:r>
      <w:r>
        <w:rPr>
          <w:rFonts w:hint="eastAsia" w:asciiTheme="majorEastAsia" w:hAnsiTheme="majorEastAsia" w:eastAsiaTheme="majorEastAsia"/>
          <w:highlight w:val="none"/>
        </w:rPr>
        <w:t>项[承包人提供质量保证金的方式]第（2）种方式提供质量保证金的，应当列明应预留的质量保证金金额；采用第</w:t>
      </w:r>
      <w:r>
        <w:rPr>
          <w:rFonts w:asciiTheme="majorEastAsia" w:hAnsiTheme="majorEastAsia" w:eastAsiaTheme="majorEastAsia"/>
          <w:highlight w:val="none"/>
        </w:rPr>
        <w:t>14.6.1</w:t>
      </w:r>
      <w:r>
        <w:rPr>
          <w:rFonts w:hint="eastAsia" w:asciiTheme="majorEastAsia" w:hAnsiTheme="majorEastAsia" w:eastAsiaTheme="majorEastAsia"/>
          <w:highlight w:val="none"/>
        </w:rPr>
        <w:t>项[承包人提供质量保证金的方式]中其他方式提供质量保证金的，应当按第</w:t>
      </w:r>
      <w:r>
        <w:rPr>
          <w:rFonts w:asciiTheme="majorEastAsia" w:hAnsiTheme="majorEastAsia" w:eastAsiaTheme="majorEastAsia"/>
          <w:highlight w:val="none"/>
        </w:rPr>
        <w:t>14.6</w:t>
      </w:r>
      <w:r>
        <w:rPr>
          <w:rFonts w:hint="eastAsia" w:asciiTheme="majorEastAsia" w:hAnsiTheme="majorEastAsia" w:eastAsiaTheme="majorEastAsia"/>
          <w:highlight w:val="none"/>
        </w:rPr>
        <w:t>款[质量保证金]提供相关文件作为附件；</w:t>
      </w:r>
    </w:p>
    <w:p w14:paraId="6029ADD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（4）发包人应支付承包人的合同价款。</w:t>
      </w:r>
    </w:p>
    <w:p w14:paraId="6581E1CB">
      <w:pPr>
        <w:spacing w:line="560" w:lineRule="exact"/>
        <w:ind w:firstLine="410" w:firstLineChars="171"/>
        <w:rPr>
          <w:rFonts w:asciiTheme="majorEastAsia" w:hAnsiTheme="majorEastAsia" w:eastAsiaTheme="majorEastAsia"/>
          <w:highlight w:val="none"/>
        </w:rPr>
      </w:pPr>
      <w:bookmarkStart w:id="832" w:name="_Ref4571384"/>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4.5.2 </w:t>
      </w:r>
      <w:r>
        <w:rPr>
          <w:rFonts w:hint="eastAsia" w:asciiTheme="majorEastAsia" w:hAnsiTheme="majorEastAsia" w:eastAsiaTheme="majorEastAsia"/>
          <w:highlight w:val="none"/>
        </w:rPr>
        <w:t>竣工结算审核</w:t>
      </w:r>
      <w:bookmarkEnd w:id="832"/>
    </w:p>
    <w:p w14:paraId="074180D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5E46DBE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2926A606">
      <w:pPr>
        <w:spacing w:line="560" w:lineRule="exact"/>
        <w:ind w:firstLine="410" w:firstLineChars="171"/>
        <w:rPr>
          <w:rFonts w:asciiTheme="majorEastAsia" w:hAnsiTheme="majorEastAsia" w:eastAsiaTheme="majorEastAsia"/>
          <w:highlight w:val="none"/>
        </w:rPr>
      </w:pPr>
      <w:bookmarkStart w:id="833" w:name="_Ref4618006"/>
      <w:r>
        <w:rPr>
          <w:rFonts w:hint="eastAsia" w:asciiTheme="majorEastAsia" w:hAnsiTheme="majorEastAsia" w:eastAsiaTheme="majorEastAsia"/>
          <w:highlight w:val="none"/>
        </w:rPr>
        <w:t>（2）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833"/>
    </w:p>
    <w:p w14:paraId="35F49D9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（3）承包人对发包人签认的竣工付款证书有异议的，对于有异议部分应在收到发包人签认的竣工付款证书后7天内提出异议，并由合同当事人按照专用合同条件约定的方式和程序进行复核，或按照第</w:t>
      </w:r>
      <w:r>
        <w:rPr>
          <w:rFonts w:asciiTheme="majorEastAsia" w:hAnsiTheme="majorEastAsia" w:eastAsiaTheme="majorEastAsia"/>
          <w:highlight w:val="none"/>
        </w:rPr>
        <w:t>20条</w:t>
      </w:r>
      <w:r>
        <w:rPr>
          <w:rFonts w:hint="eastAsia" w:asciiTheme="majorEastAsia" w:hAnsiTheme="majorEastAsia" w:eastAsiaTheme="majorEastAsia"/>
          <w:highlight w:val="none"/>
        </w:rPr>
        <w:t>[争议解决]约定处理。对于无异议部分，发包人应签发临时竣工付款证书，并按本款第（2）项完成付款。承包人逾期未提出异议的，视为认可发包人的审批结果。</w:t>
      </w:r>
    </w:p>
    <w:p w14:paraId="48673754">
      <w:pPr>
        <w:spacing w:line="560" w:lineRule="exact"/>
        <w:ind w:firstLine="410" w:firstLineChars="171"/>
        <w:rPr>
          <w:rFonts w:asciiTheme="majorEastAsia" w:hAnsiTheme="majorEastAsia" w:eastAsiaTheme="majorEastAsia"/>
          <w:highlight w:val="none"/>
        </w:rPr>
      </w:pPr>
      <w:bookmarkStart w:id="834" w:name="_Ref15484305"/>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4.5.3 </w:t>
      </w:r>
      <w:r>
        <w:rPr>
          <w:rFonts w:hint="eastAsia" w:asciiTheme="majorEastAsia" w:hAnsiTheme="majorEastAsia" w:eastAsiaTheme="majorEastAsia"/>
          <w:highlight w:val="none"/>
        </w:rPr>
        <w:t>扫尾工作清单</w:t>
      </w:r>
      <w:bookmarkEnd w:id="834"/>
    </w:p>
    <w:p w14:paraId="70B6F4C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经双方协商，部分工作在工程竣工验收后进行的，承包人应当编制扫尾工作清单，扫尾工作清单中应当列明承包人应当完成的扫尾工作的内容及完成时间。</w:t>
      </w:r>
    </w:p>
    <w:p w14:paraId="3AFE36D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承包人完成扫尾工作清单中的内容应取得的费用包含在第</w:t>
      </w:r>
      <w:r>
        <w:rPr>
          <w:rFonts w:asciiTheme="majorEastAsia" w:hAnsiTheme="majorEastAsia" w:eastAsiaTheme="majorEastAsia"/>
          <w:highlight w:val="none"/>
        </w:rPr>
        <w:t>14.5.1</w:t>
      </w:r>
      <w:r>
        <w:rPr>
          <w:rFonts w:hint="eastAsia" w:asciiTheme="majorEastAsia" w:hAnsiTheme="majorEastAsia" w:eastAsiaTheme="majorEastAsia"/>
          <w:highlight w:val="none"/>
        </w:rPr>
        <w:t>项[</w:t>
      </w:r>
      <w:r>
        <w:rPr>
          <w:rFonts w:asciiTheme="majorEastAsia" w:hAnsiTheme="majorEastAsia" w:eastAsiaTheme="majorEastAsia"/>
          <w:highlight w:val="none"/>
        </w:rPr>
        <w:t>竣工结算申请</w:t>
      </w:r>
      <w:r>
        <w:rPr>
          <w:rFonts w:hint="eastAsia" w:asciiTheme="majorEastAsia" w:hAnsiTheme="majorEastAsia" w:eastAsiaTheme="majorEastAsia"/>
          <w:highlight w:val="none"/>
        </w:rPr>
        <w:t>]及第</w:t>
      </w:r>
      <w:r>
        <w:rPr>
          <w:rFonts w:asciiTheme="majorEastAsia" w:hAnsiTheme="majorEastAsia" w:eastAsiaTheme="majorEastAsia"/>
          <w:highlight w:val="none"/>
        </w:rPr>
        <w:t>14.5.2</w:t>
      </w:r>
      <w:r>
        <w:rPr>
          <w:rFonts w:hint="eastAsia" w:asciiTheme="majorEastAsia" w:hAnsiTheme="majorEastAsia" w:eastAsiaTheme="majorEastAsia"/>
          <w:highlight w:val="none"/>
        </w:rPr>
        <w:t>项[竣工结算审核]中一并结算。</w:t>
      </w:r>
    </w:p>
    <w:p w14:paraId="26B378F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扫尾工作的缺陷责任期按第</w:t>
      </w:r>
      <w:r>
        <w:rPr>
          <w:rFonts w:asciiTheme="majorEastAsia" w:hAnsiTheme="majorEastAsia" w:eastAsiaTheme="majorEastAsia"/>
          <w:highlight w:val="none"/>
        </w:rPr>
        <w:t>11条</w:t>
      </w:r>
      <w:r>
        <w:rPr>
          <w:rFonts w:hint="eastAsia" w:asciiTheme="majorEastAsia" w:hAnsiTheme="majorEastAsia" w:eastAsiaTheme="majorEastAsia"/>
          <w:highlight w:val="none"/>
        </w:rPr>
        <w:t>[缺陷责任与</w:t>
      </w:r>
      <w:r>
        <w:rPr>
          <w:rFonts w:asciiTheme="majorEastAsia" w:hAnsiTheme="majorEastAsia" w:eastAsiaTheme="majorEastAsia"/>
          <w:highlight w:val="none"/>
        </w:rPr>
        <w:t>保</w:t>
      </w:r>
      <w:r>
        <w:rPr>
          <w:rFonts w:hint="eastAsia" w:asciiTheme="majorEastAsia" w:hAnsiTheme="majorEastAsia" w:eastAsiaTheme="majorEastAsia"/>
          <w:highlight w:val="none"/>
        </w:rPr>
        <w:t>修]处理。承包人未能按照扫尾工作清单约定的完成时间完成扫尾工作的，视为承包人原因导致的工程质量缺陷按照第</w:t>
      </w:r>
      <w:r>
        <w:rPr>
          <w:rFonts w:asciiTheme="majorEastAsia" w:hAnsiTheme="majorEastAsia" w:eastAsiaTheme="majorEastAsia"/>
          <w:highlight w:val="none"/>
        </w:rPr>
        <w:t>11.3</w:t>
      </w:r>
      <w:r>
        <w:rPr>
          <w:rFonts w:hint="eastAsia" w:asciiTheme="majorEastAsia" w:hAnsiTheme="majorEastAsia" w:eastAsiaTheme="majorEastAsia"/>
          <w:highlight w:val="none"/>
        </w:rPr>
        <w:t>款[缺陷调查]处理。</w:t>
      </w:r>
    </w:p>
    <w:p w14:paraId="1DB4F2D0">
      <w:pPr>
        <w:spacing w:line="560" w:lineRule="exact"/>
        <w:ind w:firstLine="410" w:firstLineChars="171"/>
        <w:rPr>
          <w:rFonts w:asciiTheme="majorEastAsia" w:hAnsiTheme="majorEastAsia" w:eastAsiaTheme="majorEastAsia"/>
          <w:highlight w:val="none"/>
        </w:rPr>
      </w:pPr>
      <w:bookmarkStart w:id="835" w:name="_Ref4571127"/>
      <w:bookmarkStart w:id="836" w:name="_Ref15395020"/>
      <w:bookmarkStart w:id="837" w:name="_Toc54862297"/>
      <w:bookmarkStart w:id="838" w:name="_Ref4617592"/>
      <w:bookmarkStart w:id="839" w:name="_Ref4571100"/>
      <w:bookmarkStart w:id="840" w:name="_Ref4582115"/>
      <w:bookmarkStart w:id="841" w:name="_Ref4617582"/>
      <w:bookmarkStart w:id="842" w:name="_Hlk15394931"/>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4.6 </w:t>
      </w:r>
      <w:r>
        <w:rPr>
          <w:rFonts w:hint="eastAsia" w:asciiTheme="majorEastAsia" w:hAnsiTheme="majorEastAsia" w:eastAsiaTheme="majorEastAsia"/>
          <w:highlight w:val="none"/>
        </w:rPr>
        <w:t>质量保证金</w:t>
      </w:r>
      <w:bookmarkEnd w:id="825"/>
      <w:bookmarkEnd w:id="826"/>
      <w:bookmarkEnd w:id="835"/>
      <w:bookmarkEnd w:id="836"/>
      <w:bookmarkEnd w:id="837"/>
      <w:bookmarkEnd w:id="838"/>
      <w:bookmarkEnd w:id="839"/>
      <w:bookmarkEnd w:id="840"/>
      <w:bookmarkEnd w:id="841"/>
      <w:r>
        <w:rPr>
          <w:rFonts w:hint="eastAsia" w:asciiTheme="majorEastAsia" w:hAnsiTheme="majorEastAsia" w:eastAsiaTheme="majorEastAsia"/>
          <w:highlight w:val="none"/>
        </w:rPr>
        <w:t xml:space="preserve"> </w:t>
      </w:r>
    </w:p>
    <w:p w14:paraId="3FD6D60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经合同当事人协商一致提供质量保证金的，应在专用合同条件中予以明确。在工程项目竣工前，承包人已经提供履约担保的，发包人不得同时要求承包人提供质量保证金。</w:t>
      </w:r>
    </w:p>
    <w:bookmarkEnd w:id="842"/>
    <w:p w14:paraId="1D80589C">
      <w:pPr>
        <w:spacing w:line="560" w:lineRule="exact"/>
        <w:ind w:firstLine="410" w:firstLineChars="171"/>
        <w:rPr>
          <w:rFonts w:asciiTheme="majorEastAsia" w:hAnsiTheme="majorEastAsia" w:eastAsiaTheme="majorEastAsia"/>
          <w:highlight w:val="none"/>
        </w:rPr>
      </w:pPr>
      <w:bookmarkStart w:id="843" w:name="_Ref531955069"/>
      <w:bookmarkStart w:id="844" w:name="_Ref531957153"/>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4.6.1 </w:t>
      </w:r>
      <w:r>
        <w:rPr>
          <w:rFonts w:hint="eastAsia" w:asciiTheme="majorEastAsia" w:hAnsiTheme="majorEastAsia" w:eastAsiaTheme="majorEastAsia"/>
          <w:highlight w:val="none"/>
        </w:rPr>
        <w:t>承包人提供质量保证金的方式</w:t>
      </w:r>
      <w:bookmarkEnd w:id="843"/>
    </w:p>
    <w:p w14:paraId="043653A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承包人提供质量保证金有以下三种方式：</w:t>
      </w:r>
    </w:p>
    <w:p w14:paraId="31BF550A">
      <w:pPr>
        <w:spacing w:line="560" w:lineRule="exact"/>
        <w:ind w:firstLine="410" w:firstLineChars="171"/>
        <w:rPr>
          <w:rFonts w:asciiTheme="majorEastAsia" w:hAnsiTheme="majorEastAsia" w:eastAsiaTheme="majorEastAsia"/>
          <w:highlight w:val="none"/>
        </w:rPr>
      </w:pPr>
      <w:bookmarkStart w:id="845" w:name="_Ref531955096"/>
      <w:r>
        <w:rPr>
          <w:rFonts w:hint="eastAsia" w:asciiTheme="majorEastAsia" w:hAnsiTheme="majorEastAsia" w:eastAsiaTheme="majorEastAsia"/>
          <w:highlight w:val="none"/>
        </w:rPr>
        <w:t>（1）提交工程质量保证担保</w:t>
      </w:r>
      <w:bookmarkEnd w:id="845"/>
      <w:r>
        <w:rPr>
          <w:rFonts w:hint="eastAsia" w:asciiTheme="majorEastAsia" w:hAnsiTheme="majorEastAsia" w:eastAsiaTheme="majorEastAsia"/>
          <w:highlight w:val="none"/>
        </w:rPr>
        <w:t>；</w:t>
      </w:r>
    </w:p>
    <w:p w14:paraId="5B7AED82">
      <w:pPr>
        <w:spacing w:line="560" w:lineRule="exact"/>
        <w:ind w:firstLine="410" w:firstLineChars="171"/>
        <w:rPr>
          <w:rFonts w:asciiTheme="majorEastAsia" w:hAnsiTheme="majorEastAsia" w:eastAsiaTheme="majorEastAsia"/>
          <w:highlight w:val="none"/>
        </w:rPr>
      </w:pPr>
      <w:bookmarkStart w:id="846" w:name="_Ref531955107"/>
      <w:r>
        <w:rPr>
          <w:rFonts w:hint="eastAsia" w:asciiTheme="majorEastAsia" w:hAnsiTheme="majorEastAsia" w:eastAsiaTheme="majorEastAsia"/>
          <w:highlight w:val="none"/>
        </w:rPr>
        <w:t>（2）预留相应比例的工程款</w:t>
      </w:r>
      <w:bookmarkEnd w:id="846"/>
      <w:r>
        <w:rPr>
          <w:rFonts w:hint="eastAsia" w:asciiTheme="majorEastAsia" w:hAnsiTheme="majorEastAsia" w:eastAsiaTheme="majorEastAsia"/>
          <w:highlight w:val="none"/>
        </w:rPr>
        <w:t>；</w:t>
      </w:r>
    </w:p>
    <w:p w14:paraId="5A4184EA">
      <w:pPr>
        <w:spacing w:line="560" w:lineRule="exact"/>
        <w:ind w:firstLine="410" w:firstLineChars="171"/>
        <w:rPr>
          <w:rFonts w:asciiTheme="majorEastAsia" w:hAnsiTheme="majorEastAsia" w:eastAsiaTheme="majorEastAsia"/>
          <w:highlight w:val="none"/>
        </w:rPr>
      </w:pPr>
      <w:bookmarkStart w:id="847" w:name="_Ref531955117"/>
      <w:r>
        <w:rPr>
          <w:rFonts w:hint="eastAsia" w:asciiTheme="majorEastAsia" w:hAnsiTheme="majorEastAsia" w:eastAsiaTheme="majorEastAsia"/>
          <w:highlight w:val="none"/>
        </w:rPr>
        <w:t>（3）双方约定的其他方式。</w:t>
      </w:r>
      <w:bookmarkEnd w:id="847"/>
    </w:p>
    <w:p w14:paraId="35C2D5B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4531F217">
      <w:pPr>
        <w:spacing w:line="560" w:lineRule="exact"/>
        <w:ind w:firstLine="410" w:firstLineChars="171"/>
        <w:rPr>
          <w:rFonts w:asciiTheme="majorEastAsia" w:hAnsiTheme="majorEastAsia" w:eastAsiaTheme="majorEastAsia"/>
          <w:highlight w:val="none"/>
        </w:rPr>
      </w:pPr>
      <w:bookmarkStart w:id="848" w:name="_Ref15419738"/>
      <w:bookmarkStart w:id="849" w:name="_Ref18931667"/>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4.6.2 </w:t>
      </w:r>
      <w:r>
        <w:rPr>
          <w:rFonts w:hint="eastAsia" w:asciiTheme="majorEastAsia" w:hAnsiTheme="majorEastAsia" w:eastAsiaTheme="majorEastAsia"/>
          <w:highlight w:val="none"/>
        </w:rPr>
        <w:t>质量保证金的预留</w:t>
      </w:r>
      <w:bookmarkEnd w:id="848"/>
      <w:bookmarkEnd w:id="849"/>
    </w:p>
    <w:p w14:paraId="5165331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双方约定采用预留相应比例的工程款方式提供质量保证金的，质量保证金的预留有以下三种方式：</w:t>
      </w:r>
    </w:p>
    <w:p w14:paraId="23C3DB75">
      <w:pPr>
        <w:spacing w:line="560" w:lineRule="exact"/>
        <w:ind w:firstLine="410" w:firstLineChars="171"/>
        <w:rPr>
          <w:rFonts w:asciiTheme="majorEastAsia" w:hAnsiTheme="majorEastAsia" w:eastAsiaTheme="majorEastAsia"/>
          <w:highlight w:val="none"/>
        </w:rPr>
      </w:pPr>
      <w:bookmarkStart w:id="850" w:name="_Hlk18840714"/>
      <w:bookmarkStart w:id="851" w:name="_Ref531955143"/>
      <w:r>
        <w:rPr>
          <w:rFonts w:hint="eastAsia" w:asciiTheme="majorEastAsia" w:hAnsiTheme="majorEastAsia" w:eastAsiaTheme="majorEastAsia"/>
          <w:highlight w:val="none"/>
        </w:rPr>
        <w:t>（1）按专用合同条件的约定在支付工程进度款时逐次预留，直至预留的质量保证金总额达到专用合同条件约定的金额或比例为止</w:t>
      </w:r>
      <w:bookmarkEnd w:id="850"/>
      <w:r>
        <w:rPr>
          <w:rFonts w:hint="eastAsia" w:asciiTheme="majorEastAsia" w:hAnsiTheme="majorEastAsia" w:eastAsiaTheme="majorEastAsia"/>
          <w:highlight w:val="none"/>
        </w:rPr>
        <w:t>。在此情形下，质量保证金的计算基数不包括预付款的支付、扣回以及价格调整的金额</w:t>
      </w:r>
      <w:bookmarkEnd w:id="851"/>
      <w:r>
        <w:rPr>
          <w:rFonts w:hint="eastAsia" w:asciiTheme="majorEastAsia" w:hAnsiTheme="majorEastAsia" w:eastAsiaTheme="majorEastAsia"/>
          <w:highlight w:val="none"/>
        </w:rPr>
        <w:t>；</w:t>
      </w:r>
    </w:p>
    <w:p w14:paraId="695753BD">
      <w:pPr>
        <w:spacing w:line="560" w:lineRule="exact"/>
        <w:ind w:firstLine="410" w:firstLineChars="171"/>
        <w:rPr>
          <w:rFonts w:asciiTheme="majorEastAsia" w:hAnsiTheme="majorEastAsia" w:eastAsiaTheme="majorEastAsia"/>
          <w:highlight w:val="none"/>
        </w:rPr>
      </w:pPr>
      <w:bookmarkStart w:id="852" w:name="_Ref531955151"/>
      <w:r>
        <w:rPr>
          <w:rFonts w:hint="eastAsia" w:asciiTheme="majorEastAsia" w:hAnsiTheme="majorEastAsia" w:eastAsiaTheme="majorEastAsia"/>
          <w:highlight w:val="none"/>
        </w:rPr>
        <w:t>（2）工程竣工结算时一次性预留质量保证金</w:t>
      </w:r>
      <w:bookmarkEnd w:id="852"/>
      <w:r>
        <w:rPr>
          <w:rFonts w:hint="eastAsia" w:asciiTheme="majorEastAsia" w:hAnsiTheme="majorEastAsia" w:eastAsiaTheme="majorEastAsia"/>
          <w:highlight w:val="none"/>
        </w:rPr>
        <w:t>；</w:t>
      </w:r>
    </w:p>
    <w:p w14:paraId="6484F926">
      <w:pPr>
        <w:spacing w:line="560" w:lineRule="exact"/>
        <w:ind w:firstLine="410" w:firstLineChars="171"/>
        <w:rPr>
          <w:rFonts w:asciiTheme="majorEastAsia" w:hAnsiTheme="majorEastAsia" w:eastAsiaTheme="majorEastAsia"/>
          <w:highlight w:val="none"/>
        </w:rPr>
      </w:pPr>
      <w:bookmarkStart w:id="853" w:name="_Ref531955161"/>
      <w:r>
        <w:rPr>
          <w:rFonts w:hint="eastAsia" w:asciiTheme="majorEastAsia" w:hAnsiTheme="majorEastAsia" w:eastAsiaTheme="majorEastAsia"/>
          <w:highlight w:val="none"/>
        </w:rPr>
        <w:t>（3）双方约定的其他预留方式。</w:t>
      </w:r>
      <w:bookmarkEnd w:id="853"/>
    </w:p>
    <w:p w14:paraId="2FAB364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7C86140A">
      <w:pPr>
        <w:spacing w:line="560" w:lineRule="exact"/>
        <w:ind w:firstLine="410" w:firstLineChars="171"/>
        <w:rPr>
          <w:rFonts w:asciiTheme="majorEastAsia" w:hAnsiTheme="majorEastAsia" w:eastAsiaTheme="majorEastAsia"/>
          <w:highlight w:val="none"/>
        </w:rPr>
      </w:pPr>
      <w:bookmarkStart w:id="854" w:name="_Ref532690096"/>
      <w:bookmarkStart w:id="855" w:name="_Ref4571243"/>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4.6.3 </w:t>
      </w:r>
      <w:r>
        <w:rPr>
          <w:rFonts w:hint="eastAsia" w:asciiTheme="majorEastAsia" w:hAnsiTheme="majorEastAsia" w:eastAsiaTheme="majorEastAsia"/>
          <w:highlight w:val="none"/>
        </w:rPr>
        <w:t>质量保证金的</w:t>
      </w:r>
      <w:bookmarkEnd w:id="854"/>
      <w:r>
        <w:rPr>
          <w:rFonts w:hint="eastAsia" w:asciiTheme="majorEastAsia" w:hAnsiTheme="majorEastAsia" w:eastAsiaTheme="majorEastAsia"/>
          <w:highlight w:val="none"/>
        </w:rPr>
        <w:t>返还</w:t>
      </w:r>
      <w:bookmarkEnd w:id="855"/>
    </w:p>
    <w:p w14:paraId="7EECE80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缺陷责任期内，承包人认真履行合同约定的责任，缺陷责任期满，发包人根据第</w:t>
      </w:r>
      <w:r>
        <w:rPr>
          <w:rFonts w:asciiTheme="majorEastAsia" w:hAnsiTheme="majorEastAsia" w:eastAsiaTheme="majorEastAsia"/>
          <w:highlight w:val="none"/>
        </w:rPr>
        <w:t>11.6</w:t>
      </w:r>
      <w:r>
        <w:rPr>
          <w:rFonts w:hint="eastAsia" w:asciiTheme="majorEastAsia" w:hAnsiTheme="majorEastAsia" w:eastAsiaTheme="majorEastAsia"/>
          <w:highlight w:val="none"/>
        </w:rPr>
        <w:t>款[缺陷责任期终止证书]向承包人颁发缺陷责任期终止证书后，承包人可向发包人申请返还质量保证金。</w:t>
      </w:r>
    </w:p>
    <w:p w14:paraId="075832B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发包人在接到承包人返还质量保证金申请后，应于</w:t>
      </w:r>
      <w:r>
        <w:rPr>
          <w:rFonts w:asciiTheme="majorEastAsia" w:hAnsiTheme="majorEastAsia" w:eastAsiaTheme="majorEastAsia"/>
          <w:highlight w:val="none"/>
        </w:rPr>
        <w:t>7</w:t>
      </w:r>
      <w:r>
        <w:rPr>
          <w:rFonts w:hint="eastAsia" w:asciiTheme="majorEastAsia" w:hAnsiTheme="majorEastAsia" w:eastAsiaTheme="majorEastAsia"/>
          <w:highlight w:val="none"/>
        </w:rPr>
        <w:t>天内将质量保证金返还承包人，逾期未返还的，应承担违约责任。发包人在接到承包人返还质量保证金申请后</w:t>
      </w:r>
      <w:r>
        <w:rPr>
          <w:rFonts w:asciiTheme="majorEastAsia" w:hAnsiTheme="majorEastAsia" w:eastAsiaTheme="majorEastAsia"/>
          <w:highlight w:val="none"/>
        </w:rPr>
        <w:t>7</w:t>
      </w:r>
      <w:r>
        <w:rPr>
          <w:rFonts w:hint="eastAsia" w:asciiTheme="majorEastAsia" w:hAnsiTheme="majorEastAsia" w:eastAsiaTheme="majorEastAsia"/>
          <w:highlight w:val="none"/>
        </w:rPr>
        <w:t>天内不予答复，视同认可承包人的返还质量保证金申请。</w:t>
      </w:r>
    </w:p>
    <w:p w14:paraId="1C8FDCD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发包人和承包人对质量保证金预留、返还以及工程维修质量、费用有争议的，按本合同第</w:t>
      </w:r>
      <w:r>
        <w:rPr>
          <w:rFonts w:asciiTheme="majorEastAsia" w:hAnsiTheme="majorEastAsia" w:eastAsiaTheme="majorEastAsia"/>
          <w:highlight w:val="none"/>
        </w:rPr>
        <w:t>20条</w:t>
      </w:r>
      <w:r>
        <w:rPr>
          <w:rFonts w:hint="eastAsia" w:asciiTheme="majorEastAsia" w:hAnsiTheme="majorEastAsia" w:eastAsiaTheme="majorEastAsia"/>
          <w:highlight w:val="none"/>
        </w:rPr>
        <w:t>[争议解决]约定的争议和纠纷解决程序处理。</w:t>
      </w:r>
    </w:p>
    <w:bookmarkEnd w:id="844"/>
    <w:p w14:paraId="59A18C29">
      <w:pPr>
        <w:spacing w:line="560" w:lineRule="exact"/>
        <w:ind w:firstLine="410" w:firstLineChars="171"/>
        <w:rPr>
          <w:rFonts w:asciiTheme="majorEastAsia" w:hAnsiTheme="majorEastAsia" w:eastAsiaTheme="majorEastAsia"/>
          <w:highlight w:val="none"/>
        </w:rPr>
      </w:pPr>
      <w:bookmarkStart w:id="856" w:name="_Ref531957341"/>
      <w:bookmarkStart w:id="857" w:name="_Toc54862298"/>
      <w:bookmarkStart w:id="858" w:name="_Ref531957339"/>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4.7 </w:t>
      </w:r>
      <w:r>
        <w:rPr>
          <w:rFonts w:hint="eastAsia" w:asciiTheme="majorEastAsia" w:hAnsiTheme="majorEastAsia" w:eastAsiaTheme="majorEastAsia"/>
          <w:highlight w:val="none"/>
        </w:rPr>
        <w:t>最终结清</w:t>
      </w:r>
      <w:bookmarkEnd w:id="856"/>
      <w:bookmarkEnd w:id="857"/>
      <w:bookmarkEnd w:id="858"/>
      <w:r>
        <w:rPr>
          <w:rFonts w:hint="eastAsia" w:asciiTheme="majorEastAsia" w:hAnsiTheme="majorEastAsia" w:eastAsiaTheme="majorEastAsia"/>
          <w:highlight w:val="none"/>
        </w:rPr>
        <w:t xml:space="preserve"> </w:t>
      </w:r>
    </w:p>
    <w:p w14:paraId="1F65FD7B">
      <w:pPr>
        <w:spacing w:line="560" w:lineRule="exact"/>
        <w:ind w:firstLine="410" w:firstLineChars="171"/>
        <w:rPr>
          <w:rFonts w:asciiTheme="majorEastAsia" w:hAnsiTheme="majorEastAsia" w:eastAsiaTheme="majorEastAsia"/>
          <w:highlight w:val="none"/>
        </w:rPr>
      </w:pPr>
      <w:bookmarkStart w:id="859" w:name="_Ref531957350"/>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4.7.1 </w:t>
      </w:r>
      <w:r>
        <w:rPr>
          <w:rFonts w:hint="eastAsia" w:asciiTheme="majorEastAsia" w:hAnsiTheme="majorEastAsia" w:eastAsiaTheme="majorEastAsia"/>
          <w:highlight w:val="none"/>
        </w:rPr>
        <w:t>最终结清申请</w:t>
      </w:r>
      <w:bookmarkEnd w:id="859"/>
      <w:r>
        <w:rPr>
          <w:rFonts w:hint="eastAsia" w:asciiTheme="majorEastAsia" w:hAnsiTheme="majorEastAsia" w:eastAsiaTheme="majorEastAsia"/>
          <w:highlight w:val="none"/>
        </w:rPr>
        <w:t>单</w:t>
      </w:r>
    </w:p>
    <w:p w14:paraId="0709F0C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（1）除专用合同条件另有约定外，承包人应在缺陷责任期终止证书颁发后7天内，按专用合同条件约定的份数向发包人提交最终结清申请单，并提供相关证明材料。</w:t>
      </w:r>
    </w:p>
    <w:p w14:paraId="1AB16F8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除专用合同条件另有约定外，最终结清申请单应列明质量保证金、应扣除的质量保证金、缺陷责任期内发生的增减费用。</w:t>
      </w:r>
    </w:p>
    <w:p w14:paraId="2F46206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（2）发包人对最终结清申请单内容有异议的，有权要求承包人进行修正和提供补充资料，承包人应向发包人提交修正后的最终结清申请单。</w:t>
      </w:r>
    </w:p>
    <w:p w14:paraId="2C97A2EB">
      <w:pPr>
        <w:spacing w:line="560" w:lineRule="exact"/>
        <w:ind w:firstLine="410" w:firstLineChars="171"/>
        <w:rPr>
          <w:rFonts w:asciiTheme="majorEastAsia" w:hAnsiTheme="majorEastAsia" w:eastAsiaTheme="majorEastAsia"/>
          <w:highlight w:val="none"/>
        </w:rPr>
      </w:pPr>
      <w:bookmarkStart w:id="860" w:name="_Ref531957369"/>
      <w:bookmarkStart w:id="861" w:name="_Ref4624099"/>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4.7.2 </w:t>
      </w:r>
      <w:r>
        <w:rPr>
          <w:rFonts w:hint="eastAsia" w:asciiTheme="majorEastAsia" w:hAnsiTheme="majorEastAsia" w:eastAsiaTheme="majorEastAsia"/>
          <w:highlight w:val="none"/>
        </w:rPr>
        <w:t>最终结清证书</w:t>
      </w:r>
      <w:bookmarkEnd w:id="860"/>
      <w:r>
        <w:rPr>
          <w:rFonts w:hint="eastAsia" w:asciiTheme="majorEastAsia" w:hAnsiTheme="majorEastAsia" w:eastAsiaTheme="majorEastAsia"/>
          <w:highlight w:val="none"/>
        </w:rPr>
        <w:t>和支付</w:t>
      </w:r>
      <w:bookmarkEnd w:id="861"/>
    </w:p>
    <w:p w14:paraId="1C4FCB8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6E2A979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除专用合同条件另有约定外，发包人应在颁发最终结清证书后7天内完成支付。发包人逾期支付的，按照贷款市场报价利率（LPR）支付利息；逾期支付超过56天的，按照贷款市场报价利率（LPR）的两倍支付利息。</w:t>
      </w:r>
    </w:p>
    <w:p w14:paraId="28E3A6C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（3）承包人对发包人颁发的最终结清证书有异议的，按第</w:t>
      </w:r>
      <w:r>
        <w:rPr>
          <w:rFonts w:asciiTheme="majorEastAsia" w:hAnsiTheme="majorEastAsia" w:eastAsiaTheme="majorEastAsia"/>
          <w:highlight w:val="none"/>
        </w:rPr>
        <w:t>20条</w:t>
      </w:r>
      <w:r>
        <w:rPr>
          <w:rFonts w:hint="eastAsia" w:asciiTheme="majorEastAsia" w:hAnsiTheme="majorEastAsia" w:eastAsiaTheme="majorEastAsia"/>
          <w:highlight w:val="none"/>
        </w:rPr>
        <w:t>[争议解决]的约定办理。</w:t>
      </w:r>
    </w:p>
    <w:p w14:paraId="22353523">
      <w:pPr>
        <w:spacing w:line="560" w:lineRule="exact"/>
        <w:rPr>
          <w:rFonts w:asciiTheme="majorEastAsia" w:hAnsiTheme="majorEastAsia" w:eastAsiaTheme="majorEastAsia"/>
          <w:b/>
          <w:highlight w:val="none"/>
        </w:rPr>
      </w:pPr>
      <w:bookmarkStart w:id="862" w:name="_Toc54862299"/>
      <w:bookmarkStart w:id="863" w:name="_Ref11874957"/>
      <w:bookmarkStart w:id="864" w:name="_Ref11920407"/>
      <w:bookmarkStart w:id="865" w:name="_Ref11920396"/>
      <w:r>
        <w:rPr>
          <w:rFonts w:hint="eastAsia" w:asciiTheme="majorEastAsia" w:hAnsiTheme="majorEastAsia" w:eastAsiaTheme="majorEastAsia"/>
          <w:b/>
          <w:highlight w:val="none"/>
        </w:rPr>
        <w:t>第1</w:t>
      </w:r>
      <w:r>
        <w:rPr>
          <w:rFonts w:asciiTheme="majorEastAsia" w:hAnsiTheme="majorEastAsia" w:eastAsiaTheme="majorEastAsia"/>
          <w:b/>
          <w:highlight w:val="none"/>
        </w:rPr>
        <w:t>5</w:t>
      </w:r>
      <w:r>
        <w:rPr>
          <w:rFonts w:hint="eastAsia" w:asciiTheme="majorEastAsia" w:hAnsiTheme="majorEastAsia" w:eastAsiaTheme="majorEastAsia"/>
          <w:b/>
          <w:highlight w:val="none"/>
        </w:rPr>
        <w:t>条  违约</w:t>
      </w:r>
      <w:bookmarkEnd w:id="720"/>
      <w:bookmarkEnd w:id="724"/>
      <w:bookmarkEnd w:id="725"/>
      <w:bookmarkEnd w:id="862"/>
      <w:bookmarkEnd w:id="863"/>
      <w:bookmarkEnd w:id="864"/>
      <w:bookmarkEnd w:id="865"/>
    </w:p>
    <w:p w14:paraId="020CFE20">
      <w:pPr>
        <w:spacing w:line="560" w:lineRule="exact"/>
        <w:ind w:firstLine="410" w:firstLineChars="171"/>
        <w:rPr>
          <w:rFonts w:asciiTheme="majorEastAsia" w:hAnsiTheme="majorEastAsia" w:eastAsiaTheme="majorEastAsia"/>
          <w:highlight w:val="none"/>
        </w:rPr>
      </w:pPr>
      <w:bookmarkStart w:id="866" w:name="_Ref4534411"/>
      <w:bookmarkStart w:id="867" w:name="_Ref4534384"/>
      <w:bookmarkStart w:id="868" w:name="_Toc54862300"/>
      <w:bookmarkStart w:id="869" w:name="_Ref4534399"/>
      <w:bookmarkStart w:id="870" w:name="_Ref4534376"/>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5.1 </w:t>
      </w:r>
      <w:r>
        <w:rPr>
          <w:rFonts w:hint="eastAsia" w:asciiTheme="majorEastAsia" w:hAnsiTheme="majorEastAsia" w:eastAsiaTheme="majorEastAsia"/>
          <w:highlight w:val="none"/>
        </w:rPr>
        <w:t>发包人违约</w:t>
      </w:r>
      <w:bookmarkEnd w:id="866"/>
      <w:bookmarkEnd w:id="867"/>
      <w:bookmarkEnd w:id="868"/>
      <w:bookmarkEnd w:id="869"/>
      <w:bookmarkEnd w:id="870"/>
    </w:p>
    <w:p w14:paraId="7D206E9D">
      <w:pPr>
        <w:spacing w:line="560" w:lineRule="exact"/>
        <w:ind w:firstLine="410" w:firstLineChars="171"/>
        <w:rPr>
          <w:rFonts w:asciiTheme="majorEastAsia" w:hAnsiTheme="majorEastAsia" w:eastAsiaTheme="majorEastAsia"/>
          <w:highlight w:val="none"/>
        </w:rPr>
      </w:pPr>
      <w:bookmarkStart w:id="871" w:name="_Ref3841087"/>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5.1.1 </w:t>
      </w:r>
      <w:r>
        <w:rPr>
          <w:rFonts w:hint="eastAsia" w:asciiTheme="majorEastAsia" w:hAnsiTheme="majorEastAsia" w:eastAsiaTheme="majorEastAsia"/>
          <w:highlight w:val="none"/>
        </w:rPr>
        <w:t>发包人违约的情形</w:t>
      </w:r>
      <w:bookmarkEnd w:id="871"/>
    </w:p>
    <w:p w14:paraId="17663E0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除专用合同条件另有约定外，在合同履行过程中发生的下列情形，属于发包人违约：</w:t>
      </w:r>
    </w:p>
    <w:p w14:paraId="6D36DD8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 xml:space="preserve">（1）因发包人原因导致开始工作日期延误的； </w:t>
      </w:r>
    </w:p>
    <w:p w14:paraId="61B3C12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（2）因发包人原因未能按合同约定支付合同价款的；</w:t>
      </w:r>
    </w:p>
    <w:p w14:paraId="69708AC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（3）发包人违反第</w:t>
      </w:r>
      <w:r>
        <w:rPr>
          <w:rFonts w:asciiTheme="majorEastAsia" w:hAnsiTheme="majorEastAsia" w:eastAsiaTheme="majorEastAsia"/>
          <w:highlight w:val="none"/>
        </w:rPr>
        <w:t>13.1.1</w:t>
      </w:r>
      <w:r>
        <w:rPr>
          <w:rFonts w:hint="eastAsia" w:asciiTheme="majorEastAsia" w:hAnsiTheme="majorEastAsia" w:eastAsiaTheme="majorEastAsia"/>
          <w:highlight w:val="none"/>
        </w:rPr>
        <w:t>项约定，自行实施被取消的工作或转由他人实施的；</w:t>
      </w:r>
    </w:p>
    <w:p w14:paraId="15C2E92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（4）因发包人违反合同约定造成工程暂停施工的；</w:t>
      </w:r>
    </w:p>
    <w:p w14:paraId="5398796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（5）工程师无正当理由没有在约定期限内发出复工指示，导致承包人无法复工的；</w:t>
      </w:r>
    </w:p>
    <w:p w14:paraId="75EEAE1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（6）发包人明确表示或者以其行为表明不履行合同主要义务的；</w:t>
      </w:r>
    </w:p>
    <w:p w14:paraId="55B0B03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（7）发包人未能按照合同约定履行其他义务的。</w:t>
      </w:r>
    </w:p>
    <w:p w14:paraId="775FD84B">
      <w:pPr>
        <w:spacing w:line="560" w:lineRule="exact"/>
        <w:ind w:firstLine="410" w:firstLineChars="171"/>
        <w:rPr>
          <w:rFonts w:asciiTheme="majorEastAsia" w:hAnsiTheme="majorEastAsia" w:eastAsiaTheme="majorEastAsia"/>
          <w:highlight w:val="none"/>
        </w:rPr>
      </w:pPr>
      <w:bookmarkStart w:id="872" w:name="_Ref453569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5.1.2 </w:t>
      </w:r>
      <w:r>
        <w:rPr>
          <w:rFonts w:hint="eastAsia" w:asciiTheme="majorEastAsia" w:hAnsiTheme="majorEastAsia" w:eastAsiaTheme="majorEastAsia"/>
          <w:highlight w:val="none"/>
        </w:rPr>
        <w:t>通知改正</w:t>
      </w:r>
      <w:bookmarkEnd w:id="872"/>
    </w:p>
    <w:p w14:paraId="0436A3E4">
      <w:pPr>
        <w:spacing w:line="560" w:lineRule="exact"/>
        <w:ind w:firstLine="410" w:firstLineChars="171"/>
        <w:rPr>
          <w:rFonts w:asciiTheme="majorEastAsia" w:hAnsiTheme="majorEastAsia" w:eastAsiaTheme="majorEastAsia"/>
          <w:highlight w:val="none"/>
        </w:rPr>
      </w:pPr>
      <w:bookmarkStart w:id="873" w:name="_Hlk16248297"/>
      <w:r>
        <w:rPr>
          <w:rFonts w:hint="eastAsia" w:asciiTheme="majorEastAsia" w:hAnsiTheme="majorEastAsia" w:eastAsiaTheme="majorEastAsia"/>
          <w:highlight w:val="none"/>
        </w:rPr>
        <w:t>发包人发生除第</w:t>
      </w:r>
      <w:r>
        <w:rPr>
          <w:rFonts w:asciiTheme="majorEastAsia" w:hAnsiTheme="majorEastAsia" w:eastAsiaTheme="majorEastAsia"/>
          <w:highlight w:val="none"/>
        </w:rPr>
        <w:t>15.1.1</w:t>
      </w:r>
      <w:r>
        <w:rPr>
          <w:rFonts w:hint="eastAsia" w:asciiTheme="majorEastAsia" w:hAnsiTheme="majorEastAsia" w:eastAsiaTheme="majorEastAsia"/>
          <w:highlight w:val="none"/>
        </w:rPr>
        <w:t>项第（</w:t>
      </w:r>
      <w:r>
        <w:rPr>
          <w:rFonts w:asciiTheme="majorEastAsia" w:hAnsiTheme="majorEastAsia" w:eastAsiaTheme="majorEastAsia"/>
          <w:highlight w:val="none"/>
        </w:rPr>
        <w:t>6</w:t>
      </w:r>
      <w:r>
        <w:rPr>
          <w:rFonts w:hint="eastAsia" w:asciiTheme="majorEastAsia" w:hAnsiTheme="majorEastAsia" w:eastAsiaTheme="majorEastAsia"/>
          <w:highlight w:val="none"/>
        </w:rPr>
        <w:t>）目以外的违约情况时，承包人可向发包人发出通知，要求发包人采取有效措施纠正违约行为。发包人收到承包人通知后28天内仍不纠正违约行为的，承包人有权暂停相应部位工程实施，并通知工程师。</w:t>
      </w:r>
      <w:bookmarkEnd w:id="873"/>
    </w:p>
    <w:p w14:paraId="5C2EB5F4">
      <w:pPr>
        <w:spacing w:line="560" w:lineRule="exact"/>
        <w:ind w:firstLine="410" w:firstLineChars="171"/>
        <w:rPr>
          <w:rFonts w:asciiTheme="majorEastAsia" w:hAnsiTheme="majorEastAsia" w:eastAsiaTheme="majorEastAsia"/>
          <w:highlight w:val="none"/>
        </w:rPr>
      </w:pPr>
      <w:bookmarkStart w:id="874" w:name="_Ref384113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5.1.3 </w:t>
      </w:r>
      <w:r>
        <w:rPr>
          <w:rFonts w:hint="eastAsia" w:asciiTheme="majorEastAsia" w:hAnsiTheme="majorEastAsia" w:eastAsiaTheme="majorEastAsia"/>
          <w:highlight w:val="none"/>
        </w:rPr>
        <w:t>发包人违约的责任</w:t>
      </w:r>
      <w:bookmarkEnd w:id="874"/>
    </w:p>
    <w:p w14:paraId="54BD85C6">
      <w:pPr>
        <w:spacing w:line="560" w:lineRule="exact"/>
        <w:ind w:firstLine="410" w:firstLineChars="171"/>
        <w:rPr>
          <w:rFonts w:asciiTheme="majorEastAsia" w:hAnsiTheme="majorEastAsia" w:eastAsiaTheme="majorEastAsia"/>
          <w:highlight w:val="none"/>
        </w:rPr>
      </w:pPr>
      <w:bookmarkStart w:id="875" w:name="_Hlk16247984"/>
      <w:r>
        <w:rPr>
          <w:rFonts w:hint="eastAsia" w:asciiTheme="majorEastAsia" w:hAnsiTheme="majorEastAsia" w:eastAsiaTheme="majorEastAsia"/>
          <w:highlight w:val="none"/>
        </w:rPr>
        <w:t>发包人应承担因其违约给承包人增加的费用和（或）延误的工期，并支付承包人合理的利润。此外，合同当事人可在专用合同条件中另行约定发包人违约责任的承担方式和计算方法。</w:t>
      </w:r>
      <w:bookmarkEnd w:id="875"/>
    </w:p>
    <w:p w14:paraId="58E8BBED">
      <w:pPr>
        <w:spacing w:line="560" w:lineRule="exact"/>
        <w:ind w:firstLine="410" w:firstLineChars="171"/>
        <w:rPr>
          <w:rFonts w:asciiTheme="majorEastAsia" w:hAnsiTheme="majorEastAsia" w:eastAsiaTheme="majorEastAsia"/>
          <w:highlight w:val="none"/>
        </w:rPr>
      </w:pPr>
      <w:bookmarkStart w:id="876" w:name="_Ref11958663"/>
      <w:bookmarkStart w:id="877" w:name="_Ref11958660"/>
      <w:bookmarkStart w:id="878" w:name="_Toc54862301"/>
      <w:r>
        <w:rPr>
          <w:rFonts w:hint="eastAsia" w:asciiTheme="majorEastAsia" w:hAnsiTheme="majorEastAsia" w:eastAsiaTheme="majorEastAsia"/>
          <w:highlight w:val="none"/>
        </w:rPr>
        <w:t>1</w:t>
      </w:r>
      <w:r>
        <w:rPr>
          <w:rFonts w:asciiTheme="majorEastAsia" w:hAnsiTheme="majorEastAsia" w:eastAsiaTheme="majorEastAsia"/>
          <w:highlight w:val="none"/>
        </w:rPr>
        <w:t>5.2</w:t>
      </w:r>
      <w:r>
        <w:rPr>
          <w:rFonts w:hint="eastAsia" w:asciiTheme="majorEastAsia" w:hAnsiTheme="majorEastAsia" w:eastAsiaTheme="majorEastAsia"/>
          <w:highlight w:val="none"/>
        </w:rPr>
        <w:t>承包人违约</w:t>
      </w:r>
      <w:bookmarkEnd w:id="876"/>
      <w:bookmarkEnd w:id="877"/>
      <w:bookmarkEnd w:id="878"/>
    </w:p>
    <w:p w14:paraId="31298057">
      <w:pPr>
        <w:spacing w:line="560" w:lineRule="exact"/>
        <w:ind w:firstLine="410" w:firstLineChars="171"/>
        <w:rPr>
          <w:rFonts w:asciiTheme="majorEastAsia" w:hAnsiTheme="majorEastAsia" w:eastAsiaTheme="majorEastAsia"/>
          <w:highlight w:val="none"/>
        </w:rPr>
      </w:pPr>
      <w:bookmarkStart w:id="879" w:name="_Ref3841153"/>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5.2.1 </w:t>
      </w:r>
      <w:r>
        <w:rPr>
          <w:rFonts w:hint="eastAsia" w:asciiTheme="majorEastAsia" w:hAnsiTheme="majorEastAsia" w:eastAsiaTheme="majorEastAsia"/>
          <w:highlight w:val="none"/>
        </w:rPr>
        <w:t>承包人违约的情形</w:t>
      </w:r>
      <w:bookmarkEnd w:id="879"/>
    </w:p>
    <w:p w14:paraId="3045607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除专用合同条件另有约定外，在履行合同过程中发生的下列情况之一的，属于承包人违约：</w:t>
      </w:r>
    </w:p>
    <w:p w14:paraId="7C87608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（1）承包人的原因导致的承包人文件、实施和竣工的工程不符合法律法规、工程质量验收标准以及合同约定；</w:t>
      </w:r>
    </w:p>
    <w:p w14:paraId="5BBACA5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（2）承包人违反合同约定进行转包或违法分包的；</w:t>
      </w:r>
    </w:p>
    <w:p w14:paraId="5911C71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（3）承包人违反约定采购和使用不合格材料或工程设备；</w:t>
      </w:r>
    </w:p>
    <w:p w14:paraId="0F71D48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（4）因承包人原因导致工程质量不符合合同要求的；</w:t>
      </w:r>
    </w:p>
    <w:p w14:paraId="69C8753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（5）承包人未经工程师批准，擅自将已按合同约定进入施工现场的施工设备、临时设施或材料撤离施工现场；</w:t>
      </w:r>
    </w:p>
    <w:p w14:paraId="5E18B7F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（6）承包人未能按项目进度计划及时完成合同约定的工作，造成工期延误；</w:t>
      </w:r>
    </w:p>
    <w:p w14:paraId="61914B1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（7）由于承包人原因未能通过竣工试验或竣工后试验的；</w:t>
      </w:r>
    </w:p>
    <w:p w14:paraId="56D295C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（8）承包人在缺陷责任期及保修期内，未能在合理期限对工程缺陷进行修复，或拒绝按发包人指示进行修复的；</w:t>
      </w:r>
    </w:p>
    <w:p w14:paraId="103D109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（9）承包人明确表示或者以其行为表明不履行合同主要义务的；</w:t>
      </w:r>
    </w:p>
    <w:p w14:paraId="1172A9B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0</w:t>
      </w:r>
      <w:r>
        <w:rPr>
          <w:rFonts w:hint="eastAsia" w:asciiTheme="majorEastAsia" w:hAnsiTheme="majorEastAsia" w:eastAsiaTheme="majorEastAsia"/>
          <w:highlight w:val="none"/>
        </w:rPr>
        <w:t>）承包人未能按照合同约定履行其他义务的。</w:t>
      </w:r>
    </w:p>
    <w:p w14:paraId="333B640D">
      <w:pPr>
        <w:spacing w:line="560" w:lineRule="exact"/>
        <w:ind w:firstLine="410" w:firstLineChars="171"/>
        <w:rPr>
          <w:rFonts w:asciiTheme="majorEastAsia" w:hAnsiTheme="majorEastAsia" w:eastAsiaTheme="majorEastAsia"/>
          <w:highlight w:val="none"/>
        </w:rPr>
      </w:pPr>
      <w:bookmarkStart w:id="880" w:name="_Ref531958512"/>
      <w:r>
        <w:rPr>
          <w:rFonts w:hint="eastAsia" w:asciiTheme="majorEastAsia" w:hAnsiTheme="majorEastAsia" w:eastAsiaTheme="majorEastAsia"/>
          <w:highlight w:val="none"/>
        </w:rPr>
        <w:t>1</w:t>
      </w:r>
      <w:r>
        <w:rPr>
          <w:rFonts w:asciiTheme="majorEastAsia" w:hAnsiTheme="majorEastAsia" w:eastAsiaTheme="majorEastAsia"/>
          <w:highlight w:val="none"/>
        </w:rPr>
        <w:t>5.2.2</w:t>
      </w:r>
      <w:r>
        <w:rPr>
          <w:rFonts w:hint="eastAsia" w:asciiTheme="majorEastAsia" w:hAnsiTheme="majorEastAsia" w:eastAsiaTheme="majorEastAsia"/>
          <w:highlight w:val="none"/>
        </w:rPr>
        <w:t>通知改正</w:t>
      </w:r>
      <w:bookmarkEnd w:id="880"/>
    </w:p>
    <w:p w14:paraId="0FCB0B0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承包人发生除第</w:t>
      </w:r>
      <w:r>
        <w:rPr>
          <w:rFonts w:asciiTheme="majorEastAsia" w:hAnsiTheme="majorEastAsia" w:eastAsiaTheme="majorEastAsia"/>
          <w:highlight w:val="none"/>
        </w:rPr>
        <w:t>15.2.1</w:t>
      </w:r>
      <w:r>
        <w:rPr>
          <w:rFonts w:hint="eastAsia" w:asciiTheme="majorEastAsia" w:hAnsiTheme="majorEastAsia" w:eastAsiaTheme="majorEastAsia"/>
          <w:highlight w:val="none"/>
        </w:rPr>
        <w:t>项第（7）目、第（9）目约定以外的其他违约情况时，工程师可在专用合同条件约定的合理期限内向承包人发出整改通知，要求其在指定的期限内改正。</w:t>
      </w:r>
    </w:p>
    <w:p w14:paraId="392FFD3F">
      <w:pPr>
        <w:spacing w:line="560" w:lineRule="exact"/>
        <w:ind w:firstLine="410" w:firstLineChars="171"/>
        <w:rPr>
          <w:rFonts w:asciiTheme="majorEastAsia" w:hAnsiTheme="majorEastAsia" w:eastAsiaTheme="majorEastAsia"/>
          <w:highlight w:val="none"/>
        </w:rPr>
      </w:pPr>
      <w:bookmarkStart w:id="881" w:name="_Ref3841166"/>
      <w:r>
        <w:rPr>
          <w:rFonts w:hint="eastAsia" w:asciiTheme="majorEastAsia" w:hAnsiTheme="majorEastAsia" w:eastAsiaTheme="majorEastAsia"/>
          <w:highlight w:val="none"/>
        </w:rPr>
        <w:t>1</w:t>
      </w:r>
      <w:r>
        <w:rPr>
          <w:rFonts w:asciiTheme="majorEastAsia" w:hAnsiTheme="majorEastAsia" w:eastAsiaTheme="majorEastAsia"/>
          <w:highlight w:val="none"/>
        </w:rPr>
        <w:t>5.2.3</w:t>
      </w:r>
      <w:r>
        <w:rPr>
          <w:rFonts w:hint="eastAsia" w:asciiTheme="majorEastAsia" w:hAnsiTheme="majorEastAsia" w:eastAsiaTheme="majorEastAsia"/>
          <w:highlight w:val="none"/>
        </w:rPr>
        <w:t>承包人违约的责任</w:t>
      </w:r>
      <w:bookmarkEnd w:id="881"/>
    </w:p>
    <w:p w14:paraId="6A6E3FF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承包人应承担因其违约行为而增加的费用和（或）延误的工期。此外，合同当事人可在专用合同条件中另行约定承包人违约责任的承担方式和计算方法。</w:t>
      </w:r>
    </w:p>
    <w:p w14:paraId="32778904">
      <w:pPr>
        <w:spacing w:line="560" w:lineRule="exact"/>
        <w:ind w:firstLine="410" w:firstLineChars="171"/>
        <w:rPr>
          <w:rFonts w:asciiTheme="majorEastAsia" w:hAnsiTheme="majorEastAsia" w:eastAsiaTheme="majorEastAsia"/>
          <w:highlight w:val="none"/>
        </w:rPr>
      </w:pPr>
      <w:bookmarkStart w:id="882" w:name="_Toc5486230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5.3 </w:t>
      </w:r>
      <w:r>
        <w:rPr>
          <w:rFonts w:hint="eastAsia" w:asciiTheme="majorEastAsia" w:hAnsiTheme="majorEastAsia" w:eastAsiaTheme="majorEastAsia"/>
          <w:highlight w:val="none"/>
        </w:rPr>
        <w:t>第三人造成的违约</w:t>
      </w:r>
      <w:bookmarkEnd w:id="882"/>
    </w:p>
    <w:p w14:paraId="6D3A76D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在履行合同过程中，一方当事人因第三人的原因造成违约的，应当向对方当事人承担违约责任。一方当事人和第三人之间的纠纷，依照法律规定或者按照约定解决。</w:t>
      </w:r>
    </w:p>
    <w:p w14:paraId="1946DEAA">
      <w:pPr>
        <w:spacing w:line="560" w:lineRule="exact"/>
        <w:rPr>
          <w:rFonts w:asciiTheme="majorEastAsia" w:hAnsiTheme="majorEastAsia" w:eastAsiaTheme="majorEastAsia"/>
          <w:b/>
          <w:highlight w:val="none"/>
        </w:rPr>
      </w:pPr>
      <w:bookmarkStart w:id="883" w:name="_Toc54862303"/>
      <w:bookmarkStart w:id="884" w:name="_Ref4510572"/>
      <w:bookmarkStart w:id="885" w:name="_Ref532142069"/>
      <w:bookmarkStart w:id="886" w:name="_Ref3840457"/>
      <w:r>
        <w:rPr>
          <w:rFonts w:hint="eastAsia" w:asciiTheme="majorEastAsia" w:hAnsiTheme="majorEastAsia" w:eastAsiaTheme="majorEastAsia"/>
          <w:b/>
          <w:highlight w:val="none"/>
        </w:rPr>
        <w:t>第1</w:t>
      </w:r>
      <w:r>
        <w:rPr>
          <w:rFonts w:asciiTheme="majorEastAsia" w:hAnsiTheme="majorEastAsia" w:eastAsiaTheme="majorEastAsia"/>
          <w:b/>
          <w:highlight w:val="none"/>
        </w:rPr>
        <w:t>6</w:t>
      </w:r>
      <w:r>
        <w:rPr>
          <w:rFonts w:hint="eastAsia" w:asciiTheme="majorEastAsia" w:hAnsiTheme="majorEastAsia" w:eastAsiaTheme="majorEastAsia"/>
          <w:b/>
          <w:highlight w:val="none"/>
        </w:rPr>
        <w:t>条  合同解除</w:t>
      </w:r>
      <w:bookmarkEnd w:id="883"/>
      <w:bookmarkEnd w:id="884"/>
    </w:p>
    <w:p w14:paraId="6BFFFE02">
      <w:pPr>
        <w:spacing w:line="560" w:lineRule="exact"/>
        <w:ind w:firstLine="410" w:firstLineChars="171"/>
        <w:rPr>
          <w:rFonts w:asciiTheme="majorEastAsia" w:hAnsiTheme="majorEastAsia" w:eastAsiaTheme="majorEastAsia"/>
          <w:highlight w:val="none"/>
        </w:rPr>
      </w:pPr>
      <w:bookmarkStart w:id="887" w:name="_Toc54862304"/>
      <w:bookmarkStart w:id="888" w:name="_Ref531958499"/>
      <w:bookmarkStart w:id="889" w:name="_Ref531958502"/>
      <w:r>
        <w:rPr>
          <w:rFonts w:hint="eastAsia" w:asciiTheme="majorEastAsia" w:hAnsiTheme="majorEastAsia" w:eastAsiaTheme="majorEastAsia"/>
          <w:highlight w:val="none"/>
        </w:rPr>
        <w:t>1</w:t>
      </w:r>
      <w:r>
        <w:rPr>
          <w:rFonts w:asciiTheme="majorEastAsia" w:hAnsiTheme="majorEastAsia" w:eastAsiaTheme="majorEastAsia"/>
          <w:highlight w:val="none"/>
        </w:rPr>
        <w:t>6.1</w:t>
      </w:r>
      <w:r>
        <w:rPr>
          <w:rFonts w:hint="eastAsia" w:asciiTheme="majorEastAsia" w:hAnsiTheme="majorEastAsia" w:eastAsiaTheme="majorEastAsia"/>
          <w:highlight w:val="none"/>
        </w:rPr>
        <w:t>由发包人解除合同</w:t>
      </w:r>
      <w:bookmarkEnd w:id="887"/>
      <w:bookmarkEnd w:id="888"/>
      <w:bookmarkEnd w:id="889"/>
    </w:p>
    <w:p w14:paraId="310981A7">
      <w:pPr>
        <w:spacing w:line="560" w:lineRule="exact"/>
        <w:ind w:firstLine="410" w:firstLineChars="171"/>
        <w:rPr>
          <w:rFonts w:asciiTheme="majorEastAsia" w:hAnsiTheme="majorEastAsia" w:eastAsiaTheme="majorEastAsia"/>
          <w:highlight w:val="none"/>
        </w:rPr>
      </w:pPr>
      <w:bookmarkStart w:id="890" w:name="_Ref4535422"/>
      <w:r>
        <w:rPr>
          <w:rFonts w:hint="eastAsia" w:asciiTheme="majorEastAsia" w:hAnsiTheme="majorEastAsia" w:eastAsiaTheme="majorEastAsia"/>
          <w:highlight w:val="none"/>
        </w:rPr>
        <w:t>1</w:t>
      </w:r>
      <w:r>
        <w:rPr>
          <w:rFonts w:asciiTheme="majorEastAsia" w:hAnsiTheme="majorEastAsia" w:eastAsiaTheme="majorEastAsia"/>
          <w:highlight w:val="none"/>
        </w:rPr>
        <w:t>6.1.1</w:t>
      </w:r>
      <w:r>
        <w:rPr>
          <w:rFonts w:hint="eastAsia" w:asciiTheme="majorEastAsia" w:hAnsiTheme="majorEastAsia" w:eastAsiaTheme="majorEastAsia"/>
          <w:highlight w:val="none"/>
        </w:rPr>
        <w:t>因承包人违约解除合同</w:t>
      </w:r>
      <w:bookmarkEnd w:id="890"/>
    </w:p>
    <w:p w14:paraId="759609A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除专用合同条件另有约定外，发包人有权基于下列原因，以书面形式通知承包人解除合同，解除通知中应注明是根据第</w:t>
      </w:r>
      <w:r>
        <w:rPr>
          <w:rFonts w:asciiTheme="majorEastAsia" w:hAnsiTheme="majorEastAsia" w:eastAsiaTheme="majorEastAsia"/>
          <w:highlight w:val="none"/>
        </w:rPr>
        <w:t>16.1.1</w:t>
      </w:r>
      <w:r>
        <w:rPr>
          <w:rFonts w:hint="eastAsia" w:asciiTheme="majorEastAsia" w:hAnsiTheme="majorEastAsia" w:eastAsiaTheme="majorEastAsia"/>
          <w:highlight w:val="none"/>
        </w:rPr>
        <w:t>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w:t>
      </w:r>
      <w:r>
        <w:rPr>
          <w:rFonts w:asciiTheme="majorEastAsia" w:hAnsiTheme="majorEastAsia" w:eastAsiaTheme="majorEastAsia"/>
          <w:highlight w:val="none"/>
        </w:rPr>
        <w:t>5</w:t>
      </w:r>
      <w:r>
        <w:rPr>
          <w:rFonts w:hint="eastAsia" w:asciiTheme="majorEastAsia" w:hAnsiTheme="majorEastAsia" w:eastAsiaTheme="majorEastAsia"/>
          <w:highlight w:val="none"/>
        </w:rPr>
        <w:t>）目的情况下，发包人无须提前告知承包人其解除合同意向，可直接发出正式解除合同通知立即解除合同：</w:t>
      </w:r>
    </w:p>
    <w:p w14:paraId="44D9F035">
      <w:pPr>
        <w:spacing w:line="560" w:lineRule="exact"/>
        <w:ind w:firstLine="410" w:firstLineChars="171"/>
        <w:rPr>
          <w:rFonts w:asciiTheme="majorEastAsia" w:hAnsiTheme="majorEastAsia" w:eastAsiaTheme="majorEastAsia"/>
          <w:highlight w:val="none"/>
        </w:rPr>
      </w:pPr>
      <w:bookmarkStart w:id="891" w:name="_Ref531958536"/>
      <w:r>
        <w:rPr>
          <w:rFonts w:hint="eastAsia" w:asciiTheme="majorEastAsia" w:hAnsiTheme="majorEastAsia" w:eastAsiaTheme="majorEastAsia"/>
          <w:highlight w:val="none"/>
        </w:rPr>
        <w:t>（1）承包人未能遵守第</w:t>
      </w:r>
      <w:r>
        <w:rPr>
          <w:rFonts w:asciiTheme="majorEastAsia" w:hAnsiTheme="majorEastAsia" w:eastAsiaTheme="majorEastAsia"/>
          <w:highlight w:val="none"/>
        </w:rPr>
        <w:t>4.2</w:t>
      </w:r>
      <w:r>
        <w:rPr>
          <w:rFonts w:hint="eastAsia" w:asciiTheme="majorEastAsia" w:hAnsiTheme="majorEastAsia" w:eastAsiaTheme="majorEastAsia"/>
          <w:highlight w:val="none"/>
        </w:rPr>
        <w:t>款</w:t>
      </w:r>
      <w:bookmarkStart w:id="892" w:name="_Hlk18839947"/>
      <w:r>
        <w:rPr>
          <w:rFonts w:hint="eastAsia" w:asciiTheme="majorEastAsia" w:hAnsiTheme="majorEastAsia" w:eastAsiaTheme="majorEastAsia"/>
          <w:highlight w:val="none"/>
        </w:rPr>
        <w:t>[履约担保]</w:t>
      </w:r>
      <w:bookmarkEnd w:id="892"/>
      <w:r>
        <w:rPr>
          <w:rFonts w:hint="eastAsia" w:asciiTheme="majorEastAsia" w:hAnsiTheme="majorEastAsia" w:eastAsiaTheme="majorEastAsia"/>
          <w:highlight w:val="none"/>
        </w:rPr>
        <w:t>的约定；</w:t>
      </w:r>
    </w:p>
    <w:p w14:paraId="6D1681D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（2）承包人未能遵守第</w:t>
      </w:r>
      <w:r>
        <w:rPr>
          <w:rFonts w:asciiTheme="majorEastAsia" w:hAnsiTheme="majorEastAsia" w:eastAsiaTheme="majorEastAsia"/>
          <w:highlight w:val="none"/>
        </w:rPr>
        <w:t>4.5</w:t>
      </w:r>
      <w:r>
        <w:rPr>
          <w:rFonts w:hint="eastAsia" w:asciiTheme="majorEastAsia" w:hAnsiTheme="majorEastAsia" w:eastAsiaTheme="majorEastAsia"/>
          <w:highlight w:val="none"/>
        </w:rPr>
        <w:t>款[分包]有关分包和转包的约定；</w:t>
      </w:r>
    </w:p>
    <w:p w14:paraId="132C05C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（3）承包人实际进度明显落后于进度计划，并且未按发包人的指令采取措施并修正进度计划；</w:t>
      </w:r>
    </w:p>
    <w:p w14:paraId="5BCD0BF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（4）工程质量有严重缺陷，承包人无正当理由使修复开始日期拖延达28天以上；</w:t>
      </w:r>
    </w:p>
    <w:p w14:paraId="59E56FA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1B0C4FA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（6）承包人明确表示或以自己的行为表明不履行合同、或经发包人以书面形式通知其履约后仍未能依约履行合同、或以不适当的方式履行合同；</w:t>
      </w:r>
    </w:p>
    <w:p w14:paraId="18357E6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（7）未能通过的竣工试验、未能通过的竣工后试验，使工程的任何部分和（或）整个工程丧失了主要使用功能、生产功能；</w:t>
      </w:r>
    </w:p>
    <w:p w14:paraId="6E3506B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（8）因承包人的原因暂停工作超过56天且暂停影响到整个工程，或因承包人的原因暂停工作超过182天；</w:t>
      </w:r>
    </w:p>
    <w:p w14:paraId="66D59F0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（9）承包人未能遵守第</w:t>
      </w:r>
      <w:r>
        <w:rPr>
          <w:rFonts w:asciiTheme="majorEastAsia" w:hAnsiTheme="majorEastAsia" w:eastAsiaTheme="majorEastAsia"/>
          <w:highlight w:val="none"/>
        </w:rPr>
        <w:t>8.2</w:t>
      </w:r>
      <w:r>
        <w:rPr>
          <w:rFonts w:hint="eastAsia" w:asciiTheme="majorEastAsia" w:hAnsiTheme="majorEastAsia" w:eastAsiaTheme="majorEastAsia"/>
          <w:highlight w:val="none"/>
        </w:rPr>
        <w:t>款[竣工日期]规定，延误超过1</w:t>
      </w:r>
      <w:r>
        <w:rPr>
          <w:rFonts w:asciiTheme="majorEastAsia" w:hAnsiTheme="majorEastAsia" w:eastAsiaTheme="majorEastAsia"/>
          <w:highlight w:val="none"/>
        </w:rPr>
        <w:t>82</w:t>
      </w:r>
      <w:r>
        <w:rPr>
          <w:rFonts w:hint="eastAsia" w:asciiTheme="majorEastAsia" w:hAnsiTheme="majorEastAsia" w:eastAsiaTheme="majorEastAsia"/>
          <w:highlight w:val="none"/>
        </w:rPr>
        <w:t>天；</w:t>
      </w:r>
    </w:p>
    <w:p w14:paraId="38165EB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0</w:t>
      </w:r>
      <w:r>
        <w:rPr>
          <w:rFonts w:hint="eastAsia" w:asciiTheme="majorEastAsia" w:hAnsiTheme="majorEastAsia" w:eastAsiaTheme="majorEastAsia"/>
          <w:highlight w:val="none"/>
        </w:rPr>
        <w:t>）工程师根据第</w:t>
      </w:r>
      <w:r>
        <w:rPr>
          <w:rFonts w:asciiTheme="majorEastAsia" w:hAnsiTheme="majorEastAsia" w:eastAsiaTheme="majorEastAsia"/>
          <w:highlight w:val="none"/>
        </w:rPr>
        <w:t>15.2.2</w:t>
      </w:r>
      <w:r>
        <w:rPr>
          <w:rFonts w:hint="eastAsia" w:asciiTheme="majorEastAsia" w:hAnsiTheme="majorEastAsia" w:eastAsiaTheme="majorEastAsia"/>
          <w:highlight w:val="none"/>
        </w:rPr>
        <w:t>项[通知改正]发出整改通知后，承包人在指定的合理期限内仍不纠正违约行为并致使合同目的不能实现的。</w:t>
      </w:r>
    </w:p>
    <w:bookmarkEnd w:id="891"/>
    <w:p w14:paraId="63B8877B">
      <w:pPr>
        <w:spacing w:line="560" w:lineRule="exact"/>
        <w:ind w:firstLine="410" w:firstLineChars="171"/>
        <w:rPr>
          <w:rFonts w:asciiTheme="majorEastAsia" w:hAnsiTheme="majorEastAsia" w:eastAsiaTheme="majorEastAsia"/>
          <w:highlight w:val="none"/>
        </w:rPr>
      </w:pPr>
      <w:bookmarkStart w:id="893" w:name="_Ref3841839"/>
      <w:bookmarkStart w:id="894" w:name="_Ref4624315"/>
      <w:r>
        <w:rPr>
          <w:rFonts w:hint="eastAsia" w:asciiTheme="majorEastAsia" w:hAnsiTheme="majorEastAsia" w:eastAsiaTheme="majorEastAsia"/>
          <w:highlight w:val="none"/>
        </w:rPr>
        <w:t>1</w:t>
      </w:r>
      <w:r>
        <w:rPr>
          <w:rFonts w:asciiTheme="majorEastAsia" w:hAnsiTheme="majorEastAsia" w:eastAsiaTheme="majorEastAsia"/>
          <w:highlight w:val="none"/>
        </w:rPr>
        <w:t>6.1.2</w:t>
      </w:r>
      <w:r>
        <w:rPr>
          <w:rFonts w:hint="eastAsia" w:asciiTheme="majorEastAsia" w:hAnsiTheme="majorEastAsia" w:eastAsiaTheme="majorEastAsia"/>
          <w:highlight w:val="none"/>
        </w:rPr>
        <w:t>因承包人违约解除合同后</w:t>
      </w:r>
      <w:bookmarkEnd w:id="893"/>
      <w:r>
        <w:rPr>
          <w:rFonts w:hint="eastAsia" w:asciiTheme="majorEastAsia" w:hAnsiTheme="majorEastAsia" w:eastAsiaTheme="majorEastAsia"/>
          <w:highlight w:val="none"/>
        </w:rPr>
        <w:t>承包人的义务</w:t>
      </w:r>
      <w:bookmarkEnd w:id="894"/>
    </w:p>
    <w:p w14:paraId="49FA1F5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合同解除后，承包人应按以下约定执行：</w:t>
      </w:r>
    </w:p>
    <w:p w14:paraId="304F4D1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（1）除了为保护生命、财产或工程安全、清理和必须执行的工作外，停止执行所有被通知解除的工作，并将相关人员撤离现场；</w:t>
      </w:r>
    </w:p>
    <w:p w14:paraId="5380688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（2）经发包人批准，承包人应将与被解除合同相关的和正在执行的分包合同及相关的责任和义务转让至发包人和（或）发包人指定方的名下，包括永久性工程及工程物资，以及相关工作；</w:t>
      </w:r>
    </w:p>
    <w:p w14:paraId="228013B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（3）移交已完成的永久性工程及负责已运抵现场的工程物资。在移交前，妥善做好己完工程和已运抵现场的工程物资的保管、维护和保养；</w:t>
      </w:r>
    </w:p>
    <w:p w14:paraId="0620C78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（4）将发包人提供的所有信息及承包人为本工程编制的设计文件、技术资料及其它文件移交给发包人。在承包人留有的资料文件中，销毁与发包人提供的所有信息相关的数据及资料的备份；</w:t>
      </w:r>
    </w:p>
    <w:p w14:paraId="1E312A2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（5）移交相应实施阶段已经付款的并已完成的和尚待完成的设计文件、图纸、资料、操作维修手册、施工组织设计、质检资料、竣工资料等；</w:t>
      </w:r>
    </w:p>
    <w:p w14:paraId="2C62366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6.1.3</w:t>
      </w:r>
      <w:r>
        <w:rPr>
          <w:rFonts w:hint="eastAsia" w:asciiTheme="majorEastAsia" w:hAnsiTheme="majorEastAsia" w:eastAsiaTheme="majorEastAsia"/>
          <w:highlight w:val="none"/>
        </w:rPr>
        <w:t>因承包人违约解除合同后的估价、付款和结算</w:t>
      </w:r>
    </w:p>
    <w:p w14:paraId="032928E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因承包人原因导致合同解除的，则合同当事人应在合同解除后28天内完成估价、付款和清算，并按以下约定执行：</w:t>
      </w:r>
    </w:p>
    <w:p w14:paraId="78D152E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（1）合同解除后，按第</w:t>
      </w:r>
      <w:r>
        <w:rPr>
          <w:rFonts w:asciiTheme="majorEastAsia" w:hAnsiTheme="majorEastAsia" w:eastAsiaTheme="majorEastAsia"/>
          <w:highlight w:val="none"/>
        </w:rPr>
        <w:t>3.6</w:t>
      </w:r>
      <w:r>
        <w:rPr>
          <w:rFonts w:hint="eastAsia" w:asciiTheme="majorEastAsia" w:hAnsiTheme="majorEastAsia" w:eastAsiaTheme="majorEastAsia"/>
          <w:highlight w:val="none"/>
        </w:rPr>
        <w:t>款[商定或确定]商定或确定承包人实际完成工作对应的合同价款，以及承包人已提供的材料、工程设备、施工设备和临时工程等的价值；</w:t>
      </w:r>
    </w:p>
    <w:p w14:paraId="0D7EEAD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（2）合同解除后，承包人应支付的违约金；</w:t>
      </w:r>
    </w:p>
    <w:p w14:paraId="48107C3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（3）合同解除后，因解除合同给发包人造成的损失；</w:t>
      </w:r>
    </w:p>
    <w:p w14:paraId="21DB8C5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（4）合同解除后，承包人应按照发包人的指示完成现场的清理和撤离；</w:t>
      </w:r>
    </w:p>
    <w:p w14:paraId="5FD85DB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（5）发包人和承包人应在合同解除后进行清算，出具最终结清付款证书，结清全部款项。</w:t>
      </w:r>
    </w:p>
    <w:p w14:paraId="77D20A2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因承包人违约解除合同的，发包人有权暂停对承包人的付款，查清各项付款和已扣款项，发包人和承包人未能就合同解除后的清算和款项支付达成一致的，按照第</w:t>
      </w:r>
      <w:r>
        <w:rPr>
          <w:rFonts w:asciiTheme="majorEastAsia" w:hAnsiTheme="majorEastAsia" w:eastAsiaTheme="majorEastAsia"/>
          <w:highlight w:val="none"/>
        </w:rPr>
        <w:t>20条[争议解决]的约定处理</w:t>
      </w:r>
      <w:r>
        <w:rPr>
          <w:rFonts w:hint="eastAsia" w:asciiTheme="majorEastAsia" w:hAnsiTheme="majorEastAsia" w:eastAsiaTheme="majorEastAsia"/>
          <w:highlight w:val="none"/>
        </w:rPr>
        <w:t>。</w:t>
      </w:r>
    </w:p>
    <w:p w14:paraId="3002974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6.1.4 </w:t>
      </w:r>
      <w:r>
        <w:rPr>
          <w:rFonts w:hint="eastAsia" w:asciiTheme="majorEastAsia" w:hAnsiTheme="majorEastAsia" w:eastAsiaTheme="majorEastAsia"/>
          <w:highlight w:val="none"/>
        </w:rPr>
        <w:t>因承包人违约解除合同的合同权益转让</w:t>
      </w:r>
    </w:p>
    <w:p w14:paraId="36BAD8C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21BFD9A3">
      <w:pPr>
        <w:spacing w:line="560" w:lineRule="exact"/>
        <w:ind w:firstLine="410" w:firstLineChars="171"/>
        <w:rPr>
          <w:rFonts w:asciiTheme="majorEastAsia" w:hAnsiTheme="majorEastAsia" w:eastAsiaTheme="majorEastAsia"/>
          <w:highlight w:val="none"/>
        </w:rPr>
      </w:pPr>
      <w:bookmarkStart w:id="895" w:name="_Toc54862305"/>
      <w:bookmarkStart w:id="896" w:name="_Ref531958554"/>
      <w:bookmarkStart w:id="897" w:name="_Ref531958549"/>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6.2 </w:t>
      </w:r>
      <w:r>
        <w:rPr>
          <w:rFonts w:hint="eastAsia" w:asciiTheme="majorEastAsia" w:hAnsiTheme="majorEastAsia" w:eastAsiaTheme="majorEastAsia"/>
          <w:highlight w:val="none"/>
        </w:rPr>
        <w:t>由承包人解除合同</w:t>
      </w:r>
      <w:bookmarkEnd w:id="895"/>
      <w:bookmarkEnd w:id="896"/>
      <w:bookmarkEnd w:id="897"/>
    </w:p>
    <w:p w14:paraId="6AAB44ED">
      <w:pPr>
        <w:spacing w:line="560" w:lineRule="exact"/>
        <w:ind w:firstLine="410" w:firstLineChars="171"/>
        <w:rPr>
          <w:rFonts w:asciiTheme="majorEastAsia" w:hAnsiTheme="majorEastAsia" w:eastAsiaTheme="majorEastAsia"/>
          <w:highlight w:val="none"/>
        </w:rPr>
      </w:pPr>
      <w:bookmarkStart w:id="898" w:name="_Ref3841758"/>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6.2.1 </w:t>
      </w:r>
      <w:r>
        <w:rPr>
          <w:rFonts w:hint="eastAsia" w:asciiTheme="majorEastAsia" w:hAnsiTheme="majorEastAsia" w:eastAsiaTheme="majorEastAsia"/>
          <w:highlight w:val="none"/>
        </w:rPr>
        <w:t>因发包人违约解除合同</w:t>
      </w:r>
      <w:bookmarkEnd w:id="898"/>
    </w:p>
    <w:p w14:paraId="639A109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除专用合同条件另有约定外，承包人有权基于下列原因，以书面形式通知发包人解除合同，解除通知中应注明是根据第</w:t>
      </w:r>
      <w:r>
        <w:rPr>
          <w:rFonts w:asciiTheme="majorEastAsia" w:hAnsiTheme="majorEastAsia" w:eastAsiaTheme="majorEastAsia"/>
          <w:highlight w:val="none"/>
        </w:rPr>
        <w:t>16.2.1</w:t>
      </w:r>
      <w:r>
        <w:rPr>
          <w:rFonts w:hint="eastAsia" w:asciiTheme="majorEastAsia" w:hAnsiTheme="majorEastAsia" w:eastAsiaTheme="majorEastAsia"/>
          <w:highlight w:val="none"/>
        </w:rPr>
        <w:t>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14:paraId="548BED3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（1）承包人就发包人未能遵守第2.</w:t>
      </w:r>
      <w:r>
        <w:rPr>
          <w:rFonts w:asciiTheme="majorEastAsia" w:hAnsiTheme="majorEastAsia" w:eastAsiaTheme="majorEastAsia"/>
          <w:highlight w:val="none"/>
        </w:rPr>
        <w:t>5.2</w:t>
      </w:r>
      <w:r>
        <w:rPr>
          <w:rFonts w:hint="eastAsia" w:asciiTheme="majorEastAsia" w:hAnsiTheme="majorEastAsia" w:eastAsiaTheme="majorEastAsia"/>
          <w:highlight w:val="none"/>
        </w:rPr>
        <w:t>项关于发包人的资金安排发出通知后42天内，仍未收到合理的证明；</w:t>
      </w:r>
    </w:p>
    <w:p w14:paraId="64EC0E3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 xml:space="preserve">（2）在第14条规定的付款时间到期后42天内，承包人仍未收到应付款项； </w:t>
      </w:r>
    </w:p>
    <w:p w14:paraId="1364BE8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（3）发包人实质上未能根据合同约定履行其义务，构成根本性违约；</w:t>
      </w:r>
    </w:p>
    <w:p w14:paraId="4ED63D0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（4）发承包双方订立本合同协议书后的84天内，承包人未收到根据第</w:t>
      </w:r>
      <w:r>
        <w:rPr>
          <w:rFonts w:asciiTheme="majorEastAsia" w:hAnsiTheme="majorEastAsia" w:eastAsiaTheme="majorEastAsia"/>
          <w:highlight w:val="none"/>
        </w:rPr>
        <w:t>8.1</w:t>
      </w:r>
      <w:r>
        <w:rPr>
          <w:rFonts w:hint="eastAsia" w:asciiTheme="majorEastAsia" w:hAnsiTheme="majorEastAsia" w:eastAsiaTheme="majorEastAsia"/>
          <w:highlight w:val="none"/>
        </w:rPr>
        <w:t>款[开始工作]的开始工作通知；</w:t>
      </w:r>
    </w:p>
    <w:p w14:paraId="4D68C11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440CEAF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（6）发包人未能遵守第</w:t>
      </w:r>
      <w:r>
        <w:rPr>
          <w:rFonts w:asciiTheme="majorEastAsia" w:hAnsiTheme="majorEastAsia" w:eastAsiaTheme="majorEastAsia"/>
          <w:highlight w:val="none"/>
        </w:rPr>
        <w:t>2.5.3</w:t>
      </w:r>
      <w:r>
        <w:rPr>
          <w:rFonts w:hint="eastAsia" w:asciiTheme="majorEastAsia" w:hAnsiTheme="majorEastAsia" w:eastAsiaTheme="majorEastAsia"/>
          <w:highlight w:val="none"/>
        </w:rPr>
        <w:t>项的约定提交支付担保；</w:t>
      </w:r>
    </w:p>
    <w:p w14:paraId="1371118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（7）发包人未能执行第</w:t>
      </w:r>
      <w:r>
        <w:rPr>
          <w:rFonts w:asciiTheme="majorEastAsia" w:hAnsiTheme="majorEastAsia" w:eastAsiaTheme="majorEastAsia"/>
          <w:highlight w:val="none"/>
        </w:rPr>
        <w:t>15.1.2</w:t>
      </w:r>
      <w:r>
        <w:rPr>
          <w:rFonts w:hint="eastAsia" w:asciiTheme="majorEastAsia" w:hAnsiTheme="majorEastAsia" w:eastAsiaTheme="majorEastAsia"/>
          <w:highlight w:val="none"/>
        </w:rPr>
        <w:t>项[通知改正]的约定，致使合同目的不能实现的；</w:t>
      </w:r>
    </w:p>
    <w:p w14:paraId="10B70E6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（8）因发包人的原因暂停工作超过56天且暂停影响到整个工程，或因发包人的原因暂停工作超过182天的；</w:t>
      </w:r>
    </w:p>
    <w:p w14:paraId="27A1084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（9）因发包人原因造成开始工作日期迟于承包人收到中标通知书（或在无中标通知书的情况下，订立本合同之日）后第</w:t>
      </w:r>
      <w:r>
        <w:rPr>
          <w:rFonts w:asciiTheme="majorEastAsia" w:hAnsiTheme="majorEastAsia" w:eastAsiaTheme="majorEastAsia"/>
          <w:highlight w:val="none"/>
        </w:rPr>
        <w:t>84</w:t>
      </w:r>
      <w:r>
        <w:rPr>
          <w:rFonts w:hint="eastAsia" w:asciiTheme="majorEastAsia" w:hAnsiTheme="majorEastAsia" w:eastAsiaTheme="majorEastAsia"/>
          <w:highlight w:val="none"/>
        </w:rPr>
        <w:t>天的。</w:t>
      </w:r>
    </w:p>
    <w:p w14:paraId="2AC548D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7610A53D">
      <w:pPr>
        <w:spacing w:line="560" w:lineRule="exact"/>
        <w:ind w:firstLine="410" w:firstLineChars="171"/>
        <w:rPr>
          <w:rFonts w:asciiTheme="majorEastAsia" w:hAnsiTheme="majorEastAsia" w:eastAsiaTheme="majorEastAsia"/>
          <w:highlight w:val="none"/>
        </w:rPr>
      </w:pPr>
      <w:bookmarkStart w:id="899" w:name="_Ref3842018"/>
      <w:bookmarkStart w:id="900" w:name="_Ref4624336"/>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6.2.2 </w:t>
      </w:r>
      <w:r>
        <w:rPr>
          <w:rFonts w:hint="eastAsia" w:asciiTheme="majorEastAsia" w:hAnsiTheme="majorEastAsia" w:eastAsiaTheme="majorEastAsia"/>
          <w:highlight w:val="none"/>
        </w:rPr>
        <w:t>因发包人违约解除合同后</w:t>
      </w:r>
      <w:bookmarkEnd w:id="899"/>
      <w:r>
        <w:rPr>
          <w:rFonts w:hint="eastAsia" w:asciiTheme="majorEastAsia" w:hAnsiTheme="majorEastAsia" w:eastAsiaTheme="majorEastAsia"/>
          <w:highlight w:val="none"/>
        </w:rPr>
        <w:t>承包人的义务</w:t>
      </w:r>
      <w:bookmarkEnd w:id="900"/>
    </w:p>
    <w:p w14:paraId="73EF567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合同解除后，承包人应按以下约定执行：</w:t>
      </w:r>
    </w:p>
    <w:p w14:paraId="36C3869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（1）除为保护生命、财产、工程安全的工作外，停止所有进一步的工作；承包人因执行该保护工作而产生费用的，由发包人承担；</w:t>
      </w:r>
    </w:p>
    <w:p w14:paraId="533B2EA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（2）向发包人移交承包人已获得支付的承包人文件、生产设备、材料和其他工作；</w:t>
      </w:r>
    </w:p>
    <w:p w14:paraId="592CE92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（3）从现场运走除为了安全需要以外的所有属于承包人的其他货物，并撤离现场。</w:t>
      </w:r>
    </w:p>
    <w:p w14:paraId="59C3908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6.2.3 </w:t>
      </w:r>
      <w:r>
        <w:rPr>
          <w:rFonts w:hint="eastAsia" w:asciiTheme="majorEastAsia" w:hAnsiTheme="majorEastAsia" w:eastAsiaTheme="majorEastAsia"/>
          <w:highlight w:val="none"/>
        </w:rPr>
        <w:t>因发包人违约解除合同后的付款</w:t>
      </w:r>
    </w:p>
    <w:p w14:paraId="25E275D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承包人按照本款约定解除合同的，发包人应在解除合同后28天内支付下列款项，并退还履约担保：</w:t>
      </w:r>
    </w:p>
    <w:p w14:paraId="6D0E26F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（1）合同解除前所完成工作的价款；</w:t>
      </w:r>
    </w:p>
    <w:p w14:paraId="418A7A5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（2）承包人为工程施工订购并已付款的材料、工程设备和其他物品的价款；发包人付款后，该材料、工程设备和其他物品归发包人所有；</w:t>
      </w:r>
    </w:p>
    <w:p w14:paraId="60E79E2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（3）承包人为完成工程所发生的，而发包人未支付的金额；</w:t>
      </w:r>
    </w:p>
    <w:p w14:paraId="7CB6568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（4）承包人撤离施工现场以及遣散承包人人员的款项；</w:t>
      </w:r>
    </w:p>
    <w:p w14:paraId="6E47910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（5）按照合同约定在合同解除前应支付的违约金；</w:t>
      </w:r>
    </w:p>
    <w:p w14:paraId="34B1E26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（6）按照合同约定应当支付给承包人的其他款项；</w:t>
      </w:r>
    </w:p>
    <w:p w14:paraId="3378DCB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（7）按照合同约定应返还的质量保证金；</w:t>
      </w:r>
    </w:p>
    <w:p w14:paraId="48B6927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（8）因解除合同给承包人造成的损失。</w:t>
      </w:r>
    </w:p>
    <w:p w14:paraId="2FB861F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承包人应妥善做好已完工程和与工程有关的已购材料、工程设备的保护和移交工作，并将施工设备和人员撤出施工现场，发包人应为承包人撤出提供必要条件。</w:t>
      </w:r>
    </w:p>
    <w:p w14:paraId="006B5E3D">
      <w:pPr>
        <w:spacing w:line="560" w:lineRule="exact"/>
        <w:ind w:firstLine="410" w:firstLineChars="171"/>
        <w:rPr>
          <w:rFonts w:asciiTheme="majorEastAsia" w:hAnsiTheme="majorEastAsia" w:eastAsiaTheme="majorEastAsia"/>
          <w:highlight w:val="none"/>
        </w:rPr>
      </w:pPr>
      <w:bookmarkStart w:id="901" w:name="_Ref3841966"/>
      <w:bookmarkStart w:id="902" w:name="_Toc54862306"/>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6.3 </w:t>
      </w:r>
      <w:r>
        <w:rPr>
          <w:rFonts w:hint="eastAsia" w:asciiTheme="majorEastAsia" w:hAnsiTheme="majorEastAsia" w:eastAsiaTheme="majorEastAsia"/>
          <w:highlight w:val="none"/>
        </w:rPr>
        <w:t>合同解除后的事项</w:t>
      </w:r>
      <w:bookmarkEnd w:id="901"/>
      <w:bookmarkEnd w:id="902"/>
    </w:p>
    <w:p w14:paraId="17DA4AC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6.3.1 </w:t>
      </w:r>
      <w:r>
        <w:rPr>
          <w:rFonts w:hint="eastAsia" w:asciiTheme="majorEastAsia" w:hAnsiTheme="majorEastAsia" w:eastAsiaTheme="majorEastAsia"/>
          <w:highlight w:val="none"/>
        </w:rPr>
        <w:t>结算约定依然有效</w:t>
      </w:r>
    </w:p>
    <w:p w14:paraId="14E859E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合同解除后，由发包人或由承包人解除合同的结算及结算后的付款约定仍然有效，直至解除合同的结算工作结清。</w:t>
      </w:r>
    </w:p>
    <w:p w14:paraId="053DD98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6.3.2 </w:t>
      </w:r>
      <w:r>
        <w:rPr>
          <w:rFonts w:hint="eastAsia" w:asciiTheme="majorEastAsia" w:hAnsiTheme="majorEastAsia" w:eastAsiaTheme="majorEastAsia"/>
          <w:highlight w:val="none"/>
        </w:rPr>
        <w:t>解除合同的争议</w:t>
      </w:r>
    </w:p>
    <w:p w14:paraId="7B8C6384">
      <w:pPr>
        <w:spacing w:line="560" w:lineRule="exact"/>
        <w:ind w:firstLine="410" w:firstLineChars="171"/>
        <w:rPr>
          <w:rFonts w:asciiTheme="majorEastAsia" w:hAnsiTheme="majorEastAsia" w:eastAsiaTheme="majorEastAsia"/>
          <w:highlight w:val="none"/>
        </w:rPr>
      </w:pPr>
      <w:bookmarkStart w:id="903" w:name="_Hlk18988355"/>
      <w:r>
        <w:rPr>
          <w:rFonts w:hint="eastAsia" w:asciiTheme="majorEastAsia" w:hAnsiTheme="majorEastAsia" w:eastAsiaTheme="majorEastAsia"/>
          <w:highlight w:val="none"/>
        </w:rPr>
        <w:t>双方对解除合同或解除合同后的结算有争议的，按照第</w:t>
      </w:r>
      <w:r>
        <w:rPr>
          <w:rFonts w:asciiTheme="majorEastAsia" w:hAnsiTheme="majorEastAsia" w:eastAsiaTheme="majorEastAsia"/>
          <w:highlight w:val="none"/>
        </w:rPr>
        <w:t>20条</w:t>
      </w:r>
      <w:r>
        <w:rPr>
          <w:rFonts w:hint="eastAsia" w:asciiTheme="majorEastAsia" w:hAnsiTheme="majorEastAsia" w:eastAsiaTheme="majorEastAsia"/>
          <w:highlight w:val="none"/>
        </w:rPr>
        <w:t>[</w:t>
      </w:r>
      <w:r>
        <w:rPr>
          <w:rFonts w:asciiTheme="majorEastAsia" w:hAnsiTheme="majorEastAsia" w:eastAsiaTheme="majorEastAsia"/>
          <w:highlight w:val="none"/>
        </w:rPr>
        <w:t>争议解决</w:t>
      </w:r>
      <w:r>
        <w:rPr>
          <w:rFonts w:hint="eastAsia" w:asciiTheme="majorEastAsia" w:hAnsiTheme="majorEastAsia" w:eastAsiaTheme="majorEastAsia"/>
          <w:highlight w:val="none"/>
        </w:rPr>
        <w:t>]的约定处理。</w:t>
      </w:r>
      <w:bookmarkEnd w:id="903"/>
    </w:p>
    <w:p w14:paraId="2D1FCD8F">
      <w:pPr>
        <w:spacing w:line="560" w:lineRule="exact"/>
        <w:rPr>
          <w:rFonts w:asciiTheme="majorEastAsia" w:hAnsiTheme="majorEastAsia" w:eastAsiaTheme="majorEastAsia"/>
          <w:b/>
          <w:highlight w:val="none"/>
        </w:rPr>
      </w:pPr>
      <w:bookmarkStart w:id="904" w:name="_Toc54862307"/>
      <w:bookmarkStart w:id="905" w:name="_Ref3840974"/>
      <w:bookmarkStart w:id="906" w:name="_Ref3840605"/>
      <w:r>
        <w:rPr>
          <w:rFonts w:hint="eastAsia" w:asciiTheme="majorEastAsia" w:hAnsiTheme="majorEastAsia" w:eastAsiaTheme="majorEastAsia"/>
          <w:b/>
          <w:highlight w:val="none"/>
        </w:rPr>
        <w:t>第1</w:t>
      </w:r>
      <w:r>
        <w:rPr>
          <w:rFonts w:asciiTheme="majorEastAsia" w:hAnsiTheme="majorEastAsia" w:eastAsiaTheme="majorEastAsia"/>
          <w:b/>
          <w:highlight w:val="none"/>
        </w:rPr>
        <w:t>7</w:t>
      </w:r>
      <w:r>
        <w:rPr>
          <w:rFonts w:hint="eastAsia" w:asciiTheme="majorEastAsia" w:hAnsiTheme="majorEastAsia" w:eastAsiaTheme="majorEastAsia"/>
          <w:b/>
          <w:highlight w:val="none"/>
        </w:rPr>
        <w:t>条  不可抗力</w:t>
      </w:r>
      <w:bookmarkEnd w:id="904"/>
      <w:bookmarkEnd w:id="905"/>
    </w:p>
    <w:p w14:paraId="4FC5B4DD">
      <w:pPr>
        <w:spacing w:line="560" w:lineRule="exact"/>
        <w:ind w:firstLine="410" w:firstLineChars="171"/>
        <w:rPr>
          <w:rFonts w:asciiTheme="majorEastAsia" w:hAnsiTheme="majorEastAsia" w:eastAsiaTheme="majorEastAsia"/>
          <w:highlight w:val="none"/>
        </w:rPr>
      </w:pPr>
      <w:bookmarkStart w:id="907" w:name="_Ref531958161"/>
      <w:bookmarkStart w:id="908" w:name="_Ref531958158"/>
      <w:bookmarkStart w:id="909" w:name="_Toc54862308"/>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7.1 </w:t>
      </w:r>
      <w:r>
        <w:rPr>
          <w:rFonts w:hint="eastAsia" w:asciiTheme="majorEastAsia" w:hAnsiTheme="majorEastAsia" w:eastAsiaTheme="majorEastAsia"/>
          <w:highlight w:val="none"/>
        </w:rPr>
        <w:t>不可抗力的</w:t>
      </w:r>
      <w:bookmarkEnd w:id="907"/>
      <w:bookmarkEnd w:id="908"/>
      <w:r>
        <w:rPr>
          <w:rFonts w:hint="eastAsia" w:asciiTheme="majorEastAsia" w:hAnsiTheme="majorEastAsia" w:eastAsiaTheme="majorEastAsia"/>
          <w:highlight w:val="none"/>
        </w:rPr>
        <w:t>定义</w:t>
      </w:r>
      <w:bookmarkEnd w:id="909"/>
    </w:p>
    <w:p w14:paraId="1FD1516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6FD8024E">
      <w:pPr>
        <w:spacing w:line="560" w:lineRule="exact"/>
        <w:ind w:firstLine="410" w:firstLineChars="171"/>
        <w:rPr>
          <w:rFonts w:asciiTheme="majorEastAsia" w:hAnsiTheme="majorEastAsia" w:eastAsiaTheme="majorEastAsia"/>
          <w:highlight w:val="none"/>
        </w:rPr>
      </w:pPr>
      <w:bookmarkStart w:id="910" w:name="_Toc54862309"/>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7.2 </w:t>
      </w:r>
      <w:r>
        <w:rPr>
          <w:rFonts w:hint="eastAsia" w:asciiTheme="majorEastAsia" w:hAnsiTheme="majorEastAsia" w:eastAsiaTheme="majorEastAsia"/>
          <w:highlight w:val="none"/>
        </w:rPr>
        <w:t>不可抗力的通知</w:t>
      </w:r>
      <w:bookmarkEnd w:id="910"/>
      <w:r>
        <w:rPr>
          <w:rFonts w:hint="eastAsia" w:asciiTheme="majorEastAsia" w:hAnsiTheme="majorEastAsia" w:eastAsiaTheme="majorEastAsia"/>
          <w:highlight w:val="none"/>
        </w:rPr>
        <w:t xml:space="preserve"> </w:t>
      </w:r>
    </w:p>
    <w:p w14:paraId="6A62879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合同一方当事人觉察或发现不可抗力事件发生，使其履行合同义务受到阻碍时，有义务立即通知合同另一方当事人和工程师，书面说明不可抗力和受阻碍的详细情况，并提供必要的证明。</w:t>
      </w:r>
    </w:p>
    <w:p w14:paraId="614A14B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不可抗力持续发生的，合同一方当事人应每隔28天向合同另一方当事人和工程师提交中间报告，说明不可抗力和履行合同受阻的情况，并于不可抗力事件结束后28天内提交最终报告及有关资料。</w:t>
      </w:r>
    </w:p>
    <w:p w14:paraId="44A5900E">
      <w:pPr>
        <w:spacing w:line="560" w:lineRule="exact"/>
        <w:ind w:firstLine="410" w:firstLineChars="171"/>
        <w:rPr>
          <w:rFonts w:asciiTheme="majorEastAsia" w:hAnsiTheme="majorEastAsia" w:eastAsiaTheme="majorEastAsia"/>
          <w:highlight w:val="none"/>
        </w:rPr>
      </w:pPr>
      <w:bookmarkStart w:id="911" w:name="_Toc54862310"/>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7.3 </w:t>
      </w:r>
      <w:r>
        <w:rPr>
          <w:rFonts w:hint="eastAsia" w:asciiTheme="majorEastAsia" w:hAnsiTheme="majorEastAsia" w:eastAsiaTheme="majorEastAsia"/>
          <w:highlight w:val="none"/>
        </w:rPr>
        <w:t>将损失减至最小的义务</w:t>
      </w:r>
      <w:bookmarkEnd w:id="911"/>
    </w:p>
    <w:p w14:paraId="7E529EB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44EEE3B2">
      <w:pPr>
        <w:spacing w:line="560" w:lineRule="exact"/>
        <w:ind w:firstLine="410" w:firstLineChars="171"/>
        <w:rPr>
          <w:rFonts w:asciiTheme="majorEastAsia" w:hAnsiTheme="majorEastAsia" w:eastAsiaTheme="majorEastAsia"/>
          <w:highlight w:val="none"/>
        </w:rPr>
      </w:pPr>
      <w:bookmarkStart w:id="912" w:name="_Ref531958170"/>
      <w:bookmarkStart w:id="913" w:name="_Ref531958172"/>
      <w:bookmarkStart w:id="914" w:name="_Ref3840916"/>
      <w:bookmarkStart w:id="915" w:name="_Toc54862311"/>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7.4 </w:t>
      </w:r>
      <w:r>
        <w:rPr>
          <w:rFonts w:hint="eastAsia" w:asciiTheme="majorEastAsia" w:hAnsiTheme="majorEastAsia" w:eastAsiaTheme="majorEastAsia"/>
          <w:highlight w:val="none"/>
        </w:rPr>
        <w:t>不可抗力后果</w:t>
      </w:r>
      <w:bookmarkEnd w:id="912"/>
      <w:bookmarkEnd w:id="913"/>
      <w:r>
        <w:rPr>
          <w:rFonts w:hint="eastAsia" w:asciiTheme="majorEastAsia" w:hAnsiTheme="majorEastAsia" w:eastAsiaTheme="majorEastAsia"/>
          <w:highlight w:val="none"/>
        </w:rPr>
        <w:t>的承担</w:t>
      </w:r>
      <w:bookmarkEnd w:id="914"/>
      <w:bookmarkEnd w:id="915"/>
      <w:r>
        <w:rPr>
          <w:rFonts w:hint="eastAsia" w:asciiTheme="majorEastAsia" w:hAnsiTheme="majorEastAsia" w:eastAsiaTheme="majorEastAsia"/>
          <w:highlight w:val="none"/>
        </w:rPr>
        <w:t xml:space="preserve"> </w:t>
      </w:r>
    </w:p>
    <w:p w14:paraId="3D56819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不可抗力导致的人员伤亡、财产损失、费用增加和（或）工期延误等后果，由合同当事人按以下原则承担：</w:t>
      </w:r>
    </w:p>
    <w:p w14:paraId="5612BF9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（1）永久工程，包括已运至施工现场的材料和工程设备的损害，以及因工程损害造成的第三人人员伤亡和财产损失由发包人承担；</w:t>
      </w:r>
    </w:p>
    <w:p w14:paraId="615BC91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（2）承包人提供的施工设备的损坏由承包人承担；</w:t>
      </w:r>
    </w:p>
    <w:p w14:paraId="6F4283C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（3）发包人和承包人各自承担其人员伤亡及其他财产损失；</w:t>
      </w:r>
    </w:p>
    <w:p w14:paraId="5CF1739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（4）因不可抗力影响承包人履行合同约定的义务，已经引起或将引起工期延误的，应当顺延工期，由此导致承包人停工的费用损失由发包人和承包人合理分担，</w:t>
      </w:r>
      <w:bookmarkStart w:id="916" w:name="_Hlk51507024"/>
      <w:r>
        <w:rPr>
          <w:rFonts w:hint="eastAsia" w:asciiTheme="majorEastAsia" w:hAnsiTheme="majorEastAsia" w:eastAsiaTheme="majorEastAsia"/>
          <w:highlight w:val="none"/>
        </w:rPr>
        <w:t>停工期间必须支付的现场必要的工人工资</w:t>
      </w:r>
      <w:bookmarkEnd w:id="916"/>
      <w:r>
        <w:rPr>
          <w:rFonts w:hint="eastAsia" w:asciiTheme="majorEastAsia" w:hAnsiTheme="majorEastAsia" w:eastAsiaTheme="majorEastAsia"/>
          <w:highlight w:val="none"/>
        </w:rPr>
        <w:t>由发包人承担；</w:t>
      </w:r>
    </w:p>
    <w:p w14:paraId="244EF90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（5）因不可抗力引起或将引起工期延误，发包人指示赶工的，由此增加的赶工费用由发包人承担；</w:t>
      </w:r>
    </w:p>
    <w:p w14:paraId="17DDFD5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（6）承包人在停工期间按照工程师或发包人要求照管、清理和修复工程的费用由发包人承担。</w:t>
      </w:r>
    </w:p>
    <w:p w14:paraId="7BDD386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不可抗力引起的后果及造成的损失由合同当事人按照法律规定及合同约定各自承担。不可抗力发生前已完成的工程应当按照合同约定进行支付。</w:t>
      </w:r>
    </w:p>
    <w:p w14:paraId="765E2933">
      <w:pPr>
        <w:spacing w:line="560" w:lineRule="exact"/>
        <w:ind w:firstLine="410" w:firstLineChars="171"/>
        <w:rPr>
          <w:rFonts w:asciiTheme="majorEastAsia" w:hAnsiTheme="majorEastAsia" w:eastAsiaTheme="majorEastAsia"/>
          <w:highlight w:val="none"/>
        </w:rPr>
      </w:pPr>
      <w:bookmarkStart w:id="917" w:name="_Toc5486231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7.5 </w:t>
      </w:r>
      <w:r>
        <w:rPr>
          <w:rFonts w:hint="eastAsia" w:asciiTheme="majorEastAsia" w:hAnsiTheme="majorEastAsia" w:eastAsiaTheme="majorEastAsia"/>
          <w:highlight w:val="none"/>
        </w:rPr>
        <w:t>不可抗力影响分包人</w:t>
      </w:r>
      <w:bookmarkEnd w:id="917"/>
      <w:r>
        <w:rPr>
          <w:rFonts w:hint="eastAsia" w:asciiTheme="majorEastAsia" w:hAnsiTheme="majorEastAsia" w:eastAsiaTheme="majorEastAsia"/>
          <w:highlight w:val="none"/>
        </w:rPr>
        <w:t xml:space="preserve"> </w:t>
      </w:r>
    </w:p>
    <w:p w14:paraId="5797774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分包人根据分包合同的约定，有权获得更多或者更广的不可抗力而免除某些义务时，承包人不得以分包合同中不可抗力约定向发包人抗辩免除其义务。</w:t>
      </w:r>
    </w:p>
    <w:p w14:paraId="747EBD10">
      <w:pPr>
        <w:spacing w:line="560" w:lineRule="exact"/>
        <w:ind w:firstLine="410" w:firstLineChars="171"/>
        <w:rPr>
          <w:rFonts w:asciiTheme="majorEastAsia" w:hAnsiTheme="majorEastAsia" w:eastAsiaTheme="majorEastAsia"/>
          <w:highlight w:val="none"/>
        </w:rPr>
      </w:pPr>
      <w:bookmarkStart w:id="918" w:name="_Ref531958184"/>
      <w:bookmarkStart w:id="919" w:name="_Ref531958181"/>
      <w:bookmarkStart w:id="920" w:name="_Ref4538024"/>
      <w:bookmarkStart w:id="921" w:name="_Toc54862313"/>
      <w:bookmarkStart w:id="922" w:name="_Ref384089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7.6 </w:t>
      </w:r>
      <w:r>
        <w:rPr>
          <w:rFonts w:hint="eastAsia" w:asciiTheme="majorEastAsia" w:hAnsiTheme="majorEastAsia" w:eastAsiaTheme="majorEastAsia"/>
          <w:highlight w:val="none"/>
        </w:rPr>
        <w:t>因不可抗力解除</w:t>
      </w:r>
      <w:bookmarkEnd w:id="918"/>
      <w:bookmarkEnd w:id="919"/>
      <w:r>
        <w:rPr>
          <w:rFonts w:hint="eastAsia" w:asciiTheme="majorEastAsia" w:hAnsiTheme="majorEastAsia" w:eastAsiaTheme="majorEastAsia"/>
          <w:highlight w:val="none"/>
        </w:rPr>
        <w:t>合同</w:t>
      </w:r>
      <w:bookmarkEnd w:id="920"/>
      <w:bookmarkEnd w:id="921"/>
      <w:bookmarkEnd w:id="922"/>
      <w:r>
        <w:rPr>
          <w:rFonts w:hint="eastAsia" w:asciiTheme="majorEastAsia" w:hAnsiTheme="majorEastAsia" w:eastAsiaTheme="majorEastAsia"/>
          <w:highlight w:val="none"/>
        </w:rPr>
        <w:t xml:space="preserve"> </w:t>
      </w:r>
    </w:p>
    <w:p w14:paraId="2D20122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因单次不可抗力导致合同无法履行连续超过84天或累计超过140天的，发包人和承包人均有权解除合同。合同解除后，承包人应按照第</w:t>
      </w:r>
      <w:r>
        <w:rPr>
          <w:rFonts w:asciiTheme="majorEastAsia" w:hAnsiTheme="majorEastAsia" w:eastAsiaTheme="majorEastAsia"/>
          <w:highlight w:val="none"/>
        </w:rPr>
        <w:t>10.5</w:t>
      </w:r>
      <w:r>
        <w:rPr>
          <w:rFonts w:hint="eastAsia" w:asciiTheme="majorEastAsia" w:hAnsiTheme="majorEastAsia" w:eastAsiaTheme="majorEastAsia"/>
          <w:highlight w:val="none"/>
        </w:rPr>
        <w:t>款[竣工退场]的规定进行。由双方当事人按照第</w:t>
      </w:r>
      <w:r>
        <w:rPr>
          <w:rFonts w:asciiTheme="majorEastAsia" w:hAnsiTheme="majorEastAsia" w:eastAsiaTheme="majorEastAsia"/>
          <w:highlight w:val="none"/>
        </w:rPr>
        <w:t>3.6</w:t>
      </w:r>
      <w:r>
        <w:rPr>
          <w:rFonts w:hint="eastAsia" w:asciiTheme="majorEastAsia" w:hAnsiTheme="majorEastAsia" w:eastAsiaTheme="majorEastAsia"/>
          <w:highlight w:val="none"/>
        </w:rPr>
        <w:t>款[商定或确定]商定或确定发包人应支付的款项，该款项包括：</w:t>
      </w:r>
    </w:p>
    <w:p w14:paraId="6420B87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（1）合同解除前承包人已完成工作的价款；</w:t>
      </w:r>
    </w:p>
    <w:p w14:paraId="0C8BC22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5ECF1B1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（3）发包人指示承包人退货或解除订货合同而产生的费用，或因不能退货或解除合同而产生的损失；</w:t>
      </w:r>
    </w:p>
    <w:p w14:paraId="14BF7F3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（4）承包人撤离施工现场以及遣散承包人人员的费用；</w:t>
      </w:r>
    </w:p>
    <w:p w14:paraId="087ADF3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（5）按照合同约定在合同解除前应支付给承包人的其他款项；</w:t>
      </w:r>
    </w:p>
    <w:p w14:paraId="79D3DCD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（6）扣减承包人按照合同约定应向发包人支付的款项；</w:t>
      </w:r>
    </w:p>
    <w:p w14:paraId="65BCF36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（7）双方商定或确定的其他款项。</w:t>
      </w:r>
    </w:p>
    <w:p w14:paraId="147012C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除专用合同条件另有约定外，合同解除后，发包人应当在商定或确定上述款项后28天内完成上述款项的支付。</w:t>
      </w:r>
    </w:p>
    <w:p w14:paraId="0BAB1549">
      <w:pPr>
        <w:spacing w:line="560" w:lineRule="exact"/>
        <w:rPr>
          <w:rFonts w:asciiTheme="majorEastAsia" w:hAnsiTheme="majorEastAsia" w:eastAsiaTheme="majorEastAsia"/>
          <w:b/>
          <w:highlight w:val="none"/>
        </w:rPr>
      </w:pPr>
      <w:bookmarkStart w:id="923" w:name="_Ref11848264"/>
      <w:bookmarkStart w:id="924" w:name="_Ref11848274"/>
      <w:bookmarkStart w:id="925" w:name="_Toc54862314"/>
      <w:r>
        <w:rPr>
          <w:rFonts w:hint="eastAsia" w:asciiTheme="majorEastAsia" w:hAnsiTheme="majorEastAsia" w:eastAsiaTheme="majorEastAsia"/>
          <w:b/>
          <w:highlight w:val="none"/>
        </w:rPr>
        <w:t>第1</w:t>
      </w:r>
      <w:r>
        <w:rPr>
          <w:rFonts w:asciiTheme="majorEastAsia" w:hAnsiTheme="majorEastAsia" w:eastAsiaTheme="majorEastAsia"/>
          <w:b/>
          <w:highlight w:val="none"/>
        </w:rPr>
        <w:t>8</w:t>
      </w:r>
      <w:r>
        <w:rPr>
          <w:rFonts w:hint="eastAsia" w:asciiTheme="majorEastAsia" w:hAnsiTheme="majorEastAsia" w:eastAsiaTheme="majorEastAsia"/>
          <w:b/>
          <w:highlight w:val="none"/>
        </w:rPr>
        <w:t>条  保险</w:t>
      </w:r>
      <w:bookmarkEnd w:id="906"/>
      <w:bookmarkEnd w:id="923"/>
      <w:bookmarkEnd w:id="924"/>
      <w:bookmarkEnd w:id="925"/>
      <w:r>
        <w:rPr>
          <w:rFonts w:hint="eastAsia" w:asciiTheme="majorEastAsia" w:hAnsiTheme="majorEastAsia" w:eastAsiaTheme="majorEastAsia"/>
          <w:b/>
          <w:highlight w:val="none"/>
        </w:rPr>
        <w:t xml:space="preserve"> </w:t>
      </w:r>
    </w:p>
    <w:p w14:paraId="57AC7D50">
      <w:pPr>
        <w:spacing w:line="560" w:lineRule="exact"/>
        <w:ind w:firstLine="410" w:firstLineChars="171"/>
        <w:rPr>
          <w:rFonts w:asciiTheme="majorEastAsia" w:hAnsiTheme="majorEastAsia" w:eastAsiaTheme="majorEastAsia"/>
          <w:highlight w:val="none"/>
        </w:rPr>
      </w:pPr>
      <w:bookmarkStart w:id="926" w:name="_Ref3840730"/>
      <w:bookmarkStart w:id="927" w:name="_Toc54862315"/>
      <w:bookmarkStart w:id="928" w:name="_Ref3840734"/>
      <w:bookmarkStart w:id="929" w:name="_Ref531957911"/>
      <w:bookmarkStart w:id="930" w:name="_Ref531957914"/>
      <w:bookmarkStart w:id="931" w:name="_Toc351203616"/>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8.1 </w:t>
      </w:r>
      <w:r>
        <w:rPr>
          <w:rFonts w:hint="eastAsia" w:asciiTheme="majorEastAsia" w:hAnsiTheme="majorEastAsia" w:eastAsiaTheme="majorEastAsia"/>
          <w:highlight w:val="none"/>
        </w:rPr>
        <w:t>设计和工程保险</w:t>
      </w:r>
      <w:bookmarkEnd w:id="926"/>
      <w:bookmarkEnd w:id="927"/>
      <w:bookmarkEnd w:id="928"/>
    </w:p>
    <w:bookmarkEnd w:id="929"/>
    <w:bookmarkEnd w:id="930"/>
    <w:p w14:paraId="5953ECD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8.1.1 </w:t>
      </w:r>
      <w:r>
        <w:rPr>
          <w:rFonts w:hint="eastAsia" w:asciiTheme="majorEastAsia" w:hAnsiTheme="majorEastAsia" w:eastAsiaTheme="majorEastAsia"/>
          <w:highlight w:val="none"/>
        </w:rPr>
        <w:t>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1579FB3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8.1.2 </w:t>
      </w:r>
      <w:r>
        <w:rPr>
          <w:rFonts w:hint="eastAsia" w:asciiTheme="majorEastAsia" w:hAnsiTheme="majorEastAsia" w:eastAsiaTheme="majorEastAsia"/>
          <w:highlight w:val="none"/>
        </w:rPr>
        <w:t>双方应按照专用合同条件的约定投保第三者责任险，并在缺陷责任期终止证书颁发前维持其持续有效。第三者责任险最低投保额应在专用合同条件内约定。</w:t>
      </w:r>
    </w:p>
    <w:p w14:paraId="4DD6366A">
      <w:pPr>
        <w:spacing w:line="560" w:lineRule="exact"/>
        <w:ind w:firstLine="410" w:firstLineChars="171"/>
        <w:rPr>
          <w:rFonts w:asciiTheme="majorEastAsia" w:hAnsiTheme="majorEastAsia" w:eastAsiaTheme="majorEastAsia"/>
          <w:highlight w:val="none"/>
        </w:rPr>
      </w:pPr>
      <w:bookmarkStart w:id="932" w:name="_Ref3840683"/>
      <w:bookmarkStart w:id="933" w:name="_Toc54862316"/>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8.2 </w:t>
      </w:r>
      <w:r>
        <w:rPr>
          <w:rFonts w:hint="eastAsia" w:asciiTheme="majorEastAsia" w:hAnsiTheme="majorEastAsia" w:eastAsiaTheme="majorEastAsia"/>
          <w:highlight w:val="none"/>
        </w:rPr>
        <w:t>工伤和意外伤害保险</w:t>
      </w:r>
      <w:bookmarkEnd w:id="932"/>
      <w:bookmarkEnd w:id="933"/>
    </w:p>
    <w:p w14:paraId="5666629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8.2.1 </w:t>
      </w:r>
      <w:r>
        <w:rPr>
          <w:rFonts w:hint="eastAsia" w:asciiTheme="majorEastAsia" w:hAnsiTheme="majorEastAsia" w:eastAsiaTheme="majorEastAsia"/>
          <w:highlight w:val="none"/>
        </w:rPr>
        <w:t>发包人应依照法律规定为其在施工现场的雇用人员办理工伤保险，缴纳工伤保险费；并要求工程师及由发包人为履行合同聘请的第三方在施工现场的雇用人员依法办理工伤保险。</w:t>
      </w:r>
    </w:p>
    <w:p w14:paraId="21DAC7B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8.2.2 </w:t>
      </w:r>
      <w:r>
        <w:rPr>
          <w:rFonts w:hint="eastAsia" w:asciiTheme="majorEastAsia" w:hAnsiTheme="majorEastAsia" w:eastAsiaTheme="majorEastAsia"/>
          <w:highlight w:val="none"/>
        </w:rPr>
        <w:t>承包人应依照法律规定为其履行合同雇用的全部人员办理工伤保险，缴纳工伤保险费，并要求分包人及由承包人为履行合同聘请的第三方雇用的全部人员依法办理工伤保险。</w:t>
      </w:r>
    </w:p>
    <w:p w14:paraId="3555CBB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8.2.3 </w:t>
      </w:r>
      <w:r>
        <w:rPr>
          <w:rFonts w:hint="eastAsia" w:asciiTheme="majorEastAsia" w:hAnsiTheme="majorEastAsia" w:eastAsiaTheme="majorEastAsia"/>
          <w:highlight w:val="none"/>
        </w:rPr>
        <w:t>发包人和承包人可以为其施工现场的全部人员办理意外伤害保险并支付保险费，包括其员工及为履行合同聘请的第三方的人员，具体事项由合同当事人在专用合同条件约定。</w:t>
      </w:r>
    </w:p>
    <w:p w14:paraId="439C6975">
      <w:pPr>
        <w:spacing w:line="560" w:lineRule="exact"/>
        <w:ind w:firstLine="410" w:firstLineChars="171"/>
        <w:rPr>
          <w:rFonts w:asciiTheme="majorEastAsia" w:hAnsiTheme="majorEastAsia" w:eastAsiaTheme="majorEastAsia"/>
          <w:highlight w:val="none"/>
        </w:rPr>
      </w:pPr>
      <w:bookmarkStart w:id="934" w:name="_Toc54862317"/>
      <w:bookmarkStart w:id="935" w:name="_Ref3840782"/>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8.3 </w:t>
      </w:r>
      <w:r>
        <w:rPr>
          <w:rFonts w:hint="eastAsia" w:asciiTheme="majorEastAsia" w:hAnsiTheme="majorEastAsia" w:eastAsiaTheme="majorEastAsia"/>
          <w:highlight w:val="none"/>
        </w:rPr>
        <w:t>货物保险</w:t>
      </w:r>
      <w:bookmarkEnd w:id="934"/>
      <w:bookmarkEnd w:id="935"/>
    </w:p>
    <w:p w14:paraId="6205F9F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承包人应按照专用合同条件的约定为运抵现场的施工设备、材料、工程设备和临时工程等办理财产保险，保险期限自上述货物运抵现场至其不再为工程所需要为止。</w:t>
      </w:r>
    </w:p>
    <w:p w14:paraId="258D297E">
      <w:pPr>
        <w:spacing w:line="560" w:lineRule="exact"/>
        <w:ind w:firstLine="410" w:firstLineChars="171"/>
        <w:rPr>
          <w:rFonts w:asciiTheme="majorEastAsia" w:hAnsiTheme="majorEastAsia" w:eastAsiaTheme="majorEastAsia"/>
          <w:highlight w:val="none"/>
        </w:rPr>
      </w:pPr>
      <w:bookmarkStart w:id="936" w:name="_Ref4692238"/>
      <w:bookmarkStart w:id="937" w:name="_Ref4692231"/>
      <w:bookmarkStart w:id="938" w:name="_Toc54862318"/>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8.4 </w:t>
      </w:r>
      <w:r>
        <w:rPr>
          <w:rFonts w:hint="eastAsia" w:asciiTheme="majorEastAsia" w:hAnsiTheme="majorEastAsia" w:eastAsiaTheme="majorEastAsia"/>
          <w:highlight w:val="none"/>
        </w:rPr>
        <w:t>其他保险</w:t>
      </w:r>
      <w:bookmarkEnd w:id="936"/>
      <w:bookmarkEnd w:id="937"/>
      <w:bookmarkEnd w:id="938"/>
    </w:p>
    <w:p w14:paraId="5F89AB4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w:t>
      </w:r>
      <w:bookmarkEnd w:id="931"/>
      <w:r>
        <w:rPr>
          <w:rFonts w:hint="eastAsia" w:asciiTheme="majorEastAsia" w:hAnsiTheme="majorEastAsia" w:eastAsiaTheme="majorEastAsia"/>
          <w:highlight w:val="none"/>
        </w:rPr>
        <w:t>保费用包含在合同价格中，但在合同执行过程中，新颁布适用的法律法规规定由承包人投保的强制保险，应根据本合同</w:t>
      </w:r>
      <w:bookmarkStart w:id="939" w:name="_Toc351203617"/>
      <w:bookmarkStart w:id="940" w:name="_Toc337558832"/>
      <w:bookmarkStart w:id="941" w:name="_Toc296346627"/>
      <w:bookmarkStart w:id="942" w:name="_Toc296503126"/>
      <w:r>
        <w:rPr>
          <w:rFonts w:hint="eastAsia" w:asciiTheme="majorEastAsia" w:hAnsiTheme="majorEastAsia" w:eastAsiaTheme="majorEastAsia"/>
          <w:highlight w:val="none"/>
        </w:rPr>
        <w:t>第</w:t>
      </w:r>
      <w:r>
        <w:rPr>
          <w:rFonts w:asciiTheme="majorEastAsia" w:hAnsiTheme="majorEastAsia" w:eastAsiaTheme="majorEastAsia"/>
          <w:highlight w:val="none"/>
        </w:rPr>
        <w:t>13条</w:t>
      </w:r>
      <w:r>
        <w:rPr>
          <w:rFonts w:hint="eastAsia" w:asciiTheme="majorEastAsia" w:hAnsiTheme="majorEastAsia" w:eastAsiaTheme="majorEastAsia"/>
          <w:highlight w:val="none"/>
        </w:rPr>
        <w:t>[</w:t>
      </w:r>
      <w:r>
        <w:rPr>
          <w:rFonts w:asciiTheme="majorEastAsia" w:hAnsiTheme="majorEastAsia" w:eastAsiaTheme="majorEastAsia"/>
          <w:highlight w:val="none"/>
        </w:rPr>
        <w:t>变更与调整</w:t>
      </w:r>
      <w:r>
        <w:rPr>
          <w:rFonts w:hint="eastAsia" w:asciiTheme="majorEastAsia" w:hAnsiTheme="majorEastAsia" w:eastAsiaTheme="majorEastAsia"/>
          <w:highlight w:val="none"/>
        </w:rPr>
        <w:t>]的约定增加合同价款。</w:t>
      </w:r>
    </w:p>
    <w:p w14:paraId="54711175">
      <w:pPr>
        <w:spacing w:line="560" w:lineRule="exact"/>
        <w:ind w:firstLine="410" w:firstLineChars="171"/>
        <w:rPr>
          <w:rFonts w:asciiTheme="majorEastAsia" w:hAnsiTheme="majorEastAsia" w:eastAsiaTheme="majorEastAsia"/>
          <w:highlight w:val="none"/>
        </w:rPr>
      </w:pPr>
      <w:bookmarkStart w:id="943" w:name="_Toc54862319"/>
      <w:bookmarkStart w:id="944" w:name="_Ref3840659"/>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8.5 </w:t>
      </w:r>
      <w:r>
        <w:rPr>
          <w:rFonts w:hint="eastAsia" w:asciiTheme="majorEastAsia" w:hAnsiTheme="majorEastAsia" w:eastAsiaTheme="majorEastAsia"/>
          <w:highlight w:val="none"/>
        </w:rPr>
        <w:t>对各项保险的一般要求</w:t>
      </w:r>
      <w:bookmarkEnd w:id="943"/>
      <w:bookmarkEnd w:id="944"/>
    </w:p>
    <w:p w14:paraId="7166022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8.5.1 </w:t>
      </w:r>
      <w:r>
        <w:rPr>
          <w:rFonts w:hint="eastAsia" w:asciiTheme="majorEastAsia" w:hAnsiTheme="majorEastAsia" w:eastAsiaTheme="majorEastAsia"/>
          <w:highlight w:val="none"/>
        </w:rPr>
        <w:t>持续保险</w:t>
      </w:r>
    </w:p>
    <w:p w14:paraId="249D873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合同当事人应与保险人保持联系，使保险人能够随时了</w:t>
      </w:r>
      <w:bookmarkEnd w:id="939"/>
      <w:r>
        <w:rPr>
          <w:rFonts w:hint="eastAsia" w:asciiTheme="majorEastAsia" w:hAnsiTheme="majorEastAsia" w:eastAsiaTheme="majorEastAsia"/>
          <w:highlight w:val="none"/>
        </w:rPr>
        <w:t>解</w:t>
      </w:r>
      <w:bookmarkEnd w:id="940"/>
      <w:bookmarkEnd w:id="941"/>
      <w:bookmarkEnd w:id="942"/>
      <w:r>
        <w:rPr>
          <w:rFonts w:hint="eastAsia" w:asciiTheme="majorEastAsia" w:hAnsiTheme="majorEastAsia" w:eastAsiaTheme="majorEastAsia"/>
          <w:highlight w:val="none"/>
        </w:rPr>
        <w:t>工程实施中的变动，并确保按保险合同条款要求持续保险。</w:t>
      </w:r>
    </w:p>
    <w:p w14:paraId="3B8CB4E4">
      <w:pPr>
        <w:spacing w:line="560" w:lineRule="exact"/>
        <w:ind w:firstLine="410" w:firstLineChars="171"/>
        <w:rPr>
          <w:rFonts w:asciiTheme="majorEastAsia" w:hAnsiTheme="majorEastAsia" w:eastAsiaTheme="majorEastAsia"/>
          <w:highlight w:val="none"/>
        </w:rPr>
      </w:pPr>
      <w:bookmarkStart w:id="945" w:name="_Ref4777650"/>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8.5.2 </w:t>
      </w:r>
      <w:r>
        <w:rPr>
          <w:rFonts w:hint="eastAsia" w:asciiTheme="majorEastAsia" w:hAnsiTheme="majorEastAsia" w:eastAsiaTheme="majorEastAsia"/>
          <w:highlight w:val="none"/>
        </w:rPr>
        <w:t>保险凭证</w:t>
      </w:r>
      <w:bookmarkEnd w:id="945"/>
    </w:p>
    <w:p w14:paraId="47D828A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合同当事人应及时向另一方当事人提交其已投保的各项保险的凭证和保险单复印件，保险单必须与专用合同条件约定的条件保持一致。</w:t>
      </w:r>
    </w:p>
    <w:p w14:paraId="1260B70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8.5.3 </w:t>
      </w:r>
      <w:r>
        <w:rPr>
          <w:rFonts w:hint="eastAsia" w:asciiTheme="majorEastAsia" w:hAnsiTheme="majorEastAsia" w:eastAsiaTheme="majorEastAsia"/>
          <w:highlight w:val="none"/>
        </w:rPr>
        <w:t>未按约定投保的补救</w:t>
      </w:r>
    </w:p>
    <w:p w14:paraId="3DF22DA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负有投保义务的一方当事人未按合同约定办理保险，或未能使保险持续有效的，则另一方当事人可代为办理，所需费用由负有投保义务的一方当事人承担。</w:t>
      </w:r>
    </w:p>
    <w:p w14:paraId="02ED43B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负有投保</w:t>
      </w:r>
      <w:bookmarkStart w:id="946" w:name="_Toc351203619"/>
      <w:bookmarkStart w:id="947" w:name="_Toc337558834"/>
      <w:r>
        <w:rPr>
          <w:rFonts w:hint="eastAsia" w:asciiTheme="majorEastAsia" w:hAnsiTheme="majorEastAsia" w:eastAsiaTheme="majorEastAsia"/>
          <w:highlight w:val="none"/>
        </w:rPr>
        <w:t>义务的一方当事人未</w:t>
      </w:r>
      <w:bookmarkEnd w:id="946"/>
      <w:r>
        <w:rPr>
          <w:rFonts w:hint="eastAsia" w:asciiTheme="majorEastAsia" w:hAnsiTheme="majorEastAsia" w:eastAsiaTheme="majorEastAsia"/>
          <w:highlight w:val="none"/>
        </w:rPr>
        <w:t>按</w:t>
      </w:r>
      <w:bookmarkEnd w:id="947"/>
      <w:r>
        <w:rPr>
          <w:rFonts w:hint="eastAsia" w:asciiTheme="majorEastAsia" w:hAnsiTheme="majorEastAsia" w:eastAsiaTheme="majorEastAsia"/>
          <w:highlight w:val="none"/>
        </w:rPr>
        <w:t>合同约定办理某项保险，导致受益人未能得到足额赔偿的，由负有投保义务的一方当事人负责按照原应从该项保险得到的保险金数额进行补足。</w:t>
      </w:r>
    </w:p>
    <w:p w14:paraId="3D65940E">
      <w:pPr>
        <w:spacing w:line="560" w:lineRule="exact"/>
        <w:ind w:firstLine="410" w:firstLineChars="171"/>
        <w:rPr>
          <w:rFonts w:asciiTheme="majorEastAsia" w:hAnsiTheme="majorEastAsia" w:eastAsiaTheme="majorEastAsia"/>
          <w:highlight w:val="none"/>
        </w:rPr>
      </w:pPr>
      <w:bookmarkStart w:id="948" w:name="_Ref4692685"/>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8.5.4 </w:t>
      </w:r>
      <w:r>
        <w:rPr>
          <w:rFonts w:hint="eastAsia" w:asciiTheme="majorEastAsia" w:hAnsiTheme="majorEastAsia" w:eastAsiaTheme="majorEastAsia"/>
          <w:highlight w:val="none"/>
        </w:rPr>
        <w:t>通知义务</w:t>
      </w:r>
      <w:bookmarkEnd w:id="948"/>
    </w:p>
    <w:p w14:paraId="15C962E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除专用合同条件另有约定外，任何一方当事人变更除工伤保险之外的保险合同时，应事先征得另一方当事人同意，并通知工程师。</w:t>
      </w:r>
    </w:p>
    <w:p w14:paraId="0A322A3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保险事故发生时，投保人应按照保险合同规定的条件和期限及时向保险人报告。发包人和承包人应当在知道保险事故发生后及时通知对方。</w:t>
      </w:r>
    </w:p>
    <w:p w14:paraId="13716C9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双方按本条规定投保不减少双方在合同下的其他义务。</w:t>
      </w:r>
    </w:p>
    <w:p w14:paraId="3B6B09EE">
      <w:pPr>
        <w:spacing w:line="560" w:lineRule="exact"/>
        <w:rPr>
          <w:rFonts w:asciiTheme="majorEastAsia" w:hAnsiTheme="majorEastAsia" w:eastAsiaTheme="majorEastAsia"/>
          <w:b/>
          <w:highlight w:val="none"/>
        </w:rPr>
      </w:pPr>
      <w:bookmarkStart w:id="949" w:name="_Ref11874997"/>
      <w:bookmarkStart w:id="950" w:name="_Toc54862320"/>
      <w:r>
        <w:rPr>
          <w:rFonts w:hint="eastAsia" w:asciiTheme="majorEastAsia" w:hAnsiTheme="majorEastAsia" w:eastAsiaTheme="majorEastAsia"/>
          <w:b/>
          <w:highlight w:val="none"/>
        </w:rPr>
        <w:t>第1</w:t>
      </w:r>
      <w:r>
        <w:rPr>
          <w:rFonts w:asciiTheme="majorEastAsia" w:hAnsiTheme="majorEastAsia" w:eastAsiaTheme="majorEastAsia"/>
          <w:b/>
          <w:highlight w:val="none"/>
        </w:rPr>
        <w:t>9</w:t>
      </w:r>
      <w:r>
        <w:rPr>
          <w:rFonts w:hint="eastAsia" w:asciiTheme="majorEastAsia" w:hAnsiTheme="majorEastAsia" w:eastAsiaTheme="majorEastAsia"/>
          <w:b/>
          <w:highlight w:val="none"/>
        </w:rPr>
        <w:t>条  索赔</w:t>
      </w:r>
      <w:bookmarkEnd w:id="885"/>
      <w:bookmarkEnd w:id="886"/>
      <w:bookmarkEnd w:id="949"/>
      <w:bookmarkEnd w:id="950"/>
      <w:r>
        <w:rPr>
          <w:rFonts w:hint="eastAsia" w:asciiTheme="majorEastAsia" w:hAnsiTheme="majorEastAsia" w:eastAsiaTheme="majorEastAsia"/>
          <w:b/>
          <w:highlight w:val="none"/>
        </w:rPr>
        <w:t xml:space="preserve"> </w:t>
      </w:r>
    </w:p>
    <w:p w14:paraId="592EC1BD">
      <w:pPr>
        <w:spacing w:line="560" w:lineRule="exact"/>
        <w:ind w:firstLine="410" w:firstLineChars="171"/>
        <w:rPr>
          <w:rFonts w:asciiTheme="majorEastAsia" w:hAnsiTheme="majorEastAsia" w:eastAsiaTheme="majorEastAsia"/>
          <w:highlight w:val="none"/>
        </w:rPr>
      </w:pPr>
      <w:bookmarkStart w:id="951" w:name="_Ref4798164"/>
      <w:bookmarkStart w:id="952" w:name="_Ref4798173"/>
      <w:bookmarkStart w:id="953" w:name="_Toc54862321"/>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9.1 </w:t>
      </w:r>
      <w:r>
        <w:rPr>
          <w:rFonts w:hint="eastAsia" w:asciiTheme="majorEastAsia" w:hAnsiTheme="majorEastAsia" w:eastAsiaTheme="majorEastAsia"/>
          <w:highlight w:val="none"/>
        </w:rPr>
        <w:t>索赔</w:t>
      </w:r>
      <w:bookmarkEnd w:id="951"/>
      <w:bookmarkEnd w:id="952"/>
      <w:r>
        <w:rPr>
          <w:rFonts w:hint="eastAsia" w:asciiTheme="majorEastAsia" w:hAnsiTheme="majorEastAsia" w:eastAsiaTheme="majorEastAsia"/>
          <w:highlight w:val="none"/>
        </w:rPr>
        <w:t>的提出</w:t>
      </w:r>
      <w:bookmarkEnd w:id="953"/>
    </w:p>
    <w:p w14:paraId="7624A7B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根据合同约定，任意一方认为有权得到追加/减少付款、延长缺陷责任期和（或）延长工期的，应按以下程序向对方提出索赔：</w:t>
      </w:r>
    </w:p>
    <w:p w14:paraId="5AE29D3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（1）索赔方应在知道或应当知道索赔事件发生后28天内，向对方递交索赔意向通知书，并说明发生索赔事件的事由；索赔方未在前述28天内发出索赔意向通知书的，丧失要求追加</w:t>
      </w:r>
      <w:r>
        <w:rPr>
          <w:rFonts w:asciiTheme="majorEastAsia" w:hAnsiTheme="majorEastAsia" w:eastAsiaTheme="majorEastAsia"/>
          <w:highlight w:val="none"/>
        </w:rPr>
        <w:t>/减少付款、延长缺陷责任期和（或）延长工期</w:t>
      </w:r>
      <w:r>
        <w:rPr>
          <w:rFonts w:hint="eastAsia" w:asciiTheme="majorEastAsia" w:hAnsiTheme="majorEastAsia" w:eastAsiaTheme="majorEastAsia"/>
          <w:highlight w:val="none"/>
        </w:rPr>
        <w:t>的权利；</w:t>
      </w:r>
    </w:p>
    <w:p w14:paraId="3494C42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（2）索赔方应在发出索赔意向通知书后28天内，向对方正式递交索赔报告；索赔报告应详细说明索赔理由以及要求追加的付款金额、延长缺陷责任期和（或）延长的工期，并附必要的记录和证明材料；</w:t>
      </w:r>
    </w:p>
    <w:p w14:paraId="39E5463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（3）索赔事件具有持续影响的，索赔方应每月递交延续索赔通知，说明持续影响的实际情况和记录，列出累计的追加付款金额、延长缺陷责任期和（或）工期延长天数；</w:t>
      </w:r>
    </w:p>
    <w:p w14:paraId="3AC9D20F">
      <w:pPr>
        <w:spacing w:line="560" w:lineRule="exact"/>
        <w:ind w:firstLine="410" w:firstLineChars="171"/>
        <w:rPr>
          <w:rFonts w:asciiTheme="majorEastAsia" w:hAnsiTheme="majorEastAsia" w:eastAsiaTheme="majorEastAsia"/>
          <w:highlight w:val="none"/>
        </w:rPr>
      </w:pPr>
      <w:bookmarkStart w:id="954" w:name="_Ref4796178"/>
      <w:r>
        <w:rPr>
          <w:rFonts w:hint="eastAsia" w:asciiTheme="majorEastAsia" w:hAnsiTheme="majorEastAsia" w:eastAsiaTheme="majorEastAsia"/>
          <w:highlight w:val="none"/>
        </w:rPr>
        <w:t>（4）在索赔事件影响结束后28天内，索赔方应向对方递交最终索赔报告，说明最终要求索赔的追加付款金额、延长缺陷责任期和（或）延长的工期，并附必要的记录和证明材料。</w:t>
      </w:r>
      <w:bookmarkEnd w:id="954"/>
    </w:p>
    <w:p w14:paraId="70CFD76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（5）承包人作为索赔方时，其索赔意向通知书、索赔报告及相关索赔文件应向工程师提出；发包人作为索赔方时，其索赔意向通知书、索赔报告及相关索赔文件可自行向承包人提出或由工程师向承包人提出。</w:t>
      </w:r>
    </w:p>
    <w:p w14:paraId="19EB43D7">
      <w:pPr>
        <w:spacing w:line="560" w:lineRule="exact"/>
        <w:ind w:firstLine="410" w:firstLineChars="171"/>
        <w:rPr>
          <w:rFonts w:asciiTheme="majorEastAsia" w:hAnsiTheme="majorEastAsia" w:eastAsiaTheme="majorEastAsia"/>
          <w:highlight w:val="none"/>
        </w:rPr>
      </w:pPr>
      <w:bookmarkStart w:id="955" w:name="_Ref4796262"/>
      <w:bookmarkStart w:id="956" w:name="_Ref4796254"/>
      <w:bookmarkStart w:id="957" w:name="_Toc54862322"/>
      <w:r>
        <w:rPr>
          <w:rFonts w:hint="eastAsia" w:asciiTheme="majorEastAsia" w:hAnsiTheme="majorEastAsia" w:eastAsiaTheme="majorEastAsia"/>
          <w:highlight w:val="none"/>
        </w:rPr>
        <w:t>1</w:t>
      </w:r>
      <w:r>
        <w:rPr>
          <w:rFonts w:asciiTheme="majorEastAsia" w:hAnsiTheme="majorEastAsia" w:eastAsiaTheme="majorEastAsia"/>
          <w:highlight w:val="none"/>
        </w:rPr>
        <w:t>9.2 承包人索赔</w:t>
      </w:r>
      <w:r>
        <w:rPr>
          <w:rFonts w:hint="eastAsia" w:asciiTheme="majorEastAsia" w:hAnsiTheme="majorEastAsia" w:eastAsiaTheme="majorEastAsia"/>
          <w:highlight w:val="none"/>
        </w:rPr>
        <w:t>的处理程序</w:t>
      </w:r>
      <w:bookmarkEnd w:id="955"/>
      <w:bookmarkEnd w:id="956"/>
      <w:bookmarkEnd w:id="957"/>
    </w:p>
    <w:p w14:paraId="0D430FB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（1）工程师收到承包人提交的索赔报告后，应及时审查索赔报告的内容、查验承包人的记录和证明材料，必要时工程师可要求承包人提交全部原始记录副本。</w:t>
      </w:r>
    </w:p>
    <w:p w14:paraId="2A64560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（2）工程师应按第</w:t>
      </w:r>
      <w:r>
        <w:rPr>
          <w:rFonts w:asciiTheme="majorEastAsia" w:hAnsiTheme="majorEastAsia" w:eastAsiaTheme="majorEastAsia"/>
          <w:highlight w:val="none"/>
        </w:rPr>
        <w:t>3.6</w:t>
      </w:r>
      <w:r>
        <w:rPr>
          <w:rFonts w:hint="eastAsia" w:asciiTheme="majorEastAsia" w:hAnsiTheme="majorEastAsia" w:eastAsiaTheme="majorEastAsia"/>
          <w:highlight w:val="none"/>
        </w:rPr>
        <w:t>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2929902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（3）承包人接受索赔处理结果的，发包人应在作出索赔处理结果答复后28天内完成支付。承包人不接受索赔处理结果的，按照第</w:t>
      </w:r>
      <w:r>
        <w:rPr>
          <w:rFonts w:asciiTheme="majorEastAsia" w:hAnsiTheme="majorEastAsia" w:eastAsiaTheme="majorEastAsia"/>
          <w:highlight w:val="none"/>
        </w:rPr>
        <w:t>20条</w:t>
      </w:r>
      <w:r>
        <w:rPr>
          <w:rFonts w:hint="eastAsia" w:asciiTheme="majorEastAsia" w:hAnsiTheme="majorEastAsia" w:eastAsiaTheme="majorEastAsia"/>
          <w:highlight w:val="none"/>
        </w:rPr>
        <w:t>[争议解决]约定处理。</w:t>
      </w:r>
    </w:p>
    <w:p w14:paraId="311FA38C">
      <w:pPr>
        <w:spacing w:line="560" w:lineRule="exact"/>
        <w:ind w:firstLine="410" w:firstLineChars="171"/>
        <w:rPr>
          <w:rFonts w:asciiTheme="majorEastAsia" w:hAnsiTheme="majorEastAsia" w:eastAsiaTheme="majorEastAsia"/>
          <w:highlight w:val="none"/>
        </w:rPr>
      </w:pPr>
      <w:bookmarkStart w:id="958" w:name="_Toc54862323"/>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9.3 </w:t>
      </w:r>
      <w:r>
        <w:rPr>
          <w:rFonts w:hint="eastAsia" w:asciiTheme="majorEastAsia" w:hAnsiTheme="majorEastAsia" w:eastAsiaTheme="majorEastAsia"/>
          <w:highlight w:val="none"/>
        </w:rPr>
        <w:t>发包人索赔的处理程序</w:t>
      </w:r>
      <w:bookmarkEnd w:id="958"/>
    </w:p>
    <w:p w14:paraId="16C5607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（1）承包人收到发包人提交的索赔报告后，应及时审查索赔报告的内容、查验发包人证明材料；</w:t>
      </w:r>
    </w:p>
    <w:p w14:paraId="49743F5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（2）承包人应在收到上述索赔报告或有关索赔的进一步证明材料后42天内，将索赔处理结果答复发包人。承包人在收到索赔通知书或有关索赔的进一步证明材料后的42天内不予答复的，视为认可索赔。</w:t>
      </w:r>
    </w:p>
    <w:p w14:paraId="06DFA13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（3）发包人接受索赔处理结果的，发包人可从应支付给承包人的合同价款中扣除赔付的金额或延长缺陷责任期；发包人不接受索赔处理结果的，按第</w:t>
      </w:r>
      <w:r>
        <w:rPr>
          <w:rFonts w:asciiTheme="majorEastAsia" w:hAnsiTheme="majorEastAsia" w:eastAsiaTheme="majorEastAsia"/>
          <w:highlight w:val="none"/>
        </w:rPr>
        <w:t>20条</w:t>
      </w:r>
      <w:r>
        <w:rPr>
          <w:rFonts w:hint="eastAsia" w:asciiTheme="majorEastAsia" w:hAnsiTheme="majorEastAsia" w:eastAsiaTheme="majorEastAsia"/>
          <w:highlight w:val="none"/>
        </w:rPr>
        <w:t>[争议解决]约定处理。</w:t>
      </w:r>
    </w:p>
    <w:p w14:paraId="37327ACA">
      <w:pPr>
        <w:spacing w:line="560" w:lineRule="exact"/>
        <w:ind w:firstLine="410" w:firstLineChars="171"/>
        <w:rPr>
          <w:rFonts w:asciiTheme="majorEastAsia" w:hAnsiTheme="majorEastAsia" w:eastAsiaTheme="majorEastAsia"/>
          <w:highlight w:val="none"/>
        </w:rPr>
      </w:pPr>
      <w:bookmarkStart w:id="959" w:name="_Toc54862324"/>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9.4 </w:t>
      </w:r>
      <w:r>
        <w:rPr>
          <w:rFonts w:hint="eastAsia" w:asciiTheme="majorEastAsia" w:hAnsiTheme="majorEastAsia" w:eastAsiaTheme="majorEastAsia"/>
          <w:highlight w:val="none"/>
        </w:rPr>
        <w:t>提出索赔的期限</w:t>
      </w:r>
      <w:bookmarkEnd w:id="959"/>
    </w:p>
    <w:p w14:paraId="68AF53B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（1）承包人按第</w:t>
      </w:r>
      <w:r>
        <w:rPr>
          <w:rFonts w:asciiTheme="majorEastAsia" w:hAnsiTheme="majorEastAsia" w:eastAsiaTheme="majorEastAsia"/>
          <w:highlight w:val="none"/>
        </w:rPr>
        <w:t>14.5</w:t>
      </w:r>
      <w:r>
        <w:rPr>
          <w:rFonts w:hint="eastAsia" w:asciiTheme="majorEastAsia" w:hAnsiTheme="majorEastAsia" w:eastAsiaTheme="majorEastAsia"/>
          <w:highlight w:val="none"/>
        </w:rPr>
        <w:t>款[竣工结算</w:t>
      </w:r>
      <w:bookmarkStart w:id="960" w:name="_Ref3826629"/>
      <w:bookmarkStart w:id="961" w:name="_Ref3826634"/>
      <w:r>
        <w:rPr>
          <w:rFonts w:hint="eastAsia" w:asciiTheme="majorEastAsia" w:hAnsiTheme="majorEastAsia" w:eastAsiaTheme="majorEastAsia"/>
          <w:highlight w:val="none"/>
        </w:rPr>
        <w:t>]约定接收竣工付款证书后，应被认为已无权再提出在合同工程接收证书颁发前所发生的任何索赔。</w:t>
      </w:r>
    </w:p>
    <w:p w14:paraId="1946461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（2）承包人按第</w:t>
      </w:r>
      <w:r>
        <w:rPr>
          <w:rFonts w:asciiTheme="majorEastAsia" w:hAnsiTheme="majorEastAsia" w:eastAsiaTheme="majorEastAsia"/>
          <w:highlight w:val="none"/>
        </w:rPr>
        <w:t>14.7</w:t>
      </w:r>
      <w:r>
        <w:rPr>
          <w:rFonts w:hint="eastAsia" w:asciiTheme="majorEastAsia" w:hAnsiTheme="majorEastAsia" w:eastAsiaTheme="majorEastAsia"/>
          <w:highlight w:val="none"/>
        </w:rPr>
        <w:t>款[</w:t>
      </w:r>
      <w:r>
        <w:rPr>
          <w:rFonts w:asciiTheme="majorEastAsia" w:hAnsiTheme="majorEastAsia" w:eastAsiaTheme="majorEastAsia"/>
          <w:highlight w:val="none"/>
        </w:rPr>
        <w:t>最终结清</w:t>
      </w:r>
      <w:r>
        <w:rPr>
          <w:rFonts w:hint="eastAsia" w:asciiTheme="majorEastAsia" w:hAnsiTheme="majorEastAsia" w:eastAsiaTheme="majorEastAsia"/>
          <w:highlight w:val="none"/>
        </w:rPr>
        <w:t>]提交的最终结清申请单中，只限于提出工程接收证书颁发后发生的索赔。提出索赔的期限均自接受最终结清证书时终止。</w:t>
      </w:r>
      <w:bookmarkEnd w:id="960"/>
      <w:bookmarkEnd w:id="961"/>
    </w:p>
    <w:p w14:paraId="46060A18">
      <w:pPr>
        <w:spacing w:line="560" w:lineRule="exact"/>
        <w:rPr>
          <w:rFonts w:asciiTheme="majorEastAsia" w:hAnsiTheme="majorEastAsia" w:eastAsiaTheme="majorEastAsia"/>
          <w:b/>
          <w:highlight w:val="none"/>
        </w:rPr>
      </w:pPr>
      <w:bookmarkStart w:id="962" w:name="_Toc54862325"/>
      <w:bookmarkStart w:id="963" w:name="_Ref532142075"/>
      <w:bookmarkStart w:id="964" w:name="_Ref532197861"/>
      <w:r>
        <w:rPr>
          <w:rFonts w:hint="eastAsia" w:asciiTheme="majorEastAsia" w:hAnsiTheme="majorEastAsia" w:eastAsiaTheme="majorEastAsia"/>
          <w:b/>
          <w:highlight w:val="none"/>
        </w:rPr>
        <w:t>第2</w:t>
      </w:r>
      <w:r>
        <w:rPr>
          <w:rFonts w:asciiTheme="majorEastAsia" w:hAnsiTheme="majorEastAsia" w:eastAsiaTheme="majorEastAsia"/>
          <w:b/>
          <w:highlight w:val="none"/>
        </w:rPr>
        <w:t>0</w:t>
      </w:r>
      <w:r>
        <w:rPr>
          <w:rFonts w:hint="eastAsia" w:asciiTheme="majorEastAsia" w:hAnsiTheme="majorEastAsia" w:eastAsiaTheme="majorEastAsia"/>
          <w:b/>
          <w:highlight w:val="none"/>
        </w:rPr>
        <w:t>条  争议解决</w:t>
      </w:r>
      <w:bookmarkEnd w:id="962"/>
      <w:bookmarkEnd w:id="963"/>
      <w:bookmarkEnd w:id="964"/>
      <w:r>
        <w:rPr>
          <w:rFonts w:hint="eastAsia" w:asciiTheme="majorEastAsia" w:hAnsiTheme="majorEastAsia" w:eastAsiaTheme="majorEastAsia"/>
          <w:b/>
          <w:highlight w:val="none"/>
        </w:rPr>
        <w:t xml:space="preserve"> </w:t>
      </w:r>
    </w:p>
    <w:p w14:paraId="533DF0E8">
      <w:pPr>
        <w:spacing w:line="560" w:lineRule="exact"/>
        <w:ind w:firstLine="410" w:firstLineChars="171"/>
        <w:rPr>
          <w:rFonts w:asciiTheme="majorEastAsia" w:hAnsiTheme="majorEastAsia" w:eastAsiaTheme="majorEastAsia"/>
          <w:highlight w:val="none"/>
        </w:rPr>
      </w:pPr>
      <w:bookmarkStart w:id="965" w:name="_Ref415507198"/>
      <w:bookmarkStart w:id="966" w:name="_Toc54862326"/>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0.1 </w:t>
      </w:r>
      <w:r>
        <w:rPr>
          <w:rFonts w:hint="eastAsia" w:asciiTheme="majorEastAsia" w:hAnsiTheme="majorEastAsia" w:eastAsiaTheme="majorEastAsia"/>
          <w:highlight w:val="none"/>
        </w:rPr>
        <w:t>和解</w:t>
      </w:r>
      <w:bookmarkEnd w:id="965"/>
      <w:bookmarkEnd w:id="966"/>
    </w:p>
    <w:p w14:paraId="7D9A86F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合同当事人可以就争议自行和解，自行和解达成协议的经双方签字并盖章后作为合同补充文件，双方均应遵照执行。</w:t>
      </w:r>
    </w:p>
    <w:p w14:paraId="4117C04C">
      <w:pPr>
        <w:spacing w:line="560" w:lineRule="exact"/>
        <w:ind w:firstLine="410" w:firstLineChars="171"/>
        <w:rPr>
          <w:rFonts w:asciiTheme="majorEastAsia" w:hAnsiTheme="majorEastAsia" w:eastAsiaTheme="majorEastAsia"/>
          <w:highlight w:val="none"/>
        </w:rPr>
      </w:pPr>
      <w:bookmarkStart w:id="967" w:name="_Toc54862327"/>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0.2 </w:t>
      </w:r>
      <w:r>
        <w:rPr>
          <w:rFonts w:hint="eastAsia" w:asciiTheme="majorEastAsia" w:hAnsiTheme="majorEastAsia" w:eastAsiaTheme="majorEastAsia"/>
          <w:highlight w:val="none"/>
        </w:rPr>
        <w:t>调解</w:t>
      </w:r>
      <w:bookmarkEnd w:id="967"/>
      <w:r>
        <w:rPr>
          <w:rFonts w:hint="eastAsia" w:asciiTheme="majorEastAsia" w:hAnsiTheme="majorEastAsia" w:eastAsiaTheme="majorEastAsia"/>
          <w:highlight w:val="none"/>
        </w:rPr>
        <w:t xml:space="preserve"> </w:t>
      </w:r>
    </w:p>
    <w:p w14:paraId="2C4320B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合同当事人可以就争议请求建设行政主管部门、行业协会或其他第三方进行调解，调解达成协议的，经双方签字盖章后作为合同补充文件，双方均应遵照执行。</w:t>
      </w:r>
    </w:p>
    <w:p w14:paraId="3B6E53E6">
      <w:pPr>
        <w:spacing w:line="560" w:lineRule="exact"/>
        <w:ind w:firstLine="410" w:firstLineChars="171"/>
        <w:rPr>
          <w:rFonts w:asciiTheme="majorEastAsia" w:hAnsiTheme="majorEastAsia" w:eastAsiaTheme="majorEastAsia"/>
          <w:highlight w:val="none"/>
        </w:rPr>
      </w:pPr>
      <w:bookmarkStart w:id="968" w:name="_Ref532221532"/>
      <w:bookmarkStart w:id="969" w:name="_Toc54862328"/>
      <w:bookmarkStart w:id="970" w:name="_Ref532221527"/>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0.3 </w:t>
      </w:r>
      <w:r>
        <w:rPr>
          <w:rFonts w:hint="eastAsia" w:asciiTheme="majorEastAsia" w:hAnsiTheme="majorEastAsia" w:eastAsiaTheme="majorEastAsia"/>
          <w:highlight w:val="none"/>
        </w:rPr>
        <w:t>争议评审</w:t>
      </w:r>
      <w:bookmarkEnd w:id="968"/>
      <w:bookmarkEnd w:id="969"/>
      <w:bookmarkEnd w:id="970"/>
    </w:p>
    <w:p w14:paraId="0B28017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合同当事人在专用合同条件中约定采取争议评审方式及评审规则解决争议的，按下列约定执行：</w:t>
      </w:r>
    </w:p>
    <w:p w14:paraId="5730390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0.3.1 </w:t>
      </w:r>
      <w:r>
        <w:rPr>
          <w:rFonts w:hint="eastAsia" w:asciiTheme="majorEastAsia" w:hAnsiTheme="majorEastAsia" w:eastAsiaTheme="majorEastAsia"/>
          <w:highlight w:val="none"/>
        </w:rPr>
        <w:t>争议评审小组的确定</w:t>
      </w:r>
    </w:p>
    <w:p w14:paraId="709CD11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001E3BD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0FE6019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除专用合同条件另有约定外，争议评审员报酬由发包人和承包人各承担一半。</w:t>
      </w:r>
    </w:p>
    <w:p w14:paraId="2AB912FA">
      <w:pPr>
        <w:spacing w:line="560" w:lineRule="exact"/>
        <w:ind w:firstLine="410" w:firstLineChars="171"/>
        <w:rPr>
          <w:rFonts w:asciiTheme="majorEastAsia" w:hAnsiTheme="majorEastAsia" w:eastAsiaTheme="majorEastAsia"/>
          <w:highlight w:val="none"/>
        </w:rPr>
      </w:pPr>
      <w:bookmarkStart w:id="971" w:name="_Ref532287270"/>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0.3.2 </w:t>
      </w:r>
      <w:r>
        <w:rPr>
          <w:rFonts w:hint="eastAsia" w:asciiTheme="majorEastAsia" w:hAnsiTheme="majorEastAsia" w:eastAsiaTheme="majorEastAsia"/>
          <w:highlight w:val="none"/>
        </w:rPr>
        <w:t>争议的避免</w:t>
      </w:r>
      <w:bookmarkEnd w:id="971"/>
    </w:p>
    <w:p w14:paraId="43122E2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合同当事人协商一致，可以共同书面请求争议评审小组，就合同履行过程中可能出现争议的情况提供协助或进行非正式讨论，争议评审小组应给出公正的意见或建议。</w:t>
      </w:r>
    </w:p>
    <w:p w14:paraId="0F149D6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此类协助或非正式讨论可在任何会议、施工现场视察或其他场合进行，并且除专用合同条件另有约定外，发包人和承包人均应出席。</w:t>
      </w:r>
    </w:p>
    <w:p w14:paraId="4FEDF29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争议评审小组在此类非正式讨论上给出的任何意见或建议，无论是口头还是书面的，对发包人和承包人不具有约束力，争议评审小组在之后的争议评审程序或决定中也不受此类意见或建议的约束。</w:t>
      </w:r>
    </w:p>
    <w:p w14:paraId="5B67E6E6">
      <w:pPr>
        <w:spacing w:line="560" w:lineRule="exact"/>
        <w:ind w:firstLine="410" w:firstLineChars="171"/>
        <w:rPr>
          <w:rFonts w:asciiTheme="majorEastAsia" w:hAnsiTheme="majorEastAsia" w:eastAsiaTheme="majorEastAsia"/>
          <w:highlight w:val="none"/>
        </w:rPr>
      </w:pPr>
      <w:bookmarkStart w:id="972" w:name="_Ref4695594"/>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0.3.3 </w:t>
      </w:r>
      <w:r>
        <w:rPr>
          <w:rFonts w:hint="eastAsia" w:asciiTheme="majorEastAsia" w:hAnsiTheme="majorEastAsia" w:eastAsiaTheme="majorEastAsia"/>
          <w:highlight w:val="none"/>
        </w:rPr>
        <w:t>争议评审小组的决定</w:t>
      </w:r>
      <w:bookmarkEnd w:id="972"/>
    </w:p>
    <w:p w14:paraId="20DE4AA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319A8EF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0.3.4 </w:t>
      </w:r>
      <w:r>
        <w:rPr>
          <w:rFonts w:hint="eastAsia" w:asciiTheme="majorEastAsia" w:hAnsiTheme="majorEastAsia" w:eastAsiaTheme="majorEastAsia"/>
          <w:highlight w:val="none"/>
        </w:rPr>
        <w:t>争议评审小组决定的效力</w:t>
      </w:r>
    </w:p>
    <w:p w14:paraId="43C30EC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争议评审小组作出的书面决定经合同当事人签字确认后，对双方具有约束力，双方应遵照执行。</w:t>
      </w:r>
    </w:p>
    <w:p w14:paraId="57A36AB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任何一方当事人不接受争议评审小组决定或不履行争议评审小组决定的，双方可选择采用其他争议解决方式。</w:t>
      </w:r>
    </w:p>
    <w:p w14:paraId="5A355B6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任何一方当事人不接受争议评审小组的决定，并不影响暂时执行争议评审小组的决定，直到在后续的采用其他争议解决方式中对争议评审小组的决定进行了改变。</w:t>
      </w:r>
    </w:p>
    <w:p w14:paraId="0415FCAC">
      <w:pPr>
        <w:spacing w:line="560" w:lineRule="exact"/>
        <w:ind w:firstLine="410" w:firstLineChars="171"/>
        <w:rPr>
          <w:rFonts w:asciiTheme="majorEastAsia" w:hAnsiTheme="majorEastAsia" w:eastAsiaTheme="majorEastAsia"/>
          <w:highlight w:val="none"/>
        </w:rPr>
      </w:pPr>
      <w:bookmarkStart w:id="973" w:name="_Ref532221752"/>
      <w:bookmarkStart w:id="974" w:name="_Toc54862329"/>
      <w:bookmarkStart w:id="975" w:name="_Ref532221748"/>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0.4 </w:t>
      </w:r>
      <w:r>
        <w:rPr>
          <w:rFonts w:hint="eastAsia" w:asciiTheme="majorEastAsia" w:hAnsiTheme="majorEastAsia" w:eastAsiaTheme="majorEastAsia"/>
          <w:highlight w:val="none"/>
        </w:rPr>
        <w:t>仲裁或诉讼</w:t>
      </w:r>
      <w:bookmarkEnd w:id="973"/>
      <w:bookmarkEnd w:id="974"/>
      <w:bookmarkEnd w:id="975"/>
    </w:p>
    <w:p w14:paraId="0E56561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因合同及合同有关事项产生的争议，合同当事人可以在专用合同条件中约定以下一种方式解决争议：</w:t>
      </w:r>
    </w:p>
    <w:p w14:paraId="190644A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（1）向约定的仲裁委员会申请仲裁；</w:t>
      </w:r>
    </w:p>
    <w:p w14:paraId="2D66219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（2）向有管辖权的人民法院起诉。</w:t>
      </w:r>
    </w:p>
    <w:p w14:paraId="044601CF">
      <w:pPr>
        <w:spacing w:line="560" w:lineRule="exact"/>
        <w:ind w:firstLine="410" w:firstLineChars="171"/>
        <w:rPr>
          <w:rFonts w:asciiTheme="majorEastAsia" w:hAnsiTheme="majorEastAsia" w:eastAsiaTheme="majorEastAsia"/>
          <w:highlight w:val="none"/>
        </w:rPr>
      </w:pPr>
      <w:bookmarkStart w:id="976" w:name="_Toc54862330"/>
      <w:r>
        <w:rPr>
          <w:rFonts w:hint="eastAsia" w:asciiTheme="majorEastAsia" w:hAnsiTheme="majorEastAsia" w:eastAsiaTheme="majorEastAsia"/>
          <w:highlight w:val="none"/>
        </w:rPr>
        <w:t>2</w:t>
      </w:r>
      <w:r>
        <w:rPr>
          <w:rFonts w:asciiTheme="majorEastAsia" w:hAnsiTheme="majorEastAsia" w:eastAsiaTheme="majorEastAsia"/>
          <w:highlight w:val="none"/>
        </w:rPr>
        <w:t xml:space="preserve">0.5 </w:t>
      </w:r>
      <w:r>
        <w:rPr>
          <w:rFonts w:hint="eastAsia" w:asciiTheme="majorEastAsia" w:hAnsiTheme="majorEastAsia" w:eastAsiaTheme="majorEastAsia"/>
          <w:highlight w:val="none"/>
        </w:rPr>
        <w:t>争议解决条款效力</w:t>
      </w:r>
      <w:bookmarkEnd w:id="976"/>
    </w:p>
    <w:p w14:paraId="7D6D041C">
      <w:pPr>
        <w:spacing w:line="560" w:lineRule="exact"/>
        <w:ind w:firstLine="410" w:firstLineChars="171"/>
        <w:rPr>
          <w:rFonts w:asciiTheme="majorEastAsia" w:hAnsiTheme="majorEastAsia" w:eastAsiaTheme="majorEastAsia"/>
          <w:b/>
          <w:highlight w:val="none"/>
        </w:rPr>
      </w:pPr>
      <w:r>
        <w:rPr>
          <w:rFonts w:hint="eastAsia" w:asciiTheme="majorEastAsia" w:hAnsiTheme="majorEastAsia" w:eastAsiaTheme="majorEastAsia"/>
          <w:highlight w:val="none"/>
        </w:rPr>
        <w:t>合同有关争议解决的条款独立存在，合同的不生效、无效、被撤销或者终止的，不影响合同中有关争议解决条款的效力。</w:t>
      </w:r>
    </w:p>
    <w:p w14:paraId="5B604079">
      <w:pPr>
        <w:rPr>
          <w:rFonts w:asciiTheme="majorEastAsia" w:hAnsiTheme="majorEastAsia" w:eastAsiaTheme="majorEastAsia"/>
          <w:highlight w:val="none"/>
        </w:rPr>
      </w:pPr>
      <w:r>
        <w:rPr>
          <w:rFonts w:asciiTheme="majorEastAsia" w:hAnsiTheme="majorEastAsia" w:eastAsiaTheme="majorEastAsia"/>
          <w:highlight w:val="none"/>
        </w:rPr>
        <w:br w:type="page"/>
      </w:r>
    </w:p>
    <w:p w14:paraId="3D4E81B8">
      <w:pPr>
        <w:rPr>
          <w:rFonts w:asciiTheme="majorEastAsia" w:hAnsiTheme="majorEastAsia" w:eastAsiaTheme="majorEastAsia"/>
          <w:highlight w:val="none"/>
        </w:rPr>
      </w:pPr>
    </w:p>
    <w:p w14:paraId="50862493">
      <w:pPr>
        <w:pStyle w:val="3"/>
        <w:spacing w:before="120" w:after="120" w:afterLines="50" w:line="700" w:lineRule="exact"/>
        <w:ind w:hanging="65"/>
        <w:jc w:val="center"/>
        <w:rPr>
          <w:rFonts w:asciiTheme="majorEastAsia" w:hAnsiTheme="majorEastAsia" w:eastAsiaTheme="majorEastAsia"/>
          <w:sz w:val="44"/>
          <w:szCs w:val="44"/>
          <w:highlight w:val="none"/>
        </w:rPr>
      </w:pPr>
      <w:r>
        <w:rPr>
          <w:rFonts w:hint="eastAsia" w:asciiTheme="majorEastAsia" w:hAnsiTheme="majorEastAsia" w:eastAsiaTheme="majorEastAsia"/>
          <w:sz w:val="44"/>
          <w:szCs w:val="44"/>
          <w:highlight w:val="none"/>
        </w:rPr>
        <w:t>第三部分</w:t>
      </w:r>
      <w:r>
        <w:rPr>
          <w:rFonts w:asciiTheme="majorEastAsia" w:hAnsiTheme="majorEastAsia" w:eastAsiaTheme="majorEastAsia"/>
          <w:sz w:val="44"/>
          <w:szCs w:val="44"/>
          <w:highlight w:val="none"/>
        </w:rPr>
        <w:t xml:space="preserve"> </w:t>
      </w:r>
      <w:r>
        <w:rPr>
          <w:rFonts w:hint="eastAsia" w:asciiTheme="majorEastAsia" w:hAnsiTheme="majorEastAsia" w:eastAsiaTheme="majorEastAsia"/>
          <w:sz w:val="44"/>
          <w:szCs w:val="44"/>
          <w:highlight w:val="none"/>
        </w:rPr>
        <w:t xml:space="preserve"> 专用合同条件</w:t>
      </w:r>
    </w:p>
    <w:p w14:paraId="280DB1EB">
      <w:pPr>
        <w:spacing w:line="560" w:lineRule="exact"/>
        <w:rPr>
          <w:rFonts w:asciiTheme="majorEastAsia" w:hAnsiTheme="majorEastAsia" w:eastAsiaTheme="majorEastAsia"/>
          <w:b/>
          <w:highlight w:val="none"/>
        </w:rPr>
      </w:pPr>
      <w:bookmarkStart w:id="977" w:name="_Toc54862332"/>
      <w:r>
        <w:rPr>
          <w:rFonts w:hint="eastAsia" w:asciiTheme="majorEastAsia" w:hAnsiTheme="majorEastAsia" w:eastAsiaTheme="majorEastAsia"/>
          <w:b/>
          <w:highlight w:val="none"/>
        </w:rPr>
        <w:t>第</w:t>
      </w:r>
      <w:r>
        <w:rPr>
          <w:rFonts w:asciiTheme="majorEastAsia" w:hAnsiTheme="majorEastAsia" w:eastAsiaTheme="majorEastAsia"/>
          <w:b/>
          <w:highlight w:val="none"/>
        </w:rPr>
        <w:t>1条</w:t>
      </w:r>
      <w:r>
        <w:rPr>
          <w:rFonts w:hint="eastAsia" w:asciiTheme="majorEastAsia" w:hAnsiTheme="majorEastAsia" w:eastAsiaTheme="majorEastAsia"/>
          <w:b/>
          <w:highlight w:val="none"/>
        </w:rPr>
        <w:t xml:space="preserve">  一般约定</w:t>
      </w:r>
      <w:bookmarkEnd w:id="977"/>
    </w:p>
    <w:p w14:paraId="1C7FC26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w:t>
      </w:r>
      <w:r>
        <w:rPr>
          <w:rFonts w:hint="eastAsia" w:asciiTheme="majorEastAsia" w:hAnsiTheme="majorEastAsia" w:eastAsiaTheme="majorEastAsia"/>
          <w:highlight w:val="none"/>
        </w:rPr>
        <w:t>词语定义和解释</w:t>
      </w:r>
    </w:p>
    <w:p w14:paraId="3283FA47">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1.1.1</w:t>
      </w:r>
      <w:r>
        <w:rPr>
          <w:rFonts w:hint="eastAsia" w:asciiTheme="majorEastAsia" w:hAnsiTheme="majorEastAsia" w:eastAsiaTheme="majorEastAsia"/>
          <w:highlight w:val="none"/>
        </w:rPr>
        <w:t>合同</w:t>
      </w:r>
    </w:p>
    <w:p w14:paraId="4E6BA63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1.1.1.10</w:t>
      </w:r>
      <w:r>
        <w:rPr>
          <w:rFonts w:hint="eastAsia" w:asciiTheme="majorEastAsia" w:hAnsiTheme="majorEastAsia" w:eastAsiaTheme="majorEastAsia"/>
          <w:highlight w:val="none"/>
        </w:rPr>
        <w:t>其他合同文件：</w:t>
      </w:r>
      <w:r>
        <w:rPr>
          <w:rFonts w:asciiTheme="majorEastAsia" w:hAnsiTheme="majorEastAsia" w:eastAsiaTheme="majorEastAsia"/>
          <w:highlight w:val="none"/>
        </w:rPr>
        <w:t>履行合同过程中双方确认的对合同有影响的会议纪要、工作联系单、商务函、</w:t>
      </w:r>
      <w:r>
        <w:rPr>
          <w:rFonts w:hint="eastAsia" w:asciiTheme="majorEastAsia" w:hAnsiTheme="majorEastAsia" w:eastAsiaTheme="majorEastAsia"/>
          <w:highlight w:val="none"/>
        </w:rPr>
        <w:t>工程</w:t>
      </w:r>
      <w:r>
        <w:rPr>
          <w:rFonts w:asciiTheme="majorEastAsia" w:hAnsiTheme="majorEastAsia" w:eastAsiaTheme="majorEastAsia"/>
          <w:highlight w:val="none"/>
        </w:rPr>
        <w:t>变更</w:t>
      </w:r>
      <w:r>
        <w:rPr>
          <w:rFonts w:hint="eastAsia" w:asciiTheme="majorEastAsia" w:hAnsiTheme="majorEastAsia" w:eastAsiaTheme="majorEastAsia"/>
          <w:highlight w:val="none"/>
        </w:rPr>
        <w:t>及</w:t>
      </w:r>
      <w:r>
        <w:rPr>
          <w:rFonts w:asciiTheme="majorEastAsia" w:hAnsiTheme="majorEastAsia" w:eastAsiaTheme="majorEastAsia"/>
          <w:highlight w:val="none"/>
        </w:rPr>
        <w:t>签证</w:t>
      </w:r>
      <w:r>
        <w:rPr>
          <w:rFonts w:hint="eastAsia" w:asciiTheme="majorEastAsia" w:hAnsiTheme="majorEastAsia" w:eastAsiaTheme="majorEastAsia"/>
          <w:highlight w:val="none"/>
        </w:rPr>
        <w:t>、招标文件</w:t>
      </w:r>
      <w:r>
        <w:rPr>
          <w:rFonts w:asciiTheme="majorEastAsia" w:hAnsiTheme="majorEastAsia" w:eastAsiaTheme="majorEastAsia"/>
          <w:highlight w:val="none"/>
        </w:rPr>
        <w:t>等相关资料</w:t>
      </w:r>
      <w:r>
        <w:rPr>
          <w:rFonts w:hint="eastAsia" w:asciiTheme="majorEastAsia" w:hAnsiTheme="majorEastAsia" w:eastAsiaTheme="majorEastAsia"/>
          <w:highlight w:val="none"/>
        </w:rPr>
        <w:t>。</w:t>
      </w:r>
    </w:p>
    <w:p w14:paraId="2B7E598E">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1.1.3</w:t>
      </w:r>
      <w:r>
        <w:rPr>
          <w:rFonts w:hint="eastAsia" w:asciiTheme="majorEastAsia" w:hAnsiTheme="majorEastAsia" w:eastAsiaTheme="majorEastAsia"/>
          <w:highlight w:val="none"/>
        </w:rPr>
        <w:t>工程和设备</w:t>
      </w:r>
    </w:p>
    <w:p w14:paraId="2EDFD2EA">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 xml:space="preserve">1.1.3.5 </w:t>
      </w:r>
      <w:r>
        <w:rPr>
          <w:rFonts w:hint="eastAsia" w:asciiTheme="majorEastAsia" w:hAnsiTheme="majorEastAsia" w:eastAsiaTheme="majorEastAsia"/>
          <w:highlight w:val="none"/>
        </w:rPr>
        <w:t>单位/区段工程的范围：</w:t>
      </w:r>
      <w:r>
        <w:rPr>
          <w:rFonts w:hint="eastAsia" w:asciiTheme="majorEastAsia" w:hAnsiTheme="majorEastAsia" w:eastAsiaTheme="majorEastAsia"/>
          <w:highlight w:val="none"/>
          <w:lang w:eastAsia="zh-CN"/>
        </w:rPr>
        <w:t>建设文旅综合厂房2240平方米，室外花艺场景、综合体验区2100平方米，烘烤车间2座，给排水、电气、消防、恒温恒湿设施工程</w:t>
      </w:r>
      <w:r>
        <w:rPr>
          <w:rFonts w:hint="eastAsia" w:asciiTheme="majorEastAsia" w:hAnsiTheme="majorEastAsia" w:eastAsiaTheme="majorEastAsia"/>
          <w:highlight w:val="none"/>
          <w:lang w:val="en-US" w:eastAsia="zh-CN"/>
        </w:rPr>
        <w:t>1项及</w:t>
      </w:r>
      <w:r>
        <w:rPr>
          <w:rFonts w:hint="eastAsia" w:asciiTheme="majorEastAsia" w:hAnsiTheme="majorEastAsia" w:eastAsiaTheme="majorEastAsia"/>
          <w:highlight w:val="none"/>
          <w:lang w:eastAsia="zh-CN"/>
        </w:rPr>
        <w:t>水井1座等附属设施，场地平整1300平方米</w:t>
      </w:r>
      <w:r>
        <w:rPr>
          <w:rFonts w:hint="eastAsia" w:asciiTheme="majorEastAsia" w:hAnsiTheme="majorEastAsia" w:eastAsiaTheme="majorEastAsia"/>
          <w:highlight w:val="none"/>
        </w:rPr>
        <w:t>。</w:t>
      </w:r>
    </w:p>
    <w:p w14:paraId="54370902">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1.1.3.9</w:t>
      </w:r>
      <w:r>
        <w:rPr>
          <w:rFonts w:hint="eastAsia" w:asciiTheme="majorEastAsia" w:hAnsiTheme="majorEastAsia" w:eastAsiaTheme="majorEastAsia"/>
          <w:highlight w:val="none"/>
        </w:rPr>
        <w:t>作为施工场所组成部分的其他场所包括：</w:t>
      </w:r>
      <w:r>
        <w:rPr>
          <w:rFonts w:asciiTheme="majorEastAsia" w:hAnsiTheme="majorEastAsia" w:eastAsiaTheme="majorEastAsia"/>
          <w:highlight w:val="none"/>
          <w:u w:val="single"/>
        </w:rPr>
        <w:t>现场临时办公及施工场地</w:t>
      </w:r>
      <w:r>
        <w:rPr>
          <w:rFonts w:hint="eastAsia" w:asciiTheme="majorEastAsia" w:hAnsiTheme="majorEastAsia" w:eastAsiaTheme="majorEastAsia"/>
          <w:highlight w:val="none"/>
        </w:rPr>
        <w:t>。</w:t>
      </w:r>
    </w:p>
    <w:p w14:paraId="759ECC0F">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1.1.3.10</w:t>
      </w:r>
      <w:r>
        <w:rPr>
          <w:rFonts w:hint="eastAsia" w:asciiTheme="majorEastAsia" w:hAnsiTheme="majorEastAsia" w:eastAsiaTheme="majorEastAsia"/>
          <w:highlight w:val="none"/>
        </w:rPr>
        <w:t>永久占地包括：</w:t>
      </w:r>
      <w:r>
        <w:rPr>
          <w:rFonts w:hint="eastAsia" w:asciiTheme="majorEastAsia" w:hAnsiTheme="majorEastAsia" w:eastAsiaTheme="majorEastAsia"/>
          <w:highlight w:val="none"/>
          <w:u w:val="single"/>
        </w:rPr>
        <w:t>以</w:t>
      </w:r>
      <w:r>
        <w:rPr>
          <w:rFonts w:asciiTheme="majorEastAsia" w:hAnsiTheme="majorEastAsia" w:eastAsiaTheme="majorEastAsia"/>
          <w:highlight w:val="none"/>
          <w:u w:val="single"/>
        </w:rPr>
        <w:t>批准的建设用地</w:t>
      </w:r>
      <w:r>
        <w:rPr>
          <w:rFonts w:hint="eastAsia" w:asciiTheme="majorEastAsia" w:hAnsiTheme="majorEastAsia" w:eastAsiaTheme="majorEastAsia"/>
          <w:highlight w:val="none"/>
          <w:u w:val="single"/>
        </w:rPr>
        <w:t>规划许可证及相关</w:t>
      </w:r>
      <w:r>
        <w:rPr>
          <w:rFonts w:asciiTheme="majorEastAsia" w:hAnsiTheme="majorEastAsia" w:eastAsiaTheme="majorEastAsia"/>
          <w:highlight w:val="none"/>
          <w:u w:val="single"/>
        </w:rPr>
        <w:t>文件执行</w:t>
      </w:r>
      <w:r>
        <w:rPr>
          <w:rFonts w:hint="eastAsia" w:asciiTheme="majorEastAsia" w:hAnsiTheme="majorEastAsia" w:eastAsiaTheme="majorEastAsia"/>
          <w:highlight w:val="none"/>
          <w:u w:val="single"/>
        </w:rPr>
        <w:t>为准</w:t>
      </w:r>
      <w:r>
        <w:rPr>
          <w:rFonts w:hint="eastAsia" w:asciiTheme="majorEastAsia" w:hAnsiTheme="majorEastAsia" w:eastAsiaTheme="majorEastAsia"/>
          <w:highlight w:val="none"/>
        </w:rPr>
        <w:t>。</w:t>
      </w:r>
    </w:p>
    <w:p w14:paraId="05E9B468">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1.1.3.11</w:t>
      </w:r>
      <w:r>
        <w:rPr>
          <w:rFonts w:hint="eastAsia" w:asciiTheme="majorEastAsia" w:hAnsiTheme="majorEastAsia" w:eastAsiaTheme="majorEastAsia"/>
          <w:highlight w:val="none"/>
        </w:rPr>
        <w:t>临时占地包括：</w:t>
      </w:r>
      <w:r>
        <w:rPr>
          <w:rFonts w:hint="eastAsia" w:asciiTheme="majorEastAsia" w:hAnsiTheme="majorEastAsia" w:eastAsiaTheme="majorEastAsia"/>
          <w:highlight w:val="none"/>
          <w:u w:val="single"/>
        </w:rPr>
        <w:t>除发包人提供的施工用地范围外所涉及到的临时用地范围</w:t>
      </w:r>
      <w:r>
        <w:rPr>
          <w:rFonts w:hint="eastAsia" w:asciiTheme="majorEastAsia" w:hAnsiTheme="majorEastAsia" w:eastAsiaTheme="majorEastAsia"/>
          <w:highlight w:val="none"/>
        </w:rPr>
        <w:t>。</w:t>
      </w:r>
    </w:p>
    <w:p w14:paraId="0FD9B8CF">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1.2</w:t>
      </w:r>
      <w:r>
        <w:rPr>
          <w:rFonts w:hint="eastAsia" w:asciiTheme="majorEastAsia" w:hAnsiTheme="majorEastAsia" w:eastAsiaTheme="majorEastAsia"/>
          <w:highlight w:val="none"/>
        </w:rPr>
        <w:t>语言文字</w:t>
      </w:r>
    </w:p>
    <w:p w14:paraId="04AA53B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本合同除使用汉语外，还使用</w:t>
      </w:r>
      <w:r>
        <w:rPr>
          <w:rFonts w:asciiTheme="majorEastAsia" w:hAnsiTheme="majorEastAsia" w:eastAsiaTheme="majorEastAsia"/>
          <w:highlight w:val="none"/>
          <w:u w:val="single"/>
        </w:rPr>
        <w:t xml:space="preserve"> / </w:t>
      </w:r>
      <w:r>
        <w:rPr>
          <w:rFonts w:hint="eastAsia" w:asciiTheme="majorEastAsia" w:hAnsiTheme="majorEastAsia" w:eastAsiaTheme="majorEastAsia"/>
          <w:highlight w:val="none"/>
        </w:rPr>
        <w:t>语言。</w:t>
      </w:r>
    </w:p>
    <w:p w14:paraId="110D4362">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1.3</w:t>
      </w:r>
      <w:r>
        <w:rPr>
          <w:rFonts w:hint="eastAsia" w:asciiTheme="majorEastAsia" w:hAnsiTheme="majorEastAsia" w:eastAsiaTheme="majorEastAsia"/>
          <w:highlight w:val="none"/>
        </w:rPr>
        <w:t>法律</w:t>
      </w:r>
    </w:p>
    <w:p w14:paraId="388BE27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适用于合同的其他规范性文件：</w:t>
      </w:r>
      <w:r>
        <w:rPr>
          <w:rFonts w:hint="eastAsia" w:asciiTheme="majorEastAsia" w:hAnsiTheme="majorEastAsia" w:eastAsiaTheme="majorEastAsia"/>
          <w:highlight w:val="none"/>
          <w:u w:val="single"/>
        </w:rPr>
        <w:t>《中华人民共和国招标投标法》、《中华人民共和国民法典》、《中华人民共和国建筑法》、《建设工程质量管理条例》、《建设工程安全生产管理条例》、《房屋建筑和市政基础设施项目工程总承包管理办法》、及合同协议书中的相关标准要求和其它相关法律、法规</w:t>
      </w:r>
      <w:r>
        <w:rPr>
          <w:rFonts w:hint="eastAsia" w:asciiTheme="majorEastAsia" w:hAnsiTheme="majorEastAsia" w:eastAsiaTheme="majorEastAsia"/>
          <w:highlight w:val="none"/>
        </w:rPr>
        <w:t>。</w:t>
      </w:r>
    </w:p>
    <w:p w14:paraId="72969AA5">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w:t>
      </w:r>
      <w:r>
        <w:rPr>
          <w:rFonts w:hint="eastAsia" w:asciiTheme="majorEastAsia" w:hAnsiTheme="majorEastAsia" w:eastAsiaTheme="majorEastAsia"/>
          <w:highlight w:val="none"/>
        </w:rPr>
        <w:t>标准和规范</w:t>
      </w:r>
    </w:p>
    <w:p w14:paraId="5AB0782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1.4.1</w:t>
      </w:r>
      <w:r>
        <w:rPr>
          <w:rFonts w:hint="eastAsia" w:asciiTheme="majorEastAsia" w:hAnsiTheme="majorEastAsia" w:eastAsiaTheme="majorEastAsia"/>
          <w:highlight w:val="none"/>
        </w:rPr>
        <w:t>适用于本合同的标准、规范（名称）包括：</w:t>
      </w:r>
      <w:r>
        <w:rPr>
          <w:rFonts w:hint="eastAsia" w:asciiTheme="majorEastAsia" w:hAnsiTheme="majorEastAsia" w:eastAsiaTheme="majorEastAsia"/>
          <w:highlight w:val="none"/>
          <w:u w:val="single"/>
        </w:rPr>
        <w:t>国家及云南省现行的有关标准、规范，包括以下标准、规范（但不限于）：《中华人民共和国民法典》、《中华人民共和国建筑法》、《中华人民共和国招标投标法》、《中华人民共和国安全生产法》、《建设工程安全生产管理条例》（国务院令第</w:t>
      </w:r>
      <w:r>
        <w:rPr>
          <w:rFonts w:asciiTheme="majorEastAsia" w:hAnsiTheme="majorEastAsia" w:eastAsiaTheme="majorEastAsia"/>
          <w:highlight w:val="none"/>
          <w:u w:val="single"/>
        </w:rPr>
        <w:t>393号）、《建设工程质量管理条例》（国务院令第279号）、《城市建设档案管理规定》（建设部令第90号）</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u w:val="single"/>
          <w:lang w:eastAsia="zh-CN"/>
        </w:rPr>
        <w:t>按《建设工程工程量清单计价规范》（GB/T 50500-2024）中规定的工程量清单计价方式计价，计价标准执行“云建标[2013]989号文”等现行有关配套计价文件，</w:t>
      </w:r>
      <w:r>
        <w:rPr>
          <w:rFonts w:asciiTheme="majorEastAsia" w:hAnsiTheme="majorEastAsia" w:eastAsiaTheme="majorEastAsia"/>
          <w:highlight w:val="none"/>
          <w:u w:val="single"/>
        </w:rPr>
        <w:t>云南省住房和城乡建设厅关于《云南省建设工程造价计价标准（2020）版》发布实施的通知、《云南省建设工程造价计价规则及机械仪器台班费用定额》（DBJ53/T-58-2020）、《云南省市政工</w:t>
      </w:r>
      <w:r>
        <w:rPr>
          <w:rFonts w:hint="eastAsia" w:asciiTheme="majorEastAsia" w:hAnsiTheme="majorEastAsia" w:eastAsiaTheme="majorEastAsia"/>
          <w:highlight w:val="none"/>
          <w:u w:val="single"/>
        </w:rPr>
        <w:t>程计价标准》（</w:t>
      </w:r>
      <w:r>
        <w:rPr>
          <w:rFonts w:asciiTheme="majorEastAsia" w:hAnsiTheme="majorEastAsia" w:eastAsiaTheme="majorEastAsia"/>
          <w:highlight w:val="none"/>
          <w:u w:val="single"/>
        </w:rPr>
        <w:t>DBJ53/T-59-2020）、《云南省园林绿化工程计价标准》（DBJ53/T-60-2020）、《云南省建筑工程计价标准》（DBJ53/T-61-2020）、《云南省通用安装工程计价标准》（DBJ53/T-63-2020）及云南省现行相关计量及计价等文件</w:t>
      </w:r>
      <w:r>
        <w:rPr>
          <w:rFonts w:hint="eastAsia" w:asciiTheme="majorEastAsia" w:hAnsiTheme="majorEastAsia" w:eastAsiaTheme="majorEastAsia"/>
          <w:highlight w:val="none"/>
        </w:rPr>
        <w:t>。</w:t>
      </w:r>
    </w:p>
    <w:p w14:paraId="29FDA6B5">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1.4.2</w:t>
      </w:r>
      <w:r>
        <w:rPr>
          <w:rFonts w:hint="eastAsia" w:asciiTheme="majorEastAsia" w:hAnsiTheme="majorEastAsia" w:eastAsiaTheme="majorEastAsia"/>
          <w:highlight w:val="none"/>
        </w:rPr>
        <w:t>发包人提供的国外标准、规范的名称：</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；发包人提供的国外标准、规范的份数：</w:t>
      </w:r>
      <w:r>
        <w:rPr>
          <w:rFonts w:asciiTheme="majorEastAsia" w:hAnsiTheme="majorEastAsia" w:eastAsiaTheme="majorEastAsia"/>
          <w:highlight w:val="none"/>
        </w:rPr>
        <w:t xml:space="preserve"> </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；发包人提供的国外标准、规范的时间：</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7E885670">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1.4.3</w:t>
      </w:r>
      <w:r>
        <w:rPr>
          <w:rFonts w:hint="eastAsia" w:asciiTheme="majorEastAsia" w:hAnsiTheme="majorEastAsia" w:eastAsiaTheme="majorEastAsia"/>
          <w:highlight w:val="none"/>
        </w:rPr>
        <w:t>没有成文规范、标准规定的约定：</w:t>
      </w:r>
      <w:r>
        <w:rPr>
          <w:rFonts w:hint="eastAsia" w:asciiTheme="majorEastAsia" w:hAnsiTheme="majorEastAsia" w:eastAsiaTheme="majorEastAsia"/>
          <w:highlight w:val="none"/>
          <w:u w:val="single"/>
        </w:rPr>
        <w:t>按招标文件中发包人要求，及行业现行相关最新标准执行</w:t>
      </w:r>
      <w:r>
        <w:rPr>
          <w:rFonts w:hint="eastAsia" w:asciiTheme="majorEastAsia" w:hAnsiTheme="majorEastAsia" w:eastAsiaTheme="majorEastAsia"/>
          <w:highlight w:val="none"/>
        </w:rPr>
        <w:t>。</w:t>
      </w:r>
    </w:p>
    <w:p w14:paraId="2899E748">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1.4.4</w:t>
      </w:r>
      <w:r>
        <w:rPr>
          <w:rFonts w:hint="eastAsia" w:asciiTheme="majorEastAsia" w:hAnsiTheme="majorEastAsia" w:eastAsiaTheme="majorEastAsia"/>
          <w:highlight w:val="none"/>
        </w:rPr>
        <w:t>发包人对于工程的技术标准、功能要求：</w:t>
      </w:r>
      <w:r>
        <w:rPr>
          <w:rFonts w:hint="eastAsia" w:asciiTheme="majorEastAsia" w:hAnsiTheme="majorEastAsia" w:eastAsiaTheme="majorEastAsia"/>
          <w:highlight w:val="none"/>
          <w:u w:val="single"/>
        </w:rPr>
        <w:t>按招标文件中发包人要求及适用于工程的国家标准、行业标准、工程所在地的地方性标准，以及相应的规范、规程等执行，费用已包含在签约合同价中，发包人不再另行支付</w:t>
      </w:r>
      <w:r>
        <w:rPr>
          <w:rFonts w:hint="eastAsia" w:asciiTheme="majorEastAsia" w:hAnsiTheme="majorEastAsia" w:eastAsiaTheme="majorEastAsia"/>
          <w:highlight w:val="none"/>
        </w:rPr>
        <w:t>。</w:t>
      </w:r>
    </w:p>
    <w:p w14:paraId="2D8A5F5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1.5</w:t>
      </w:r>
      <w:r>
        <w:rPr>
          <w:rFonts w:hint="eastAsia" w:asciiTheme="majorEastAsia" w:hAnsiTheme="majorEastAsia" w:eastAsiaTheme="majorEastAsia"/>
          <w:highlight w:val="none"/>
        </w:rPr>
        <w:t>合同文件的优先顺序</w:t>
      </w:r>
    </w:p>
    <w:p w14:paraId="02F7B9E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合同文件组成及优先顺序为：</w:t>
      </w:r>
      <w:r>
        <w:rPr>
          <w:rFonts w:hint="eastAsia" w:asciiTheme="majorEastAsia" w:hAnsiTheme="majorEastAsia" w:eastAsiaTheme="majorEastAsia"/>
          <w:highlight w:val="none"/>
          <w:u w:val="single"/>
        </w:rPr>
        <w:t>（1）合同协议书；（2）中标通知书；（3）投标函及投标函附录（如果有）；（4）专用合同条件及《发包人要求》等附件；（5）通用合同条件；（6）承包人建议书；（7）价格清单；（8）</w:t>
      </w:r>
      <w:r>
        <w:rPr>
          <w:rFonts w:asciiTheme="majorEastAsia" w:hAnsiTheme="majorEastAsia" w:eastAsiaTheme="majorEastAsia"/>
          <w:highlight w:val="none"/>
          <w:u w:val="single"/>
        </w:rPr>
        <w:t>设计变更、工程签证等变更资料</w:t>
      </w:r>
      <w:r>
        <w:rPr>
          <w:rFonts w:hint="eastAsia" w:asciiTheme="majorEastAsia" w:hAnsiTheme="majorEastAsia" w:eastAsiaTheme="majorEastAsia"/>
          <w:highlight w:val="none"/>
          <w:u w:val="single"/>
        </w:rPr>
        <w:t>；（9）</w:t>
      </w:r>
      <w:r>
        <w:rPr>
          <w:rFonts w:asciiTheme="majorEastAsia" w:hAnsiTheme="majorEastAsia" w:eastAsiaTheme="majorEastAsia"/>
          <w:highlight w:val="none"/>
          <w:u w:val="single"/>
        </w:rPr>
        <w:t>本合同补充协议</w:t>
      </w:r>
      <w:r>
        <w:rPr>
          <w:rFonts w:hint="eastAsia" w:asciiTheme="majorEastAsia" w:hAnsiTheme="majorEastAsia" w:eastAsiaTheme="majorEastAsia"/>
          <w:highlight w:val="none"/>
          <w:u w:val="single"/>
        </w:rPr>
        <w:t>；（10）</w:t>
      </w:r>
      <w:r>
        <w:rPr>
          <w:rFonts w:asciiTheme="majorEastAsia" w:hAnsiTheme="majorEastAsia" w:eastAsiaTheme="majorEastAsia"/>
          <w:highlight w:val="none"/>
          <w:u w:val="single"/>
        </w:rPr>
        <w:t>技术标准和要求</w:t>
      </w:r>
      <w:r>
        <w:rPr>
          <w:rFonts w:hint="eastAsia" w:asciiTheme="majorEastAsia" w:hAnsiTheme="majorEastAsia" w:eastAsiaTheme="majorEastAsia"/>
          <w:highlight w:val="none"/>
          <w:u w:val="single"/>
        </w:rPr>
        <w:t>；（11）</w:t>
      </w:r>
      <w:r>
        <w:rPr>
          <w:rFonts w:asciiTheme="majorEastAsia" w:hAnsiTheme="majorEastAsia" w:eastAsiaTheme="majorEastAsia"/>
          <w:highlight w:val="none"/>
          <w:u w:val="single"/>
        </w:rPr>
        <w:t>图</w:t>
      </w:r>
      <w:r>
        <w:rPr>
          <w:rFonts w:hint="eastAsia" w:asciiTheme="majorEastAsia" w:hAnsiTheme="majorEastAsia" w:eastAsiaTheme="majorEastAsia"/>
          <w:highlight w:val="none"/>
          <w:u w:val="single"/>
        </w:rPr>
        <w:t>纸；（12）</w:t>
      </w:r>
      <w:r>
        <w:rPr>
          <w:rFonts w:asciiTheme="majorEastAsia" w:hAnsiTheme="majorEastAsia" w:eastAsiaTheme="majorEastAsia"/>
          <w:highlight w:val="none"/>
          <w:u w:val="single"/>
        </w:rPr>
        <w:t>其它合同文件</w:t>
      </w:r>
      <w:r>
        <w:rPr>
          <w:rFonts w:hint="eastAsia" w:asciiTheme="majorEastAsia" w:hAnsiTheme="majorEastAsia" w:eastAsiaTheme="majorEastAsia"/>
          <w:highlight w:val="none"/>
        </w:rPr>
        <w:t>。</w:t>
      </w:r>
    </w:p>
    <w:p w14:paraId="4C9CF64B">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1.6</w:t>
      </w:r>
      <w:r>
        <w:rPr>
          <w:rFonts w:hint="eastAsia" w:asciiTheme="majorEastAsia" w:hAnsiTheme="majorEastAsia" w:eastAsiaTheme="majorEastAsia"/>
          <w:highlight w:val="none"/>
        </w:rPr>
        <w:t>文件的提供和照管</w:t>
      </w:r>
    </w:p>
    <w:p w14:paraId="5DA798BB">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1.6.1</w:t>
      </w:r>
      <w:r>
        <w:rPr>
          <w:rFonts w:hint="eastAsia" w:asciiTheme="majorEastAsia" w:hAnsiTheme="majorEastAsia" w:eastAsiaTheme="majorEastAsia"/>
          <w:highlight w:val="none"/>
        </w:rPr>
        <w:t>发包人文件的提供</w:t>
      </w:r>
    </w:p>
    <w:p w14:paraId="47D92DA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发包人文件的提供期限、名称、数量和形式：</w:t>
      </w:r>
      <w:r>
        <w:rPr>
          <w:rFonts w:hint="eastAsia" w:asciiTheme="majorEastAsia" w:hAnsiTheme="majorEastAsia" w:eastAsiaTheme="majorEastAsia"/>
          <w:highlight w:val="none"/>
          <w:u w:val="single"/>
        </w:rPr>
        <w:t>（1）发包人在发出签订合同后10天内应向承包人提供经发包人确定的签字盖章后的纸质版设计任务书、功能需求；（2）地下管线、详勘等现有的基础资料以及现场施工等工程实施所需的文件，承包人在接收上述资料当日起21天内应向发包人书面提交以上资料的书面意见；发包人应在收到承包人提交的书面意见后5个工作日内对承包人提出的意见进行书面回复。（3）承包人未按时提交书面意见的，视为承包人已对施工现场及周围环境进行了踏勘并对发包人提交的相应的资料予已认可，并已充分了解评估施工现场及周围环境对工程可能产生的影响</w:t>
      </w:r>
      <w:r>
        <w:rPr>
          <w:rFonts w:hint="eastAsia" w:asciiTheme="majorEastAsia" w:hAnsiTheme="majorEastAsia" w:eastAsiaTheme="majorEastAsia"/>
          <w:highlight w:val="none"/>
        </w:rPr>
        <w:t>。</w:t>
      </w:r>
    </w:p>
    <w:p w14:paraId="0379C65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1.6.2</w:t>
      </w:r>
      <w:r>
        <w:rPr>
          <w:rFonts w:hint="eastAsia" w:asciiTheme="majorEastAsia" w:hAnsiTheme="majorEastAsia" w:eastAsiaTheme="majorEastAsia"/>
          <w:highlight w:val="none"/>
        </w:rPr>
        <w:t>承包人文件的提供</w:t>
      </w:r>
    </w:p>
    <w:p w14:paraId="4365252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承包人文件的内容、提供期限、名称、数量和形式：</w:t>
      </w:r>
      <w:r>
        <w:rPr>
          <w:rFonts w:hint="eastAsia" w:asciiTheme="majorEastAsia" w:hAnsiTheme="majorEastAsia" w:eastAsiaTheme="majorEastAsia"/>
          <w:highlight w:val="none"/>
          <w:u w:val="single"/>
        </w:rPr>
        <w:t>按发包人要求提供，包括但不限于施工图设计各专业图纸、施工图预算、竣工图，</w:t>
      </w:r>
      <w:r>
        <w:rPr>
          <w:rFonts w:asciiTheme="majorEastAsia" w:hAnsiTheme="majorEastAsia" w:eastAsiaTheme="majorEastAsia"/>
          <w:highlight w:val="none"/>
          <w:u w:val="single"/>
        </w:rPr>
        <w:t>（满足项目上级主管部门和地方竣工验收及备案要求）、</w:t>
      </w:r>
      <w:r>
        <w:rPr>
          <w:rFonts w:hint="eastAsia" w:asciiTheme="majorEastAsia" w:hAnsiTheme="majorEastAsia" w:eastAsiaTheme="majorEastAsia"/>
          <w:highlight w:val="none"/>
          <w:u w:val="single"/>
        </w:rPr>
        <w:t>发包人</w:t>
      </w:r>
      <w:r>
        <w:rPr>
          <w:rFonts w:asciiTheme="majorEastAsia" w:hAnsiTheme="majorEastAsia" w:eastAsiaTheme="majorEastAsia"/>
          <w:highlight w:val="none"/>
          <w:u w:val="single"/>
        </w:rPr>
        <w:t>要求提供的阶段性和临时性资料</w:t>
      </w:r>
      <w:r>
        <w:rPr>
          <w:rFonts w:hint="eastAsia" w:asciiTheme="majorEastAsia" w:hAnsiTheme="majorEastAsia" w:eastAsiaTheme="majorEastAsia"/>
          <w:highlight w:val="none"/>
          <w:u w:val="single"/>
        </w:rPr>
        <w:t>等，签订合同后</w:t>
      </w:r>
      <w:r>
        <w:rPr>
          <w:rFonts w:hint="eastAsia" w:asciiTheme="majorEastAsia" w:hAnsiTheme="majorEastAsia" w:eastAsiaTheme="majorEastAsia"/>
          <w:highlight w:val="none"/>
          <w:u w:val="single"/>
          <w:lang w:val="en-US" w:eastAsia="zh-CN"/>
        </w:rPr>
        <w:t>30</w:t>
      </w:r>
      <w:r>
        <w:rPr>
          <w:rFonts w:hint="eastAsia" w:asciiTheme="majorEastAsia" w:hAnsiTheme="majorEastAsia" w:eastAsiaTheme="majorEastAsia"/>
          <w:highlight w:val="none"/>
          <w:u w:val="single"/>
        </w:rPr>
        <w:t>日内完成施工图并通过图审</w:t>
      </w:r>
      <w:r>
        <w:rPr>
          <w:rFonts w:hint="eastAsia" w:asciiTheme="majorEastAsia" w:hAnsiTheme="majorEastAsia" w:eastAsiaTheme="majorEastAsia"/>
          <w:highlight w:val="none"/>
        </w:rPr>
        <w:t>。</w:t>
      </w:r>
    </w:p>
    <w:p w14:paraId="0F6B5E1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1.6.4</w:t>
      </w:r>
      <w:r>
        <w:rPr>
          <w:rFonts w:hint="eastAsia" w:asciiTheme="majorEastAsia" w:hAnsiTheme="majorEastAsia" w:eastAsiaTheme="majorEastAsia"/>
          <w:highlight w:val="none"/>
        </w:rPr>
        <w:t>文件的照管</w:t>
      </w:r>
    </w:p>
    <w:p w14:paraId="161D0DF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关于现场文件准备的约定：</w:t>
      </w:r>
      <w:r>
        <w:rPr>
          <w:rFonts w:asciiTheme="majorEastAsia" w:hAnsiTheme="majorEastAsia" w:eastAsiaTheme="majorEastAsia"/>
          <w:highlight w:val="none"/>
          <w:u w:val="single"/>
        </w:rPr>
        <w:t>承包人应在现场保存一套完整正式版图纸及文件，以备现场使用</w:t>
      </w:r>
      <w:r>
        <w:rPr>
          <w:rFonts w:hint="eastAsia" w:asciiTheme="majorEastAsia" w:hAnsiTheme="majorEastAsia" w:eastAsiaTheme="majorEastAsia"/>
          <w:highlight w:val="none"/>
        </w:rPr>
        <w:t>。</w:t>
      </w:r>
    </w:p>
    <w:p w14:paraId="32CF1459">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1.7</w:t>
      </w:r>
      <w:r>
        <w:rPr>
          <w:rFonts w:hint="eastAsia" w:asciiTheme="majorEastAsia" w:hAnsiTheme="majorEastAsia" w:eastAsiaTheme="majorEastAsia"/>
          <w:highlight w:val="none"/>
        </w:rPr>
        <w:t>联络</w:t>
      </w:r>
    </w:p>
    <w:p w14:paraId="56F9308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1.7.2</w:t>
      </w:r>
      <w:r>
        <w:rPr>
          <w:rFonts w:hint="eastAsia" w:asciiTheme="majorEastAsia" w:hAnsiTheme="majorEastAsia" w:eastAsiaTheme="majorEastAsia"/>
          <w:highlight w:val="none"/>
        </w:rPr>
        <w:t>发包人指定的送达方式（包括电子传输方式）：</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5719AEA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发包人的送达地址：</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705DD85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承包人指定的送达方式（包括电子传输方式）：</w:t>
      </w:r>
      <w:r>
        <w:rPr>
          <w:rFonts w:hint="eastAsia" w:asciiTheme="majorEastAsia" w:hAnsiTheme="majorEastAsia" w:eastAsiaTheme="majorEastAsia"/>
          <w:highlight w:val="none"/>
          <w:u w:val="single"/>
        </w:rPr>
        <w:t xml:space="preserve"> </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65EF95A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承包人的送达地址：</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185F4E2A">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1.10</w:t>
      </w:r>
      <w:r>
        <w:rPr>
          <w:rFonts w:hint="eastAsia" w:asciiTheme="majorEastAsia" w:hAnsiTheme="majorEastAsia" w:eastAsiaTheme="majorEastAsia"/>
          <w:highlight w:val="none"/>
        </w:rPr>
        <w:t>知识产权</w:t>
      </w:r>
    </w:p>
    <w:p w14:paraId="1DE356B1">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1.10.1</w:t>
      </w:r>
      <w:r>
        <w:rPr>
          <w:rFonts w:hint="eastAsia" w:asciiTheme="majorEastAsia" w:hAnsiTheme="majorEastAsia" w:eastAsiaTheme="majorEastAsia"/>
          <w:highlight w:val="none"/>
        </w:rPr>
        <w:t>由发包人（或以发包人名义）编制的《发包人要求》和其他文件的著作权归属：</w:t>
      </w:r>
      <w:r>
        <w:rPr>
          <w:rFonts w:hint="eastAsia" w:asciiTheme="majorEastAsia" w:hAnsiTheme="majorEastAsia" w:eastAsiaTheme="majorEastAsia"/>
          <w:highlight w:val="none"/>
          <w:u w:val="single"/>
        </w:rPr>
        <w:t>属于发包人</w:t>
      </w:r>
      <w:r>
        <w:rPr>
          <w:rFonts w:hint="eastAsia" w:asciiTheme="majorEastAsia" w:hAnsiTheme="majorEastAsia" w:eastAsiaTheme="majorEastAsia"/>
          <w:highlight w:val="none"/>
        </w:rPr>
        <w:t>。</w:t>
      </w:r>
    </w:p>
    <w:p w14:paraId="0AEAEB85">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1.10.2</w:t>
      </w:r>
      <w:r>
        <w:rPr>
          <w:rFonts w:hint="eastAsia" w:asciiTheme="majorEastAsia" w:hAnsiTheme="majorEastAsia" w:eastAsiaTheme="majorEastAsia"/>
          <w:highlight w:val="none"/>
        </w:rPr>
        <w:t>由承包人（或以承包人名义）为实施工程所编制的文件、承包人完成的设计工作成果和建造完成的建筑物的知识产权归属：</w:t>
      </w:r>
      <w:r>
        <w:rPr>
          <w:rFonts w:hint="eastAsia" w:asciiTheme="majorEastAsia" w:hAnsiTheme="majorEastAsia" w:eastAsiaTheme="majorEastAsia"/>
          <w:highlight w:val="none"/>
          <w:u w:val="single"/>
        </w:rPr>
        <w:t>属于发包人</w:t>
      </w:r>
      <w:r>
        <w:rPr>
          <w:rFonts w:hint="eastAsia" w:asciiTheme="majorEastAsia" w:hAnsiTheme="majorEastAsia" w:eastAsiaTheme="majorEastAsia"/>
          <w:highlight w:val="none"/>
        </w:rPr>
        <w:t>。</w:t>
      </w:r>
    </w:p>
    <w:p w14:paraId="0C1407B4">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1.10.4</w:t>
      </w:r>
      <w:r>
        <w:rPr>
          <w:rFonts w:hint="eastAsia" w:asciiTheme="majorEastAsia" w:hAnsiTheme="majorEastAsia" w:eastAsiaTheme="majorEastAsia"/>
          <w:highlight w:val="none"/>
        </w:rPr>
        <w:t>承包人在投标文件中采用的专利、专有技术、技术秘密的使用费的承担方式：</w:t>
      </w:r>
      <w:r>
        <w:rPr>
          <w:rFonts w:asciiTheme="majorEastAsia" w:hAnsiTheme="majorEastAsia" w:eastAsiaTheme="majorEastAsia"/>
          <w:highlight w:val="none"/>
          <w:u w:val="single"/>
        </w:rPr>
        <w:t>承包人在投标文件中已确定采用的专利、专有技术、技术秘密的使用费已包含</w:t>
      </w:r>
      <w:r>
        <w:rPr>
          <w:rFonts w:hint="eastAsia" w:asciiTheme="majorEastAsia" w:hAnsiTheme="majorEastAsia" w:eastAsiaTheme="majorEastAsia"/>
          <w:highlight w:val="none"/>
          <w:u w:val="single"/>
        </w:rPr>
        <w:t>在签约合同价</w:t>
      </w:r>
      <w:r>
        <w:rPr>
          <w:rFonts w:asciiTheme="majorEastAsia" w:hAnsiTheme="majorEastAsia" w:eastAsiaTheme="majorEastAsia"/>
          <w:highlight w:val="none"/>
          <w:u w:val="single"/>
        </w:rPr>
        <w:t>中，发包</w:t>
      </w:r>
      <w:r>
        <w:rPr>
          <w:rFonts w:hint="eastAsia" w:asciiTheme="majorEastAsia" w:hAnsiTheme="majorEastAsia" w:eastAsiaTheme="majorEastAsia"/>
          <w:highlight w:val="none"/>
          <w:u w:val="single"/>
        </w:rPr>
        <w:t>人</w:t>
      </w:r>
      <w:r>
        <w:rPr>
          <w:rFonts w:asciiTheme="majorEastAsia" w:hAnsiTheme="majorEastAsia" w:eastAsiaTheme="majorEastAsia"/>
          <w:highlight w:val="none"/>
          <w:u w:val="single"/>
        </w:rPr>
        <w:t>不再另行支付</w:t>
      </w:r>
      <w:r>
        <w:rPr>
          <w:rFonts w:hint="eastAsia" w:asciiTheme="majorEastAsia" w:hAnsiTheme="majorEastAsia" w:eastAsiaTheme="majorEastAsia"/>
          <w:highlight w:val="none"/>
        </w:rPr>
        <w:t>。</w:t>
      </w:r>
    </w:p>
    <w:p w14:paraId="0A2BE64B">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1.11</w:t>
      </w:r>
      <w:r>
        <w:rPr>
          <w:rFonts w:hint="eastAsia" w:asciiTheme="majorEastAsia" w:hAnsiTheme="majorEastAsia" w:eastAsiaTheme="majorEastAsia"/>
          <w:highlight w:val="none"/>
        </w:rPr>
        <w:t>保密</w:t>
      </w:r>
    </w:p>
    <w:p w14:paraId="2E014DB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双方订立的商业保密协议（名称）：</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，作为本合同附件。</w:t>
      </w:r>
    </w:p>
    <w:p w14:paraId="2F9FBD9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双方订立的技术保密协议（名称）：</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，作为本合同附件。</w:t>
      </w:r>
    </w:p>
    <w:p w14:paraId="4F6C0E2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w:t>
      </w:r>
      <w:r>
        <w:rPr>
          <w:rFonts w:hint="eastAsia" w:asciiTheme="majorEastAsia" w:hAnsiTheme="majorEastAsia" w:eastAsiaTheme="majorEastAsia"/>
          <w:highlight w:val="none"/>
        </w:rPr>
        <w:t>2《发包人要求》和基础资料中的错误</w:t>
      </w:r>
    </w:p>
    <w:p w14:paraId="52BD825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通用条件1.12条约定为：</w:t>
      </w:r>
      <w:r>
        <w:rPr>
          <w:rFonts w:hint="eastAsia" w:asciiTheme="majorEastAsia" w:hAnsiTheme="majorEastAsia" w:eastAsiaTheme="majorEastAsia"/>
          <w:highlight w:val="none"/>
          <w:u w:val="single"/>
        </w:rPr>
        <w:t>承包人应</w:t>
      </w:r>
      <w:r>
        <w:rPr>
          <w:rFonts w:asciiTheme="majorEastAsia" w:hAnsiTheme="majorEastAsia" w:eastAsiaTheme="majorEastAsia"/>
          <w:highlight w:val="none"/>
          <w:u w:val="single"/>
        </w:rPr>
        <w:t>认真阅读、复核</w:t>
      </w:r>
      <w:r>
        <w:rPr>
          <w:rFonts w:hint="eastAsia" w:asciiTheme="majorEastAsia" w:hAnsiTheme="majorEastAsia" w:eastAsiaTheme="majorEastAsia"/>
          <w:highlight w:val="none"/>
          <w:u w:val="single"/>
        </w:rPr>
        <w:t>《发包人要求》以及其提供的基础资料，</w:t>
      </w:r>
      <w:r>
        <w:rPr>
          <w:rFonts w:asciiTheme="majorEastAsia" w:hAnsiTheme="majorEastAsia" w:eastAsiaTheme="majorEastAsia"/>
          <w:highlight w:val="none"/>
          <w:u w:val="single"/>
        </w:rPr>
        <w:t>发现错误的，应</w:t>
      </w:r>
      <w:r>
        <w:rPr>
          <w:rFonts w:hint="eastAsia" w:asciiTheme="majorEastAsia" w:hAnsiTheme="majorEastAsia" w:eastAsiaTheme="majorEastAsia"/>
          <w:highlight w:val="none"/>
          <w:u w:val="single"/>
        </w:rPr>
        <w:t>在收到发包人要求</w:t>
      </w:r>
      <w:r>
        <w:rPr>
          <w:rFonts w:asciiTheme="majorEastAsia" w:hAnsiTheme="majorEastAsia" w:eastAsiaTheme="majorEastAsia"/>
          <w:highlight w:val="none"/>
          <w:u w:val="single"/>
        </w:rPr>
        <w:t>21</w:t>
      </w:r>
      <w:r>
        <w:rPr>
          <w:rFonts w:hint="eastAsia" w:asciiTheme="majorEastAsia" w:hAnsiTheme="majorEastAsia" w:eastAsiaTheme="majorEastAsia"/>
          <w:highlight w:val="none"/>
          <w:u w:val="single"/>
        </w:rPr>
        <w:t>天内</w:t>
      </w:r>
      <w:r>
        <w:rPr>
          <w:rFonts w:asciiTheme="majorEastAsia" w:hAnsiTheme="majorEastAsia" w:eastAsiaTheme="majorEastAsia"/>
          <w:highlight w:val="none"/>
          <w:u w:val="single"/>
        </w:rPr>
        <w:t>书面通知发包人补正</w:t>
      </w:r>
      <w:r>
        <w:rPr>
          <w:rFonts w:hint="eastAsia" w:asciiTheme="majorEastAsia" w:hAnsiTheme="majorEastAsia" w:eastAsiaTheme="majorEastAsia"/>
          <w:highlight w:val="none"/>
          <w:u w:val="single"/>
        </w:rPr>
        <w:t>，由</w:t>
      </w:r>
      <w:r>
        <w:rPr>
          <w:rFonts w:asciiTheme="majorEastAsia" w:hAnsiTheme="majorEastAsia" w:eastAsiaTheme="majorEastAsia"/>
          <w:highlight w:val="none"/>
          <w:u w:val="single"/>
        </w:rPr>
        <w:t>发包人作相应</w:t>
      </w:r>
      <w:r>
        <w:rPr>
          <w:rFonts w:hint="eastAsia" w:asciiTheme="majorEastAsia" w:hAnsiTheme="majorEastAsia" w:eastAsiaTheme="majorEastAsia"/>
          <w:highlight w:val="none"/>
          <w:u w:val="single"/>
        </w:rPr>
        <w:t>澄清发包人在收到承包人书面通知后，应在5个工作日内对相关问题进行回复及澄清；</w:t>
      </w:r>
      <w:r>
        <w:rPr>
          <w:rFonts w:asciiTheme="majorEastAsia" w:hAnsiTheme="majorEastAsia" w:eastAsiaTheme="majorEastAsia"/>
          <w:highlight w:val="none"/>
          <w:u w:val="single"/>
        </w:rPr>
        <w:t>承包人未</w:t>
      </w:r>
      <w:r>
        <w:rPr>
          <w:rFonts w:hint="eastAsia" w:asciiTheme="majorEastAsia" w:hAnsiTheme="majorEastAsia" w:eastAsiaTheme="majorEastAsia"/>
          <w:highlight w:val="none"/>
          <w:u w:val="single"/>
        </w:rPr>
        <w:t>在期限内</w:t>
      </w:r>
      <w:r>
        <w:rPr>
          <w:rFonts w:asciiTheme="majorEastAsia" w:hAnsiTheme="majorEastAsia" w:eastAsiaTheme="majorEastAsia"/>
          <w:highlight w:val="none"/>
          <w:u w:val="single"/>
        </w:rPr>
        <w:t>提交书面</w:t>
      </w:r>
      <w:r>
        <w:rPr>
          <w:rFonts w:hint="eastAsia" w:asciiTheme="majorEastAsia" w:hAnsiTheme="majorEastAsia" w:eastAsiaTheme="majorEastAsia"/>
          <w:highlight w:val="none"/>
          <w:u w:val="single"/>
        </w:rPr>
        <w:t>补正</w:t>
      </w:r>
      <w:r>
        <w:rPr>
          <w:rFonts w:asciiTheme="majorEastAsia" w:hAnsiTheme="majorEastAsia" w:eastAsiaTheme="majorEastAsia"/>
          <w:highlight w:val="none"/>
          <w:u w:val="single"/>
        </w:rPr>
        <w:t>意见的</w:t>
      </w:r>
      <w:r>
        <w:rPr>
          <w:rFonts w:hint="eastAsia" w:asciiTheme="majorEastAsia" w:hAnsiTheme="majorEastAsia" w:eastAsiaTheme="majorEastAsia"/>
          <w:highlight w:val="none"/>
          <w:u w:val="single"/>
        </w:rPr>
        <w:t>，视为承包人已对施工现场及周围环境进行了踏勘并对发包人提交的相应的资料予已认可，并已充分了解评估施工现场及周围环境对工程可能产生的影响，自愿承担相应风险与责任，承包人不得再以此为由要求发包人承担任何违约或赔偿责任，由此产生的所有费用发包人不再另行支付</w:t>
      </w:r>
      <w:r>
        <w:rPr>
          <w:rFonts w:hint="eastAsia" w:asciiTheme="majorEastAsia" w:hAnsiTheme="majorEastAsia" w:eastAsiaTheme="majorEastAsia"/>
          <w:highlight w:val="none"/>
        </w:rPr>
        <w:t>。</w:t>
      </w:r>
    </w:p>
    <w:p w14:paraId="0CBCA359">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1.13</w:t>
      </w:r>
      <w:r>
        <w:rPr>
          <w:rFonts w:hint="eastAsia" w:asciiTheme="majorEastAsia" w:hAnsiTheme="majorEastAsia" w:eastAsiaTheme="majorEastAsia"/>
          <w:highlight w:val="none"/>
        </w:rPr>
        <w:t>责任限制</w:t>
      </w:r>
    </w:p>
    <w:p w14:paraId="0046243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承包人对发包人赔偿责任的最高限额为：</w:t>
      </w:r>
      <w:r>
        <w:rPr>
          <w:rFonts w:hint="eastAsia" w:asciiTheme="majorEastAsia" w:hAnsiTheme="majorEastAsia" w:eastAsiaTheme="majorEastAsia"/>
          <w:highlight w:val="none"/>
          <w:u w:val="single"/>
        </w:rPr>
        <w:t>按通用条件执行</w:t>
      </w:r>
      <w:r>
        <w:rPr>
          <w:rFonts w:hint="eastAsia" w:asciiTheme="majorEastAsia" w:hAnsiTheme="majorEastAsia" w:eastAsiaTheme="majorEastAsia"/>
          <w:highlight w:val="none"/>
        </w:rPr>
        <w:t>。</w:t>
      </w:r>
    </w:p>
    <w:p w14:paraId="0FC852B5">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1.14</w:t>
      </w:r>
      <w:r>
        <w:rPr>
          <w:rFonts w:hint="eastAsia" w:asciiTheme="majorEastAsia" w:hAnsiTheme="majorEastAsia" w:eastAsiaTheme="majorEastAsia"/>
          <w:highlight w:val="none"/>
        </w:rPr>
        <w:t>建筑信息模型技术的应用</w:t>
      </w:r>
    </w:p>
    <w:p w14:paraId="210C587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关于建筑信息模型技术的开发、使用、存储、传输、交付及费用约定如下：</w:t>
      </w:r>
      <w:r>
        <w:rPr>
          <w:rFonts w:hint="eastAsia" w:asciiTheme="majorEastAsia" w:hAnsiTheme="majorEastAsia" w:eastAsiaTheme="majorEastAsia"/>
          <w:highlight w:val="none"/>
          <w:u w:val="single"/>
        </w:rPr>
        <w:t>承包人由此产生的费用由承包人自行承担，发包人不予支付</w:t>
      </w:r>
      <w:r>
        <w:rPr>
          <w:rFonts w:hint="eastAsia" w:asciiTheme="majorEastAsia" w:hAnsiTheme="majorEastAsia" w:eastAsiaTheme="majorEastAsia"/>
          <w:highlight w:val="none"/>
        </w:rPr>
        <w:t>。</w:t>
      </w:r>
    </w:p>
    <w:p w14:paraId="4E23DE9D">
      <w:pPr>
        <w:spacing w:line="560" w:lineRule="exact"/>
        <w:rPr>
          <w:rFonts w:asciiTheme="majorEastAsia" w:hAnsiTheme="majorEastAsia" w:eastAsiaTheme="majorEastAsia"/>
          <w:b/>
          <w:highlight w:val="none"/>
        </w:rPr>
      </w:pPr>
      <w:bookmarkStart w:id="978" w:name="_Toc54862333"/>
      <w:r>
        <w:rPr>
          <w:rFonts w:hint="eastAsia" w:asciiTheme="majorEastAsia" w:hAnsiTheme="majorEastAsia" w:eastAsiaTheme="majorEastAsia"/>
          <w:b/>
          <w:highlight w:val="none"/>
        </w:rPr>
        <w:t>第</w:t>
      </w:r>
      <w:r>
        <w:rPr>
          <w:rFonts w:asciiTheme="majorEastAsia" w:hAnsiTheme="majorEastAsia" w:eastAsiaTheme="majorEastAsia"/>
          <w:b/>
          <w:highlight w:val="none"/>
        </w:rPr>
        <w:t>2条</w:t>
      </w:r>
      <w:r>
        <w:rPr>
          <w:rFonts w:hint="eastAsia" w:asciiTheme="majorEastAsia" w:hAnsiTheme="majorEastAsia" w:eastAsiaTheme="majorEastAsia"/>
          <w:b/>
          <w:highlight w:val="none"/>
        </w:rPr>
        <w:t xml:space="preserve">  发包人</w:t>
      </w:r>
      <w:bookmarkEnd w:id="978"/>
    </w:p>
    <w:p w14:paraId="4FDADCE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2.2</w:t>
      </w:r>
      <w:r>
        <w:rPr>
          <w:rFonts w:hint="eastAsia" w:asciiTheme="majorEastAsia" w:hAnsiTheme="majorEastAsia" w:eastAsiaTheme="majorEastAsia"/>
          <w:highlight w:val="none"/>
        </w:rPr>
        <w:t>提供施工现场和工作条件</w:t>
      </w:r>
    </w:p>
    <w:p w14:paraId="53F00D04">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2.2.1</w:t>
      </w:r>
      <w:r>
        <w:rPr>
          <w:rFonts w:hint="eastAsia" w:asciiTheme="majorEastAsia" w:hAnsiTheme="majorEastAsia" w:eastAsiaTheme="majorEastAsia"/>
          <w:highlight w:val="none"/>
        </w:rPr>
        <w:t>提供施工现场</w:t>
      </w:r>
    </w:p>
    <w:p w14:paraId="53D4843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关于发包人提供施工现场的范围和期限：</w:t>
      </w:r>
      <w:r>
        <w:rPr>
          <w:rFonts w:hint="eastAsia" w:asciiTheme="majorEastAsia" w:hAnsiTheme="majorEastAsia" w:eastAsiaTheme="majorEastAsia"/>
          <w:highlight w:val="none"/>
          <w:u w:val="single"/>
        </w:rPr>
        <w:t>待承包人提供完整的施工图纸及施工组织设计后经监理单位、造价跟踪审核单位审核合格后且经发包人批准后10个日历天内提供，平行施工、交叉施工、场地外施工等情形导致的施工现场产生的冲突或纠纷由承包人自行解决</w:t>
      </w:r>
      <w:r>
        <w:rPr>
          <w:rFonts w:hint="eastAsia" w:asciiTheme="majorEastAsia" w:hAnsiTheme="majorEastAsia" w:eastAsiaTheme="majorEastAsia"/>
          <w:highlight w:val="none"/>
        </w:rPr>
        <w:t>。</w:t>
      </w:r>
    </w:p>
    <w:p w14:paraId="2C77BFFA">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2.2.2</w:t>
      </w:r>
      <w:r>
        <w:rPr>
          <w:rFonts w:hint="eastAsia" w:asciiTheme="majorEastAsia" w:hAnsiTheme="majorEastAsia" w:eastAsiaTheme="majorEastAsia"/>
          <w:highlight w:val="none"/>
        </w:rPr>
        <w:t>提供工作条件</w:t>
      </w:r>
    </w:p>
    <w:p w14:paraId="0557BE5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关于发包人应负责提供的工作条件包括：场地由发包人提供。</w:t>
      </w:r>
    </w:p>
    <w:p w14:paraId="748AC7C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2.3</w:t>
      </w:r>
      <w:r>
        <w:rPr>
          <w:rFonts w:hint="eastAsia" w:asciiTheme="majorEastAsia" w:hAnsiTheme="majorEastAsia" w:eastAsiaTheme="majorEastAsia"/>
          <w:highlight w:val="none"/>
        </w:rPr>
        <w:t>提供基础资料</w:t>
      </w:r>
    </w:p>
    <w:p w14:paraId="27F8E6E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关于发包人应提供的基础资料的范围和期限：</w:t>
      </w:r>
      <w:r>
        <w:rPr>
          <w:rFonts w:hint="eastAsia" w:asciiTheme="majorEastAsia" w:hAnsiTheme="majorEastAsia" w:eastAsiaTheme="majorEastAsia"/>
          <w:highlight w:val="none"/>
          <w:u w:val="single"/>
        </w:rPr>
        <w:t>发包人在签订合同之日起10天内应向承包人提供经发包人确定的设计任务书、功能需求；（2）发包人向承包人提供的地下管线、详勘等现有的基础资料以及现场施工等工程实施所需的文件，承包人在接收上述资料当日起21天内应向发包人书面提交以上资料的书面意见；发包人应在收到承包人书面通知后5个工作日内对相关问题进行书面回复。（3）承包人未按时提交书面意见的，视为承包人已对施工现场及周围环境进行了踏勘并对发包人提交的相应的资料予已认可，并已充分了解评估施工现场及周围环境对工程可能产生的影响</w:t>
      </w:r>
      <w:r>
        <w:rPr>
          <w:rFonts w:hint="eastAsia" w:asciiTheme="majorEastAsia" w:hAnsiTheme="majorEastAsia" w:eastAsiaTheme="majorEastAsia"/>
          <w:highlight w:val="none"/>
        </w:rPr>
        <w:t>。</w:t>
      </w:r>
    </w:p>
    <w:p w14:paraId="4E0B57C7">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2.5</w:t>
      </w:r>
      <w:r>
        <w:rPr>
          <w:rFonts w:hint="eastAsia" w:asciiTheme="majorEastAsia" w:hAnsiTheme="majorEastAsia" w:eastAsiaTheme="majorEastAsia"/>
          <w:highlight w:val="none"/>
        </w:rPr>
        <w:t>支付合同价款</w:t>
      </w:r>
    </w:p>
    <w:p w14:paraId="42BC3C19">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2.5.2</w:t>
      </w:r>
      <w:r>
        <w:rPr>
          <w:rFonts w:hint="eastAsia" w:asciiTheme="majorEastAsia" w:hAnsiTheme="majorEastAsia" w:eastAsiaTheme="majorEastAsia"/>
          <w:highlight w:val="none"/>
        </w:rPr>
        <w:t>发包人提供资金来源证明及资金安排的期限要求：</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62765741">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2.5.3</w:t>
      </w:r>
      <w:r>
        <w:rPr>
          <w:rFonts w:hint="eastAsia" w:asciiTheme="majorEastAsia" w:hAnsiTheme="majorEastAsia" w:eastAsiaTheme="majorEastAsia"/>
          <w:highlight w:val="none"/>
        </w:rPr>
        <w:t>发包人提供支付担保的形式、期限、金额（或比例）：</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0389C5D7">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2.7</w:t>
      </w:r>
      <w:r>
        <w:rPr>
          <w:rFonts w:hint="eastAsia" w:asciiTheme="majorEastAsia" w:hAnsiTheme="majorEastAsia" w:eastAsiaTheme="majorEastAsia"/>
          <w:highlight w:val="none"/>
        </w:rPr>
        <w:t>其他义务</w:t>
      </w:r>
    </w:p>
    <w:p w14:paraId="2C05841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发包人应履行的其他义务：</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6EB49A09">
      <w:pPr>
        <w:spacing w:line="560" w:lineRule="exact"/>
        <w:rPr>
          <w:rFonts w:asciiTheme="majorEastAsia" w:hAnsiTheme="majorEastAsia" w:eastAsiaTheme="majorEastAsia"/>
          <w:b/>
          <w:highlight w:val="none"/>
        </w:rPr>
      </w:pPr>
      <w:bookmarkStart w:id="979" w:name="_Toc54862334"/>
      <w:r>
        <w:rPr>
          <w:rFonts w:hint="eastAsia" w:asciiTheme="majorEastAsia" w:hAnsiTheme="majorEastAsia" w:eastAsiaTheme="majorEastAsia"/>
          <w:b/>
          <w:highlight w:val="none"/>
        </w:rPr>
        <w:t>第</w:t>
      </w:r>
      <w:r>
        <w:rPr>
          <w:rFonts w:asciiTheme="majorEastAsia" w:hAnsiTheme="majorEastAsia" w:eastAsiaTheme="majorEastAsia"/>
          <w:b/>
          <w:highlight w:val="none"/>
        </w:rPr>
        <w:t>3条</w:t>
      </w:r>
      <w:r>
        <w:rPr>
          <w:rFonts w:hint="eastAsia" w:asciiTheme="majorEastAsia" w:hAnsiTheme="majorEastAsia" w:eastAsiaTheme="majorEastAsia"/>
          <w:b/>
          <w:highlight w:val="none"/>
        </w:rPr>
        <w:t xml:space="preserve">  发包人的管理</w:t>
      </w:r>
      <w:bookmarkEnd w:id="979"/>
    </w:p>
    <w:p w14:paraId="242CE3C4">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 xml:space="preserve">3.1 </w:t>
      </w:r>
      <w:r>
        <w:rPr>
          <w:rFonts w:hint="eastAsia" w:asciiTheme="majorEastAsia" w:hAnsiTheme="majorEastAsia" w:eastAsiaTheme="majorEastAsia"/>
          <w:highlight w:val="none"/>
        </w:rPr>
        <w:t>发包人代表</w:t>
      </w:r>
    </w:p>
    <w:p w14:paraId="198EF44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发包人代表的姓名：</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57F9DAD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发包人代表的身份证号：</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7B7CA9F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发包人代表的职务：</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17D4BA0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发包人代表的联系电话：</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5F14DF4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发包人代表的电子邮箱：</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69E65F9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发包人代表的通信地址：</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1542AD0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发包人对发包人代表的授权范围如下：</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5576824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发包人代表的职责：</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1BC7D192">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3.2</w:t>
      </w:r>
      <w:r>
        <w:rPr>
          <w:rFonts w:hint="eastAsia" w:asciiTheme="majorEastAsia" w:hAnsiTheme="majorEastAsia" w:eastAsiaTheme="majorEastAsia"/>
          <w:highlight w:val="none"/>
        </w:rPr>
        <w:t>发包人人员</w:t>
      </w:r>
    </w:p>
    <w:p w14:paraId="6DCC01DF">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发包人人员姓名：</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45D64D1B">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发包人人员职务：</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2FBE98B0">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发包人人员职责：</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7EF20BF9">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3.3</w:t>
      </w:r>
      <w:r>
        <w:rPr>
          <w:rFonts w:hint="eastAsia" w:asciiTheme="majorEastAsia" w:hAnsiTheme="majorEastAsia" w:eastAsiaTheme="majorEastAsia"/>
          <w:highlight w:val="none"/>
        </w:rPr>
        <w:t>工程师</w:t>
      </w:r>
    </w:p>
    <w:p w14:paraId="1894595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.3.1</w:t>
      </w:r>
      <w:r>
        <w:rPr>
          <w:rFonts w:hint="eastAsia" w:asciiTheme="majorEastAsia" w:hAnsiTheme="majorEastAsia" w:eastAsiaTheme="majorEastAsia"/>
          <w:highlight w:val="none"/>
        </w:rPr>
        <w:t>工程师名称</w:t>
      </w:r>
      <w:r>
        <w:rPr>
          <w:rFonts w:asciiTheme="majorEastAsia" w:hAnsiTheme="majorEastAsia" w:eastAsiaTheme="majorEastAsia"/>
          <w:highlight w:val="none"/>
        </w:rPr>
        <w:t>：</w:t>
      </w:r>
      <w:r>
        <w:rPr>
          <w:rFonts w:asciiTheme="majorEastAsia" w:hAnsiTheme="majorEastAsia" w:eastAsiaTheme="majorEastAsia"/>
          <w:i/>
          <w:highlight w:val="none"/>
          <w:u w:val="single"/>
        </w:rPr>
        <w:t xml:space="preserve">            </w:t>
      </w:r>
      <w:r>
        <w:rPr>
          <w:rFonts w:hint="eastAsia" w:asciiTheme="majorEastAsia" w:hAnsiTheme="majorEastAsia" w:eastAsiaTheme="majorEastAsia"/>
          <w:highlight w:val="none"/>
        </w:rPr>
        <w:t>；项目总监：</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；工程师监督管理</w:t>
      </w:r>
      <w:r>
        <w:rPr>
          <w:rFonts w:asciiTheme="majorEastAsia" w:hAnsiTheme="majorEastAsia" w:eastAsiaTheme="majorEastAsia"/>
          <w:highlight w:val="none"/>
        </w:rPr>
        <w:t>范围</w:t>
      </w:r>
      <w:r>
        <w:rPr>
          <w:rFonts w:hint="eastAsia" w:asciiTheme="majorEastAsia" w:hAnsiTheme="majorEastAsia" w:eastAsiaTheme="majorEastAsia"/>
          <w:highlight w:val="none"/>
        </w:rPr>
        <w:t>、内容</w:t>
      </w:r>
      <w:r>
        <w:rPr>
          <w:rFonts w:asciiTheme="majorEastAsia" w:hAnsiTheme="majorEastAsia" w:eastAsiaTheme="majorEastAsia"/>
          <w:highlight w:val="none"/>
        </w:rPr>
        <w:t>：</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；工程师</w:t>
      </w:r>
      <w:r>
        <w:rPr>
          <w:rFonts w:asciiTheme="majorEastAsia" w:hAnsiTheme="majorEastAsia" w:eastAsiaTheme="majorEastAsia"/>
          <w:highlight w:val="none"/>
        </w:rPr>
        <w:t>权限：</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554FF6B0">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3.6</w:t>
      </w:r>
      <w:r>
        <w:rPr>
          <w:rFonts w:hint="eastAsia" w:asciiTheme="majorEastAsia" w:hAnsiTheme="majorEastAsia" w:eastAsiaTheme="majorEastAsia"/>
          <w:highlight w:val="none"/>
        </w:rPr>
        <w:t>商定或确定</w:t>
      </w:r>
    </w:p>
    <w:p w14:paraId="4F629E2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.6.2关于</w:t>
      </w:r>
      <w:r>
        <w:rPr>
          <w:rFonts w:hint="eastAsia" w:asciiTheme="majorEastAsia" w:hAnsiTheme="majorEastAsia" w:eastAsiaTheme="majorEastAsia"/>
          <w:highlight w:val="none"/>
        </w:rPr>
        <w:t>商定</w:t>
      </w:r>
      <w:r>
        <w:rPr>
          <w:rFonts w:asciiTheme="majorEastAsia" w:hAnsiTheme="majorEastAsia" w:eastAsiaTheme="majorEastAsia"/>
          <w:highlight w:val="none"/>
        </w:rPr>
        <w:t>时间限制的具体约定：</w:t>
      </w:r>
      <w:r>
        <w:rPr>
          <w:rFonts w:hint="eastAsia" w:asciiTheme="majorEastAsia" w:hAnsiTheme="majorEastAsia" w:eastAsiaTheme="majorEastAsia"/>
          <w:highlight w:val="none"/>
          <w:u w:val="single"/>
        </w:rPr>
        <w:t>按通用条件执行</w:t>
      </w:r>
      <w:r>
        <w:rPr>
          <w:rFonts w:hint="eastAsia" w:asciiTheme="majorEastAsia" w:hAnsiTheme="majorEastAsia" w:eastAsiaTheme="majorEastAsia"/>
          <w:highlight w:val="none"/>
        </w:rPr>
        <w:t>。</w:t>
      </w:r>
    </w:p>
    <w:p w14:paraId="14BC06A4">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3.6.3关于</w:t>
      </w:r>
      <w:r>
        <w:rPr>
          <w:rFonts w:hint="eastAsia" w:asciiTheme="majorEastAsia" w:hAnsiTheme="majorEastAsia" w:eastAsiaTheme="majorEastAsia"/>
          <w:highlight w:val="none"/>
        </w:rPr>
        <w:t>商定或确定</w:t>
      </w:r>
      <w:r>
        <w:rPr>
          <w:rFonts w:asciiTheme="majorEastAsia" w:hAnsiTheme="majorEastAsia" w:eastAsiaTheme="majorEastAsia"/>
          <w:highlight w:val="none"/>
        </w:rPr>
        <w:t>效力的具体约定：</w:t>
      </w:r>
      <w:r>
        <w:rPr>
          <w:rFonts w:hint="eastAsia" w:asciiTheme="majorEastAsia" w:hAnsiTheme="majorEastAsia" w:eastAsiaTheme="majorEastAsia"/>
          <w:highlight w:val="none"/>
          <w:u w:val="single"/>
        </w:rPr>
        <w:t>按通用条件执行</w:t>
      </w:r>
      <w:r>
        <w:rPr>
          <w:rFonts w:hint="eastAsia" w:asciiTheme="majorEastAsia" w:hAnsiTheme="majorEastAsia" w:eastAsiaTheme="majorEastAsia"/>
          <w:highlight w:val="none"/>
        </w:rPr>
        <w:t>；</w:t>
      </w:r>
      <w:r>
        <w:rPr>
          <w:rFonts w:asciiTheme="majorEastAsia" w:hAnsiTheme="majorEastAsia" w:eastAsiaTheme="majorEastAsia"/>
          <w:highlight w:val="none"/>
        </w:rPr>
        <w:t>关于对</w:t>
      </w:r>
      <w:r>
        <w:rPr>
          <w:rFonts w:hint="eastAsia" w:asciiTheme="majorEastAsia" w:hAnsiTheme="majorEastAsia" w:eastAsiaTheme="majorEastAsia"/>
          <w:highlight w:val="none"/>
        </w:rPr>
        <w:t>工程师的确定提出异议</w:t>
      </w:r>
      <w:r>
        <w:rPr>
          <w:rFonts w:asciiTheme="majorEastAsia" w:hAnsiTheme="majorEastAsia" w:eastAsiaTheme="majorEastAsia"/>
          <w:highlight w:val="none"/>
        </w:rPr>
        <w:t>的具体约定：</w:t>
      </w:r>
      <w:r>
        <w:rPr>
          <w:rFonts w:hint="eastAsia" w:asciiTheme="majorEastAsia" w:hAnsiTheme="majorEastAsia" w:eastAsiaTheme="majorEastAsia"/>
          <w:highlight w:val="none"/>
          <w:u w:val="single"/>
        </w:rPr>
        <w:t>按通用条件执行</w:t>
      </w:r>
      <w:r>
        <w:rPr>
          <w:rFonts w:hint="eastAsia" w:asciiTheme="majorEastAsia" w:hAnsiTheme="majorEastAsia" w:eastAsiaTheme="majorEastAsia"/>
          <w:highlight w:val="none"/>
        </w:rPr>
        <w:t>。</w:t>
      </w:r>
    </w:p>
    <w:p w14:paraId="29093230">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3.7</w:t>
      </w:r>
      <w:r>
        <w:rPr>
          <w:rFonts w:hint="eastAsia" w:asciiTheme="majorEastAsia" w:hAnsiTheme="majorEastAsia" w:eastAsiaTheme="majorEastAsia"/>
          <w:highlight w:val="none"/>
        </w:rPr>
        <w:t>会议</w:t>
      </w:r>
    </w:p>
    <w:p w14:paraId="6B0956B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.7.1关于召开会议</w:t>
      </w:r>
      <w:r>
        <w:rPr>
          <w:rFonts w:hint="eastAsia" w:asciiTheme="majorEastAsia" w:hAnsiTheme="majorEastAsia" w:eastAsiaTheme="majorEastAsia"/>
          <w:highlight w:val="none"/>
        </w:rPr>
        <w:t>的具体约定：按通用条件执行。</w:t>
      </w:r>
    </w:p>
    <w:p w14:paraId="0AB0B6F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w:t>
      </w:r>
      <w:r>
        <w:rPr>
          <w:rFonts w:asciiTheme="majorEastAsia" w:hAnsiTheme="majorEastAsia" w:eastAsiaTheme="majorEastAsia"/>
          <w:highlight w:val="none"/>
        </w:rPr>
        <w:t xml:space="preserve">.7.2 </w:t>
      </w:r>
      <w:r>
        <w:rPr>
          <w:rFonts w:hint="eastAsia" w:asciiTheme="majorEastAsia" w:hAnsiTheme="majorEastAsia" w:eastAsiaTheme="majorEastAsia"/>
          <w:highlight w:val="none"/>
        </w:rPr>
        <w:t>关于保存和提供会议纪要</w:t>
      </w:r>
      <w:r>
        <w:rPr>
          <w:rFonts w:asciiTheme="majorEastAsia" w:hAnsiTheme="majorEastAsia" w:eastAsiaTheme="majorEastAsia"/>
          <w:highlight w:val="none"/>
        </w:rPr>
        <w:t>的具体约定：</w:t>
      </w:r>
      <w:r>
        <w:rPr>
          <w:rFonts w:asciiTheme="majorEastAsia" w:hAnsiTheme="majorEastAsia" w:eastAsiaTheme="majorEastAsia"/>
          <w:highlight w:val="none"/>
          <w:u w:val="single"/>
        </w:rPr>
        <w:t>经发包人认可，</w:t>
      </w:r>
      <w:r>
        <w:rPr>
          <w:rFonts w:hint="eastAsia" w:asciiTheme="majorEastAsia" w:hAnsiTheme="majorEastAsia" w:eastAsiaTheme="majorEastAsia"/>
          <w:highlight w:val="none"/>
          <w:u w:val="single"/>
        </w:rPr>
        <w:t>由承包人指定人员负责保存和提供相关会议纪要</w:t>
      </w:r>
      <w:r>
        <w:rPr>
          <w:rFonts w:hint="eastAsia" w:asciiTheme="majorEastAsia" w:hAnsiTheme="majorEastAsia" w:eastAsiaTheme="majorEastAsia"/>
          <w:highlight w:val="none"/>
        </w:rPr>
        <w:t>。</w:t>
      </w:r>
    </w:p>
    <w:p w14:paraId="5F3A958B">
      <w:pPr>
        <w:spacing w:line="560" w:lineRule="exact"/>
        <w:rPr>
          <w:rFonts w:asciiTheme="majorEastAsia" w:hAnsiTheme="majorEastAsia" w:eastAsiaTheme="majorEastAsia"/>
          <w:b/>
          <w:highlight w:val="none"/>
        </w:rPr>
      </w:pPr>
      <w:bookmarkStart w:id="980" w:name="_Toc54862335"/>
      <w:r>
        <w:rPr>
          <w:rFonts w:hint="eastAsia" w:asciiTheme="majorEastAsia" w:hAnsiTheme="majorEastAsia" w:eastAsiaTheme="majorEastAsia"/>
          <w:b/>
          <w:highlight w:val="none"/>
        </w:rPr>
        <w:t>第</w:t>
      </w:r>
      <w:r>
        <w:rPr>
          <w:rFonts w:asciiTheme="majorEastAsia" w:hAnsiTheme="majorEastAsia" w:eastAsiaTheme="majorEastAsia"/>
          <w:b/>
          <w:highlight w:val="none"/>
        </w:rPr>
        <w:t>4条</w:t>
      </w:r>
      <w:r>
        <w:rPr>
          <w:rFonts w:hint="eastAsia" w:asciiTheme="majorEastAsia" w:hAnsiTheme="majorEastAsia" w:eastAsiaTheme="majorEastAsia"/>
          <w:b/>
          <w:highlight w:val="none"/>
        </w:rPr>
        <w:t xml:space="preserve">  承包人</w:t>
      </w:r>
      <w:bookmarkEnd w:id="980"/>
    </w:p>
    <w:p w14:paraId="4EE7465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4.1</w:t>
      </w:r>
      <w:r>
        <w:rPr>
          <w:rFonts w:hint="eastAsia" w:asciiTheme="majorEastAsia" w:hAnsiTheme="majorEastAsia" w:eastAsiaTheme="majorEastAsia"/>
          <w:highlight w:val="none"/>
        </w:rPr>
        <w:t>承包人的一般义务</w:t>
      </w:r>
    </w:p>
    <w:p w14:paraId="26A5C91B">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rPr>
        <w:t>承包人应履行的其他义务：</w:t>
      </w:r>
      <w:r>
        <w:rPr>
          <w:rFonts w:hint="eastAsia" w:asciiTheme="majorEastAsia" w:hAnsiTheme="majorEastAsia" w:eastAsiaTheme="majorEastAsia"/>
          <w:highlight w:val="none"/>
          <w:u w:val="single"/>
        </w:rPr>
        <w:t>（1）《保障农民工工资支付条例》中华人民共和国国务院令第724号、农民工工资保证金按照《云南省农民工工资支付保障规定》（2011年云南省人民政府令第166号）、《云南省人民政府关于废止和修改部分规章规范性文件的决定》（云南省人民政府令第214号）、《云南省人民政府办公厅关于进一步构建解决农民工工资拖欠长效机制的若干意见》（云政办发[2017]60号）及工程所在地相关规定执行。承包人应在工程建设项目所在地银行开设农民工工资（劳务费）专用账户（专用账户信息作为合同附件），向发包人提出农民工工资拨付申请并将农民工工资拨付的情况定期提供发包人检查。承包人应按时足额支付参与施工的农民工工资，避免发生与此有关的纠纷。若因承包人拖欠农民工工资，造成窝工、阻工或其他群体性事件的，除接受劳动监察部门处罚整改外，还应向发包人支付100000元/次的违约金，违约金自承包人工程进度款中扣除且暂停下次工程款项支付。</w:t>
      </w:r>
    </w:p>
    <w:p w14:paraId="448E407D">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2）本合同工程竣工验收合格后30个日历天内提交完整的工程竣工结算资料，在收到发包人委托的造价咨询单位出具的结算审核书征求意见后60个日历天内完成工竣工结算审核定案，若因承包人原因造成竣工结算未能按时审核定案的，每逾期一天承包人向发包人支付5000元/天的违约金，累计计算在工程竣工结算中扣除。</w:t>
      </w:r>
    </w:p>
    <w:p w14:paraId="01DED984">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（3）档案资料的 编制及移交</w:t>
      </w:r>
      <w:r>
        <w:rPr>
          <w:rFonts w:hint="eastAsia" w:asciiTheme="majorEastAsia" w:hAnsiTheme="majorEastAsia" w:eastAsiaTheme="majorEastAsia"/>
          <w:highlight w:val="none"/>
          <w:u w:val="single"/>
          <w:lang w:val="en-US" w:eastAsia="zh-CN"/>
        </w:rPr>
        <w:t>发包</w:t>
      </w:r>
      <w:r>
        <w:rPr>
          <w:rFonts w:hint="eastAsia" w:asciiTheme="majorEastAsia" w:hAnsiTheme="majorEastAsia" w:eastAsiaTheme="majorEastAsia"/>
          <w:highlight w:val="none"/>
          <w:u w:val="single"/>
        </w:rPr>
        <w:t>人应按《中华人民共和国档案法》、《中华人民共和国档案法实施条例》、《科学技术档案案卷构成的一般要求》、《国家重大建设项目文件归档要求与档案整理规范》、工程所在地城建档案馆对建设工程归档文件的规定，在工程竣工验收合格后3个月内，应向当地城建档案管理机构移交一套符合规定的工程档案。归档工作包括纸质档案及电字档案的制作直至移交发包人，其中纸质档案制作含资料的收集、分类、组卷、页码编制、复印、装订等，电子档案制作：含电字档案扫描、数字化、录入等。承包人向发包人移交纸质档案正副本各三套，电字档案三套。承包人未在规定时间内完成归档工作的，每逾期一天应向发包人支付5000元/天的违约金，累计计算在工程竣工结算中扣除。</w:t>
      </w:r>
    </w:p>
    <w:p w14:paraId="2067F4F4">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4）承包人应现场踏勘并选择合适的生产废水排放地点，生产废水按相关政策及设计要求达标排放，并按相关部门要求办理排放相关事宜；生活污水须达到零排放要求。生产废水、生活污水的相关处理及排放费用由承包人自行承担，发包人不再另行支付。若因生产废水、生活污水排放不当引发投诉的，除接受主管部门处罚整改外，由此给发包人造成的一切经济损失、工期延误等后果全部由承包人承担，发包人有权从承包人进度款中扣除。</w:t>
      </w:r>
    </w:p>
    <w:p w14:paraId="70CC181A">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（5）在合同履行过程中，发包人为实现本合同目的所需要的变更、新增等项目均应视为承包人的合同义务，发生的费用由发包人承担并根据合同计取。</w:t>
      </w:r>
    </w:p>
    <w:p w14:paraId="77E9C4C3">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（6）承包人应结合《建设工程安全生产管理条例》、《住房</w:t>
      </w:r>
      <w:r>
        <w:rPr>
          <w:rFonts w:hint="eastAsia" w:asciiTheme="majorEastAsia" w:hAnsiTheme="majorEastAsia" w:eastAsiaTheme="majorEastAsia"/>
          <w:highlight w:val="none"/>
          <w:u w:val="single"/>
          <w:lang w:val="en-US" w:eastAsia="zh-CN"/>
        </w:rPr>
        <w:t>和</w:t>
      </w:r>
      <w:r>
        <w:rPr>
          <w:rFonts w:hint="eastAsia" w:asciiTheme="majorEastAsia" w:hAnsiTheme="majorEastAsia" w:eastAsiaTheme="majorEastAsia"/>
          <w:highlight w:val="none"/>
          <w:u w:val="single"/>
        </w:rPr>
        <w:t>城乡建设部办公厅关于推广使用房屋市政工程安全生产标准化指导图册的通知》（建办质函[2019]90号）的相关要求，对本工程项目部提出相应的安全生产管理措施，并接受政府监管及发包人安全监督，在合同履行过程中加强对项目部安全生产管理措施履行情况的检查、考核，不断提高，承包人必须严格按照政府及发包人提出的安全要求及整改意见在规定时间内进行整改，并达到合格标准，否则因此产生的一切后果及损失由承包人自行承担。</w:t>
      </w:r>
    </w:p>
    <w:p w14:paraId="2EB55573">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7）本项目涉及到的施工临时用电、用水、通讯线路、交通条件及实施保养维护、借地、占地、周围地下管线和邻近建筑物、构筑物、古树名木、文物、化石及坟墓等的保护工作及相关施工现场条件由发包人及承包人共同解决。</w:t>
      </w:r>
    </w:p>
    <w:p w14:paraId="5BF790CE">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（8）取土场及渣土消纳场由承包人自行解决，但不得违反当地政府的相关管理规定。</w:t>
      </w:r>
    </w:p>
    <w:p w14:paraId="7B2B5C1A">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9）承担施工安全保卫工作及非夜间施工照明的责任和要求：承包人应采取一切合理的预防措施，满足现场施工管理的需要，达到当地规定的安全文明施工的要求和现场工程师、监理单位、造价跟踪审核单位及发包人要求，防止人员伤亡、财产损失事故，费用由承包人承担。因承包人原因导致发包人或第三方人员伤亡、经济损失的，承包人承担全部法律后果及赔偿责任；发包人因此而受到行政处罚或遭受其他损失的，全部责任由承包人承担，发包人有权从承包人工程进度款中扣除。</w:t>
      </w:r>
    </w:p>
    <w:p w14:paraId="38E9D319">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（10）本项目所涉及的所有林木砍伐（迁移）和相关手续由承包人根据当地林业主管部门的相关规定进行办理，所发生费用由发包人承担。</w:t>
      </w:r>
    </w:p>
    <w:p w14:paraId="3261BD45">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11）需承包人办理的有关施工场地交通、环卫和施工噪音管理等手续，由承包人负责办理并承担费用。因承包人原因被上级主管部门处罚时，由承包人承担全部责任及罚款；给发包人造成损失时，承包人承担全部赔偿责任。</w:t>
      </w:r>
    </w:p>
    <w:p w14:paraId="22BCADF6">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（12）已完工程成品保护的特殊要求及费用承担：已完工工程未交付发包人之前，承包人负责已完成工程的成品保护工作，保护期间发生损坏或损失，由承包人承担修复和损失费用。</w:t>
      </w:r>
    </w:p>
    <w:p w14:paraId="589C8FF0">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（13）施工场地清洁卫生的要求：由于施工造成的环境污染，其责任和费用均由承包人承担。</w:t>
      </w:r>
    </w:p>
    <w:p w14:paraId="582A8E13">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（14）按实际施工需求搭建临时设施，材料机具堆放应规范，保持施工场地的整洁，切实做到文明施工，并承担因此发生的一切责任及费用。</w:t>
      </w:r>
    </w:p>
    <w:p w14:paraId="38EDB6C6">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15）按照当地建设行政主管部门颁发的文明施工管理规定和承包人施工组织设计中编制的文明施工措施执行，并做到：①设置、维修和管理临时排污系统并承担费用；②收集和处理所有施工场地和生活区域的所有垃圾，直到交工为止；此处的“收集”是指承包人将其产生的所有垃圾清运至发包人指定的工地堆放地点；此处“处理”是指承包人应定期并最终将发包人指定工地堆放地点的所有垃圾清运至政府指定的垃圾堆放地点并承担相应的费用。③交工时应将其排污设施全部拆除，并清理至现场干净整洁，费用由承包人负责。</w:t>
      </w:r>
    </w:p>
    <w:p w14:paraId="79119609">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16）施工场地符合文明施工要求，做好施工场地围护隔离，符合国家及当地政府关于城市卫生市容管理条例等，相关费用已包含在工程造价中，承包人承担由自身原因违反有关规定造成的损失和罚款。确保施工现场及周围环境的清洁、卫生符合法律、法规、规章和有关规定的标准。</w:t>
      </w:r>
    </w:p>
    <w:p w14:paraId="67CA79BA">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（17）因承包人责任被上级主管部门处罚时，由承包人承担全部责任及罚款；给发包人造成损失时，承包人承担全部赔偿责任。</w:t>
      </w:r>
    </w:p>
    <w:p w14:paraId="036ED6B5">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（18）双方约定承包人需按发包人要求做好如下其他工作：</w:t>
      </w:r>
    </w:p>
    <w:p w14:paraId="02023150">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①配合发包人做好安全文明宣传、领导检查、临时活动宣传等工作，相关费用由发包人承担。</w:t>
      </w:r>
    </w:p>
    <w:p w14:paraId="46568851">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②承包人的临时用地的环保、恢复及施工范围内临时性占地的青苗补偿及地面附着物发生的费用均由发包人自行承担。</w:t>
      </w:r>
    </w:p>
    <w:p w14:paraId="6D1C5663">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③承包人应按工程师人、监理单位、造价跟踪审核单位及发包人的指示，负责清除本工程施工范围的零星拆迁垃圾、杂物以及场地中的树根等，所需费用由发包人自行承担。</w:t>
      </w:r>
    </w:p>
    <w:p w14:paraId="35BC4B62">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④承包人应为工程师人、监理单位现场代表、造价跟踪审核单位现场代表及发包人现场代表对施工现场的检查监督提供必要的配合，并对这种配合对施工的影响应有充分的考虑。</w:t>
      </w:r>
    </w:p>
    <w:p w14:paraId="32D54397">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⑤经过城市道路的施工车辆，必须按交警、城管、环保、环卫等当地政府部门的相关规定执行。施工车辆的营运手续办理、清洗等一切费用由承包人承担。由于车辆带泥或洒漏造成的道路、环境等污染，其责任和费用均由承包人自行承担。</w:t>
      </w:r>
    </w:p>
    <w:p w14:paraId="6BA29050">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⑥承包人应负责施工场内交通管制和协调通行工作。连接施工场内外道路出口处须设洗车场，对从施工场地进入市区道路的所有车辆进行清洗，并派专人在出口处负责看守，严禁与工程施工无关的人员及车辆进出施工场地。如承包人违反以上有关规定，由此所造成的一切后果由承包人负责。</w:t>
      </w:r>
    </w:p>
    <w:p w14:paraId="5F7D2633">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⑦承包人负责在合同实施期内临时交通道路（含场内外连接公共交通道路）和交通设施的修建、维修、养护和交通管理工作，并承担一切费用，如承包人未按要求对施工道路养护保洁而受到当地建设管理部门罚款的，所有罚款（含发包人所受到罚款）由承包人一并承担。</w:t>
      </w:r>
    </w:p>
    <w:p w14:paraId="5044B5D7">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⑧承包人修建的临时道路和交通设施，应提供给发包人、工程师人、监理单位、造价跟踪审核单位和其他合同段的承包人使用，如共同使用的路基损坏严重，发包人或工程师人将负责通知承包人修复，产生的费用由发包人自行承担。</w:t>
      </w:r>
    </w:p>
    <w:p w14:paraId="36771E77">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⑨承包人在实施本合同工程所使用公共道路、水源、公共设施等，必须同时保障发包人及其他人的财产、利益和权利免受损害，造成损坏的由承包人负责维修或赔偿。</w:t>
      </w:r>
    </w:p>
    <w:p w14:paraId="4C9BA325">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⑩承包人的施工管理区及施工场地须设有临时的污水处理设施和施工排水设施，生活、施工垃圾等须妥当处置，施工材料如涂料、化学品等须妥善存放，并设有防雨、防风、防腐等措施，并承担一切费用。</w:t>
      </w:r>
    </w:p>
    <w:p w14:paraId="06A304CD">
      <w:pPr>
        <w:spacing w:line="560" w:lineRule="exact"/>
        <w:ind w:firstLine="410" w:firstLineChars="171"/>
        <w:rPr>
          <w:rFonts w:asciiTheme="majorEastAsia" w:hAnsiTheme="majorEastAsia" w:eastAsiaTheme="majorEastAsia"/>
          <w:highlight w:val="none"/>
          <w:u w:val="single"/>
        </w:rPr>
      </w:pPr>
      <w:r>
        <w:rPr>
          <w:rFonts w:ascii="Cambria Math" w:hAnsi="Cambria Math" w:cs="Cambria Math" w:eastAsiaTheme="majorEastAsia"/>
          <w:highlight w:val="none"/>
          <w:u w:val="single"/>
        </w:rPr>
        <w:t>⑪</w:t>
      </w:r>
      <w:r>
        <w:rPr>
          <w:rFonts w:hint="eastAsia" w:asciiTheme="majorEastAsia" w:hAnsiTheme="majorEastAsia" w:eastAsiaTheme="majorEastAsia"/>
          <w:highlight w:val="none"/>
          <w:u w:val="single"/>
        </w:rPr>
        <w:t>承包人负责自己的劳务及职员的雇佣、工资的支付、房屋、膳食及运输的安排。</w:t>
      </w:r>
    </w:p>
    <w:p w14:paraId="348C361C">
      <w:pPr>
        <w:spacing w:line="560" w:lineRule="exact"/>
        <w:ind w:firstLine="410" w:firstLineChars="171"/>
        <w:rPr>
          <w:rFonts w:asciiTheme="majorEastAsia" w:hAnsiTheme="majorEastAsia" w:eastAsiaTheme="majorEastAsia"/>
          <w:highlight w:val="none"/>
          <w:u w:val="single"/>
        </w:rPr>
      </w:pPr>
      <w:r>
        <w:rPr>
          <w:rFonts w:ascii="Cambria Math" w:hAnsi="Cambria Math" w:cs="Cambria Math" w:eastAsiaTheme="majorEastAsia"/>
          <w:highlight w:val="none"/>
          <w:u w:val="single"/>
        </w:rPr>
        <w:t>⑫</w:t>
      </w:r>
      <w:r>
        <w:rPr>
          <w:rFonts w:hint="eastAsia" w:asciiTheme="majorEastAsia" w:hAnsiTheme="majorEastAsia" w:eastAsiaTheme="majorEastAsia"/>
          <w:highlight w:val="none"/>
          <w:u w:val="single"/>
        </w:rPr>
        <w:t>承包人在任何时候应采取一切合理的预防措施，以防止自己的职员发生任何违法的、防碍治安的行为，并维护治安和保护工程项目附近的单位、个人或财产免遭上述行为的破坏，否则，由此造成的后果和费用均由承包人承担。</w:t>
      </w:r>
    </w:p>
    <w:p w14:paraId="450E6F68">
      <w:pPr>
        <w:spacing w:line="560" w:lineRule="exact"/>
        <w:ind w:firstLine="410" w:firstLineChars="171"/>
        <w:rPr>
          <w:rFonts w:asciiTheme="majorEastAsia" w:hAnsiTheme="majorEastAsia" w:eastAsiaTheme="majorEastAsia"/>
          <w:highlight w:val="none"/>
          <w:u w:val="single"/>
        </w:rPr>
      </w:pPr>
      <w:r>
        <w:rPr>
          <w:rFonts w:ascii="Cambria Math" w:hAnsi="Cambria Math" w:cs="Cambria Math" w:eastAsiaTheme="majorEastAsia"/>
          <w:highlight w:val="none"/>
          <w:u w:val="single"/>
        </w:rPr>
        <w:t>⑬</w:t>
      </w:r>
      <w:r>
        <w:rPr>
          <w:rFonts w:hint="eastAsia" w:asciiTheme="majorEastAsia" w:hAnsiTheme="majorEastAsia" w:eastAsiaTheme="majorEastAsia"/>
          <w:highlight w:val="none"/>
          <w:u w:val="single"/>
        </w:rPr>
        <w:t>承包人应按安全施工管理有关规定，配备安全管理机构，配备合格的安全管理人员，负责处理全体工作人员和劳务人员的安全保护和预防事故等问题，如因承包人原因造成人员伤亡、财产损失等一切事故，由承包人负全责并承担费用。</w:t>
      </w:r>
    </w:p>
    <w:p w14:paraId="1442AFEA">
      <w:pPr>
        <w:spacing w:line="560" w:lineRule="exact"/>
        <w:ind w:firstLine="410" w:firstLineChars="171"/>
        <w:rPr>
          <w:rFonts w:asciiTheme="majorEastAsia" w:hAnsiTheme="majorEastAsia" w:eastAsiaTheme="majorEastAsia"/>
          <w:highlight w:val="none"/>
          <w:u w:val="single"/>
        </w:rPr>
      </w:pPr>
      <w:r>
        <w:rPr>
          <w:rFonts w:ascii="Cambria Math" w:hAnsi="Cambria Math" w:cs="Cambria Math" w:eastAsiaTheme="majorEastAsia"/>
          <w:highlight w:val="none"/>
          <w:u w:val="single"/>
        </w:rPr>
        <w:t>⑭</w:t>
      </w:r>
      <w:r>
        <w:rPr>
          <w:rFonts w:hint="eastAsia" w:asciiTheme="majorEastAsia" w:hAnsiTheme="majorEastAsia" w:eastAsiaTheme="majorEastAsia"/>
          <w:highlight w:val="none"/>
          <w:u w:val="single"/>
        </w:rPr>
        <w:t>承包人在施工期间应协调好与邻近相关单位（含居民、农民）的关系，应避免发生矛盾与冲突，否则，由此造成的一切后果由承包人承担。</w:t>
      </w:r>
    </w:p>
    <w:p w14:paraId="7C1F1C68">
      <w:pPr>
        <w:spacing w:line="560" w:lineRule="exact"/>
        <w:ind w:firstLine="410" w:firstLineChars="171"/>
        <w:rPr>
          <w:rFonts w:asciiTheme="majorEastAsia" w:hAnsiTheme="majorEastAsia" w:eastAsiaTheme="majorEastAsia"/>
          <w:highlight w:val="none"/>
          <w:u w:val="single"/>
        </w:rPr>
      </w:pPr>
      <w:r>
        <w:rPr>
          <w:rFonts w:ascii="Cambria Math" w:hAnsi="Cambria Math" w:cs="Cambria Math" w:eastAsiaTheme="majorEastAsia"/>
          <w:highlight w:val="none"/>
          <w:u w:val="single"/>
        </w:rPr>
        <w:t>⑮</w:t>
      </w:r>
      <w:r>
        <w:rPr>
          <w:rFonts w:hint="eastAsia" w:asciiTheme="majorEastAsia" w:hAnsiTheme="majorEastAsia" w:eastAsiaTheme="majorEastAsia"/>
          <w:highlight w:val="none"/>
          <w:u w:val="single"/>
        </w:rPr>
        <w:t>承包人每月依供水、供电部门或发包人的计价标准向相关部门支付水、电费用，承包人应在接到缴费通知书10日内按时缴交，逾期交纳产生的滞纳金及停水、停电造成的一切损失由承包人负责赔偿。</w:t>
      </w:r>
    </w:p>
    <w:p w14:paraId="691E6792">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（19）承包人应严格遵守后续出台的相应质量、进度、安全、文明施工、水土保持、环境保护等相关管理规定和办法及发包人的相关要求。</w:t>
      </w:r>
    </w:p>
    <w:p w14:paraId="2BE7B26D">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（20）应由发包人完成的行政审批报送，承包人须予以配合。</w:t>
      </w:r>
    </w:p>
    <w:p w14:paraId="5730D293">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（21）承包人应负责承包范围内安保责任和进出口的安保责任，保证施工范围内施工人员的安全责任，因承包人原因造成的安保事故和安全事故由承包人承担。</w:t>
      </w:r>
    </w:p>
    <w:p w14:paraId="2D98C4A8">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（22）承包人在项目实施阶段需配合造价咨询单位的工作内容：</w:t>
      </w:r>
    </w:p>
    <w:p w14:paraId="231BFE3E">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1、设计阶段：①在规定的时限内完成施工图设计，并配合发包人及时与审图单位沟通，完善修改施工图，尽快完成图审，取得审图报告及合格证书。并提供：审图报告及合格证书（扫描件及复印件），经审查合格的施工（原件及电子CAD电子版文件）</w:t>
      </w:r>
    </w:p>
    <w:p w14:paraId="27551702">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②组织施工图设计会审，纠正设计图中的错、漏、碰、缺，并提交图纸会审记录。并提供：经各方签章的图纸会审记录（原件）</w:t>
      </w:r>
    </w:p>
    <w:p w14:paraId="47B6E6FF">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③施工前进行图纸交底，说明设计意图，解释设计文件，说明设计要求。并提供：图各方签章的纸交底记录（原件）</w:t>
      </w:r>
    </w:p>
    <w:p w14:paraId="21891C42">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2、施工阶段：①施工图完成，依据施工图纸，按发包人要求的时限内提交施工图预算，配合造价咨询单位完成施工图预算审核工作。并提供：送审施工图预算（原件及电子文件）；</w:t>
      </w:r>
    </w:p>
    <w:p w14:paraId="7EA3A51B">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②提交经批准的施工计划组织设计、施工组织设计、专项施工方案及施工过程中相关的完整的相关工程资料（如隐蔽验收记录、现场签证记录等）。并提供：扫描件及相关资料电子文件，原件备查；</w:t>
      </w:r>
    </w:p>
    <w:p w14:paraId="3E5EB906">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③配合造价咨询单位进行现场工作量的抽查、见证工作，并对抽查、见证结果进行签认。并提供：现场工作量抽查、见证记录（原件）；</w:t>
      </w:r>
    </w:p>
    <w:p w14:paraId="3CEAE678">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④针对拟发生工程变更及签证需按项目管理程序报送变更方案及费用预算书，交造价咨询单位进行费用审核以便发包人进行决策。及时办理设计变更（修改）通知单、技术核定单、现场签证等相关手续，并就所涉及的费用取得一致意见。并提供：变更方案、预估费用预算书、设计变更（修改）通知单、技术核定单、现场签证（原件）经审核的费用预算书等；</w:t>
      </w:r>
    </w:p>
    <w:p w14:paraId="22B42BD5">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⑤新增项目单价，由承包人编制报送，工程师人、监理单位、造价跟踪审核单位、发包人现场代表初审，将完整资料报送造价咨询单位审核。经造价咨询单位审核，建设单位批准的综合单价方可作为结算依据。并提供：新增单价申请表、审核表及配套相关资料（原件）；</w:t>
      </w:r>
    </w:p>
    <w:p w14:paraId="21341F51">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⑥总承包范围需进行招标的暂估项目，由总承包</w:t>
      </w:r>
      <w:r>
        <w:rPr>
          <w:rFonts w:asciiTheme="majorEastAsia" w:hAnsiTheme="majorEastAsia" w:eastAsiaTheme="majorEastAsia"/>
          <w:highlight w:val="none"/>
          <w:u w:val="single"/>
        </w:rPr>
        <w:t>单位作为招标人，</w:t>
      </w:r>
      <w:r>
        <w:rPr>
          <w:rFonts w:hint="eastAsia" w:asciiTheme="majorEastAsia" w:hAnsiTheme="majorEastAsia" w:eastAsiaTheme="majorEastAsia"/>
          <w:highlight w:val="none"/>
          <w:u w:val="single"/>
        </w:rPr>
        <w:t>总承包项目</w:t>
      </w:r>
      <w:r>
        <w:rPr>
          <w:rFonts w:asciiTheme="majorEastAsia" w:hAnsiTheme="majorEastAsia" w:eastAsiaTheme="majorEastAsia"/>
          <w:highlight w:val="none"/>
          <w:u w:val="single"/>
        </w:rPr>
        <w:t>代理机构承接招标事宜，进行暂估价招标。</w:t>
      </w:r>
      <w:r>
        <w:rPr>
          <w:rFonts w:hint="eastAsia" w:asciiTheme="majorEastAsia" w:hAnsiTheme="majorEastAsia" w:eastAsiaTheme="majorEastAsia"/>
          <w:highlight w:val="none"/>
          <w:u w:val="single"/>
        </w:rPr>
        <w:t>招标控制价需在招标前一个月报造价咨询单位进行审核，审核结果经承、发包双方同意方可进行招标。并提供：送审招标控制价及双方确认的招标控制价（原件及电子文件）；</w:t>
      </w:r>
    </w:p>
    <w:p w14:paraId="2DAF15FD">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⑦总承包范围无需进行招标的暂估项目，承包人必须在材料设备采购前一个月（同时满足材料设备生产制作采购周期，向工程师、监理单位、造价跟踪审核单位及发包人提交《工程材料/设备价格报审表》及相关费用预算书，报审表中应写明材料的品牌、规格、型号、编号、使用部位，即标识产品的唯一性和具体性，并提供多家材料供应商的名称、联系方式等。报审表及预算书交造价咨询单位核价，结果经双方同意方可进入结算。并提供：价格报审表、费用预算书及价格审核表（原件及电子文件）；</w:t>
      </w:r>
    </w:p>
    <w:p w14:paraId="00116DA1">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⑧承包人根据合同约定与实际施工进度提前一月提出工程节点付款计划申请表，以便发包人安排付款计划；若未提前申请，将不保证支付。并提供：资金使用计划（原件及电子文件）；</w:t>
      </w:r>
    </w:p>
    <w:p w14:paraId="0372E942">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⑨工程进度款支付需按月填写付款申请表、提交预算书、计算书（书面及电子文本）和文字描述的工程形象进度、材料、设备到场验收单等完整的证明资料，上述资料须经工程师、监理单位、造价跟踪审核单位和发包人现场管理部门等对其确认后，交造价咨询单位审核，确定付款金额，最终确认付款数量。提供资料不齐全的，将予以退回。承包人在约定时间内申请计量的工程量，必须是质量达到国家有关质量标准和合同规定的已完成工程量。工程计量和计量中涉及变更签证的均应以计量相关文件、发包人建设项目管理办法及本项目合同约定等依据进行承包人在约定时间内申请计量的工程量，必须是质量达到国家有关质量标准和合同规定的已完成工程量。并提供：付款申请表、验工月报、预算书、工程量计算书（书面及电子文本）和文字描述的工程形象进度、材料、设备到场验收单、各方签认的变更、签证的等完整的证明资料（原件）；</w:t>
      </w:r>
    </w:p>
    <w:p w14:paraId="37306F8C">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3、结算阶段：工程竣工验收后，须在合同约定的时限内提交所有预结算审核所需的资料，所有资料由承包人牵头单位收集汇总，就总承包合同范围和履行合同条款的完整性达成共识。在审核过程中，需补充的资料亦应按顺序确认。承包人应按相关合同约定时间报送完整的结算资料和结算书给工程师、监理单位、造价跟踪审核单位及发包人，经工程师、监理单位、造价跟踪审核单位及发包人审核通过后报送造价咨询单位，经造价咨询单位审核后，征求意见需按合同约定的时间完成，最后报送发包人审批同意。并提供：依据合同及相关法规规定的相关资料（原件）；</w:t>
      </w:r>
    </w:p>
    <w:p w14:paraId="03D81682">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4.2</w:t>
      </w:r>
      <w:r>
        <w:rPr>
          <w:rFonts w:hint="eastAsia" w:asciiTheme="majorEastAsia" w:hAnsiTheme="majorEastAsia" w:eastAsiaTheme="majorEastAsia"/>
          <w:highlight w:val="none"/>
        </w:rPr>
        <w:t>履约担保</w:t>
      </w:r>
    </w:p>
    <w:p w14:paraId="0C9DA0E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承包人是否提供履约担保：</w:t>
      </w:r>
      <w:r>
        <w:rPr>
          <w:rFonts w:hint="eastAsia" w:asciiTheme="majorEastAsia" w:hAnsiTheme="majorEastAsia" w:eastAsiaTheme="majorEastAsia"/>
          <w:highlight w:val="none"/>
          <w:u w:val="single"/>
          <w:lang w:val="en-US" w:eastAsia="zh-CN"/>
        </w:rPr>
        <w:t xml:space="preserve">  否  </w:t>
      </w:r>
      <w:r>
        <w:rPr>
          <w:rFonts w:hint="eastAsia" w:asciiTheme="majorEastAsia" w:hAnsiTheme="majorEastAsia" w:eastAsiaTheme="majorEastAsia"/>
          <w:highlight w:val="none"/>
        </w:rPr>
        <w:t>。</w:t>
      </w:r>
    </w:p>
    <w:p w14:paraId="6A6DA17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履约担保的方式：</w:t>
      </w:r>
      <w:r>
        <w:rPr>
          <w:rFonts w:hint="eastAsia" w:asciiTheme="majorEastAsia" w:hAnsiTheme="majorEastAsia" w:eastAsiaTheme="majorEastAsia"/>
          <w:highlight w:val="none"/>
          <w:u w:val="single"/>
          <w:lang w:val="en-US" w:eastAsia="zh-CN"/>
        </w:rPr>
        <w:t>/</w:t>
      </w:r>
      <w:r>
        <w:rPr>
          <w:rFonts w:hint="eastAsia" w:asciiTheme="majorEastAsia" w:hAnsiTheme="majorEastAsia" w:eastAsiaTheme="majorEastAsia"/>
          <w:highlight w:val="none"/>
        </w:rPr>
        <w:t>；</w:t>
      </w:r>
    </w:p>
    <w:p w14:paraId="6AF4514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金额：</w:t>
      </w:r>
      <w:r>
        <w:rPr>
          <w:rFonts w:hint="eastAsia" w:asciiTheme="majorEastAsia" w:hAnsiTheme="majorEastAsia" w:eastAsiaTheme="majorEastAsia"/>
          <w:highlight w:val="none"/>
          <w:u w:val="single"/>
          <w:lang w:val="en-US" w:eastAsia="zh-CN"/>
        </w:rPr>
        <w:t>/</w:t>
      </w:r>
      <w:r>
        <w:rPr>
          <w:rFonts w:hint="eastAsia" w:asciiTheme="majorEastAsia" w:hAnsiTheme="majorEastAsia" w:eastAsiaTheme="majorEastAsia"/>
          <w:highlight w:val="none"/>
        </w:rPr>
        <w:t>；</w:t>
      </w:r>
    </w:p>
    <w:p w14:paraId="39D6007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期限:</w:t>
      </w:r>
      <w:r>
        <w:rPr>
          <w:rFonts w:hint="eastAsia" w:asciiTheme="majorEastAsia" w:hAnsiTheme="majorEastAsia" w:eastAsiaTheme="majorEastAsia"/>
          <w:highlight w:val="none"/>
          <w:u w:val="single"/>
          <w:lang w:val="en-US" w:eastAsia="zh-CN"/>
        </w:rPr>
        <w:t>/</w:t>
      </w:r>
      <w:r>
        <w:rPr>
          <w:rFonts w:hint="eastAsia" w:asciiTheme="majorEastAsia" w:hAnsiTheme="majorEastAsia" w:eastAsiaTheme="majorEastAsia"/>
          <w:highlight w:val="none"/>
        </w:rPr>
        <w:t>。</w:t>
      </w:r>
    </w:p>
    <w:p w14:paraId="57D6B3E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 xml:space="preserve">4.3 </w:t>
      </w:r>
      <w:r>
        <w:rPr>
          <w:rFonts w:hint="eastAsia" w:asciiTheme="majorEastAsia" w:hAnsiTheme="majorEastAsia" w:eastAsiaTheme="majorEastAsia"/>
          <w:highlight w:val="none"/>
        </w:rPr>
        <w:t>工程总承包项目经理</w:t>
      </w:r>
    </w:p>
    <w:p w14:paraId="6A3C0C0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 xml:space="preserve">4.3.1 </w:t>
      </w:r>
      <w:r>
        <w:rPr>
          <w:rFonts w:hint="eastAsia" w:asciiTheme="majorEastAsia" w:hAnsiTheme="majorEastAsia" w:eastAsiaTheme="majorEastAsia"/>
          <w:highlight w:val="none"/>
        </w:rPr>
        <w:t>工程总承包项目经理姓名：</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51AB17B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执业资格或职称类型：</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 xml:space="preserve">   </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13BCBF7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执业资格证或职称证号码：</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4C55876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联系电话：</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178F8AF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电子邮箱：</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294F018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通信地址：</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7189A40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承包人未提交劳动合同，以及没有为工程总承包项目经理缴纳社会保险证明的违约责任：</w:t>
      </w:r>
      <w:r>
        <w:rPr>
          <w:rFonts w:hint="eastAsia" w:asciiTheme="majorEastAsia" w:hAnsiTheme="majorEastAsia" w:eastAsiaTheme="majorEastAsia"/>
          <w:highlight w:val="none"/>
          <w:u w:val="single"/>
        </w:rPr>
        <w:t>合同签订前经发包人查实，承包人委派的工程总承包项目经理、施工负责人、施工技术负责人、设计负责人等投标文件中非承包人本单位人员的，发包人有权责令承包人委派投标文件所列人员</w:t>
      </w:r>
      <w:r>
        <w:rPr>
          <w:rFonts w:hint="eastAsia" w:asciiTheme="majorEastAsia" w:hAnsiTheme="majorEastAsia" w:eastAsiaTheme="majorEastAsia"/>
          <w:highlight w:val="none"/>
        </w:rPr>
        <w:t>。</w:t>
      </w:r>
    </w:p>
    <w:p w14:paraId="790B1BFB">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4.3.2</w:t>
      </w:r>
      <w:r>
        <w:rPr>
          <w:rFonts w:hint="eastAsia" w:asciiTheme="majorEastAsia" w:hAnsiTheme="majorEastAsia" w:eastAsiaTheme="majorEastAsia"/>
          <w:highlight w:val="none"/>
        </w:rPr>
        <w:t>工程总承包项目经理每月在现场的时间要求：</w:t>
      </w:r>
      <w:bookmarkStart w:id="981" w:name="_Hlk514836148"/>
      <w:r>
        <w:rPr>
          <w:rFonts w:hint="eastAsia" w:asciiTheme="majorEastAsia" w:hAnsiTheme="majorEastAsia" w:eastAsiaTheme="majorEastAsia"/>
          <w:highlight w:val="none"/>
          <w:u w:val="single"/>
        </w:rPr>
        <w:t>总承包项目经理的出勤考核由工程师单位负责（按日历天计算），项目经理每月在施工现场出勤时间不得少于28天，当月项目经理未按规定出勤（经发包人、监理单位、造价跟踪审核单位和工程师单位同意的请假除外，请假期间保证项目副经理在场开展相关工作），每少一天应向发包人支付10000元（人民币）/天的违约金，违约金自承包人进度款中扣除</w:t>
      </w:r>
      <w:r>
        <w:rPr>
          <w:rFonts w:hint="eastAsia" w:asciiTheme="majorEastAsia" w:hAnsiTheme="majorEastAsia" w:eastAsiaTheme="majorEastAsia"/>
          <w:highlight w:val="none"/>
        </w:rPr>
        <w:t>。</w:t>
      </w:r>
    </w:p>
    <w:bookmarkEnd w:id="981"/>
    <w:p w14:paraId="002542D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4.3.3工程总承包项目经理未经批准擅自离开施工现场的违约责任：</w:t>
      </w:r>
      <w:bookmarkStart w:id="982" w:name="_Hlk514836136"/>
      <w:r>
        <w:rPr>
          <w:rFonts w:hint="eastAsia" w:asciiTheme="majorEastAsia" w:hAnsiTheme="majorEastAsia" w:eastAsiaTheme="majorEastAsia"/>
          <w:highlight w:val="none"/>
          <w:u w:val="single"/>
        </w:rPr>
        <w:t>任何时候工程总承包项目经理未经书面申请并获得工程师人、监理单位、造价跟踪审核单位及发包人同意而擅自离开工地现场的，每发生一次应向发包人支付10000元的违约金，违约金自承包人进度款中扣除</w:t>
      </w:r>
      <w:bookmarkEnd w:id="982"/>
      <w:r>
        <w:rPr>
          <w:rFonts w:hint="eastAsia" w:asciiTheme="majorEastAsia" w:hAnsiTheme="majorEastAsia" w:eastAsiaTheme="majorEastAsia"/>
          <w:highlight w:val="none"/>
        </w:rPr>
        <w:t>。</w:t>
      </w:r>
    </w:p>
    <w:p w14:paraId="106254EB">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4.3.3</w:t>
      </w:r>
      <w:r>
        <w:rPr>
          <w:rFonts w:hint="eastAsia" w:asciiTheme="majorEastAsia" w:hAnsiTheme="majorEastAsia" w:eastAsiaTheme="majorEastAsia"/>
          <w:highlight w:val="none"/>
        </w:rPr>
        <w:t>.1承包人对工程总承包项目经理的授权范围：</w:t>
      </w:r>
      <w:r>
        <w:rPr>
          <w:rFonts w:hint="eastAsia" w:asciiTheme="majorEastAsia" w:hAnsiTheme="majorEastAsia" w:eastAsiaTheme="majorEastAsia"/>
          <w:highlight w:val="none"/>
          <w:u w:val="single"/>
        </w:rPr>
        <w:t>全面负责合同的履行，代表承包人履行合同义务，作为承包人总协调人与发包人进行工作联系</w:t>
      </w:r>
      <w:r>
        <w:rPr>
          <w:rFonts w:hint="eastAsia" w:asciiTheme="majorEastAsia" w:hAnsiTheme="majorEastAsia" w:eastAsiaTheme="majorEastAsia"/>
          <w:highlight w:val="none"/>
        </w:rPr>
        <w:t>。</w:t>
      </w:r>
    </w:p>
    <w:p w14:paraId="044F95D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4.3.3.2承包人对工程总承包施工项目负责人的授权范围：</w:t>
      </w:r>
      <w:r>
        <w:rPr>
          <w:rFonts w:hint="eastAsia" w:asciiTheme="majorEastAsia" w:hAnsiTheme="majorEastAsia" w:eastAsiaTheme="majorEastAsia"/>
          <w:highlight w:val="none"/>
          <w:u w:val="single"/>
        </w:rPr>
        <w:t>1）经授权组建项目施工部，提出项目施工部的组织机构，选择、聘用施工部成员，确定施工部人员的职责；2）在授权范围内，按以上项目经理职责规定的职责，行使相应的管理权；3）在合同范围内，有权按规定程序使用工程总承包企业的相关资源，并取得有关部门的支持；4）主持项目施工部的工作，组织制定项目施工的各项管理规定；5）根据企业法定代表人授权，协调和处理与项目施工有关的内、外部事项。6）负责工地的文明施工，并对整个项目施工安全全面负责。7）工项目负责人仅限于工程的现场施工管理，但未经承包人盖章同意，不得以承包人名义向外采购材料设备、租用建筑周转材料、雇佣劳动力、签订分包合同等从事一切为承包人设立义务或责任的行为</w:t>
      </w:r>
      <w:r>
        <w:rPr>
          <w:rFonts w:hint="eastAsia" w:asciiTheme="majorEastAsia" w:hAnsiTheme="majorEastAsia" w:eastAsiaTheme="majorEastAsia"/>
          <w:highlight w:val="none"/>
        </w:rPr>
        <w:t>。</w:t>
      </w:r>
    </w:p>
    <w:p w14:paraId="6454A22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4.3.3.3承包人对工程总承包设计负责人的授权范围：</w:t>
      </w:r>
      <w:r>
        <w:rPr>
          <w:rFonts w:hint="eastAsia" w:asciiTheme="majorEastAsia" w:hAnsiTheme="majorEastAsia" w:eastAsiaTheme="majorEastAsia"/>
          <w:highlight w:val="none"/>
          <w:u w:val="single"/>
        </w:rPr>
        <w:t>代表设计单位履行合同义务，作为设计方总协调人与发包人进行工作联系</w:t>
      </w:r>
      <w:r>
        <w:rPr>
          <w:rFonts w:hint="eastAsia" w:asciiTheme="majorEastAsia" w:hAnsiTheme="majorEastAsia" w:eastAsiaTheme="majorEastAsia"/>
          <w:highlight w:val="none"/>
        </w:rPr>
        <w:t>。</w:t>
      </w:r>
    </w:p>
    <w:p w14:paraId="1F588F01">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4.3.4</w:t>
      </w:r>
      <w:r>
        <w:rPr>
          <w:rFonts w:hint="eastAsia" w:asciiTheme="majorEastAsia" w:hAnsiTheme="majorEastAsia" w:eastAsiaTheme="majorEastAsia"/>
          <w:highlight w:val="none"/>
        </w:rPr>
        <w:t>:承包人</w:t>
      </w:r>
      <w:r>
        <w:rPr>
          <w:rFonts w:asciiTheme="majorEastAsia" w:hAnsiTheme="majorEastAsia" w:eastAsiaTheme="majorEastAsia"/>
          <w:highlight w:val="none"/>
        </w:rPr>
        <w:t>擅自更换工程总承包项目经理的违约</w:t>
      </w:r>
      <w:r>
        <w:rPr>
          <w:rFonts w:hint="eastAsia" w:asciiTheme="majorEastAsia" w:hAnsiTheme="majorEastAsia" w:eastAsiaTheme="majorEastAsia"/>
          <w:highlight w:val="none"/>
        </w:rPr>
        <w:t>责任：</w:t>
      </w:r>
      <w:r>
        <w:rPr>
          <w:rFonts w:hint="eastAsia" w:asciiTheme="majorEastAsia" w:hAnsiTheme="majorEastAsia" w:eastAsiaTheme="majorEastAsia"/>
          <w:highlight w:val="none"/>
          <w:u w:val="single"/>
        </w:rPr>
        <w:t>承包人在投标时承诺委派于本工程的工程总承包项目经理、施工负责人、施工技术负责人、设计负责人合同履行期间未经发包人同意不得更换，否则承包人应向发包人支付10000元/人/次的违约金。经发包人同意更换后的人员素质和能力不得低于投标文件承诺的要求，即便经发包人同意承包人更换工程总承包项目经理、施工负责人、施工技术负责人、设计负责人、设备安装负责人的申请，在项目实施过程中发包人仍有权主动要求更换在任的上述人员，承包人拒不履行的应向发包人支付10000元/人/次的违约金</w:t>
      </w:r>
      <w:r>
        <w:rPr>
          <w:rFonts w:hint="eastAsia" w:asciiTheme="majorEastAsia" w:hAnsiTheme="majorEastAsia" w:eastAsiaTheme="majorEastAsia"/>
          <w:highlight w:val="none"/>
        </w:rPr>
        <w:t>。</w:t>
      </w:r>
    </w:p>
    <w:p w14:paraId="339EB777">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4.3.5承包人无正当理由拒绝更换</w:t>
      </w:r>
      <w:r>
        <w:rPr>
          <w:rFonts w:hint="eastAsia" w:asciiTheme="majorEastAsia" w:hAnsiTheme="majorEastAsia" w:eastAsiaTheme="majorEastAsia"/>
          <w:highlight w:val="none"/>
        </w:rPr>
        <w:t>工程总承包项目经理、施工负责人、施工技术负责人、设计负责人、设备安装负责人</w:t>
      </w:r>
      <w:r>
        <w:rPr>
          <w:rFonts w:asciiTheme="majorEastAsia" w:hAnsiTheme="majorEastAsia" w:eastAsiaTheme="majorEastAsia"/>
          <w:highlight w:val="none"/>
        </w:rPr>
        <w:t>的违约责任</w:t>
      </w:r>
      <w:r>
        <w:rPr>
          <w:rFonts w:hint="eastAsia" w:asciiTheme="majorEastAsia" w:hAnsiTheme="majorEastAsia" w:eastAsiaTheme="majorEastAsia"/>
          <w:highlight w:val="none"/>
        </w:rPr>
        <w:t>:向发包人支付10000元/人/次的违约金</w:t>
      </w:r>
      <w:r>
        <w:rPr>
          <w:rFonts w:asciiTheme="majorEastAsia" w:hAnsiTheme="majorEastAsia" w:eastAsiaTheme="majorEastAsia"/>
          <w:highlight w:val="none"/>
        </w:rPr>
        <w:t>。</w:t>
      </w:r>
    </w:p>
    <w:p w14:paraId="14CDF97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4.4</w:t>
      </w:r>
      <w:r>
        <w:rPr>
          <w:rFonts w:hint="eastAsia" w:asciiTheme="majorEastAsia" w:hAnsiTheme="majorEastAsia" w:eastAsiaTheme="majorEastAsia"/>
          <w:highlight w:val="none"/>
        </w:rPr>
        <w:t>承包人人员</w:t>
      </w:r>
    </w:p>
    <w:p w14:paraId="2902514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4.4.1</w:t>
      </w:r>
      <w:r>
        <w:rPr>
          <w:rFonts w:hint="eastAsia" w:asciiTheme="majorEastAsia" w:hAnsiTheme="majorEastAsia" w:eastAsiaTheme="majorEastAsia"/>
          <w:highlight w:val="none"/>
        </w:rPr>
        <w:t>人员安排</w:t>
      </w:r>
    </w:p>
    <w:p w14:paraId="7E9E109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承包人</w:t>
      </w:r>
      <w:r>
        <w:rPr>
          <w:rFonts w:hint="eastAsia" w:asciiTheme="majorEastAsia" w:hAnsiTheme="majorEastAsia" w:eastAsiaTheme="majorEastAsia"/>
          <w:highlight w:val="none"/>
        </w:rPr>
        <w:t>提交</w:t>
      </w:r>
      <w:r>
        <w:rPr>
          <w:rFonts w:asciiTheme="majorEastAsia" w:hAnsiTheme="majorEastAsia" w:eastAsiaTheme="majorEastAsia"/>
          <w:highlight w:val="none"/>
        </w:rPr>
        <w:t>项目管理机构及施工现场人员安排的报告</w:t>
      </w:r>
      <w:r>
        <w:rPr>
          <w:rFonts w:hint="eastAsia" w:asciiTheme="majorEastAsia" w:hAnsiTheme="majorEastAsia" w:eastAsiaTheme="majorEastAsia"/>
          <w:highlight w:val="none"/>
        </w:rPr>
        <w:t>的期限：</w:t>
      </w:r>
      <w:r>
        <w:rPr>
          <w:rFonts w:hint="eastAsia" w:asciiTheme="majorEastAsia" w:hAnsiTheme="majorEastAsia" w:eastAsiaTheme="majorEastAsia"/>
          <w:highlight w:val="none"/>
          <w:u w:val="single"/>
        </w:rPr>
        <w:t>开工前7天内</w:t>
      </w:r>
      <w:r>
        <w:rPr>
          <w:rFonts w:hint="eastAsia" w:asciiTheme="majorEastAsia" w:hAnsiTheme="majorEastAsia" w:eastAsiaTheme="majorEastAsia"/>
          <w:highlight w:val="none"/>
        </w:rPr>
        <w:t>。</w:t>
      </w:r>
    </w:p>
    <w:p w14:paraId="528D565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承包人提交关键人员信息及注册执业资格等证明其具备担任关键人员能力的相关文件的期限：</w:t>
      </w:r>
      <w:r>
        <w:rPr>
          <w:rFonts w:hint="eastAsia" w:asciiTheme="majorEastAsia" w:hAnsiTheme="majorEastAsia" w:eastAsiaTheme="majorEastAsia"/>
          <w:highlight w:val="none"/>
          <w:u w:val="single"/>
        </w:rPr>
        <w:t>开工前7天内</w:t>
      </w:r>
      <w:r>
        <w:rPr>
          <w:rFonts w:hint="eastAsia" w:asciiTheme="majorEastAsia" w:hAnsiTheme="majorEastAsia" w:eastAsiaTheme="majorEastAsia"/>
          <w:highlight w:val="none"/>
        </w:rPr>
        <w:t>。</w:t>
      </w:r>
    </w:p>
    <w:p w14:paraId="75104B7A">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4.4.2</w:t>
      </w:r>
      <w:r>
        <w:rPr>
          <w:rFonts w:hint="eastAsia" w:asciiTheme="majorEastAsia" w:hAnsiTheme="majorEastAsia" w:eastAsiaTheme="majorEastAsia"/>
          <w:highlight w:val="none"/>
        </w:rPr>
        <w:t>关键人员更换</w:t>
      </w:r>
    </w:p>
    <w:p w14:paraId="69742807">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承包人擅自更换</w:t>
      </w:r>
      <w:r>
        <w:rPr>
          <w:rFonts w:hint="eastAsia" w:asciiTheme="majorEastAsia" w:hAnsiTheme="majorEastAsia" w:eastAsiaTheme="majorEastAsia"/>
          <w:highlight w:val="none"/>
        </w:rPr>
        <w:t>关键人员</w:t>
      </w:r>
      <w:r>
        <w:rPr>
          <w:rFonts w:asciiTheme="majorEastAsia" w:hAnsiTheme="majorEastAsia" w:eastAsiaTheme="majorEastAsia"/>
          <w:highlight w:val="none"/>
        </w:rPr>
        <w:t>的违约责任：</w:t>
      </w:r>
      <w:r>
        <w:rPr>
          <w:rFonts w:hint="eastAsia" w:asciiTheme="majorEastAsia" w:hAnsiTheme="majorEastAsia" w:eastAsiaTheme="majorEastAsia"/>
          <w:highlight w:val="none"/>
          <w:u w:val="single"/>
        </w:rPr>
        <w:t>承包人在投标时承诺委派于本工程的其他主要管理人员，合同履行期间未经发包人同意不得更换，否则承包人应向发包人支付10000元/人/次的违约金。经发包人同意更换后的其他主要管理人员素质和能力不得低于投标文件承诺的要求，即便经发包人同意承包人更换其他主要管理人员的申请，在项目实施过程中发包人仍有权主动要求更换在任的其他主要管理人员，承包人拒不履行的应向发包人支付10000元/人/次的违约金，违约金自承包人进度款中扣除</w:t>
      </w:r>
      <w:r>
        <w:rPr>
          <w:rFonts w:hint="eastAsia" w:asciiTheme="majorEastAsia" w:hAnsiTheme="majorEastAsia" w:eastAsiaTheme="majorEastAsia"/>
          <w:highlight w:val="none"/>
        </w:rPr>
        <w:t>。</w:t>
      </w:r>
    </w:p>
    <w:p w14:paraId="3E30D5A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承包人无正当理由拒绝撤换</w:t>
      </w:r>
      <w:r>
        <w:rPr>
          <w:rFonts w:hint="eastAsia" w:asciiTheme="majorEastAsia" w:hAnsiTheme="majorEastAsia" w:eastAsiaTheme="majorEastAsia"/>
          <w:highlight w:val="none"/>
        </w:rPr>
        <w:t>关键人员</w:t>
      </w:r>
      <w:r>
        <w:rPr>
          <w:rFonts w:asciiTheme="majorEastAsia" w:hAnsiTheme="majorEastAsia" w:eastAsiaTheme="majorEastAsia"/>
          <w:highlight w:val="none"/>
        </w:rPr>
        <w:t>的违约责任：</w:t>
      </w:r>
      <w:r>
        <w:rPr>
          <w:rFonts w:hint="eastAsia" w:asciiTheme="majorEastAsia" w:hAnsiTheme="majorEastAsia" w:eastAsiaTheme="majorEastAsia"/>
          <w:highlight w:val="none"/>
          <w:u w:val="single"/>
        </w:rPr>
        <w:t>向发包人支付10000元/人/次的违约金，违约金自承包人进度款中扣除</w:t>
      </w:r>
      <w:r>
        <w:rPr>
          <w:rFonts w:hint="eastAsia" w:asciiTheme="majorEastAsia" w:hAnsiTheme="majorEastAsia" w:eastAsiaTheme="majorEastAsia"/>
          <w:highlight w:val="none"/>
        </w:rPr>
        <w:t>。</w:t>
      </w:r>
    </w:p>
    <w:p w14:paraId="69B24F10">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4.4.3</w:t>
      </w:r>
      <w:r>
        <w:rPr>
          <w:rFonts w:hint="eastAsia" w:asciiTheme="majorEastAsia" w:hAnsiTheme="majorEastAsia" w:eastAsiaTheme="majorEastAsia"/>
          <w:highlight w:val="none"/>
        </w:rPr>
        <w:t>现场管理关键人员在岗要求</w:t>
      </w:r>
    </w:p>
    <w:p w14:paraId="182827E0">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承包人</w:t>
      </w:r>
      <w:r>
        <w:rPr>
          <w:rFonts w:hint="eastAsia" w:asciiTheme="majorEastAsia" w:hAnsiTheme="majorEastAsia" w:eastAsiaTheme="majorEastAsia"/>
          <w:highlight w:val="none"/>
        </w:rPr>
        <w:t>现场管理关键</w:t>
      </w:r>
      <w:r>
        <w:rPr>
          <w:rFonts w:asciiTheme="majorEastAsia" w:hAnsiTheme="majorEastAsia" w:eastAsiaTheme="majorEastAsia"/>
          <w:highlight w:val="none"/>
        </w:rPr>
        <w:t>人员离开施工现场的批准要求</w:t>
      </w:r>
      <w:r>
        <w:rPr>
          <w:rFonts w:hint="eastAsia" w:asciiTheme="majorEastAsia" w:hAnsiTheme="majorEastAsia" w:eastAsiaTheme="majorEastAsia"/>
          <w:highlight w:val="none"/>
        </w:rPr>
        <w:t>：</w:t>
      </w:r>
      <w:r>
        <w:rPr>
          <w:rFonts w:asciiTheme="majorEastAsia" w:hAnsiTheme="majorEastAsia" w:eastAsiaTheme="majorEastAsia"/>
          <w:highlight w:val="none"/>
          <w:u w:val="single"/>
        </w:rPr>
        <w:t>承包人</w:t>
      </w:r>
      <w:r>
        <w:rPr>
          <w:rFonts w:hint="eastAsia" w:asciiTheme="majorEastAsia" w:hAnsiTheme="majorEastAsia" w:eastAsiaTheme="majorEastAsia"/>
          <w:highlight w:val="none"/>
          <w:u w:val="single"/>
        </w:rPr>
        <w:t>现场管理关键</w:t>
      </w:r>
      <w:r>
        <w:rPr>
          <w:rFonts w:asciiTheme="majorEastAsia" w:hAnsiTheme="majorEastAsia" w:eastAsiaTheme="majorEastAsia"/>
          <w:highlight w:val="none"/>
          <w:u w:val="single"/>
        </w:rPr>
        <w:t>人员离开施工现场</w:t>
      </w:r>
      <w:r>
        <w:rPr>
          <w:rFonts w:hint="eastAsia" w:asciiTheme="majorEastAsia" w:hAnsiTheme="majorEastAsia" w:eastAsiaTheme="majorEastAsia"/>
          <w:highlight w:val="none"/>
          <w:u w:val="single"/>
        </w:rPr>
        <w:t>累计超过7天须经书面申请并获得工程师人、监理单位、造价跟踪审核单位及发包人同意</w:t>
      </w:r>
      <w:r>
        <w:rPr>
          <w:rFonts w:hint="eastAsia" w:asciiTheme="majorEastAsia" w:hAnsiTheme="majorEastAsia" w:eastAsiaTheme="majorEastAsia"/>
          <w:highlight w:val="none"/>
        </w:rPr>
        <w:t>。</w:t>
      </w:r>
    </w:p>
    <w:p w14:paraId="4C5339E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承包人前述现场管理关键人员擅自离开施工现场的违约责任：应向发包人支付5000元/人/天的违约金，违约金自承包人进度款中扣除。</w:t>
      </w:r>
    </w:p>
    <w:p w14:paraId="5B9F91C2">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设计方设计负责人及现场代表相关要求：设计负责人及现场代表须常驻现场，时间每月不得少于</w:t>
      </w:r>
      <w:r>
        <w:rPr>
          <w:rFonts w:hint="eastAsia" w:asciiTheme="majorEastAsia" w:hAnsiTheme="majorEastAsia" w:eastAsiaTheme="majorEastAsia"/>
          <w:highlight w:val="none"/>
        </w:rPr>
        <w:t>22天，</w:t>
      </w:r>
      <w:r>
        <w:rPr>
          <w:rFonts w:asciiTheme="majorEastAsia" w:hAnsiTheme="majorEastAsia" w:eastAsiaTheme="majorEastAsia"/>
          <w:highlight w:val="none"/>
        </w:rPr>
        <w:t>常驻现场人员不得少于</w:t>
      </w:r>
      <w:r>
        <w:rPr>
          <w:rFonts w:hint="eastAsia" w:asciiTheme="majorEastAsia" w:hAnsiTheme="majorEastAsia" w:eastAsiaTheme="majorEastAsia"/>
          <w:highlight w:val="none"/>
        </w:rPr>
        <w:t>2人且人员为投标承诺中的人员。至少一名中级职称以上设计人员进行现场设计配合工作直至项目竣工，若其中有人须临时离开现场的，须由投标承诺中的同等资质人员进行替换，每少一天应向发包人支付5000元（人民币）/人/天的违约金，违约金自承包人进度款中扣除。</w:t>
      </w:r>
    </w:p>
    <w:p w14:paraId="38F1C25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4.5</w:t>
      </w:r>
      <w:r>
        <w:rPr>
          <w:rFonts w:hint="eastAsia" w:asciiTheme="majorEastAsia" w:hAnsiTheme="majorEastAsia" w:eastAsiaTheme="majorEastAsia"/>
          <w:highlight w:val="none"/>
        </w:rPr>
        <w:t>分包</w:t>
      </w:r>
    </w:p>
    <w:p w14:paraId="5A65E9A4">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4.5.1</w:t>
      </w:r>
      <w:r>
        <w:rPr>
          <w:rFonts w:hint="eastAsia" w:asciiTheme="majorEastAsia" w:hAnsiTheme="majorEastAsia" w:eastAsiaTheme="majorEastAsia"/>
          <w:highlight w:val="none"/>
        </w:rPr>
        <w:t>一般约定</w:t>
      </w:r>
    </w:p>
    <w:p w14:paraId="22917D97">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禁止分包的工程包括：</w:t>
      </w:r>
      <w:r>
        <w:rPr>
          <w:rFonts w:hint="eastAsia" w:asciiTheme="majorEastAsia" w:hAnsiTheme="majorEastAsia" w:eastAsiaTheme="majorEastAsia"/>
          <w:highlight w:val="none"/>
          <w:u w:val="single"/>
        </w:rPr>
        <w:t>关键部分及主体工程</w:t>
      </w:r>
      <w:r>
        <w:rPr>
          <w:rFonts w:asciiTheme="majorEastAsia" w:hAnsiTheme="majorEastAsia" w:eastAsiaTheme="majorEastAsia"/>
          <w:highlight w:val="none"/>
        </w:rPr>
        <w:t>。</w:t>
      </w:r>
    </w:p>
    <w:p w14:paraId="432A6D5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4.5.2</w:t>
      </w:r>
      <w:r>
        <w:rPr>
          <w:rFonts w:hint="eastAsia" w:asciiTheme="majorEastAsia" w:hAnsiTheme="majorEastAsia" w:eastAsiaTheme="majorEastAsia"/>
          <w:highlight w:val="none"/>
        </w:rPr>
        <w:t>分包的确定</w:t>
      </w:r>
    </w:p>
    <w:p w14:paraId="679ACBD0">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允许分包的工程包括：</w:t>
      </w:r>
      <w:r>
        <w:rPr>
          <w:rFonts w:hint="eastAsia" w:asciiTheme="majorEastAsia" w:hAnsiTheme="majorEastAsia" w:eastAsiaTheme="majorEastAsia"/>
          <w:highlight w:val="none"/>
          <w:u w:val="single"/>
        </w:rPr>
        <w:t>确需分包才能完成的项目，承包人必须报经发包人书面同意后依法依规进行分包，属于依法必须进行招标的项目范围且达到国家规定规模标准的，应当依法招标；不属于依法必须进行招标的项目，承包人应按相关的企业内控制度依法依规选取供应商，并留有相关流程记录等资料提供发包人检查</w:t>
      </w:r>
      <w:r>
        <w:rPr>
          <w:rFonts w:hint="eastAsia" w:asciiTheme="majorEastAsia" w:hAnsiTheme="majorEastAsia" w:eastAsiaTheme="majorEastAsia"/>
          <w:highlight w:val="none"/>
        </w:rPr>
        <w:t>。</w:t>
      </w:r>
    </w:p>
    <w:p w14:paraId="259146A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承包人对其承包的全部建设工程质量负责，分包单位对其分包工程的质量负责，分包不免除承包人对其承包的全部建设工程所负的质量责任。</w:t>
      </w:r>
    </w:p>
    <w:p w14:paraId="5E70C77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承包人对承包范围内工程的安全生产负总责。分包单位应当服从工程承包人的安全生产管理，分包单位不服从管理导致生产安全事故的，由分包单位承担主要责任。</w:t>
      </w:r>
    </w:p>
    <w:p w14:paraId="4666EA06">
      <w:pPr>
        <w:spacing w:line="560" w:lineRule="exact"/>
        <w:ind w:firstLine="410" w:firstLineChars="171"/>
        <w:rPr>
          <w:rFonts w:asciiTheme="majorEastAsia" w:hAnsiTheme="majorEastAsia" w:eastAsiaTheme="majorEastAsia"/>
          <w:highlight w:val="none"/>
          <w:u w:val="single"/>
        </w:rPr>
      </w:pPr>
      <w:r>
        <w:rPr>
          <w:rFonts w:asciiTheme="majorEastAsia" w:hAnsiTheme="majorEastAsia" w:eastAsiaTheme="majorEastAsia"/>
          <w:highlight w:val="none"/>
        </w:rPr>
        <w:t>其他关于</w:t>
      </w:r>
      <w:r>
        <w:rPr>
          <w:rFonts w:hint="eastAsia" w:asciiTheme="majorEastAsia" w:hAnsiTheme="majorEastAsia" w:eastAsiaTheme="majorEastAsia"/>
          <w:highlight w:val="none"/>
        </w:rPr>
        <w:t>发</w:t>
      </w:r>
      <w:r>
        <w:rPr>
          <w:rFonts w:asciiTheme="majorEastAsia" w:hAnsiTheme="majorEastAsia" w:eastAsiaTheme="majorEastAsia"/>
          <w:highlight w:val="none"/>
        </w:rPr>
        <w:t>包的约定：</w:t>
      </w:r>
      <w:r>
        <w:rPr>
          <w:rFonts w:hint="eastAsia" w:asciiTheme="majorEastAsia" w:hAnsiTheme="majorEastAsia" w:eastAsiaTheme="majorEastAsia"/>
          <w:highlight w:val="none"/>
          <w:u w:val="single"/>
        </w:rPr>
        <w:t>本项目总承包范围外的项目，由发包人另作为招标人。但本合同承包人必须给予配合，建设类配合费为1%，设备加安装类为0.5%，医疗设备类为0.3%。</w:t>
      </w:r>
    </w:p>
    <w:p w14:paraId="3F606832">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4.5.5</w:t>
      </w:r>
      <w:r>
        <w:rPr>
          <w:rFonts w:hint="eastAsia" w:asciiTheme="majorEastAsia" w:hAnsiTheme="majorEastAsia" w:eastAsiaTheme="majorEastAsia"/>
          <w:highlight w:val="none"/>
        </w:rPr>
        <w:t>分包合同价款支付</w:t>
      </w:r>
    </w:p>
    <w:p w14:paraId="298C793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关于分包合同价款支付的约定：</w:t>
      </w:r>
      <w:r>
        <w:rPr>
          <w:rFonts w:hint="eastAsia" w:asciiTheme="majorEastAsia" w:hAnsiTheme="majorEastAsia" w:eastAsiaTheme="majorEastAsia"/>
          <w:highlight w:val="none"/>
          <w:u w:val="single"/>
        </w:rPr>
        <w:t>按通用条件执行</w:t>
      </w:r>
      <w:r>
        <w:rPr>
          <w:rFonts w:hint="eastAsia" w:asciiTheme="majorEastAsia" w:hAnsiTheme="majorEastAsia" w:eastAsiaTheme="majorEastAsia"/>
          <w:highlight w:val="none"/>
        </w:rPr>
        <w:t>。</w:t>
      </w:r>
    </w:p>
    <w:p w14:paraId="2C90EE4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4.6</w:t>
      </w:r>
      <w:r>
        <w:rPr>
          <w:rFonts w:hint="eastAsia" w:asciiTheme="majorEastAsia" w:hAnsiTheme="majorEastAsia" w:eastAsiaTheme="majorEastAsia"/>
          <w:highlight w:val="none"/>
        </w:rPr>
        <w:t>联合体</w:t>
      </w:r>
    </w:p>
    <w:p w14:paraId="3BC980F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w:t>
      </w:r>
      <w:r>
        <w:rPr>
          <w:rFonts w:asciiTheme="majorEastAsia" w:hAnsiTheme="majorEastAsia" w:eastAsiaTheme="majorEastAsia"/>
          <w:highlight w:val="none"/>
        </w:rPr>
        <w:t>.6.2</w:t>
      </w:r>
      <w:r>
        <w:rPr>
          <w:rFonts w:hint="eastAsia" w:asciiTheme="majorEastAsia" w:hAnsiTheme="majorEastAsia" w:eastAsiaTheme="majorEastAsia"/>
          <w:highlight w:val="none"/>
        </w:rPr>
        <w:t>联合体各成员的分工、费用收取、发票开具等事项：</w:t>
      </w:r>
      <w:r>
        <w:rPr>
          <w:rFonts w:hint="eastAsia" w:asciiTheme="majorEastAsia" w:hAnsiTheme="majorEastAsia" w:eastAsiaTheme="majorEastAsia"/>
          <w:highlight w:val="none"/>
          <w:u w:val="single"/>
        </w:rPr>
        <w:t>合同签订时约定</w:t>
      </w:r>
      <w:r>
        <w:rPr>
          <w:rFonts w:hint="eastAsia" w:asciiTheme="majorEastAsia" w:hAnsiTheme="majorEastAsia" w:eastAsiaTheme="majorEastAsia"/>
          <w:highlight w:val="none"/>
        </w:rPr>
        <w:t>。</w:t>
      </w:r>
    </w:p>
    <w:p w14:paraId="4805EA9F">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4.7</w:t>
      </w:r>
      <w:r>
        <w:rPr>
          <w:rFonts w:hint="eastAsia" w:asciiTheme="majorEastAsia" w:hAnsiTheme="majorEastAsia" w:eastAsiaTheme="majorEastAsia"/>
          <w:highlight w:val="none"/>
        </w:rPr>
        <w:t>承包人现场查勘</w:t>
      </w:r>
    </w:p>
    <w:p w14:paraId="5D57CBD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w:t>
      </w:r>
      <w:r>
        <w:rPr>
          <w:rFonts w:asciiTheme="majorEastAsia" w:hAnsiTheme="majorEastAsia" w:eastAsiaTheme="majorEastAsia"/>
          <w:highlight w:val="none"/>
        </w:rPr>
        <w:t>.7.1</w:t>
      </w:r>
      <w:r>
        <w:rPr>
          <w:rFonts w:hint="eastAsia" w:asciiTheme="majorEastAsia" w:hAnsiTheme="majorEastAsia" w:eastAsiaTheme="majorEastAsia"/>
          <w:highlight w:val="none"/>
        </w:rPr>
        <w:t>双方当事人对现场查勘的责任承担的约定：</w:t>
      </w:r>
      <w:r>
        <w:rPr>
          <w:rFonts w:hint="eastAsia" w:asciiTheme="majorEastAsia" w:hAnsiTheme="majorEastAsia" w:eastAsiaTheme="majorEastAsia"/>
          <w:highlight w:val="none"/>
          <w:u w:val="single"/>
        </w:rPr>
        <w:t>（1）发包人向承包人提交地下管线、详勘等现有的基础资料以及现场施工等工程实施所需的文件，承包人在接收上述资料当日起21天内应向发包人书面提交以上资料的书面意见；（2）承包人未按时提交书面意见的，视为承包人已对施工现场及周围环境进行了踏勘并对发包人提交的相应的资料予已认可，并已充分了解评估施工现场及周围环境对工程可能产生的影响</w:t>
      </w:r>
      <w:r>
        <w:rPr>
          <w:rFonts w:hint="eastAsia" w:asciiTheme="majorEastAsia" w:hAnsiTheme="majorEastAsia" w:eastAsiaTheme="majorEastAsia"/>
          <w:highlight w:val="none"/>
        </w:rPr>
        <w:t>。</w:t>
      </w:r>
    </w:p>
    <w:p w14:paraId="635FD1DE">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4.8</w:t>
      </w:r>
      <w:r>
        <w:rPr>
          <w:rFonts w:hint="eastAsia" w:asciiTheme="majorEastAsia" w:hAnsiTheme="majorEastAsia" w:eastAsiaTheme="majorEastAsia"/>
          <w:highlight w:val="none"/>
        </w:rPr>
        <w:t>不可预见的困难</w:t>
      </w:r>
    </w:p>
    <w:p w14:paraId="1E99DB3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不可预见的困难包括：</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24BCC07D">
      <w:pPr>
        <w:spacing w:line="560" w:lineRule="exact"/>
        <w:rPr>
          <w:rFonts w:asciiTheme="majorEastAsia" w:hAnsiTheme="majorEastAsia" w:eastAsiaTheme="majorEastAsia"/>
          <w:b/>
          <w:highlight w:val="none"/>
        </w:rPr>
      </w:pPr>
      <w:bookmarkStart w:id="983" w:name="_Toc54862336"/>
      <w:r>
        <w:rPr>
          <w:rFonts w:hint="eastAsia" w:asciiTheme="majorEastAsia" w:hAnsiTheme="majorEastAsia" w:eastAsiaTheme="majorEastAsia"/>
          <w:b/>
          <w:highlight w:val="none"/>
        </w:rPr>
        <w:t>第</w:t>
      </w:r>
      <w:r>
        <w:rPr>
          <w:rFonts w:asciiTheme="majorEastAsia" w:hAnsiTheme="majorEastAsia" w:eastAsiaTheme="majorEastAsia"/>
          <w:b/>
          <w:highlight w:val="none"/>
        </w:rPr>
        <w:t>5条</w:t>
      </w:r>
      <w:r>
        <w:rPr>
          <w:rFonts w:hint="eastAsia" w:asciiTheme="majorEastAsia" w:hAnsiTheme="majorEastAsia" w:eastAsiaTheme="majorEastAsia"/>
          <w:b/>
          <w:highlight w:val="none"/>
        </w:rPr>
        <w:t xml:space="preserve">  设计</w:t>
      </w:r>
      <w:bookmarkEnd w:id="983"/>
    </w:p>
    <w:p w14:paraId="41EE786F">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5.2</w:t>
      </w:r>
      <w:r>
        <w:rPr>
          <w:rFonts w:hint="eastAsia" w:asciiTheme="majorEastAsia" w:hAnsiTheme="majorEastAsia" w:eastAsiaTheme="majorEastAsia"/>
          <w:highlight w:val="none"/>
        </w:rPr>
        <w:t>承包人文件审查</w:t>
      </w:r>
    </w:p>
    <w:p w14:paraId="20405A2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w:t>
      </w:r>
      <w:r>
        <w:rPr>
          <w:rFonts w:asciiTheme="majorEastAsia" w:hAnsiTheme="majorEastAsia" w:eastAsiaTheme="majorEastAsia"/>
          <w:highlight w:val="none"/>
        </w:rPr>
        <w:t>.2.1</w:t>
      </w:r>
      <w:r>
        <w:rPr>
          <w:rFonts w:hint="eastAsia" w:asciiTheme="majorEastAsia" w:hAnsiTheme="majorEastAsia" w:eastAsiaTheme="majorEastAsia"/>
          <w:highlight w:val="none"/>
        </w:rPr>
        <w:t>承包人文件审查的期限：</w:t>
      </w:r>
      <w:r>
        <w:rPr>
          <w:rFonts w:hint="eastAsia" w:asciiTheme="majorEastAsia" w:hAnsiTheme="majorEastAsia" w:eastAsiaTheme="majorEastAsia"/>
          <w:highlight w:val="none"/>
          <w:u w:val="single"/>
        </w:rPr>
        <w:t>按通用条件执行</w:t>
      </w:r>
      <w:r>
        <w:rPr>
          <w:rFonts w:hint="eastAsia" w:asciiTheme="majorEastAsia" w:hAnsiTheme="majorEastAsia" w:eastAsiaTheme="majorEastAsia"/>
          <w:highlight w:val="none"/>
        </w:rPr>
        <w:t>。</w:t>
      </w:r>
    </w:p>
    <w:p w14:paraId="649D52F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5.2.2</w:t>
      </w:r>
      <w:r>
        <w:rPr>
          <w:rFonts w:hint="eastAsia" w:asciiTheme="majorEastAsia" w:hAnsiTheme="majorEastAsia" w:eastAsiaTheme="majorEastAsia"/>
          <w:highlight w:val="none"/>
        </w:rPr>
        <w:t>审查会议的审查形式和时间安排为：</w:t>
      </w:r>
      <w:r>
        <w:rPr>
          <w:rFonts w:hint="eastAsia" w:asciiTheme="majorEastAsia" w:hAnsiTheme="majorEastAsia" w:eastAsiaTheme="majorEastAsia"/>
          <w:highlight w:val="none"/>
          <w:u w:val="single"/>
        </w:rPr>
        <w:t>另行约定。审查会议相关事项由设计单位牵头完成，并承担相关费用（评审费、差旅费、会议费、会务费、食宿费等一切相关费用）</w:t>
      </w:r>
      <w:r>
        <w:rPr>
          <w:rFonts w:hint="eastAsia" w:asciiTheme="majorEastAsia" w:hAnsiTheme="majorEastAsia" w:eastAsiaTheme="majorEastAsia"/>
          <w:highlight w:val="none"/>
        </w:rPr>
        <w:t>。</w:t>
      </w:r>
    </w:p>
    <w:p w14:paraId="71475B2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w:t>
      </w:r>
      <w:r>
        <w:rPr>
          <w:rFonts w:asciiTheme="majorEastAsia" w:hAnsiTheme="majorEastAsia" w:eastAsiaTheme="majorEastAsia"/>
          <w:highlight w:val="none"/>
        </w:rPr>
        <w:t>.2.3</w:t>
      </w:r>
      <w:r>
        <w:rPr>
          <w:rFonts w:hint="eastAsia" w:asciiTheme="majorEastAsia" w:hAnsiTheme="majorEastAsia" w:eastAsiaTheme="majorEastAsia"/>
          <w:highlight w:val="none"/>
        </w:rPr>
        <w:t>关于第三方审查单位的约定：</w:t>
      </w:r>
      <w:r>
        <w:rPr>
          <w:rFonts w:hint="eastAsia" w:asciiTheme="majorEastAsia" w:hAnsiTheme="majorEastAsia" w:eastAsiaTheme="majorEastAsia"/>
          <w:highlight w:val="none"/>
          <w:u w:val="single"/>
        </w:rPr>
        <w:t>合同签订时约定</w:t>
      </w:r>
      <w:r>
        <w:rPr>
          <w:rFonts w:hint="eastAsia" w:asciiTheme="majorEastAsia" w:hAnsiTheme="majorEastAsia" w:eastAsiaTheme="majorEastAsia"/>
          <w:highlight w:val="none"/>
        </w:rPr>
        <w:t>。</w:t>
      </w:r>
    </w:p>
    <w:p w14:paraId="3A29DE89">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5.3</w:t>
      </w:r>
      <w:r>
        <w:rPr>
          <w:rFonts w:hint="eastAsia" w:asciiTheme="majorEastAsia" w:hAnsiTheme="majorEastAsia" w:eastAsiaTheme="majorEastAsia"/>
          <w:highlight w:val="none"/>
        </w:rPr>
        <w:t>培训</w:t>
      </w:r>
    </w:p>
    <w:p w14:paraId="5E5C284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u w:val="single"/>
        </w:rPr>
        <w:t>承包人应为培训提供的人员、设施和其它必要条件为设备生产厂家技术人员及负债调试运行的主要技术人员到现场进行培训，提供相关培训文字、图片、影像资料，满足发包人提出的一切要求</w:t>
      </w:r>
      <w:r>
        <w:rPr>
          <w:rFonts w:hint="eastAsia" w:asciiTheme="majorEastAsia" w:hAnsiTheme="majorEastAsia" w:eastAsiaTheme="majorEastAsia"/>
          <w:highlight w:val="none"/>
        </w:rPr>
        <w:t>。</w:t>
      </w:r>
    </w:p>
    <w:p w14:paraId="3648F7CB">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5.4</w:t>
      </w:r>
      <w:r>
        <w:rPr>
          <w:rFonts w:hint="eastAsia" w:asciiTheme="majorEastAsia" w:hAnsiTheme="majorEastAsia" w:eastAsiaTheme="majorEastAsia"/>
          <w:highlight w:val="none"/>
        </w:rPr>
        <w:t>竣工文件</w:t>
      </w:r>
    </w:p>
    <w:p w14:paraId="3A63089A">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5.4.1</w:t>
      </w:r>
      <w:r>
        <w:rPr>
          <w:rFonts w:hint="eastAsia" w:asciiTheme="majorEastAsia" w:hAnsiTheme="majorEastAsia" w:eastAsiaTheme="majorEastAsia"/>
          <w:highlight w:val="none"/>
        </w:rPr>
        <w:t>竣工文件的形式、提供的份数、技术标准以及其它相关要求：</w:t>
      </w:r>
      <w:r>
        <w:rPr>
          <w:rFonts w:hint="eastAsia" w:asciiTheme="majorEastAsia" w:hAnsiTheme="majorEastAsia" w:eastAsiaTheme="majorEastAsia"/>
          <w:highlight w:val="none"/>
          <w:u w:val="single"/>
        </w:rPr>
        <w:t>承包人提交的竣工资料的内容：满足国家和云南省地方政府竣工验收审查、备案以及发包人竣工结算、审计要求</w:t>
      </w:r>
      <w:r>
        <w:rPr>
          <w:rFonts w:hint="eastAsia" w:asciiTheme="majorEastAsia" w:hAnsiTheme="majorEastAsia" w:eastAsiaTheme="majorEastAsia"/>
          <w:highlight w:val="none"/>
        </w:rPr>
        <w:t>。</w:t>
      </w:r>
    </w:p>
    <w:p w14:paraId="675AEE0E">
      <w:pPr>
        <w:tabs>
          <w:tab w:val="left" w:pos="4962"/>
        </w:tabs>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承包人需要提交的竣工资料套数：</w:t>
      </w:r>
      <w:r>
        <w:rPr>
          <w:rFonts w:hint="eastAsia" w:asciiTheme="majorEastAsia" w:hAnsiTheme="majorEastAsia" w:eastAsiaTheme="majorEastAsia"/>
          <w:highlight w:val="none"/>
          <w:u w:val="single"/>
        </w:rPr>
        <w:t>不少于6套</w:t>
      </w:r>
      <w:r>
        <w:rPr>
          <w:rFonts w:hint="eastAsia" w:asciiTheme="majorEastAsia" w:hAnsiTheme="majorEastAsia" w:eastAsiaTheme="majorEastAsia"/>
          <w:highlight w:val="none"/>
        </w:rPr>
        <w:t>。</w:t>
      </w:r>
    </w:p>
    <w:p w14:paraId="176CC78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承包人提交的竣工资料的费用承担：</w:t>
      </w:r>
      <w:r>
        <w:rPr>
          <w:rFonts w:hint="eastAsia" w:asciiTheme="majorEastAsia" w:hAnsiTheme="majorEastAsia" w:eastAsiaTheme="majorEastAsia"/>
          <w:highlight w:val="none"/>
          <w:u w:val="single"/>
        </w:rPr>
        <w:t>承包人承担</w:t>
      </w:r>
      <w:r>
        <w:rPr>
          <w:rFonts w:hint="eastAsia" w:asciiTheme="majorEastAsia" w:hAnsiTheme="majorEastAsia" w:eastAsiaTheme="majorEastAsia"/>
          <w:highlight w:val="none"/>
        </w:rPr>
        <w:t>。</w:t>
      </w:r>
    </w:p>
    <w:p w14:paraId="3B60EAF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承包人提交的竣工资料移交时间：</w:t>
      </w:r>
      <w:r>
        <w:rPr>
          <w:rFonts w:hint="eastAsia" w:asciiTheme="majorEastAsia" w:hAnsiTheme="majorEastAsia" w:eastAsiaTheme="majorEastAsia"/>
          <w:highlight w:val="none"/>
          <w:u w:val="single"/>
        </w:rPr>
        <w:t>工程竣工验收合格后30天内</w:t>
      </w:r>
      <w:r>
        <w:rPr>
          <w:rFonts w:hint="eastAsia" w:asciiTheme="majorEastAsia" w:hAnsiTheme="majorEastAsia" w:eastAsiaTheme="majorEastAsia"/>
          <w:highlight w:val="none"/>
        </w:rPr>
        <w:t>。</w:t>
      </w:r>
    </w:p>
    <w:p w14:paraId="489FC7D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承包人提交的竣工资料形式要求：</w:t>
      </w:r>
      <w:r>
        <w:rPr>
          <w:rFonts w:hint="eastAsia" w:asciiTheme="majorEastAsia" w:hAnsiTheme="majorEastAsia" w:eastAsiaTheme="majorEastAsia"/>
          <w:highlight w:val="none"/>
          <w:u w:val="single"/>
        </w:rPr>
        <w:t>经核验签证后完整、清晰、符合要求的竣工资料（含竣工图及影像资料）</w:t>
      </w:r>
      <w:r>
        <w:rPr>
          <w:rFonts w:hint="eastAsia" w:asciiTheme="majorEastAsia" w:hAnsiTheme="majorEastAsia" w:eastAsiaTheme="majorEastAsia"/>
          <w:highlight w:val="none"/>
        </w:rPr>
        <w:t>。</w:t>
      </w:r>
    </w:p>
    <w:p w14:paraId="091E2E6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w:t>
      </w:r>
      <w:r>
        <w:rPr>
          <w:rFonts w:asciiTheme="majorEastAsia" w:hAnsiTheme="majorEastAsia" w:eastAsiaTheme="majorEastAsia"/>
          <w:highlight w:val="none"/>
        </w:rPr>
        <w:t xml:space="preserve">.4.3 </w:t>
      </w:r>
      <w:r>
        <w:rPr>
          <w:rFonts w:hint="eastAsia" w:asciiTheme="majorEastAsia" w:hAnsiTheme="majorEastAsia" w:eastAsiaTheme="majorEastAsia"/>
          <w:highlight w:val="none"/>
        </w:rPr>
        <w:t>关于竣工文件的其他约定：</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6E88850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5.5</w:t>
      </w:r>
      <w:r>
        <w:rPr>
          <w:rFonts w:hint="eastAsia" w:asciiTheme="majorEastAsia" w:hAnsiTheme="majorEastAsia" w:eastAsiaTheme="majorEastAsia"/>
          <w:highlight w:val="none"/>
        </w:rPr>
        <w:t>操作和维修手册</w:t>
      </w:r>
    </w:p>
    <w:p w14:paraId="6ACB79A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5.5.3</w:t>
      </w:r>
      <w:r>
        <w:rPr>
          <w:rFonts w:hint="eastAsia" w:asciiTheme="majorEastAsia" w:hAnsiTheme="majorEastAsia" w:eastAsiaTheme="majorEastAsia"/>
          <w:highlight w:val="none"/>
        </w:rPr>
        <w:t>对最终操作和维修手册的约定：</w:t>
      </w:r>
      <w:r>
        <w:rPr>
          <w:rFonts w:hint="eastAsia" w:asciiTheme="majorEastAsia" w:hAnsiTheme="majorEastAsia" w:eastAsiaTheme="majorEastAsia"/>
          <w:highlight w:val="none"/>
          <w:u w:val="single"/>
        </w:rPr>
        <w:t>发包人现场操作人员必须能正常进行按规程操作，同时满足发包人提出的一切要求</w:t>
      </w:r>
      <w:r>
        <w:rPr>
          <w:rFonts w:hint="eastAsia" w:asciiTheme="majorEastAsia" w:hAnsiTheme="majorEastAsia" w:eastAsiaTheme="majorEastAsia"/>
          <w:highlight w:val="none"/>
        </w:rPr>
        <w:t>。</w:t>
      </w:r>
    </w:p>
    <w:p w14:paraId="4F16B1A2">
      <w:pPr>
        <w:spacing w:line="560" w:lineRule="exact"/>
        <w:rPr>
          <w:rFonts w:asciiTheme="majorEastAsia" w:hAnsiTheme="majorEastAsia" w:eastAsiaTheme="majorEastAsia"/>
          <w:b/>
          <w:highlight w:val="none"/>
        </w:rPr>
      </w:pPr>
      <w:bookmarkStart w:id="984" w:name="_Toc54862337"/>
      <w:r>
        <w:rPr>
          <w:rFonts w:hint="eastAsia" w:asciiTheme="majorEastAsia" w:hAnsiTheme="majorEastAsia" w:eastAsiaTheme="majorEastAsia"/>
          <w:b/>
          <w:highlight w:val="none"/>
        </w:rPr>
        <w:t>第</w:t>
      </w:r>
      <w:r>
        <w:rPr>
          <w:rFonts w:asciiTheme="majorEastAsia" w:hAnsiTheme="majorEastAsia" w:eastAsiaTheme="majorEastAsia"/>
          <w:b/>
          <w:highlight w:val="none"/>
        </w:rPr>
        <w:t>6条</w:t>
      </w:r>
      <w:r>
        <w:rPr>
          <w:rFonts w:hint="eastAsia" w:asciiTheme="majorEastAsia" w:hAnsiTheme="majorEastAsia" w:eastAsiaTheme="majorEastAsia"/>
          <w:b/>
          <w:highlight w:val="none"/>
        </w:rPr>
        <w:t xml:space="preserve">  材料、工程设备</w:t>
      </w:r>
      <w:bookmarkEnd w:id="984"/>
    </w:p>
    <w:p w14:paraId="492C5F99">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6.1</w:t>
      </w:r>
      <w:r>
        <w:rPr>
          <w:rFonts w:hint="eastAsia" w:asciiTheme="majorEastAsia" w:hAnsiTheme="majorEastAsia" w:eastAsiaTheme="majorEastAsia"/>
          <w:highlight w:val="none"/>
        </w:rPr>
        <w:t>实施方法</w:t>
      </w:r>
    </w:p>
    <w:p w14:paraId="70179B4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双方当事人约定的实施方法、设备、设施和材料：</w:t>
      </w:r>
      <w:r>
        <w:rPr>
          <w:rFonts w:hint="eastAsia" w:asciiTheme="majorEastAsia" w:hAnsiTheme="majorEastAsia" w:eastAsiaTheme="majorEastAsia"/>
          <w:highlight w:val="none"/>
          <w:u w:val="single"/>
        </w:rPr>
        <w:t>（1）承包人负责工程材料和工程设备的采购、运输和保管，相关费用由承包人自行承担。承包人应符合云南省当地当地相关规定。（2）本工程所使用的工程设备及材料由承包人自行采购，所购材料及设备必须满足招标人要求，承包人采购的材料和工程设备必须从原厂家处采购，并提供厂家出厂证明及材料、工程设备采购合同或协议书、电子汇款单、发票等证明材料，并经监理单位、造价跟踪审核单位和发包人确认验收后方可使用。（3）对材料和建材制品，承包人必须提供相关产品的生产许可证、强制认证书、质量证书和产品材料清单，如需检测的还应提供相应的检测报告，</w:t>
      </w:r>
      <w:bookmarkStart w:id="985" w:name="_Hlk16283345"/>
      <w:r>
        <w:rPr>
          <w:rFonts w:hint="eastAsia" w:asciiTheme="majorEastAsia" w:hAnsiTheme="majorEastAsia" w:eastAsiaTheme="majorEastAsia"/>
          <w:highlight w:val="none"/>
          <w:u w:val="single"/>
        </w:rPr>
        <w:t>并经</w:t>
      </w:r>
      <w:bookmarkStart w:id="986" w:name="_Hlk16681892"/>
      <w:r>
        <w:rPr>
          <w:rFonts w:hint="eastAsia" w:asciiTheme="majorEastAsia" w:hAnsiTheme="majorEastAsia" w:eastAsiaTheme="majorEastAsia"/>
          <w:highlight w:val="none"/>
          <w:u w:val="single"/>
        </w:rPr>
        <w:t>发包人、</w:t>
      </w:r>
      <w:bookmarkEnd w:id="986"/>
      <w:r>
        <w:rPr>
          <w:rFonts w:hint="eastAsia" w:asciiTheme="majorEastAsia" w:hAnsiTheme="majorEastAsia" w:eastAsiaTheme="majorEastAsia"/>
          <w:highlight w:val="none"/>
          <w:u w:val="single"/>
        </w:rPr>
        <w:t>监理单位及造价跟踪审核单位书面认可后方可订货使用，</w:t>
      </w:r>
      <w:bookmarkEnd w:id="985"/>
      <w:r>
        <w:rPr>
          <w:rFonts w:hint="eastAsia" w:asciiTheme="majorEastAsia" w:hAnsiTheme="majorEastAsia" w:eastAsiaTheme="majorEastAsia"/>
          <w:highlight w:val="none"/>
          <w:u w:val="single"/>
        </w:rPr>
        <w:t>以确保工程质量，杜绝不合格材料进场。</w:t>
      </w:r>
      <w:bookmarkStart w:id="987" w:name="_Hlk16283717"/>
      <w:r>
        <w:rPr>
          <w:rFonts w:hint="eastAsia" w:asciiTheme="majorEastAsia" w:hAnsiTheme="majorEastAsia" w:eastAsiaTheme="majorEastAsia"/>
          <w:highlight w:val="none"/>
          <w:u w:val="single"/>
        </w:rPr>
        <w:t>（4）工程设备进场后应经发包人、监理单位及造价跟踪审核单位书面认可后方可使用，运抵现场的设备应具有出厂合格证和质量检测报告</w:t>
      </w:r>
      <w:bookmarkEnd w:id="987"/>
      <w:r>
        <w:rPr>
          <w:rFonts w:hint="eastAsia" w:asciiTheme="majorEastAsia" w:hAnsiTheme="majorEastAsia" w:eastAsiaTheme="majorEastAsia"/>
          <w:highlight w:val="none"/>
          <w:u w:val="single"/>
        </w:rPr>
        <w:t>，备品备件齐全，其技术性能及参数必须满足招标文件或设计要求，承包人还须提供重要工程设备及材料的重要参数合格证书、报告以及重要工程设备及材料的重要参数检测合格证书、报告及实验视频资料，不满足上述要求的工程设备及材料，承包人应按工程师人、监理单位、造价跟踪审核单位及发包人要求进行更换并应尽快提供符合要求的工程设备及材料，并向发包人支付单批次不合格进场工程设备及材料金额10%的违约金，违约金自承包人进度款中扣除；进口材料及工程设备除提交以上条款要求的以外，还需要提交原产地证明、报关单、完税证明。（5）对设计和质量标准要求不符合的材料或工程设备，发包人代表拒绝验收，并由承包人按发包人代表要求的时间退出施工现场，重新采购符合要求的材料，承担由此产生的费用，工期不予顺延。（6）</w:t>
      </w:r>
      <w:bookmarkStart w:id="988" w:name="_Hlk16281418"/>
      <w:r>
        <w:rPr>
          <w:rFonts w:hint="eastAsia" w:asciiTheme="majorEastAsia" w:hAnsiTheme="majorEastAsia" w:eastAsiaTheme="majorEastAsia"/>
          <w:highlight w:val="none"/>
          <w:u w:val="single"/>
        </w:rPr>
        <w:t>承包人所提供的工程设备、材料需满足工艺达标要求</w:t>
      </w:r>
      <w:bookmarkEnd w:id="988"/>
      <w:r>
        <w:rPr>
          <w:rFonts w:hint="eastAsia" w:asciiTheme="majorEastAsia" w:hAnsiTheme="majorEastAsia" w:eastAsiaTheme="majorEastAsia"/>
          <w:highlight w:val="none"/>
          <w:u w:val="single"/>
        </w:rPr>
        <w:t>。（7）承包人对工程材料及设备的采购应依法依规按相关的企业内控制度选取供应商，并留有相关的流程记录提供发包人检查</w:t>
      </w:r>
      <w:r>
        <w:rPr>
          <w:rFonts w:hint="eastAsia" w:asciiTheme="majorEastAsia" w:hAnsiTheme="majorEastAsia" w:eastAsiaTheme="majorEastAsia"/>
          <w:highlight w:val="none"/>
        </w:rPr>
        <w:t>。</w:t>
      </w:r>
    </w:p>
    <w:p w14:paraId="51987C2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6.2</w:t>
      </w:r>
      <w:r>
        <w:rPr>
          <w:rFonts w:hint="eastAsia" w:asciiTheme="majorEastAsia" w:hAnsiTheme="majorEastAsia" w:eastAsiaTheme="majorEastAsia"/>
          <w:highlight w:val="none"/>
        </w:rPr>
        <w:t>材料和工程设备</w:t>
      </w:r>
    </w:p>
    <w:p w14:paraId="3F7E687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6.2.1</w:t>
      </w:r>
      <w:r>
        <w:rPr>
          <w:rFonts w:hint="eastAsia" w:asciiTheme="majorEastAsia" w:hAnsiTheme="majorEastAsia" w:eastAsiaTheme="majorEastAsia"/>
          <w:highlight w:val="none"/>
        </w:rPr>
        <w:t>发包人提供的材料和工程设备</w:t>
      </w:r>
    </w:p>
    <w:p w14:paraId="0CF3C7C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发包人提供的材料和工程设备验收后，由</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负责接收、运输和保管。</w:t>
      </w:r>
    </w:p>
    <w:p w14:paraId="5CDE3042">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6.2.2</w:t>
      </w:r>
      <w:r>
        <w:rPr>
          <w:rFonts w:hint="eastAsia" w:asciiTheme="majorEastAsia" w:hAnsiTheme="majorEastAsia" w:eastAsiaTheme="majorEastAsia"/>
          <w:highlight w:val="none"/>
        </w:rPr>
        <w:t>承包人提供的材料和工程设备</w:t>
      </w:r>
    </w:p>
    <w:p w14:paraId="2D5D7F5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材料和工程设备的类别、估算数量：</w:t>
      </w:r>
      <w:r>
        <w:rPr>
          <w:rFonts w:hint="eastAsia" w:asciiTheme="majorEastAsia" w:hAnsiTheme="majorEastAsia" w:eastAsiaTheme="majorEastAsia"/>
          <w:highlight w:val="none"/>
          <w:u w:val="single"/>
        </w:rPr>
        <w:t>合同签订时约定</w:t>
      </w:r>
      <w:r>
        <w:rPr>
          <w:rFonts w:hint="eastAsia" w:asciiTheme="majorEastAsia" w:hAnsiTheme="majorEastAsia" w:eastAsiaTheme="majorEastAsia"/>
          <w:highlight w:val="none"/>
        </w:rPr>
        <w:t>。</w:t>
      </w:r>
    </w:p>
    <w:p w14:paraId="2BEBBBC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竣工后试验的生产性材料的类别或（和）清单：</w:t>
      </w:r>
      <w:r>
        <w:rPr>
          <w:rFonts w:hint="eastAsia" w:asciiTheme="majorEastAsia" w:hAnsiTheme="majorEastAsia" w:eastAsiaTheme="majorEastAsia"/>
          <w:highlight w:val="none"/>
          <w:u w:val="single"/>
        </w:rPr>
        <w:t>合同签订时约定</w:t>
      </w:r>
      <w:r>
        <w:rPr>
          <w:rFonts w:hint="eastAsia" w:asciiTheme="majorEastAsia" w:hAnsiTheme="majorEastAsia" w:eastAsiaTheme="majorEastAsia"/>
          <w:highlight w:val="none"/>
        </w:rPr>
        <w:t>。</w:t>
      </w:r>
    </w:p>
    <w:p w14:paraId="09095C15">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6.2.3</w:t>
      </w:r>
      <w:r>
        <w:rPr>
          <w:rFonts w:hint="eastAsia" w:asciiTheme="majorEastAsia" w:hAnsiTheme="majorEastAsia" w:eastAsiaTheme="majorEastAsia"/>
          <w:highlight w:val="none"/>
        </w:rPr>
        <w:t>材料和工程设备的保管</w:t>
      </w:r>
    </w:p>
    <w:p w14:paraId="35F57CD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发包人供应的材料和工程设备的保管费用由</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承担。</w:t>
      </w:r>
    </w:p>
    <w:p w14:paraId="357B17A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承包人提交保管、维护方案的时间：</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769237C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发包人提供的库房、堆场、设施和设备：</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3101DE4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6.3</w:t>
      </w:r>
      <w:r>
        <w:rPr>
          <w:rFonts w:hint="eastAsia" w:asciiTheme="majorEastAsia" w:hAnsiTheme="majorEastAsia" w:eastAsiaTheme="majorEastAsia"/>
          <w:highlight w:val="none"/>
        </w:rPr>
        <w:t>样品</w:t>
      </w:r>
    </w:p>
    <w:p w14:paraId="040B96B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w:t>
      </w:r>
      <w:r>
        <w:rPr>
          <w:rFonts w:asciiTheme="majorEastAsia" w:hAnsiTheme="majorEastAsia" w:eastAsiaTheme="majorEastAsia"/>
          <w:highlight w:val="none"/>
        </w:rPr>
        <w:t>.3.1</w:t>
      </w:r>
      <w:r>
        <w:rPr>
          <w:rFonts w:hint="eastAsia" w:asciiTheme="majorEastAsia" w:hAnsiTheme="majorEastAsia" w:eastAsiaTheme="majorEastAsia"/>
          <w:highlight w:val="none"/>
        </w:rPr>
        <w:t>样品的报送与封存</w:t>
      </w:r>
    </w:p>
    <w:p w14:paraId="6ED1605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需要承包人报送样品的材料或工程设备</w:t>
      </w:r>
      <w:r>
        <w:rPr>
          <w:rFonts w:hint="eastAsia" w:asciiTheme="majorEastAsia" w:hAnsiTheme="majorEastAsia" w:eastAsiaTheme="majorEastAsia"/>
          <w:highlight w:val="none"/>
        </w:rPr>
        <w:t>，样品种类、名称、规格、数量：</w:t>
      </w:r>
      <w:r>
        <w:rPr>
          <w:rFonts w:hint="eastAsia" w:asciiTheme="majorEastAsia" w:hAnsiTheme="majorEastAsia" w:eastAsiaTheme="majorEastAsia"/>
          <w:highlight w:val="none"/>
          <w:u w:val="single"/>
        </w:rPr>
        <w:t>使用材料需先确认品牌并封样后才能采购</w:t>
      </w:r>
      <w:r>
        <w:rPr>
          <w:rFonts w:hint="eastAsia" w:asciiTheme="majorEastAsia" w:hAnsiTheme="majorEastAsia" w:eastAsiaTheme="majorEastAsia"/>
          <w:highlight w:val="none"/>
        </w:rPr>
        <w:t>。</w:t>
      </w:r>
    </w:p>
    <w:p w14:paraId="2A560375">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6.4</w:t>
      </w:r>
      <w:r>
        <w:rPr>
          <w:rFonts w:hint="eastAsia" w:asciiTheme="majorEastAsia" w:hAnsiTheme="majorEastAsia" w:eastAsiaTheme="majorEastAsia"/>
          <w:highlight w:val="none"/>
        </w:rPr>
        <w:t>质量检查</w:t>
      </w:r>
    </w:p>
    <w:p w14:paraId="65F650B0">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6.4.1</w:t>
      </w:r>
      <w:r>
        <w:rPr>
          <w:rFonts w:hint="eastAsia" w:asciiTheme="majorEastAsia" w:hAnsiTheme="majorEastAsia" w:eastAsiaTheme="majorEastAsia"/>
          <w:highlight w:val="none"/>
        </w:rPr>
        <w:t>工程质量要求</w:t>
      </w:r>
    </w:p>
    <w:p w14:paraId="7D3B5BB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工程质量的特殊标准或要求：</w:t>
      </w:r>
      <w:r>
        <w:rPr>
          <w:rFonts w:hint="eastAsia" w:asciiTheme="majorEastAsia" w:hAnsiTheme="majorEastAsia" w:eastAsiaTheme="majorEastAsia"/>
          <w:highlight w:val="none"/>
          <w:u w:val="single"/>
        </w:rPr>
        <w:t>按通用条件及招标文件中约定的质量要求及标准执行</w:t>
      </w:r>
      <w:r>
        <w:rPr>
          <w:rFonts w:hint="eastAsia" w:asciiTheme="majorEastAsia" w:hAnsiTheme="majorEastAsia" w:eastAsiaTheme="majorEastAsia"/>
          <w:highlight w:val="none"/>
        </w:rPr>
        <w:t>。</w:t>
      </w:r>
    </w:p>
    <w:p w14:paraId="71F9981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6.4.2</w:t>
      </w:r>
      <w:r>
        <w:rPr>
          <w:rFonts w:hint="eastAsia" w:asciiTheme="majorEastAsia" w:hAnsiTheme="majorEastAsia" w:eastAsiaTheme="majorEastAsia"/>
          <w:highlight w:val="none"/>
        </w:rPr>
        <w:t>质量检查</w:t>
      </w:r>
    </w:p>
    <w:p w14:paraId="31A933C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除通用合同条件已列明的质量检查的地点外，发包人有权进行质量检查的其他地点：</w:t>
      </w:r>
      <w:r>
        <w:rPr>
          <w:rFonts w:hint="eastAsia" w:asciiTheme="majorEastAsia" w:hAnsiTheme="majorEastAsia" w:eastAsiaTheme="majorEastAsia"/>
          <w:highlight w:val="none"/>
          <w:u w:val="single"/>
        </w:rPr>
        <w:t>合同履行期间发包人有权主动要求到承包人提供的工程设备及材料的生产厂家进行实地考察，承包人必须无条件配合并安排发包人进行实地考察相关事项</w:t>
      </w:r>
      <w:r>
        <w:rPr>
          <w:rFonts w:hint="eastAsia" w:asciiTheme="majorEastAsia" w:hAnsiTheme="majorEastAsia" w:eastAsiaTheme="majorEastAsia"/>
          <w:highlight w:val="none"/>
        </w:rPr>
        <w:t>。</w:t>
      </w:r>
    </w:p>
    <w:p w14:paraId="67B60352">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6.4.3</w:t>
      </w:r>
      <w:r>
        <w:rPr>
          <w:rFonts w:hint="eastAsia" w:asciiTheme="majorEastAsia" w:hAnsiTheme="majorEastAsia" w:eastAsiaTheme="majorEastAsia"/>
          <w:highlight w:val="none"/>
        </w:rPr>
        <w:t>隐蔽工程检查</w:t>
      </w:r>
    </w:p>
    <w:p w14:paraId="7161E89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关于隐蔽工程和中间验收的特别约定：</w:t>
      </w:r>
      <w:r>
        <w:rPr>
          <w:rFonts w:hint="eastAsia" w:asciiTheme="majorEastAsia" w:hAnsiTheme="majorEastAsia" w:eastAsiaTheme="majorEastAsia"/>
          <w:highlight w:val="none"/>
          <w:u w:val="single"/>
        </w:rPr>
        <w:t>工程隐蔽或中间验收前48小时以书面形式通知工程师人、监理单位、造价跟踪审核单位及发包人验收的内容、时间、地点，承包人准备验收记录单（印制的表格）由双方签证。验收合格，承包人可进行隐蔽和继续施工；验收不合格，由承包人按要求整改重新验收，造成的损失由承包人自行承担，工期不予顺延。工程师应在承包人约定时间到达现场进行隐蔽中间验收工作（不得以任何理由改期）</w:t>
      </w:r>
      <w:r>
        <w:rPr>
          <w:rFonts w:hint="eastAsia" w:asciiTheme="majorEastAsia" w:hAnsiTheme="majorEastAsia" w:eastAsiaTheme="majorEastAsia"/>
          <w:highlight w:val="none"/>
        </w:rPr>
        <w:t>。</w:t>
      </w:r>
    </w:p>
    <w:p w14:paraId="3C85111A">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6.5</w:t>
      </w:r>
      <w:r>
        <w:rPr>
          <w:rFonts w:hint="eastAsia" w:asciiTheme="majorEastAsia" w:hAnsiTheme="majorEastAsia" w:eastAsiaTheme="majorEastAsia"/>
          <w:highlight w:val="none"/>
        </w:rPr>
        <w:t>由承包人试验和检验</w:t>
      </w:r>
    </w:p>
    <w:p w14:paraId="2F75DB4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w:t>
      </w:r>
      <w:r>
        <w:rPr>
          <w:rFonts w:asciiTheme="majorEastAsia" w:hAnsiTheme="majorEastAsia" w:eastAsiaTheme="majorEastAsia"/>
          <w:highlight w:val="none"/>
        </w:rPr>
        <w:t>.5.1</w:t>
      </w:r>
      <w:r>
        <w:rPr>
          <w:rFonts w:hint="eastAsia" w:asciiTheme="majorEastAsia" w:hAnsiTheme="majorEastAsia" w:eastAsiaTheme="majorEastAsia"/>
          <w:highlight w:val="none"/>
        </w:rPr>
        <w:t>试验设备与试验人员</w:t>
      </w:r>
    </w:p>
    <w:p w14:paraId="0BF7808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试验的内容、时间和地点：</w:t>
      </w:r>
      <w:r>
        <w:rPr>
          <w:rFonts w:hint="eastAsia" w:asciiTheme="majorEastAsia" w:hAnsiTheme="majorEastAsia" w:eastAsiaTheme="majorEastAsia"/>
          <w:highlight w:val="none"/>
          <w:u w:val="single"/>
        </w:rPr>
        <w:t>按相关规范及规定执行</w:t>
      </w:r>
      <w:r>
        <w:rPr>
          <w:rFonts w:hint="eastAsia" w:asciiTheme="majorEastAsia" w:hAnsiTheme="majorEastAsia" w:eastAsiaTheme="majorEastAsia"/>
          <w:highlight w:val="none"/>
        </w:rPr>
        <w:t>。</w:t>
      </w:r>
    </w:p>
    <w:p w14:paraId="1C20FDB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试验所需要的试验设备、取样装置、试验场所和试验条件：</w:t>
      </w:r>
      <w:r>
        <w:rPr>
          <w:rFonts w:hint="eastAsia" w:asciiTheme="majorEastAsia" w:hAnsiTheme="majorEastAsia" w:eastAsiaTheme="majorEastAsia"/>
          <w:highlight w:val="none"/>
          <w:u w:val="single"/>
        </w:rPr>
        <w:t>由承包人和工程师协商</w:t>
      </w:r>
      <w:r>
        <w:rPr>
          <w:rFonts w:hint="eastAsia" w:asciiTheme="majorEastAsia" w:hAnsiTheme="majorEastAsia" w:eastAsiaTheme="majorEastAsia"/>
          <w:highlight w:val="none"/>
        </w:rPr>
        <w:t>。</w:t>
      </w:r>
    </w:p>
    <w:p w14:paraId="6288A31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试验和检验费用的计价原则：</w:t>
      </w:r>
      <w:r>
        <w:rPr>
          <w:rFonts w:hint="eastAsia" w:asciiTheme="majorEastAsia" w:hAnsiTheme="majorEastAsia" w:eastAsiaTheme="majorEastAsia"/>
          <w:highlight w:val="none"/>
          <w:u w:val="single"/>
        </w:rPr>
        <w:t>（1）对材料和建材制品，承包人必须提供相关产品的生产许可证、强制认证书、质量证书和产品材料清单，如需检测的还应提供相应的检测报告，并经工程师人、监理单位、造价跟踪审核单位及发包人书面认可后方可订货使用，以确保工程质量，杜绝不合格材料进场。（2）工程设备及材料进场后应经工程师人、监理单位、造价跟踪审核单位及发包人书面认可后方可使用，运抵现场的设备应具有出厂合格证和质量检测报告，备品备件齐全，其技术性能必须满足招标文件或设计要求，不满足上述要求的设备不得进场，承包人应进行材料、工程设备检验，并为工程师人对上述材料、工程设备检查提供必要的试验资料和原始记录。（3）发包人可会同第三方检测机构一起对工程材料、工程设备进行定期抽检，对承包人的试验和检验结果有疑问的，或为查清承包人试验和检验成果的可靠性，可要求承包人重新试验和检验。重新试验和检验的结果证明该项材料、工程设备或工程的质量不符合合同要求的，承包人必须认可试验或检验的结果，承包人拒不认可的按第“第20条[争议解决]”执行，由此增加的费用和（或）工期延误由承包人承担；重新试验和检验结果证明该项材料、工程设备和工程符合合同要求，由发包人承担由此增加的费用</w:t>
      </w:r>
      <w:r>
        <w:rPr>
          <w:rFonts w:hint="eastAsia" w:asciiTheme="majorEastAsia" w:hAnsiTheme="majorEastAsia" w:eastAsiaTheme="majorEastAsia"/>
          <w:highlight w:val="none"/>
        </w:rPr>
        <w:t>。</w:t>
      </w:r>
    </w:p>
    <w:p w14:paraId="773F2473">
      <w:pPr>
        <w:spacing w:line="560" w:lineRule="exact"/>
        <w:rPr>
          <w:rFonts w:asciiTheme="majorEastAsia" w:hAnsiTheme="majorEastAsia" w:eastAsiaTheme="majorEastAsia"/>
          <w:b/>
          <w:highlight w:val="none"/>
        </w:rPr>
      </w:pPr>
      <w:bookmarkStart w:id="989" w:name="_Toc54862338"/>
      <w:r>
        <w:rPr>
          <w:rFonts w:hint="eastAsia" w:asciiTheme="majorEastAsia" w:hAnsiTheme="majorEastAsia" w:eastAsiaTheme="majorEastAsia"/>
          <w:b/>
          <w:highlight w:val="none"/>
        </w:rPr>
        <w:t>第</w:t>
      </w:r>
      <w:r>
        <w:rPr>
          <w:rFonts w:asciiTheme="majorEastAsia" w:hAnsiTheme="majorEastAsia" w:eastAsiaTheme="majorEastAsia"/>
          <w:b/>
          <w:highlight w:val="none"/>
        </w:rPr>
        <w:t>7条</w:t>
      </w:r>
      <w:r>
        <w:rPr>
          <w:rFonts w:hint="eastAsia" w:asciiTheme="majorEastAsia" w:hAnsiTheme="majorEastAsia" w:eastAsiaTheme="majorEastAsia"/>
          <w:b/>
          <w:highlight w:val="none"/>
        </w:rPr>
        <w:t xml:space="preserve">  施工</w:t>
      </w:r>
      <w:bookmarkEnd w:id="989"/>
    </w:p>
    <w:p w14:paraId="106DA27E">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7.1</w:t>
      </w:r>
      <w:r>
        <w:rPr>
          <w:rFonts w:hint="eastAsia" w:asciiTheme="majorEastAsia" w:hAnsiTheme="majorEastAsia" w:eastAsiaTheme="majorEastAsia"/>
          <w:highlight w:val="none"/>
        </w:rPr>
        <w:t>交通运输</w:t>
      </w:r>
    </w:p>
    <w:p w14:paraId="613CE6D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7.1.1</w:t>
      </w:r>
      <w:r>
        <w:rPr>
          <w:rFonts w:hint="eastAsia" w:asciiTheme="majorEastAsia" w:hAnsiTheme="majorEastAsia" w:eastAsiaTheme="majorEastAsia"/>
          <w:highlight w:val="none"/>
        </w:rPr>
        <w:t>出入现场的权利</w:t>
      </w:r>
    </w:p>
    <w:p w14:paraId="31AF62F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关于出入现场的权利的约定：</w:t>
      </w:r>
      <w:r>
        <w:rPr>
          <w:rFonts w:hint="eastAsia" w:asciiTheme="majorEastAsia" w:hAnsiTheme="majorEastAsia" w:eastAsiaTheme="majorEastAsia"/>
          <w:highlight w:val="none"/>
          <w:u w:val="single"/>
        </w:rPr>
        <w:t>承包人应根据工程实施需要，负责取得出入施工现场所需的批准手续，以及取得因工程实施所需修建道路、桥梁以及其他基础设施的权利，由此产生的费用由发包人承担</w:t>
      </w:r>
      <w:r>
        <w:rPr>
          <w:rFonts w:hint="eastAsia" w:asciiTheme="majorEastAsia" w:hAnsiTheme="majorEastAsia" w:eastAsiaTheme="majorEastAsia"/>
          <w:highlight w:val="none"/>
        </w:rPr>
        <w:t>。</w:t>
      </w:r>
    </w:p>
    <w:p w14:paraId="2701C468">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7.1.2</w:t>
      </w:r>
      <w:r>
        <w:rPr>
          <w:rFonts w:hint="eastAsia" w:asciiTheme="majorEastAsia" w:hAnsiTheme="majorEastAsia" w:eastAsiaTheme="majorEastAsia"/>
          <w:highlight w:val="none"/>
        </w:rPr>
        <w:t>场外交通</w:t>
      </w:r>
    </w:p>
    <w:p w14:paraId="1B01B36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关于场外交通的特别约定：</w:t>
      </w:r>
      <w:r>
        <w:rPr>
          <w:rFonts w:hint="eastAsia" w:asciiTheme="majorEastAsia" w:hAnsiTheme="majorEastAsia" w:eastAsiaTheme="majorEastAsia"/>
          <w:highlight w:val="none"/>
          <w:u w:val="single"/>
        </w:rPr>
        <w:t>承包人根据发包人提供的初步设计资料和基础资料自行踏勘场外交通环境，负责办理取得出入施工场地的专用和临时道路的通行权，以及取得为工程建设所需要修建场外设施的权利，由此产生的费用由发包人承担</w:t>
      </w:r>
      <w:r>
        <w:rPr>
          <w:rFonts w:hint="eastAsia" w:asciiTheme="majorEastAsia" w:hAnsiTheme="majorEastAsia" w:eastAsiaTheme="majorEastAsia"/>
          <w:highlight w:val="none"/>
        </w:rPr>
        <w:t>。</w:t>
      </w:r>
    </w:p>
    <w:p w14:paraId="0074648E">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7.1.3</w:t>
      </w:r>
      <w:r>
        <w:rPr>
          <w:rFonts w:hint="eastAsia" w:asciiTheme="majorEastAsia" w:hAnsiTheme="majorEastAsia" w:eastAsiaTheme="majorEastAsia"/>
          <w:highlight w:val="none"/>
        </w:rPr>
        <w:t>场内交通</w:t>
      </w:r>
    </w:p>
    <w:p w14:paraId="2265CE0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关于场内交通的特别约定：</w:t>
      </w:r>
      <w:r>
        <w:rPr>
          <w:rFonts w:hint="eastAsia" w:asciiTheme="majorEastAsia" w:hAnsiTheme="majorEastAsia" w:eastAsiaTheme="majorEastAsia"/>
          <w:highlight w:val="none"/>
          <w:u w:val="single"/>
        </w:rPr>
        <w:t>场内交通的修建、维修、养护和管理必须严格遵循发包人的管理要求</w:t>
      </w:r>
      <w:r>
        <w:rPr>
          <w:rFonts w:hint="eastAsia" w:asciiTheme="majorEastAsia" w:hAnsiTheme="majorEastAsia" w:eastAsiaTheme="majorEastAsia"/>
          <w:highlight w:val="none"/>
        </w:rPr>
        <w:t>。</w:t>
      </w:r>
    </w:p>
    <w:p w14:paraId="5FC03EB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关于场内交通与场外交通边界的约定：</w:t>
      </w:r>
      <w:r>
        <w:rPr>
          <w:rFonts w:hint="eastAsia" w:asciiTheme="majorEastAsia" w:hAnsiTheme="majorEastAsia" w:eastAsiaTheme="majorEastAsia"/>
          <w:highlight w:val="none"/>
          <w:u w:val="single"/>
        </w:rPr>
        <w:t>以建筑红线为边界，红线范围内的为场内交通，红线范围外的为场外交通</w:t>
      </w:r>
      <w:r>
        <w:rPr>
          <w:rFonts w:asciiTheme="majorEastAsia" w:hAnsiTheme="majorEastAsia" w:eastAsiaTheme="majorEastAsia"/>
          <w:highlight w:val="none"/>
        </w:rPr>
        <w:t>。</w:t>
      </w:r>
    </w:p>
    <w:p w14:paraId="4A0608CF">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7.1.4</w:t>
      </w:r>
      <w:r>
        <w:rPr>
          <w:rFonts w:hint="eastAsia" w:asciiTheme="majorEastAsia" w:hAnsiTheme="majorEastAsia" w:eastAsiaTheme="majorEastAsia"/>
          <w:highlight w:val="none"/>
        </w:rPr>
        <w:t>超大件和超重件的运输</w:t>
      </w:r>
    </w:p>
    <w:p w14:paraId="6C6B625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运输超大件或超重件所需的道路和桥梁临时加固改造费用和其他有关费用由发包人</w:t>
      </w:r>
      <w:r>
        <w:rPr>
          <w:rFonts w:asciiTheme="majorEastAsia" w:hAnsiTheme="majorEastAsia" w:eastAsiaTheme="majorEastAsia"/>
          <w:highlight w:val="none"/>
        </w:rPr>
        <w:t>承担。</w:t>
      </w:r>
    </w:p>
    <w:p w14:paraId="1952F28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7.2</w:t>
      </w:r>
      <w:r>
        <w:rPr>
          <w:rFonts w:hint="eastAsia" w:asciiTheme="majorEastAsia" w:hAnsiTheme="majorEastAsia" w:eastAsiaTheme="majorEastAsia"/>
          <w:highlight w:val="none"/>
        </w:rPr>
        <w:t>施工设备和临时设施</w:t>
      </w:r>
    </w:p>
    <w:p w14:paraId="1E6954D9">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7.2.1</w:t>
      </w:r>
      <w:r>
        <w:rPr>
          <w:rFonts w:hint="eastAsia" w:asciiTheme="majorEastAsia" w:hAnsiTheme="majorEastAsia" w:eastAsiaTheme="majorEastAsia"/>
          <w:highlight w:val="none"/>
        </w:rPr>
        <w:t>承包人提供的施工设备和临时设施</w:t>
      </w:r>
    </w:p>
    <w:p w14:paraId="608D900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临时设施的费用和临时占地手续和费用承担的特别约定：</w:t>
      </w:r>
      <w:r>
        <w:rPr>
          <w:rFonts w:hint="eastAsia" w:asciiTheme="majorEastAsia" w:hAnsiTheme="majorEastAsia" w:eastAsiaTheme="majorEastAsia"/>
          <w:highlight w:val="none"/>
          <w:u w:val="single"/>
        </w:rPr>
        <w:t>承包人在发包人提供的征地范围外使用土地的，应由承包人自行办理相关手续并承担所有费用，发包人不另行支付</w:t>
      </w:r>
      <w:r>
        <w:rPr>
          <w:rFonts w:hint="eastAsia" w:asciiTheme="majorEastAsia" w:hAnsiTheme="majorEastAsia" w:eastAsiaTheme="majorEastAsia"/>
          <w:highlight w:val="none"/>
        </w:rPr>
        <w:t>。</w:t>
      </w:r>
    </w:p>
    <w:p w14:paraId="301306D7">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7.2.2</w:t>
      </w:r>
      <w:r>
        <w:rPr>
          <w:rFonts w:hint="eastAsia" w:asciiTheme="majorEastAsia" w:hAnsiTheme="majorEastAsia" w:eastAsiaTheme="majorEastAsia"/>
          <w:highlight w:val="none"/>
        </w:rPr>
        <w:t>发包人提供的施工设备和临时设施</w:t>
      </w:r>
    </w:p>
    <w:p w14:paraId="0FBEA5A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发包人提供的施工设备或临时设施范围：</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5C99E5B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7.3</w:t>
      </w:r>
      <w:r>
        <w:rPr>
          <w:rFonts w:hint="eastAsia" w:asciiTheme="majorEastAsia" w:hAnsiTheme="majorEastAsia" w:eastAsiaTheme="majorEastAsia"/>
          <w:highlight w:val="none"/>
        </w:rPr>
        <w:t>现场合作</w:t>
      </w:r>
    </w:p>
    <w:p w14:paraId="61D7C05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关于现场合作费用的特别约定：</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2D0BF691">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7.4</w:t>
      </w:r>
      <w:r>
        <w:rPr>
          <w:rFonts w:hint="eastAsia" w:asciiTheme="majorEastAsia" w:hAnsiTheme="majorEastAsia" w:eastAsiaTheme="majorEastAsia"/>
          <w:highlight w:val="none"/>
        </w:rPr>
        <w:t>测量放线</w:t>
      </w:r>
    </w:p>
    <w:p w14:paraId="64C722B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.4.1</w:t>
      </w:r>
      <w:r>
        <w:rPr>
          <w:rFonts w:hint="eastAsia" w:asciiTheme="majorEastAsia" w:hAnsiTheme="majorEastAsia" w:eastAsiaTheme="majorEastAsia"/>
          <w:highlight w:val="none"/>
        </w:rPr>
        <w:t>关于测量放线的特别约定的技术规范：</w:t>
      </w:r>
      <w:r>
        <w:rPr>
          <w:rFonts w:hint="eastAsia" w:asciiTheme="majorEastAsia" w:hAnsiTheme="majorEastAsia" w:eastAsiaTheme="majorEastAsia"/>
          <w:highlight w:val="none"/>
          <w:u w:val="single"/>
        </w:rPr>
        <w:t>按相关标准规范执行</w:t>
      </w:r>
      <w:r>
        <w:rPr>
          <w:rFonts w:hint="eastAsia" w:asciiTheme="majorEastAsia" w:hAnsiTheme="majorEastAsia" w:eastAsiaTheme="majorEastAsia"/>
          <w:highlight w:val="none"/>
        </w:rPr>
        <w:t>。施工控制网资料的告知期限：</w:t>
      </w:r>
      <w:r>
        <w:rPr>
          <w:rFonts w:hint="eastAsia" w:asciiTheme="majorEastAsia" w:hAnsiTheme="majorEastAsia" w:eastAsiaTheme="majorEastAsia"/>
          <w:highlight w:val="none"/>
          <w:u w:val="single"/>
        </w:rPr>
        <w:t>21天内</w:t>
      </w:r>
      <w:r>
        <w:rPr>
          <w:rFonts w:hint="eastAsia" w:asciiTheme="majorEastAsia" w:hAnsiTheme="majorEastAsia" w:eastAsiaTheme="majorEastAsia"/>
          <w:highlight w:val="none"/>
        </w:rPr>
        <w:t>。</w:t>
      </w:r>
    </w:p>
    <w:p w14:paraId="51434F61">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7.5</w:t>
      </w:r>
      <w:r>
        <w:rPr>
          <w:rFonts w:hint="eastAsia" w:asciiTheme="majorEastAsia" w:hAnsiTheme="majorEastAsia" w:eastAsiaTheme="majorEastAsia"/>
          <w:highlight w:val="none"/>
        </w:rPr>
        <w:t>现场劳动用工</w:t>
      </w:r>
    </w:p>
    <w:p w14:paraId="21F1866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7</w:t>
      </w:r>
      <w:r>
        <w:rPr>
          <w:rFonts w:asciiTheme="majorEastAsia" w:hAnsiTheme="majorEastAsia" w:eastAsiaTheme="majorEastAsia"/>
          <w:highlight w:val="none"/>
        </w:rPr>
        <w:t>.5.2</w:t>
      </w:r>
      <w:r>
        <w:rPr>
          <w:rFonts w:hint="eastAsia" w:asciiTheme="majorEastAsia" w:hAnsiTheme="majorEastAsia" w:eastAsiaTheme="majorEastAsia"/>
          <w:highlight w:val="none"/>
        </w:rPr>
        <w:t>合同当事人对建筑工人工资清偿事宜和违约责任的约定：</w:t>
      </w:r>
      <w:r>
        <w:rPr>
          <w:rFonts w:hint="eastAsia" w:asciiTheme="majorEastAsia" w:hAnsiTheme="majorEastAsia" w:eastAsiaTheme="majorEastAsia"/>
          <w:highlight w:val="none"/>
          <w:u w:val="single"/>
        </w:rPr>
        <w:t>按专用条件第4.1条[承包人的一般义务]执行</w:t>
      </w:r>
      <w:r>
        <w:rPr>
          <w:rFonts w:hint="eastAsia" w:asciiTheme="majorEastAsia" w:hAnsiTheme="majorEastAsia" w:eastAsiaTheme="majorEastAsia"/>
          <w:highlight w:val="none"/>
        </w:rPr>
        <w:t>。</w:t>
      </w:r>
    </w:p>
    <w:p w14:paraId="207FD8BB">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7.6</w:t>
      </w:r>
      <w:r>
        <w:rPr>
          <w:rFonts w:hint="eastAsia" w:asciiTheme="majorEastAsia" w:hAnsiTheme="majorEastAsia" w:eastAsiaTheme="majorEastAsia"/>
          <w:highlight w:val="none"/>
        </w:rPr>
        <w:t>安全文明施工</w:t>
      </w:r>
    </w:p>
    <w:p w14:paraId="2E7721E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7.6.1</w:t>
      </w:r>
      <w:r>
        <w:rPr>
          <w:rFonts w:hint="eastAsia" w:asciiTheme="majorEastAsia" w:hAnsiTheme="majorEastAsia" w:eastAsiaTheme="majorEastAsia"/>
          <w:highlight w:val="none"/>
        </w:rPr>
        <w:t>安全生产要求</w:t>
      </w:r>
    </w:p>
    <w:p w14:paraId="49E7A2A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合同当事人对安全施工的要求：</w:t>
      </w:r>
      <w:r>
        <w:rPr>
          <w:rFonts w:hint="eastAsia" w:asciiTheme="majorEastAsia" w:hAnsiTheme="majorEastAsia" w:eastAsiaTheme="majorEastAsia"/>
          <w:highlight w:val="none"/>
          <w:u w:val="single"/>
        </w:rPr>
        <w:t>承包人应当根据建设工程施工的特点、范围，对施工现场易发生重大事故的部位、环节进行监控，制定施工现场生产安全事故应急救援预案。由承包人统一组织编制建设工程生产安全事故应急救援预案，工程承包人按照应急救援预案，各自建立应急救援组织或者配备应急救援人员，配备救援器材、设备，并定期组织演练。承包人安全管理制度、应急救援预案及危大工程安全措施须经监理单位进行审核</w:t>
      </w:r>
      <w:r>
        <w:rPr>
          <w:rFonts w:hint="eastAsia" w:asciiTheme="majorEastAsia" w:hAnsiTheme="majorEastAsia" w:eastAsiaTheme="majorEastAsia"/>
          <w:highlight w:val="none"/>
        </w:rPr>
        <w:t>。</w:t>
      </w:r>
    </w:p>
    <w:p w14:paraId="0AE95E5A">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施工单位（分包单位）发生生产安全事故，应当由承包人于1小时内按照国家有关伤亡事故报告和调查处理的规定，及时、如实地向发包人、负责安全生产监督管理的部门、建设行政主管部门或者其他有关部门报告；特种设备发生事故的，还应当同时向特种设备安全监督管理部门报告。</w:t>
      </w:r>
    </w:p>
    <w:p w14:paraId="6046C2E7">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发生生产安全事故后，承包人应当采取措施防止事故扩大，保护事故现场。需要移动现场物品时，应当做出标记和书面记录，妥善保管有关证物。</w:t>
      </w:r>
    </w:p>
    <w:p w14:paraId="42B007EE">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7.6.3</w:t>
      </w:r>
      <w:r>
        <w:rPr>
          <w:rFonts w:hint="eastAsia" w:asciiTheme="majorEastAsia" w:hAnsiTheme="majorEastAsia" w:eastAsiaTheme="majorEastAsia"/>
          <w:highlight w:val="none"/>
        </w:rPr>
        <w:t>文明施工</w:t>
      </w:r>
    </w:p>
    <w:p w14:paraId="47899AF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合同当事人对文明施工的要求：</w:t>
      </w:r>
      <w:r>
        <w:rPr>
          <w:rFonts w:hint="eastAsia" w:asciiTheme="majorEastAsia" w:hAnsiTheme="majorEastAsia" w:eastAsiaTheme="majorEastAsia"/>
          <w:highlight w:val="none"/>
          <w:u w:val="single"/>
        </w:rPr>
        <w:t>按专用条件4.1条执行</w:t>
      </w:r>
      <w:r>
        <w:rPr>
          <w:rFonts w:hint="eastAsia" w:asciiTheme="majorEastAsia" w:hAnsiTheme="majorEastAsia" w:eastAsiaTheme="majorEastAsia"/>
          <w:highlight w:val="none"/>
        </w:rPr>
        <w:t>。</w:t>
      </w:r>
    </w:p>
    <w:p w14:paraId="1918B7D8">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7.9</w:t>
      </w:r>
      <w:r>
        <w:rPr>
          <w:rFonts w:hint="eastAsia" w:asciiTheme="majorEastAsia" w:hAnsiTheme="majorEastAsia" w:eastAsiaTheme="majorEastAsia"/>
          <w:highlight w:val="none"/>
        </w:rPr>
        <w:t>临时性公用设施</w:t>
      </w:r>
    </w:p>
    <w:p w14:paraId="0FFDD79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关于临时性公用设施的特别约定：</w:t>
      </w:r>
      <w:r>
        <w:rPr>
          <w:rFonts w:hint="eastAsia" w:asciiTheme="majorEastAsia" w:hAnsiTheme="majorEastAsia" w:eastAsiaTheme="majorEastAsia"/>
          <w:highlight w:val="none"/>
          <w:u w:val="single"/>
        </w:rPr>
        <w:t>发包人不提供施工临时用水、用电、通讯线路，由承包人自行解决，费用由发包人承担</w:t>
      </w:r>
      <w:r>
        <w:rPr>
          <w:rFonts w:hint="eastAsia" w:asciiTheme="majorEastAsia" w:hAnsiTheme="majorEastAsia" w:eastAsiaTheme="majorEastAsia"/>
          <w:highlight w:val="none"/>
        </w:rPr>
        <w:t>。</w:t>
      </w:r>
    </w:p>
    <w:p w14:paraId="39BC484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7.10</w:t>
      </w:r>
      <w:r>
        <w:rPr>
          <w:rFonts w:hint="eastAsia" w:asciiTheme="majorEastAsia" w:hAnsiTheme="majorEastAsia" w:eastAsiaTheme="majorEastAsia"/>
          <w:highlight w:val="none"/>
        </w:rPr>
        <w:t>现场安保</w:t>
      </w:r>
    </w:p>
    <w:p w14:paraId="70257D2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承包人现场安保义务的特别约定：</w:t>
      </w:r>
      <w:r>
        <w:rPr>
          <w:rFonts w:hint="eastAsia" w:asciiTheme="majorEastAsia" w:hAnsiTheme="majorEastAsia" w:eastAsiaTheme="majorEastAsia"/>
          <w:highlight w:val="none"/>
          <w:u w:val="single"/>
        </w:rPr>
        <w:t>根据住房城乡建设部 国家反恐办关于印发《城市供水行业反恐怖防范工作标准》、《城镇燃气行业反恐怖防范工作标准》和《城镇供热行业反恐怖防范工作标准》的通知建城〔2016〕203号反恐怖防范的总体要求以及常态和非常态的防范要求执行</w:t>
      </w:r>
      <w:r>
        <w:rPr>
          <w:rFonts w:hint="eastAsia" w:asciiTheme="majorEastAsia" w:hAnsiTheme="majorEastAsia" w:eastAsiaTheme="majorEastAsia"/>
          <w:highlight w:val="none"/>
        </w:rPr>
        <w:t>。</w:t>
      </w:r>
    </w:p>
    <w:p w14:paraId="73921657">
      <w:pPr>
        <w:spacing w:line="560" w:lineRule="exact"/>
        <w:rPr>
          <w:rFonts w:asciiTheme="majorEastAsia" w:hAnsiTheme="majorEastAsia" w:eastAsiaTheme="majorEastAsia"/>
          <w:b/>
          <w:highlight w:val="none"/>
        </w:rPr>
      </w:pPr>
      <w:bookmarkStart w:id="990" w:name="_Toc54862339"/>
      <w:r>
        <w:rPr>
          <w:rFonts w:hint="eastAsia" w:asciiTheme="majorEastAsia" w:hAnsiTheme="majorEastAsia" w:eastAsiaTheme="majorEastAsia"/>
          <w:b/>
          <w:highlight w:val="none"/>
        </w:rPr>
        <w:t>第</w:t>
      </w:r>
      <w:r>
        <w:rPr>
          <w:rFonts w:asciiTheme="majorEastAsia" w:hAnsiTheme="majorEastAsia" w:eastAsiaTheme="majorEastAsia"/>
          <w:b/>
          <w:highlight w:val="none"/>
        </w:rPr>
        <w:t>8条</w:t>
      </w:r>
      <w:r>
        <w:rPr>
          <w:rFonts w:hint="eastAsia" w:asciiTheme="majorEastAsia" w:hAnsiTheme="majorEastAsia" w:eastAsiaTheme="majorEastAsia"/>
          <w:b/>
          <w:highlight w:val="none"/>
        </w:rPr>
        <w:t xml:space="preserve">  工期和进度</w:t>
      </w:r>
      <w:bookmarkEnd w:id="990"/>
    </w:p>
    <w:p w14:paraId="13B9F1EF">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8.1</w:t>
      </w:r>
      <w:r>
        <w:rPr>
          <w:rFonts w:hint="eastAsia" w:asciiTheme="majorEastAsia" w:hAnsiTheme="majorEastAsia" w:eastAsiaTheme="majorEastAsia"/>
          <w:highlight w:val="none"/>
        </w:rPr>
        <w:t>开始工作</w:t>
      </w:r>
    </w:p>
    <w:p w14:paraId="603BD455">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8.1.1</w:t>
      </w:r>
      <w:r>
        <w:rPr>
          <w:rFonts w:hint="eastAsia" w:asciiTheme="majorEastAsia" w:hAnsiTheme="majorEastAsia" w:eastAsiaTheme="majorEastAsia"/>
          <w:highlight w:val="none"/>
        </w:rPr>
        <w:t>开始准备工作：</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10D7DEA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8.1.2</w:t>
      </w:r>
      <w:r>
        <w:rPr>
          <w:rFonts w:hint="eastAsia" w:asciiTheme="majorEastAsia" w:hAnsiTheme="majorEastAsia" w:eastAsiaTheme="majorEastAsia"/>
          <w:highlight w:val="none"/>
        </w:rPr>
        <w:t>发包人可在计划开始工作之日起</w:t>
      </w:r>
      <w:r>
        <w:rPr>
          <w:rFonts w:asciiTheme="majorEastAsia" w:hAnsiTheme="majorEastAsia" w:eastAsiaTheme="majorEastAsia"/>
          <w:highlight w:val="none"/>
        </w:rPr>
        <w:t>84</w:t>
      </w:r>
      <w:r>
        <w:rPr>
          <w:rFonts w:hint="eastAsia" w:asciiTheme="majorEastAsia" w:hAnsiTheme="majorEastAsia" w:eastAsiaTheme="majorEastAsia"/>
          <w:highlight w:val="none"/>
        </w:rPr>
        <w:t>日后发出开始工作通知的特殊情形：</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2BE5A8F9">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8.2</w:t>
      </w:r>
      <w:r>
        <w:rPr>
          <w:rFonts w:hint="eastAsia" w:asciiTheme="majorEastAsia" w:hAnsiTheme="majorEastAsia" w:eastAsiaTheme="majorEastAsia"/>
          <w:highlight w:val="none"/>
        </w:rPr>
        <w:t>竣工日期</w:t>
      </w:r>
    </w:p>
    <w:p w14:paraId="656AE82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竣工日期的约定：</w:t>
      </w:r>
      <w:r>
        <w:rPr>
          <w:rFonts w:hint="eastAsia" w:asciiTheme="majorEastAsia" w:hAnsiTheme="majorEastAsia" w:eastAsiaTheme="majorEastAsia"/>
          <w:highlight w:val="none"/>
          <w:u w:val="single"/>
        </w:rPr>
        <w:t>合同签订时约定</w:t>
      </w:r>
      <w:r>
        <w:rPr>
          <w:rFonts w:hint="eastAsia" w:asciiTheme="majorEastAsia" w:hAnsiTheme="majorEastAsia" w:eastAsiaTheme="majorEastAsia"/>
          <w:highlight w:val="none"/>
        </w:rPr>
        <w:t>。</w:t>
      </w:r>
    </w:p>
    <w:p w14:paraId="3E75BBB4">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8.3</w:t>
      </w:r>
      <w:r>
        <w:rPr>
          <w:rFonts w:hint="eastAsia" w:asciiTheme="majorEastAsia" w:hAnsiTheme="majorEastAsia" w:eastAsiaTheme="majorEastAsia"/>
          <w:highlight w:val="none"/>
        </w:rPr>
        <w:t>项目实施计划</w:t>
      </w:r>
    </w:p>
    <w:p w14:paraId="1F45FE02">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8.3.1</w:t>
      </w:r>
      <w:r>
        <w:rPr>
          <w:rFonts w:hint="eastAsia" w:asciiTheme="majorEastAsia" w:hAnsiTheme="majorEastAsia" w:eastAsiaTheme="majorEastAsia"/>
          <w:highlight w:val="none"/>
        </w:rPr>
        <w:t>项目实施计划的内容</w:t>
      </w:r>
    </w:p>
    <w:p w14:paraId="1B4622C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项目实施计划的内容：</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737C7E3A">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8.3.2</w:t>
      </w:r>
      <w:r>
        <w:rPr>
          <w:rFonts w:hint="eastAsia" w:asciiTheme="majorEastAsia" w:hAnsiTheme="majorEastAsia" w:eastAsiaTheme="majorEastAsia"/>
          <w:highlight w:val="none"/>
        </w:rPr>
        <w:t>项目实施计划的提交和修改</w:t>
      </w:r>
    </w:p>
    <w:p w14:paraId="66C4443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项目实施计划的提交及修改期限：</w:t>
      </w:r>
      <w:r>
        <w:rPr>
          <w:rFonts w:hint="eastAsia" w:asciiTheme="majorEastAsia" w:hAnsiTheme="majorEastAsia" w:eastAsiaTheme="majorEastAsia"/>
          <w:highlight w:val="none"/>
          <w:u w:val="single"/>
        </w:rPr>
        <w:t>承包人应在合同订立后7天内，向工程师人、监理单位、造价跟踪审核单位及发包人提交项目实施计划，工程师人、监理单位、造价跟踪审核单位及发包人应在收到项目实施计划后14天内确认或提出修改意见</w:t>
      </w:r>
      <w:r>
        <w:rPr>
          <w:rFonts w:hint="eastAsia" w:asciiTheme="majorEastAsia" w:hAnsiTheme="majorEastAsia" w:eastAsiaTheme="majorEastAsia"/>
          <w:highlight w:val="none"/>
        </w:rPr>
        <w:t>。</w:t>
      </w:r>
    </w:p>
    <w:p w14:paraId="19EA68B2">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8.4</w:t>
      </w:r>
      <w:r>
        <w:rPr>
          <w:rFonts w:hint="eastAsia" w:asciiTheme="majorEastAsia" w:hAnsiTheme="majorEastAsia" w:eastAsiaTheme="majorEastAsia"/>
          <w:highlight w:val="none"/>
        </w:rPr>
        <w:t>项目进度计划</w:t>
      </w:r>
    </w:p>
    <w:p w14:paraId="6287D2CB">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8.4.1</w:t>
      </w:r>
      <w:r>
        <w:rPr>
          <w:rFonts w:hint="eastAsia" w:asciiTheme="majorEastAsia" w:hAnsiTheme="majorEastAsia" w:eastAsiaTheme="majorEastAsia"/>
          <w:highlight w:val="none"/>
        </w:rPr>
        <w:t>工程师在收到进度计划后确认或提出修改意见的期限：</w:t>
      </w:r>
      <w:r>
        <w:rPr>
          <w:rFonts w:hint="eastAsia" w:asciiTheme="majorEastAsia" w:hAnsiTheme="majorEastAsia" w:eastAsiaTheme="majorEastAsia"/>
          <w:highlight w:val="none"/>
          <w:u w:val="single"/>
        </w:rPr>
        <w:t>工程师人、监理单位、造价跟踪审核单位及发包人应在收到项目初步进度计划当日起算14天内批复或提出修改意见，否则该项目初步进度计划视为已得到批准</w:t>
      </w:r>
      <w:r>
        <w:rPr>
          <w:rFonts w:hint="eastAsia" w:asciiTheme="majorEastAsia" w:hAnsiTheme="majorEastAsia" w:eastAsiaTheme="majorEastAsia"/>
          <w:highlight w:val="none"/>
        </w:rPr>
        <w:t>。</w:t>
      </w:r>
    </w:p>
    <w:p w14:paraId="248CC185">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8.4.2</w:t>
      </w:r>
      <w:r>
        <w:rPr>
          <w:rFonts w:hint="eastAsia" w:asciiTheme="majorEastAsia" w:hAnsiTheme="majorEastAsia" w:eastAsiaTheme="majorEastAsia"/>
          <w:highlight w:val="none"/>
        </w:rPr>
        <w:t>进度计划的具体要求：</w:t>
      </w:r>
      <w:r>
        <w:rPr>
          <w:rFonts w:hint="eastAsia" w:asciiTheme="majorEastAsia" w:hAnsiTheme="majorEastAsia" w:eastAsiaTheme="majorEastAsia"/>
          <w:highlight w:val="none"/>
          <w:u w:val="single"/>
        </w:rPr>
        <w:t>按月更新总体及各单体工程工程建设计划报监理工程师和发包人确认</w:t>
      </w:r>
      <w:r>
        <w:rPr>
          <w:rFonts w:hint="eastAsia" w:asciiTheme="majorEastAsia" w:hAnsiTheme="majorEastAsia" w:eastAsiaTheme="majorEastAsia"/>
          <w:highlight w:val="none"/>
        </w:rPr>
        <w:t>。</w:t>
      </w:r>
    </w:p>
    <w:p w14:paraId="1DAD8BD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关键路径及关键路径变化的确定原则：</w:t>
      </w:r>
      <w:r>
        <w:rPr>
          <w:rFonts w:hint="eastAsia" w:asciiTheme="majorEastAsia" w:hAnsiTheme="majorEastAsia" w:eastAsiaTheme="majorEastAsia"/>
          <w:highlight w:val="none"/>
          <w:u w:val="single"/>
        </w:rPr>
        <w:t>按发包人的要求</w:t>
      </w:r>
      <w:r>
        <w:rPr>
          <w:rFonts w:hint="eastAsia" w:asciiTheme="majorEastAsia" w:hAnsiTheme="majorEastAsia" w:eastAsiaTheme="majorEastAsia"/>
          <w:highlight w:val="none"/>
        </w:rPr>
        <w:t>。</w:t>
      </w:r>
    </w:p>
    <w:p w14:paraId="2D9C355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承包人提交项目进度计划的份数和时间：</w:t>
      </w:r>
      <w:r>
        <w:rPr>
          <w:rFonts w:hint="eastAsia" w:asciiTheme="majorEastAsia" w:hAnsiTheme="majorEastAsia" w:eastAsiaTheme="majorEastAsia"/>
          <w:highlight w:val="none"/>
          <w:u w:val="single"/>
        </w:rPr>
        <w:t>每月5日前，不少于6份</w:t>
      </w:r>
      <w:r>
        <w:rPr>
          <w:rFonts w:hint="eastAsia" w:asciiTheme="majorEastAsia" w:hAnsiTheme="majorEastAsia" w:eastAsiaTheme="majorEastAsia"/>
          <w:highlight w:val="none"/>
        </w:rPr>
        <w:t>。</w:t>
      </w:r>
    </w:p>
    <w:p w14:paraId="2A9C25CE">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8.4.3</w:t>
      </w:r>
      <w:r>
        <w:rPr>
          <w:rFonts w:hint="eastAsia" w:asciiTheme="majorEastAsia" w:hAnsiTheme="majorEastAsia" w:eastAsiaTheme="majorEastAsia"/>
          <w:highlight w:val="none"/>
        </w:rPr>
        <w:t>进度计划的修订</w:t>
      </w:r>
    </w:p>
    <w:p w14:paraId="2D50CC1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承包人提交修订</w:t>
      </w:r>
      <w:r>
        <w:rPr>
          <w:rFonts w:asciiTheme="majorEastAsia" w:hAnsiTheme="majorEastAsia" w:eastAsiaTheme="majorEastAsia"/>
          <w:highlight w:val="none"/>
        </w:rPr>
        <w:t>项目进度计划</w:t>
      </w:r>
      <w:r>
        <w:rPr>
          <w:rFonts w:hint="eastAsia" w:asciiTheme="majorEastAsia" w:hAnsiTheme="majorEastAsia" w:eastAsiaTheme="majorEastAsia"/>
          <w:highlight w:val="none"/>
        </w:rPr>
        <w:t>申请报告的期限：</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7C507F8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发包人批复修订</w:t>
      </w:r>
      <w:r>
        <w:rPr>
          <w:rFonts w:asciiTheme="majorEastAsia" w:hAnsiTheme="majorEastAsia" w:eastAsiaTheme="majorEastAsia"/>
          <w:highlight w:val="none"/>
        </w:rPr>
        <w:t>项目进度计划</w:t>
      </w:r>
      <w:r>
        <w:rPr>
          <w:rFonts w:hint="eastAsia" w:asciiTheme="majorEastAsia" w:hAnsiTheme="majorEastAsia" w:eastAsiaTheme="majorEastAsia"/>
          <w:highlight w:val="none"/>
        </w:rPr>
        <w:t>申请报告的期限：</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54D9B8D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承包人答复发包人提出修订合同计划的期限：</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2A045D4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8.5</w:t>
      </w:r>
      <w:r>
        <w:rPr>
          <w:rFonts w:hint="eastAsia" w:asciiTheme="majorEastAsia" w:hAnsiTheme="majorEastAsia" w:eastAsiaTheme="majorEastAsia"/>
          <w:highlight w:val="none"/>
        </w:rPr>
        <w:t>进度报告</w:t>
      </w:r>
    </w:p>
    <w:p w14:paraId="5E2DE15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进度报告的具体要求：</w:t>
      </w:r>
      <w:r>
        <w:rPr>
          <w:rFonts w:hint="eastAsia" w:asciiTheme="majorEastAsia" w:hAnsiTheme="majorEastAsia" w:eastAsiaTheme="majorEastAsia"/>
          <w:highlight w:val="none"/>
          <w:u w:val="single"/>
        </w:rPr>
        <w:t>合同签订时约定</w:t>
      </w:r>
      <w:r>
        <w:rPr>
          <w:rFonts w:hint="eastAsia" w:asciiTheme="majorEastAsia" w:hAnsiTheme="majorEastAsia" w:eastAsiaTheme="majorEastAsia"/>
          <w:highlight w:val="none"/>
        </w:rPr>
        <w:t>。</w:t>
      </w:r>
    </w:p>
    <w:p w14:paraId="55490D4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8.7</w:t>
      </w:r>
      <w:r>
        <w:rPr>
          <w:rFonts w:hint="eastAsia" w:asciiTheme="majorEastAsia" w:hAnsiTheme="majorEastAsia" w:eastAsiaTheme="majorEastAsia"/>
          <w:highlight w:val="none"/>
        </w:rPr>
        <w:t>工期延误</w:t>
      </w:r>
    </w:p>
    <w:p w14:paraId="56360208">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8.7.2</w:t>
      </w:r>
      <w:r>
        <w:rPr>
          <w:rFonts w:hint="eastAsia" w:asciiTheme="majorEastAsia" w:hAnsiTheme="majorEastAsia" w:eastAsiaTheme="majorEastAsia"/>
          <w:highlight w:val="none"/>
        </w:rPr>
        <w:t>因承包人原因导致工期延误</w:t>
      </w:r>
    </w:p>
    <w:p w14:paraId="5558E2F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u w:val="single"/>
        </w:rPr>
        <w:t>设计部分：因设计单位原因使设计成果资料提交日期延误的，每延误1日的赔偿金额为：10000元。工期延误违约金最高限额为相应板块合同金额5%。超过约定时间15天仍未提交设计成果的，发包人有权书面通知承包人后单方终止或解除本合同，承包人须承担给发包人造成的一切损失</w:t>
      </w:r>
      <w:r>
        <w:rPr>
          <w:rFonts w:hint="eastAsia" w:asciiTheme="majorEastAsia" w:hAnsiTheme="majorEastAsia" w:eastAsiaTheme="majorEastAsia"/>
          <w:highlight w:val="none"/>
        </w:rPr>
        <w:t>。</w:t>
      </w:r>
    </w:p>
    <w:p w14:paraId="136A1B2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u w:val="single"/>
        </w:rPr>
        <w:t>施工部分：因承包人原因使竣工日期延误，每延误1日的误期赔偿金额为：建安工程费的万分之一。工期延误违约金最高限额为相应板块合同金额5%。因承包人原因超过60天未开工的，发包人有权书面通知承包人后单方终止或解除本合同，承包人须承担给发包人造成的一切损失</w:t>
      </w:r>
      <w:r>
        <w:rPr>
          <w:rFonts w:hint="eastAsia" w:asciiTheme="majorEastAsia" w:hAnsiTheme="majorEastAsia" w:eastAsiaTheme="majorEastAsia"/>
          <w:highlight w:val="none"/>
        </w:rPr>
        <w:t>。</w:t>
      </w:r>
    </w:p>
    <w:p w14:paraId="19D2B29E">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8.7.3</w:t>
      </w:r>
      <w:r>
        <w:rPr>
          <w:rFonts w:hint="eastAsia" w:asciiTheme="majorEastAsia" w:hAnsiTheme="majorEastAsia" w:eastAsiaTheme="majorEastAsia"/>
          <w:highlight w:val="none"/>
        </w:rPr>
        <w:t>行政审批迟延</w:t>
      </w:r>
    </w:p>
    <w:p w14:paraId="7F2F84E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行政审批报送的职责分工：</w:t>
      </w:r>
      <w:r>
        <w:rPr>
          <w:rFonts w:hint="eastAsia" w:asciiTheme="majorEastAsia" w:hAnsiTheme="majorEastAsia" w:eastAsiaTheme="majorEastAsia"/>
          <w:highlight w:val="none"/>
          <w:u w:val="single"/>
        </w:rPr>
        <w:t>根据合同约定应由发包人完成的由承包人协助发包人完成，由承包人完成的，费用由发包人承担</w:t>
      </w:r>
      <w:r>
        <w:rPr>
          <w:rFonts w:hint="eastAsia" w:asciiTheme="majorEastAsia" w:hAnsiTheme="majorEastAsia" w:eastAsiaTheme="majorEastAsia"/>
          <w:highlight w:val="none"/>
        </w:rPr>
        <w:t>。</w:t>
      </w:r>
    </w:p>
    <w:p w14:paraId="586D2E07">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8.7.4</w:t>
      </w:r>
      <w:r>
        <w:rPr>
          <w:rFonts w:hint="eastAsia" w:asciiTheme="majorEastAsia" w:hAnsiTheme="majorEastAsia" w:eastAsiaTheme="majorEastAsia"/>
          <w:highlight w:val="none"/>
        </w:rPr>
        <w:t>异常恶劣的气候条件</w:t>
      </w:r>
    </w:p>
    <w:p w14:paraId="312F7E7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双方约定视为异常恶劣的气候条件的情形：</w:t>
      </w:r>
      <w:r>
        <w:rPr>
          <w:rFonts w:hint="eastAsia" w:asciiTheme="majorEastAsia" w:hAnsiTheme="majorEastAsia" w:eastAsiaTheme="majorEastAsia"/>
          <w:highlight w:val="none"/>
          <w:u w:val="single"/>
        </w:rPr>
        <w:t>（1）连续降雨3到8小时且降雨量超过50毫米；（2）特大洪水（特大洪水指由暴雨、急骤融冰化雪、风暴潮等自然因素引起的江河湖海水量迅速增加或水位迅猛上涨的重现期超过50年的洪水）；（3）造成工程损坏的冰雹和大雪灾害造成工程较严重损坏的冰雹和大雪</w:t>
      </w:r>
      <w:r>
        <w:rPr>
          <w:rFonts w:hint="eastAsia" w:asciiTheme="majorEastAsia" w:hAnsiTheme="majorEastAsia" w:eastAsiaTheme="majorEastAsia"/>
          <w:highlight w:val="none"/>
        </w:rPr>
        <w:t>。</w:t>
      </w:r>
    </w:p>
    <w:p w14:paraId="00F35ACF">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8.8</w:t>
      </w:r>
      <w:r>
        <w:rPr>
          <w:rFonts w:hint="eastAsia" w:asciiTheme="majorEastAsia" w:hAnsiTheme="majorEastAsia" w:eastAsiaTheme="majorEastAsia"/>
          <w:highlight w:val="none"/>
        </w:rPr>
        <w:t>工期提前</w:t>
      </w:r>
    </w:p>
    <w:p w14:paraId="180AE19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8.8.2</w:t>
      </w:r>
      <w:r>
        <w:rPr>
          <w:rFonts w:hint="eastAsia" w:asciiTheme="majorEastAsia" w:hAnsiTheme="majorEastAsia" w:eastAsiaTheme="majorEastAsia"/>
          <w:highlight w:val="none"/>
        </w:rPr>
        <w:t>承包人提前竣工的奖励：</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7466F8F1">
      <w:pPr>
        <w:spacing w:line="560" w:lineRule="exact"/>
        <w:rPr>
          <w:rFonts w:asciiTheme="majorEastAsia" w:hAnsiTheme="majorEastAsia" w:eastAsiaTheme="majorEastAsia"/>
          <w:b/>
          <w:highlight w:val="none"/>
        </w:rPr>
      </w:pPr>
      <w:bookmarkStart w:id="991" w:name="_Toc54862340"/>
      <w:r>
        <w:rPr>
          <w:rFonts w:hint="eastAsia" w:asciiTheme="majorEastAsia" w:hAnsiTheme="majorEastAsia" w:eastAsiaTheme="majorEastAsia"/>
          <w:b/>
          <w:highlight w:val="none"/>
        </w:rPr>
        <w:t>第</w:t>
      </w:r>
      <w:r>
        <w:rPr>
          <w:rFonts w:asciiTheme="majorEastAsia" w:hAnsiTheme="majorEastAsia" w:eastAsiaTheme="majorEastAsia"/>
          <w:b/>
          <w:highlight w:val="none"/>
        </w:rPr>
        <w:t>9条</w:t>
      </w:r>
      <w:r>
        <w:rPr>
          <w:rFonts w:hint="eastAsia" w:asciiTheme="majorEastAsia" w:hAnsiTheme="majorEastAsia" w:eastAsiaTheme="majorEastAsia"/>
          <w:b/>
          <w:highlight w:val="none"/>
        </w:rPr>
        <w:t xml:space="preserve">  竣工试验</w:t>
      </w:r>
      <w:bookmarkEnd w:id="991"/>
    </w:p>
    <w:p w14:paraId="2313B90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9.1</w:t>
      </w:r>
      <w:r>
        <w:rPr>
          <w:rFonts w:hint="eastAsia" w:asciiTheme="majorEastAsia" w:hAnsiTheme="majorEastAsia" w:eastAsiaTheme="majorEastAsia"/>
          <w:highlight w:val="none"/>
        </w:rPr>
        <w:t>竣工试验的义务</w:t>
      </w:r>
    </w:p>
    <w:p w14:paraId="0E84CDA0">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9.1.3</w:t>
      </w:r>
      <w:r>
        <w:rPr>
          <w:rFonts w:hint="eastAsia" w:asciiTheme="majorEastAsia" w:hAnsiTheme="majorEastAsia" w:eastAsiaTheme="majorEastAsia"/>
          <w:highlight w:val="none"/>
        </w:rPr>
        <w:t>竣工试验的阶段、内容和顺序：</w:t>
      </w:r>
      <w:r>
        <w:rPr>
          <w:rFonts w:hint="eastAsia" w:asciiTheme="majorEastAsia" w:hAnsiTheme="majorEastAsia" w:eastAsiaTheme="majorEastAsia"/>
          <w:highlight w:val="none"/>
          <w:u w:val="single"/>
        </w:rPr>
        <w:t>按照通用条件执行</w:t>
      </w:r>
      <w:r>
        <w:rPr>
          <w:rFonts w:hint="eastAsia" w:asciiTheme="majorEastAsia" w:hAnsiTheme="majorEastAsia" w:eastAsiaTheme="majorEastAsia"/>
          <w:highlight w:val="none"/>
        </w:rPr>
        <w:t>。</w:t>
      </w:r>
    </w:p>
    <w:p w14:paraId="74804E1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竣工试验的操作要求：</w:t>
      </w:r>
      <w:r>
        <w:rPr>
          <w:rFonts w:hint="eastAsia" w:asciiTheme="majorEastAsia" w:hAnsiTheme="majorEastAsia" w:eastAsiaTheme="majorEastAsia"/>
          <w:highlight w:val="none"/>
          <w:u w:val="single"/>
        </w:rPr>
        <w:t>竣工验收前必须满足调试合格，试生产产品符合国家相关标准，该部分费用及试生产期间的原材料及相关费用发包人不在另行支付，未尽事宜按国家政策规定及发包人指示执行</w:t>
      </w:r>
      <w:r>
        <w:rPr>
          <w:rFonts w:hint="eastAsia" w:asciiTheme="majorEastAsia" w:hAnsiTheme="majorEastAsia" w:eastAsiaTheme="majorEastAsia"/>
          <w:highlight w:val="none"/>
        </w:rPr>
        <w:t>。</w:t>
      </w:r>
    </w:p>
    <w:p w14:paraId="7932E1B4">
      <w:pPr>
        <w:spacing w:line="560" w:lineRule="exact"/>
        <w:rPr>
          <w:rFonts w:asciiTheme="majorEastAsia" w:hAnsiTheme="majorEastAsia" w:eastAsiaTheme="majorEastAsia"/>
          <w:b/>
          <w:highlight w:val="none"/>
        </w:rPr>
      </w:pPr>
      <w:bookmarkStart w:id="992" w:name="_Toc4784273"/>
      <w:bookmarkEnd w:id="992"/>
      <w:bookmarkStart w:id="993" w:name="_Toc4784272"/>
      <w:bookmarkEnd w:id="993"/>
      <w:bookmarkStart w:id="994" w:name="_Toc54862341"/>
      <w:r>
        <w:rPr>
          <w:rFonts w:hint="eastAsia" w:asciiTheme="majorEastAsia" w:hAnsiTheme="majorEastAsia" w:eastAsiaTheme="majorEastAsia"/>
          <w:b/>
          <w:highlight w:val="none"/>
        </w:rPr>
        <w:t>第</w:t>
      </w:r>
      <w:r>
        <w:rPr>
          <w:rFonts w:asciiTheme="majorEastAsia" w:hAnsiTheme="majorEastAsia" w:eastAsiaTheme="majorEastAsia"/>
          <w:b/>
          <w:highlight w:val="none"/>
        </w:rPr>
        <w:t>10条</w:t>
      </w:r>
      <w:r>
        <w:rPr>
          <w:rFonts w:hint="eastAsia" w:asciiTheme="majorEastAsia" w:hAnsiTheme="majorEastAsia" w:eastAsiaTheme="majorEastAsia"/>
          <w:b/>
          <w:highlight w:val="none"/>
        </w:rPr>
        <w:t xml:space="preserve">  验收和工程接收</w:t>
      </w:r>
      <w:bookmarkEnd w:id="994"/>
    </w:p>
    <w:p w14:paraId="31E32A75">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10.1</w:t>
      </w:r>
      <w:r>
        <w:rPr>
          <w:rFonts w:hint="eastAsia" w:asciiTheme="majorEastAsia" w:hAnsiTheme="majorEastAsia" w:eastAsiaTheme="majorEastAsia"/>
          <w:highlight w:val="none"/>
        </w:rPr>
        <w:t>竣工验收</w:t>
      </w:r>
    </w:p>
    <w:p w14:paraId="41050761">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10.1.2</w:t>
      </w:r>
      <w:r>
        <w:rPr>
          <w:rFonts w:hint="eastAsia" w:asciiTheme="majorEastAsia" w:hAnsiTheme="majorEastAsia" w:eastAsiaTheme="majorEastAsia"/>
          <w:highlight w:val="none"/>
        </w:rPr>
        <w:t>关于竣工验收程序的约定：</w:t>
      </w:r>
      <w:r>
        <w:rPr>
          <w:rFonts w:hint="eastAsia" w:asciiTheme="majorEastAsia" w:hAnsiTheme="majorEastAsia" w:eastAsiaTheme="majorEastAsia"/>
          <w:highlight w:val="none"/>
          <w:u w:val="single"/>
        </w:rPr>
        <w:t>按国家政策规定及发包人指示执行</w:t>
      </w:r>
      <w:r>
        <w:rPr>
          <w:rFonts w:hint="eastAsia" w:asciiTheme="majorEastAsia" w:hAnsiTheme="majorEastAsia" w:eastAsiaTheme="majorEastAsia"/>
          <w:highlight w:val="none"/>
        </w:rPr>
        <w:t>。</w:t>
      </w:r>
    </w:p>
    <w:p w14:paraId="6D3F4203">
      <w:pPr>
        <w:spacing w:line="560" w:lineRule="exact"/>
        <w:ind w:firstLine="410" w:firstLineChars="171"/>
        <w:rPr>
          <w:rFonts w:asciiTheme="majorEastAsia" w:hAnsiTheme="majorEastAsia" w:eastAsiaTheme="majorEastAsia"/>
          <w:highlight w:val="none"/>
        </w:rPr>
      </w:pPr>
      <w:bookmarkStart w:id="995" w:name="_Hlk46406260"/>
      <w:r>
        <w:rPr>
          <w:rFonts w:hint="eastAsia" w:asciiTheme="majorEastAsia" w:hAnsiTheme="majorEastAsia" w:eastAsiaTheme="majorEastAsia"/>
          <w:highlight w:val="none"/>
        </w:rPr>
        <w:t>发包人不按照合同约定组织竣工验收、颁发工程接受证书的违约金的计算方式：</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bookmarkEnd w:id="995"/>
    <w:p w14:paraId="62C40E8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10.3工程的接收</w:t>
      </w:r>
    </w:p>
    <w:p w14:paraId="66EA07F1">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10.3.1</w:t>
      </w:r>
      <w:r>
        <w:rPr>
          <w:rFonts w:hint="eastAsia" w:asciiTheme="majorEastAsia" w:hAnsiTheme="majorEastAsia" w:eastAsiaTheme="majorEastAsia"/>
          <w:highlight w:val="none"/>
        </w:rPr>
        <w:t>工程接收的先后顺序、时间安排和其他要求：</w:t>
      </w:r>
      <w:r>
        <w:rPr>
          <w:rFonts w:hint="eastAsia" w:asciiTheme="majorEastAsia" w:hAnsiTheme="majorEastAsia" w:eastAsiaTheme="majorEastAsia"/>
          <w:highlight w:val="none"/>
          <w:u w:val="single"/>
        </w:rPr>
        <w:t>合同签订时约定</w:t>
      </w:r>
      <w:r>
        <w:rPr>
          <w:rFonts w:hint="eastAsia" w:asciiTheme="majorEastAsia" w:hAnsiTheme="majorEastAsia" w:eastAsiaTheme="majorEastAsia"/>
          <w:highlight w:val="none"/>
        </w:rPr>
        <w:t>。</w:t>
      </w:r>
    </w:p>
    <w:p w14:paraId="5F3B177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10.3.2</w:t>
      </w:r>
      <w:r>
        <w:rPr>
          <w:rFonts w:hint="eastAsia" w:asciiTheme="majorEastAsia" w:hAnsiTheme="majorEastAsia" w:eastAsiaTheme="majorEastAsia"/>
          <w:highlight w:val="none"/>
        </w:rPr>
        <w:t>接受工程时承包人需提交竣工验收资料的类别、内容、份数和提交时间：承包人提交的竣工资料的内容：</w:t>
      </w:r>
      <w:r>
        <w:rPr>
          <w:rFonts w:hint="eastAsia" w:asciiTheme="majorEastAsia" w:hAnsiTheme="majorEastAsia" w:eastAsiaTheme="majorEastAsia"/>
          <w:highlight w:val="none"/>
          <w:u w:val="single"/>
        </w:rPr>
        <w:t>满足国家和云南省地方政府竣工验收审查、备案以及发包人竣工结算、审计要求</w:t>
      </w:r>
      <w:r>
        <w:rPr>
          <w:rFonts w:hint="eastAsia" w:asciiTheme="majorEastAsia" w:hAnsiTheme="majorEastAsia" w:eastAsiaTheme="majorEastAsia"/>
          <w:highlight w:val="none"/>
        </w:rPr>
        <w:t>。</w:t>
      </w:r>
    </w:p>
    <w:p w14:paraId="02EF40C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承包人需要提交的竣工资料套数：</w:t>
      </w:r>
      <w:r>
        <w:rPr>
          <w:rFonts w:hint="eastAsia" w:asciiTheme="majorEastAsia" w:hAnsiTheme="majorEastAsia" w:eastAsiaTheme="majorEastAsia"/>
          <w:highlight w:val="none"/>
          <w:u w:val="single"/>
        </w:rPr>
        <w:t>不少于6套</w:t>
      </w:r>
      <w:r>
        <w:rPr>
          <w:rFonts w:hint="eastAsia" w:asciiTheme="majorEastAsia" w:hAnsiTheme="majorEastAsia" w:eastAsiaTheme="majorEastAsia"/>
          <w:highlight w:val="none"/>
        </w:rPr>
        <w:t>。</w:t>
      </w:r>
    </w:p>
    <w:p w14:paraId="1D258F4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承包人提交的竣工资料的费用承担：</w:t>
      </w:r>
      <w:r>
        <w:rPr>
          <w:rFonts w:hint="eastAsia" w:asciiTheme="majorEastAsia" w:hAnsiTheme="majorEastAsia" w:eastAsiaTheme="majorEastAsia"/>
          <w:highlight w:val="none"/>
          <w:u w:val="single"/>
        </w:rPr>
        <w:t>承包人承担</w:t>
      </w:r>
      <w:r>
        <w:rPr>
          <w:rFonts w:hint="eastAsia" w:asciiTheme="majorEastAsia" w:hAnsiTheme="majorEastAsia" w:eastAsiaTheme="majorEastAsia"/>
          <w:highlight w:val="none"/>
        </w:rPr>
        <w:t>。</w:t>
      </w:r>
    </w:p>
    <w:p w14:paraId="1E11A04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承包人提交的竣工资料移交时间：</w:t>
      </w:r>
      <w:r>
        <w:rPr>
          <w:rFonts w:hint="eastAsia" w:asciiTheme="majorEastAsia" w:hAnsiTheme="majorEastAsia" w:eastAsiaTheme="majorEastAsia"/>
          <w:highlight w:val="none"/>
          <w:u w:val="single"/>
        </w:rPr>
        <w:t>工程竣工验收合格后30天内</w:t>
      </w:r>
      <w:r>
        <w:rPr>
          <w:rFonts w:hint="eastAsia" w:asciiTheme="majorEastAsia" w:hAnsiTheme="majorEastAsia" w:eastAsiaTheme="majorEastAsia"/>
          <w:highlight w:val="none"/>
        </w:rPr>
        <w:t>。</w:t>
      </w:r>
    </w:p>
    <w:p w14:paraId="4AD6750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承包人提交的竣工资料形式要求：</w:t>
      </w:r>
      <w:r>
        <w:rPr>
          <w:rFonts w:hint="eastAsia" w:asciiTheme="majorEastAsia" w:hAnsiTheme="majorEastAsia" w:eastAsiaTheme="majorEastAsia"/>
          <w:highlight w:val="none"/>
          <w:u w:val="single"/>
        </w:rPr>
        <w:t>经核验签证后完整、清晰、符合要求的竣工资料（含竣工图及影像资料）</w:t>
      </w:r>
      <w:r>
        <w:rPr>
          <w:rFonts w:hint="eastAsia" w:asciiTheme="majorEastAsia" w:hAnsiTheme="majorEastAsia" w:eastAsiaTheme="majorEastAsia"/>
          <w:highlight w:val="none"/>
        </w:rPr>
        <w:t>。</w:t>
      </w:r>
    </w:p>
    <w:p w14:paraId="76C95E20">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10.3.3</w:t>
      </w:r>
      <w:r>
        <w:rPr>
          <w:rFonts w:hint="eastAsia" w:asciiTheme="majorEastAsia" w:hAnsiTheme="majorEastAsia" w:eastAsiaTheme="majorEastAsia"/>
          <w:highlight w:val="none"/>
        </w:rPr>
        <w:t>发包人逾期接收工程的违约责任：</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2920C40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10.3.4</w:t>
      </w:r>
      <w:r>
        <w:rPr>
          <w:rFonts w:hint="eastAsia" w:asciiTheme="majorEastAsia" w:hAnsiTheme="majorEastAsia" w:eastAsiaTheme="majorEastAsia"/>
          <w:highlight w:val="none"/>
        </w:rPr>
        <w:t>承包人无正当理由不移交工程的违约责任：</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7C3848F7">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10.4</w:t>
      </w:r>
      <w:r>
        <w:rPr>
          <w:rFonts w:hint="eastAsia" w:asciiTheme="majorEastAsia" w:hAnsiTheme="majorEastAsia" w:eastAsiaTheme="majorEastAsia"/>
          <w:highlight w:val="none"/>
        </w:rPr>
        <w:t>接收证书</w:t>
      </w:r>
    </w:p>
    <w:p w14:paraId="3A77BD6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10.4.1</w:t>
      </w:r>
      <w:r>
        <w:rPr>
          <w:rFonts w:hint="eastAsia" w:asciiTheme="majorEastAsia" w:hAnsiTheme="majorEastAsia" w:eastAsiaTheme="majorEastAsia"/>
          <w:highlight w:val="none"/>
        </w:rPr>
        <w:t>工程接收证书颁发时间：</w:t>
      </w:r>
      <w:r>
        <w:rPr>
          <w:rFonts w:hint="eastAsia" w:asciiTheme="majorEastAsia" w:hAnsiTheme="majorEastAsia" w:eastAsiaTheme="majorEastAsia"/>
          <w:highlight w:val="none"/>
          <w:u w:val="single"/>
        </w:rPr>
        <w:t>按通用条件执行</w:t>
      </w:r>
      <w:r>
        <w:rPr>
          <w:rFonts w:hint="eastAsia" w:asciiTheme="majorEastAsia" w:hAnsiTheme="majorEastAsia" w:eastAsiaTheme="majorEastAsia"/>
          <w:highlight w:val="none"/>
        </w:rPr>
        <w:t>。</w:t>
      </w:r>
    </w:p>
    <w:p w14:paraId="572763C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10.5</w:t>
      </w:r>
      <w:r>
        <w:rPr>
          <w:rFonts w:hint="eastAsia" w:asciiTheme="majorEastAsia" w:hAnsiTheme="majorEastAsia" w:eastAsiaTheme="majorEastAsia"/>
          <w:highlight w:val="none"/>
        </w:rPr>
        <w:t>竣工退场</w:t>
      </w:r>
    </w:p>
    <w:p w14:paraId="13E6C8B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10.5.1</w:t>
      </w:r>
      <w:r>
        <w:rPr>
          <w:rFonts w:hint="eastAsia" w:asciiTheme="majorEastAsia" w:hAnsiTheme="majorEastAsia" w:eastAsiaTheme="majorEastAsia"/>
          <w:highlight w:val="none"/>
        </w:rPr>
        <w:t>竣工退场的相关约定：</w:t>
      </w:r>
      <w:r>
        <w:rPr>
          <w:rFonts w:hint="eastAsia" w:asciiTheme="majorEastAsia" w:hAnsiTheme="majorEastAsia" w:eastAsiaTheme="majorEastAsia"/>
          <w:highlight w:val="none"/>
          <w:u w:val="single"/>
        </w:rPr>
        <w:t>按通用条件执行</w:t>
      </w:r>
      <w:r>
        <w:rPr>
          <w:rFonts w:hint="eastAsia" w:asciiTheme="majorEastAsia" w:hAnsiTheme="majorEastAsia" w:eastAsiaTheme="majorEastAsia"/>
          <w:highlight w:val="none"/>
        </w:rPr>
        <w:t>。</w:t>
      </w:r>
    </w:p>
    <w:p w14:paraId="6C51BF74">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10.5.3</w:t>
      </w:r>
      <w:r>
        <w:rPr>
          <w:rFonts w:hint="eastAsia" w:asciiTheme="majorEastAsia" w:hAnsiTheme="majorEastAsia" w:eastAsiaTheme="majorEastAsia"/>
          <w:highlight w:val="none"/>
        </w:rPr>
        <w:t>人员撤离</w:t>
      </w:r>
    </w:p>
    <w:p w14:paraId="7D9D6ED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工程师同意需在缺陷责任期内继续工作和使用的人员、施工设备和临时工程的内容：按通用条件执行。</w:t>
      </w:r>
    </w:p>
    <w:p w14:paraId="7B5F9182">
      <w:pPr>
        <w:spacing w:line="560" w:lineRule="exact"/>
        <w:rPr>
          <w:rFonts w:asciiTheme="majorEastAsia" w:hAnsiTheme="majorEastAsia" w:eastAsiaTheme="majorEastAsia"/>
          <w:b/>
          <w:highlight w:val="none"/>
        </w:rPr>
      </w:pPr>
      <w:bookmarkStart w:id="996" w:name="_Toc54862342"/>
      <w:r>
        <w:rPr>
          <w:rFonts w:hint="eastAsia" w:asciiTheme="majorEastAsia" w:hAnsiTheme="majorEastAsia" w:eastAsiaTheme="majorEastAsia"/>
          <w:b/>
          <w:highlight w:val="none"/>
        </w:rPr>
        <w:t>第</w:t>
      </w:r>
      <w:r>
        <w:rPr>
          <w:rFonts w:asciiTheme="majorEastAsia" w:hAnsiTheme="majorEastAsia" w:eastAsiaTheme="majorEastAsia"/>
          <w:b/>
          <w:highlight w:val="none"/>
        </w:rPr>
        <w:t>11条</w:t>
      </w:r>
      <w:r>
        <w:rPr>
          <w:rFonts w:hint="eastAsia" w:asciiTheme="majorEastAsia" w:hAnsiTheme="majorEastAsia" w:eastAsiaTheme="majorEastAsia"/>
          <w:b/>
          <w:highlight w:val="none"/>
        </w:rPr>
        <w:t xml:space="preserve">  缺陷责任与保修</w:t>
      </w:r>
      <w:bookmarkEnd w:id="996"/>
    </w:p>
    <w:p w14:paraId="0191B572">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 xml:space="preserve">11.2 </w:t>
      </w:r>
      <w:r>
        <w:rPr>
          <w:rFonts w:hint="eastAsia" w:asciiTheme="majorEastAsia" w:hAnsiTheme="majorEastAsia" w:eastAsiaTheme="majorEastAsia"/>
          <w:highlight w:val="none"/>
        </w:rPr>
        <w:t>缺陷责任期</w:t>
      </w:r>
    </w:p>
    <w:p w14:paraId="69F21BDF">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缺陷责任期的</w:t>
      </w:r>
      <w:r>
        <w:rPr>
          <w:rFonts w:hint="eastAsia" w:asciiTheme="majorEastAsia" w:hAnsiTheme="majorEastAsia" w:eastAsiaTheme="majorEastAsia"/>
          <w:highlight w:val="none"/>
        </w:rPr>
        <w:t>期限：</w:t>
      </w:r>
      <w:r>
        <w:rPr>
          <w:rFonts w:hint="eastAsia" w:asciiTheme="majorEastAsia" w:hAnsiTheme="majorEastAsia" w:eastAsiaTheme="majorEastAsia"/>
          <w:highlight w:val="none"/>
          <w:u w:val="single"/>
        </w:rPr>
        <w:t>缺陷责任期从工程实际通过竣工验收之日起计</w:t>
      </w:r>
      <w:r>
        <w:rPr>
          <w:rFonts w:hint="eastAsia" w:asciiTheme="majorEastAsia" w:hAnsiTheme="majorEastAsia" w:eastAsiaTheme="majorEastAsia"/>
          <w:highlight w:val="none"/>
          <w:u w:val="single"/>
          <w:lang w:val="en-US" w:eastAsia="zh-CN"/>
        </w:rPr>
        <w:t>24</w:t>
      </w:r>
      <w:r>
        <w:rPr>
          <w:rFonts w:hint="eastAsia" w:asciiTheme="majorEastAsia" w:hAnsiTheme="majorEastAsia" w:eastAsiaTheme="majorEastAsia"/>
          <w:highlight w:val="none"/>
          <w:u w:val="single"/>
        </w:rPr>
        <w:t>个月</w:t>
      </w:r>
      <w:r>
        <w:rPr>
          <w:rFonts w:hint="eastAsia" w:asciiTheme="majorEastAsia" w:hAnsiTheme="majorEastAsia" w:eastAsiaTheme="majorEastAsia"/>
          <w:highlight w:val="none"/>
        </w:rPr>
        <w:t>。</w:t>
      </w:r>
    </w:p>
    <w:p w14:paraId="1A5FFB0F">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 xml:space="preserve">11.3 </w:t>
      </w:r>
      <w:r>
        <w:rPr>
          <w:rFonts w:hint="eastAsia" w:asciiTheme="majorEastAsia" w:hAnsiTheme="majorEastAsia" w:eastAsiaTheme="majorEastAsia"/>
          <w:highlight w:val="none"/>
        </w:rPr>
        <w:t>缺陷调查</w:t>
      </w:r>
    </w:p>
    <w:p w14:paraId="769E8671">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11.3.4</w:t>
      </w:r>
      <w:r>
        <w:rPr>
          <w:rFonts w:hint="eastAsia" w:asciiTheme="majorEastAsia" w:hAnsiTheme="majorEastAsia" w:eastAsiaTheme="majorEastAsia"/>
          <w:highlight w:val="none"/>
        </w:rPr>
        <w:t>修复通知</w:t>
      </w:r>
    </w:p>
    <w:p w14:paraId="49BB400B">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承包人收到保修通知并到达工程现场的合理时间：</w:t>
      </w:r>
      <w:r>
        <w:rPr>
          <w:rFonts w:hint="eastAsia" w:asciiTheme="majorEastAsia" w:hAnsiTheme="majorEastAsia" w:eastAsiaTheme="majorEastAsia"/>
          <w:highlight w:val="none"/>
          <w:u w:val="single"/>
        </w:rPr>
        <w:t>合同签订时约定</w:t>
      </w:r>
      <w:r>
        <w:rPr>
          <w:rFonts w:hint="eastAsia" w:asciiTheme="majorEastAsia" w:hAnsiTheme="majorEastAsia" w:eastAsiaTheme="majorEastAsia"/>
          <w:highlight w:val="none"/>
        </w:rPr>
        <w:t>。</w:t>
      </w:r>
    </w:p>
    <w:p w14:paraId="347FDBE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11.6</w:t>
      </w:r>
      <w:r>
        <w:rPr>
          <w:rFonts w:hint="eastAsia" w:asciiTheme="majorEastAsia" w:hAnsiTheme="majorEastAsia" w:eastAsiaTheme="majorEastAsia"/>
          <w:highlight w:val="none"/>
        </w:rPr>
        <w:t>缺陷责任期终止证书</w:t>
      </w:r>
    </w:p>
    <w:p w14:paraId="3AB164A4">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承包人应于缺陷责任期届满后7天内向发包人发出缺陷责任期届满通知，发包人应在收到缺陷责任期满通知后7天内核实承包人是否履行缺陷修复义务，承包人未能履行缺陷修复义务的，发包人有权扣除相应金额的维修费用。发包人应在收到缺陷责任期届满通知后7天内，向承包人颁发缺陷责任期终止证书。</w:t>
      </w:r>
    </w:p>
    <w:p w14:paraId="61B0FBFC">
      <w:pPr>
        <w:spacing w:line="560" w:lineRule="exact"/>
        <w:ind w:firstLine="410" w:firstLineChars="171"/>
        <w:rPr>
          <w:rFonts w:hint="default" w:asciiTheme="majorEastAsia" w:hAnsiTheme="majorEastAsia" w:eastAsiaTheme="majorEastAsia"/>
          <w:highlight w:val="none"/>
          <w:lang w:val="en-US" w:eastAsia="zh-CN"/>
        </w:rPr>
      </w:pPr>
      <w:r>
        <w:rPr>
          <w:rFonts w:asciiTheme="majorEastAsia" w:hAnsiTheme="majorEastAsia" w:eastAsiaTheme="majorEastAsia"/>
          <w:highlight w:val="none"/>
        </w:rPr>
        <w:t>11.7</w:t>
      </w:r>
      <w:r>
        <w:rPr>
          <w:rFonts w:hint="eastAsia" w:asciiTheme="majorEastAsia" w:hAnsiTheme="majorEastAsia" w:eastAsiaTheme="majorEastAsia"/>
          <w:highlight w:val="none"/>
        </w:rPr>
        <w:t>保修责任</w:t>
      </w:r>
    </w:p>
    <w:p w14:paraId="7BA17B34">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rPr>
        <w:t>工程质量保修范围、期限和责任</w:t>
      </w:r>
      <w:r>
        <w:rPr>
          <w:rFonts w:asciiTheme="majorEastAsia" w:hAnsiTheme="majorEastAsia" w:eastAsiaTheme="majorEastAsia"/>
          <w:highlight w:val="none"/>
        </w:rPr>
        <w:t>为：</w:t>
      </w:r>
      <w:r>
        <w:rPr>
          <w:rFonts w:hint="eastAsia" w:asciiTheme="majorEastAsia" w:hAnsiTheme="majorEastAsia" w:eastAsiaTheme="majorEastAsia"/>
          <w:highlight w:val="none"/>
          <w:u w:val="single"/>
        </w:rPr>
        <w:t>（1）承包人应在接到维修通知之日后10天内派人维修。承包人不在约定期限内派人维修，发包人可委托其他人员维修，维修费用从质量保修金内扣除。</w:t>
      </w:r>
    </w:p>
    <w:p w14:paraId="3D064F99">
      <w:pPr>
        <w:spacing w:line="560" w:lineRule="exact"/>
        <w:ind w:firstLine="410" w:firstLineChars="171"/>
        <w:rPr>
          <w:rFonts w:asciiTheme="majorEastAsia" w:hAnsiTheme="majorEastAsia" w:eastAsiaTheme="majorEastAsia"/>
          <w:highlight w:val="none"/>
          <w:u w:val="single"/>
        </w:rPr>
      </w:pPr>
      <w:r>
        <w:rPr>
          <w:rFonts w:asciiTheme="majorEastAsia" w:hAnsiTheme="majorEastAsia" w:eastAsiaTheme="majorEastAsia"/>
          <w:highlight w:val="none"/>
          <w:u w:val="single"/>
        </w:rPr>
        <w:t>（</w:t>
      </w:r>
      <w:r>
        <w:rPr>
          <w:rFonts w:hint="eastAsia" w:asciiTheme="majorEastAsia" w:hAnsiTheme="majorEastAsia" w:eastAsiaTheme="majorEastAsia"/>
          <w:highlight w:val="none"/>
          <w:u w:val="single"/>
        </w:rPr>
        <w:t>2）发生须紧急抢修事故的，承包人接到事故通知后，应2小时内到达事故现场抢修。非承包人施工质量引起的事故，抢修费用由发包人承担。</w:t>
      </w:r>
    </w:p>
    <w:p w14:paraId="50E19F6D">
      <w:pPr>
        <w:spacing w:line="560" w:lineRule="exact"/>
        <w:ind w:firstLine="410" w:firstLineChars="171"/>
        <w:rPr>
          <w:rFonts w:asciiTheme="majorEastAsia" w:hAnsiTheme="majorEastAsia" w:eastAsiaTheme="majorEastAsia"/>
          <w:highlight w:val="none"/>
          <w:u w:val="single"/>
        </w:rPr>
      </w:pPr>
      <w:r>
        <w:rPr>
          <w:rFonts w:asciiTheme="majorEastAsia" w:hAnsiTheme="majorEastAsia" w:eastAsiaTheme="majorEastAsia"/>
          <w:highlight w:val="none"/>
          <w:u w:val="single"/>
        </w:rPr>
        <w:t>（</w:t>
      </w:r>
      <w:r>
        <w:rPr>
          <w:rFonts w:hint="eastAsia" w:asciiTheme="majorEastAsia" w:hAnsiTheme="majorEastAsia" w:eastAsiaTheme="majorEastAsia"/>
          <w:highlight w:val="none"/>
          <w:u w:val="single"/>
        </w:rPr>
        <w:t>3）如发生涉及结构安全的质量问题，发包人和承包人应当立即向当地建设行政主管部门报告，并采取安全防范措施，由原设计单位或具有相应资质等级的设计单位提出维修方案，承包人负责实施，维修费用由造成质量缺陷的责任方承担。维修完成后，由发包人组织有关单位人员验收。</w:t>
      </w:r>
    </w:p>
    <w:p w14:paraId="762938E0">
      <w:pPr>
        <w:spacing w:line="560" w:lineRule="exact"/>
        <w:ind w:firstLine="410" w:firstLineChars="171"/>
        <w:rPr>
          <w:rFonts w:hint="eastAsia" w:asciiTheme="majorEastAsia" w:hAnsiTheme="majorEastAsia" w:eastAsiaTheme="majorEastAsia"/>
          <w:highlight w:val="none"/>
          <w:u w:val="single"/>
        </w:rPr>
      </w:pPr>
      <w:r>
        <w:rPr>
          <w:rFonts w:hint="eastAsia" w:asciiTheme="majorEastAsia" w:hAnsiTheme="majorEastAsia" w:eastAsiaTheme="majorEastAsia"/>
          <w:highlight w:val="none"/>
          <w:u w:val="single"/>
        </w:rPr>
        <w:t>（4）因承包人原因致使工程在质量保修期限内造成人身和财产损害的，承包人承担损害赔偿责任。</w:t>
      </w:r>
    </w:p>
    <w:p w14:paraId="33A1FCBE">
      <w:pPr>
        <w:spacing w:line="560" w:lineRule="exact"/>
        <w:rPr>
          <w:rFonts w:asciiTheme="majorEastAsia" w:hAnsiTheme="majorEastAsia" w:eastAsiaTheme="majorEastAsia"/>
          <w:b/>
          <w:highlight w:val="none"/>
        </w:rPr>
      </w:pPr>
      <w:bookmarkStart w:id="997" w:name="_Toc54862343"/>
      <w:r>
        <w:rPr>
          <w:rFonts w:hint="eastAsia" w:asciiTheme="majorEastAsia" w:hAnsiTheme="majorEastAsia" w:eastAsiaTheme="majorEastAsia"/>
          <w:b/>
          <w:highlight w:val="none"/>
        </w:rPr>
        <w:t>第</w:t>
      </w:r>
      <w:r>
        <w:rPr>
          <w:rFonts w:asciiTheme="majorEastAsia" w:hAnsiTheme="majorEastAsia" w:eastAsiaTheme="majorEastAsia"/>
          <w:b/>
          <w:highlight w:val="none"/>
        </w:rPr>
        <w:t>12条</w:t>
      </w:r>
      <w:r>
        <w:rPr>
          <w:rFonts w:hint="eastAsia" w:asciiTheme="majorEastAsia" w:hAnsiTheme="majorEastAsia" w:eastAsiaTheme="majorEastAsia"/>
          <w:b/>
          <w:highlight w:val="none"/>
        </w:rPr>
        <w:t xml:space="preserve">  竣工后试验</w:t>
      </w:r>
      <w:bookmarkEnd w:id="997"/>
    </w:p>
    <w:p w14:paraId="243B3B6F">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rPr>
        <w:t>本合同工程是否包含竣工后试验：</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550AF954">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12.1</w:t>
      </w:r>
      <w:r>
        <w:rPr>
          <w:rFonts w:hint="eastAsia" w:asciiTheme="majorEastAsia" w:hAnsiTheme="majorEastAsia" w:eastAsiaTheme="majorEastAsia"/>
          <w:highlight w:val="none"/>
        </w:rPr>
        <w:t>竣工后试验的程序</w:t>
      </w:r>
    </w:p>
    <w:p w14:paraId="50118D6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12.1.2</w:t>
      </w:r>
      <w:r>
        <w:rPr>
          <w:rFonts w:hint="eastAsia" w:asciiTheme="majorEastAsia" w:hAnsiTheme="majorEastAsia" w:eastAsiaTheme="majorEastAsia"/>
          <w:highlight w:val="none"/>
        </w:rPr>
        <w:t>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56B07F39">
      <w:pPr>
        <w:spacing w:line="560" w:lineRule="exact"/>
        <w:rPr>
          <w:rFonts w:asciiTheme="majorEastAsia" w:hAnsiTheme="majorEastAsia" w:eastAsiaTheme="majorEastAsia"/>
          <w:b/>
          <w:highlight w:val="none"/>
        </w:rPr>
      </w:pPr>
      <w:bookmarkStart w:id="998" w:name="_Toc54862344"/>
      <w:r>
        <w:rPr>
          <w:rFonts w:hint="eastAsia" w:asciiTheme="majorEastAsia" w:hAnsiTheme="majorEastAsia" w:eastAsiaTheme="majorEastAsia"/>
          <w:b/>
          <w:highlight w:val="none"/>
        </w:rPr>
        <w:t>第</w:t>
      </w:r>
      <w:r>
        <w:rPr>
          <w:rFonts w:asciiTheme="majorEastAsia" w:hAnsiTheme="majorEastAsia" w:eastAsiaTheme="majorEastAsia"/>
          <w:b/>
          <w:highlight w:val="none"/>
        </w:rPr>
        <w:t>13条</w:t>
      </w:r>
      <w:r>
        <w:rPr>
          <w:rFonts w:hint="eastAsia" w:asciiTheme="majorEastAsia" w:hAnsiTheme="majorEastAsia" w:eastAsiaTheme="majorEastAsia"/>
          <w:b/>
          <w:highlight w:val="none"/>
        </w:rPr>
        <w:t xml:space="preserve">  变更与调整</w:t>
      </w:r>
      <w:bookmarkEnd w:id="998"/>
    </w:p>
    <w:p w14:paraId="19A9A760">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13.2</w:t>
      </w:r>
      <w:r>
        <w:rPr>
          <w:rFonts w:hint="eastAsia" w:asciiTheme="majorEastAsia" w:hAnsiTheme="majorEastAsia" w:eastAsiaTheme="majorEastAsia"/>
          <w:highlight w:val="none"/>
        </w:rPr>
        <w:t>承包人的合理化建议</w:t>
      </w:r>
    </w:p>
    <w:p w14:paraId="618A0705">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13.2.2</w:t>
      </w:r>
      <w:r>
        <w:rPr>
          <w:rFonts w:hint="eastAsia" w:asciiTheme="majorEastAsia" w:hAnsiTheme="majorEastAsia" w:eastAsiaTheme="majorEastAsia"/>
          <w:highlight w:val="none"/>
        </w:rPr>
        <w:t>工程师应在收到承包人提交的合理化建议后7日内审查完毕并报送发包人，发现其中存在技术上的缺陷，应通知承包人修改。发包人应在收到工程师报送的合理化建议后7日内审批完毕。合理化建议经发包人批准的，工程师应及时发出变更指示，由此引起的合同价格调整按照13.3条[变更估价]约定执行。发包人不同意变更的，工程师应书面通知承包人</w:t>
      </w:r>
    </w:p>
    <w:p w14:paraId="269D734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13.2.3承包人提出的</w:t>
      </w:r>
      <w:r>
        <w:rPr>
          <w:rFonts w:hint="eastAsia" w:asciiTheme="majorEastAsia" w:hAnsiTheme="majorEastAsia" w:eastAsiaTheme="majorEastAsia"/>
          <w:highlight w:val="none"/>
        </w:rPr>
        <w:t>合理化变更</w:t>
      </w:r>
      <w:r>
        <w:rPr>
          <w:rFonts w:asciiTheme="majorEastAsia" w:hAnsiTheme="majorEastAsia" w:eastAsiaTheme="majorEastAsia"/>
          <w:highlight w:val="none"/>
        </w:rPr>
        <w:t>建议的</w:t>
      </w:r>
      <w:r>
        <w:rPr>
          <w:rFonts w:hint="eastAsia" w:asciiTheme="majorEastAsia" w:hAnsiTheme="majorEastAsia" w:eastAsiaTheme="majorEastAsia"/>
          <w:highlight w:val="none"/>
        </w:rPr>
        <w:t>利益分享约定</w:t>
      </w:r>
      <w:r>
        <w:rPr>
          <w:rFonts w:asciiTheme="majorEastAsia" w:hAnsiTheme="majorEastAsia" w:eastAsiaTheme="majorEastAsia"/>
          <w:highlight w:val="none"/>
        </w:rPr>
        <w:t>：</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1CDA3A9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13.3</w:t>
      </w:r>
      <w:r>
        <w:rPr>
          <w:rFonts w:hint="eastAsia" w:asciiTheme="majorEastAsia" w:hAnsiTheme="majorEastAsia" w:eastAsiaTheme="majorEastAsia"/>
          <w:highlight w:val="none"/>
        </w:rPr>
        <w:t>变更程序</w:t>
      </w:r>
    </w:p>
    <w:p w14:paraId="5C4608BB">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13.3.3变更估价</w:t>
      </w:r>
    </w:p>
    <w:p w14:paraId="0B1A669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13.3.3.1变更估价原则</w:t>
      </w:r>
    </w:p>
    <w:p w14:paraId="189EE9C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关于变更估价原则的约定：</w:t>
      </w:r>
    </w:p>
    <w:p w14:paraId="7FBF097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1、关于变更估价的约定:</w:t>
      </w:r>
    </w:p>
    <w:p w14:paraId="312C2E8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a、由于发包人原因，或因设计变更等原因造成分部分项工程增加新的工程量清单项目，其对应综合单价按下列方法确定：①合同中已有适用的综合单价，按合同中已有的综合单价确定；②合同中有类似的综合单价，参照类似的综合单价确定；③合同中没有适用或类似的综合单价，按相关计价依据以及投标同期材料价格进行组价后乘以报价浮动率L，由承包人提出综合单价，工程师、造价单位进行审核，发包人确认，经发包人确认后的单价作为工程结算的依据。</w:t>
      </w:r>
    </w:p>
    <w:p w14:paraId="792ABE0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b、新增项目综合单价的确定方法如下：</w:t>
      </w:r>
      <w:r>
        <w:rPr>
          <w:rFonts w:hint="eastAsia" w:asciiTheme="majorEastAsia" w:hAnsiTheme="majorEastAsia" w:eastAsiaTheme="majorEastAsia"/>
          <w:highlight w:val="none"/>
          <w:lang w:eastAsia="zh-CN"/>
        </w:rPr>
        <w:t>按《建设工程工程量清单计价规范》（GB/T 50500-2024）中规定的工程量清单计价方式计价，计价标准执行“云建标[2013]989号文”等现行有关配套计价文件，</w:t>
      </w:r>
      <w:r>
        <w:rPr>
          <w:rFonts w:hint="eastAsia" w:asciiTheme="majorEastAsia" w:hAnsiTheme="majorEastAsia" w:eastAsiaTheme="majorEastAsia"/>
          <w:highlight w:val="none"/>
        </w:rPr>
        <w:t>云南省住房和城乡建设厅关于《云南省建设工程造价计价标准（</w:t>
      </w:r>
      <w:r>
        <w:rPr>
          <w:rFonts w:asciiTheme="majorEastAsia" w:hAnsiTheme="majorEastAsia" w:eastAsiaTheme="majorEastAsia"/>
          <w:highlight w:val="none"/>
        </w:rPr>
        <w:t>2020）版》发布实施的通知、《云南省建设工程造价计价规则及机械仪器台班费用定额》（DBJ53/T-58-2020）、《云南省市政工程计价标准》（DBJ53/T-59-2020）、《云南省园林绿化工程计价标准》（DBJ53/T-60-2020）、《云南省建筑工程计价标准》（DBJ53/T-61-2020）、《云南省通用安装工程计价标准》（DBJ53/T-63-2020）</w:t>
      </w:r>
      <w:r>
        <w:rPr>
          <w:rFonts w:hint="eastAsia" w:asciiTheme="majorEastAsia" w:hAnsiTheme="majorEastAsia" w:eastAsiaTheme="majorEastAsia"/>
          <w:highlight w:val="none"/>
        </w:rPr>
        <w:t>等规定的工程量清单计价方式计价，计价标准执行云南省住房和城乡建设厅关于《云南省建设工程造价计价标准（</w:t>
      </w:r>
      <w:r>
        <w:rPr>
          <w:rFonts w:asciiTheme="majorEastAsia" w:hAnsiTheme="majorEastAsia" w:eastAsiaTheme="majorEastAsia"/>
          <w:highlight w:val="none"/>
        </w:rPr>
        <w:t>2020）版》发布实施的通知、《云南省建设工程造价计价规则及机械仪器台班费用定额》（DBJ53/T-58-2020）、《云南省市政工程计价标准》（DBJ53/T-59-2020）、《云南省园林绿化工程计价标准》（DBJ53/T-60-2020）、《云南省建筑工程计价标准》（DBJ53/T-61-2020）、《云南省通用安装工程计价标准》（DBJ53/T-63-2020）</w:t>
      </w:r>
      <w:r>
        <w:rPr>
          <w:rFonts w:hint="eastAsia" w:asciiTheme="majorEastAsia" w:hAnsiTheme="majorEastAsia" w:eastAsiaTheme="majorEastAsia"/>
          <w:highlight w:val="none"/>
        </w:rPr>
        <w:t>等现行有关配套计价文件；</w:t>
      </w:r>
    </w:p>
    <w:p w14:paraId="3308D62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c、新增项目综合单价中主要材料价格的确定：材料价格以投标当期的《当地价格指导》，按相关计价规范组价后的综合单价按投标报价浮动率L下浮，《当地价格指导》中没有的材料，则参照云南省同期《价格信息》及四方（发包方、工程师、造价方、承包方）共同认可的市场采购价计价。</w:t>
      </w:r>
    </w:p>
    <w:p w14:paraId="0457B7B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d、新增项目单价由承包人编制报送，由工程师、监理单位、发包方现场代表初审，将完整资料报送跟踪造价单位，跟踪造价单位审核，建设单位审批的单价作为结算依据。</w:t>
      </w:r>
    </w:p>
    <w:p w14:paraId="0090784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e、承包人报价浮动率L=（1-中标价/招标控制价）×100%</w:t>
      </w:r>
    </w:p>
    <w:p w14:paraId="6D7AD2E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2、关于变更的范围的约定：由发包人、设计人原因引起的变更均需经工程师、发包人或项目主管单位确认后可计入工程结算（设计错误引起的变更除外）。</w:t>
      </w:r>
    </w:p>
    <w:p w14:paraId="512B09B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3、允许调整合同价款的内容</w:t>
      </w:r>
    </w:p>
    <w:p w14:paraId="17CEFFA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本工程采用固定价格合同，承包人投标时综合单价不予调整。但施工过程中如出现工程变更、工程量清单缺项、工程量偏差、合同约定可以调整的材料价差、不可抗力、工期误工赔偿、现场签证，结算可调整合同价款。</w:t>
      </w:r>
    </w:p>
    <w:p w14:paraId="4C518C1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（2）施工期间承包人采购的工程材料价格波动允许调整的主要材料为：钢筋、钢管、钢板、电缆、水泥、砂、石、混凝土、燃料动力（汽油、柴油、施工用水、施工用电）</w:t>
      </w:r>
      <w:r>
        <w:rPr>
          <w:rFonts w:hint="eastAsia"/>
          <w:highlight w:val="none"/>
        </w:rPr>
        <w:t>绿化所用树木、地被及种植土等</w:t>
      </w:r>
      <w:r>
        <w:rPr>
          <w:rFonts w:hint="eastAsia" w:asciiTheme="majorEastAsia" w:hAnsiTheme="majorEastAsia" w:eastAsiaTheme="majorEastAsia"/>
          <w:highlight w:val="none"/>
        </w:rPr>
        <w:t>。</w:t>
      </w:r>
    </w:p>
    <w:p w14:paraId="5BFB94E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（3）合同约定的允许调整主要材料单价变化超过±5%时，超过部分的价格按以下方法调整：</w:t>
      </w:r>
    </w:p>
    <w:p w14:paraId="1B85DC6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a承包人投标报价中材料单价低于基准单价：施工期间材料单价涨幅以基准单价为基础超过合同约定的风险幅度值，或材料单价跌幅以投标报价为基础超过合同约定的风险幅度值时，其超过部分按实调整；</w:t>
      </w:r>
    </w:p>
    <w:p w14:paraId="757F215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b承包人投标报价中材料单价高于基准单价：施工期间材料单价跌幅以基准单价为基础超过合同约定的风险幅度值，或材料单价涨幅以投标报价为基础超过合同约定的风险幅度值时，其超过部分按实调整；</w:t>
      </w:r>
    </w:p>
    <w:p w14:paraId="5639F47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c承包人投标报价中材料单价等于基准单价：施工期间材料单价涨、跌幅以基准单价为基础超合同约定的风险幅度值时，其超过部分按实调整。</w:t>
      </w:r>
    </w:p>
    <w:p w14:paraId="3D91ADC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注：基准单价为投标截止日前28天的价格标准。</w:t>
      </w:r>
    </w:p>
    <w:p w14:paraId="64CAAF8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（4）发生工程量清单漏项、工程量偏差、设计变更及甲方指令的按实际发生并经四方（发包方、工程师方、造价方、承包方）共同认可后方可进入结算。工程量的增减价格调整方法</w:t>
      </w:r>
      <w:r>
        <w:rPr>
          <w:rFonts w:hint="eastAsia" w:asciiTheme="majorEastAsia" w:hAnsiTheme="majorEastAsia" w:eastAsiaTheme="majorEastAsia"/>
          <w:highlight w:val="none"/>
          <w:lang w:eastAsia="zh-CN"/>
        </w:rPr>
        <w:t>按《建设工程工程量清单计价规范》（GB/T 50500-2024）中规定的工程量清单计价方式计价，计价标准执行“云建标[2013]989号文”等现行有关配套计价文件，</w:t>
      </w:r>
      <w:r>
        <w:rPr>
          <w:rFonts w:hint="eastAsia" w:asciiTheme="majorEastAsia" w:hAnsiTheme="majorEastAsia" w:eastAsiaTheme="majorEastAsia"/>
          <w:highlight w:val="none"/>
        </w:rPr>
        <w:t>云南省住房和城乡建设厅关于《云南省建设工程造价计价标准（</w:t>
      </w:r>
      <w:r>
        <w:rPr>
          <w:rFonts w:asciiTheme="majorEastAsia" w:hAnsiTheme="majorEastAsia" w:eastAsiaTheme="majorEastAsia"/>
          <w:highlight w:val="none"/>
        </w:rPr>
        <w:t>2020）版》发布实施的通知、《云南省建设工程造价计价规则及机械仪器台班费用定额》（DBJ53/T-58-2020）、《云南省市政工程计价标准》（DBJ53/T-59-2020）、《云南省园林绿化工程计价标准》（DBJ53/T-60-2020）、《云南省建筑工程计价标准》（DBJ53/T-61-2020）、《云南省通用安装工程计价标准》（DBJ53/T-63-2020）等相应文件</w:t>
      </w:r>
      <w:r>
        <w:rPr>
          <w:rFonts w:hint="eastAsia" w:asciiTheme="majorEastAsia" w:hAnsiTheme="majorEastAsia" w:eastAsiaTheme="majorEastAsia"/>
          <w:highlight w:val="none"/>
        </w:rPr>
        <w:t>的规定执行。</w:t>
      </w:r>
    </w:p>
    <w:p w14:paraId="3FC0A37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4、承包人实施本项目的风险范围合同价格不作调整：</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5B8CE76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13.4</w:t>
      </w:r>
      <w:r>
        <w:rPr>
          <w:rFonts w:hint="eastAsia" w:asciiTheme="majorEastAsia" w:hAnsiTheme="majorEastAsia" w:eastAsiaTheme="majorEastAsia"/>
          <w:highlight w:val="none"/>
        </w:rPr>
        <w:t>暂估价</w:t>
      </w:r>
    </w:p>
    <w:p w14:paraId="7AA22BBF">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13.4.1</w:t>
      </w:r>
      <w:r>
        <w:rPr>
          <w:rFonts w:hint="eastAsia" w:asciiTheme="majorEastAsia" w:hAnsiTheme="majorEastAsia" w:eastAsiaTheme="majorEastAsia"/>
          <w:highlight w:val="none"/>
        </w:rPr>
        <w:t>依法必须招标的暂估价项目</w:t>
      </w:r>
    </w:p>
    <w:p w14:paraId="623E097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承包人可以参与投标的暂估价项目范围：</w:t>
      </w:r>
      <w:r>
        <w:rPr>
          <w:rFonts w:hint="eastAsia" w:asciiTheme="majorEastAsia" w:hAnsiTheme="majorEastAsia" w:eastAsiaTheme="majorEastAsia"/>
          <w:highlight w:val="none"/>
          <w:u w:val="single"/>
        </w:rPr>
        <w:t>在承包范围以外的项目承包人可以参与投标</w:t>
      </w:r>
      <w:r>
        <w:rPr>
          <w:rFonts w:hint="eastAsia" w:asciiTheme="majorEastAsia" w:hAnsiTheme="majorEastAsia" w:eastAsiaTheme="majorEastAsia"/>
          <w:highlight w:val="none"/>
        </w:rPr>
        <w:t>。</w:t>
      </w:r>
    </w:p>
    <w:p w14:paraId="3B849BD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承包人不得参与投标的暂估价项目范围：</w:t>
      </w:r>
      <w:r>
        <w:rPr>
          <w:rFonts w:hint="eastAsia" w:asciiTheme="majorEastAsia" w:hAnsiTheme="majorEastAsia" w:eastAsiaTheme="majorEastAsia"/>
          <w:highlight w:val="none"/>
          <w:u w:val="single"/>
        </w:rPr>
        <w:t>在承包范围以内的项目承包人不可以参与投标</w:t>
      </w:r>
      <w:r>
        <w:rPr>
          <w:rFonts w:hint="eastAsia" w:asciiTheme="majorEastAsia" w:hAnsiTheme="majorEastAsia" w:eastAsiaTheme="majorEastAsia"/>
          <w:highlight w:val="none"/>
        </w:rPr>
        <w:t>。</w:t>
      </w:r>
    </w:p>
    <w:p w14:paraId="18529D6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招投标程序及其他约定：</w:t>
      </w:r>
      <w:r>
        <w:rPr>
          <w:rFonts w:hint="eastAsia" w:asciiTheme="majorEastAsia" w:hAnsiTheme="majorEastAsia" w:eastAsiaTheme="majorEastAsia"/>
          <w:highlight w:val="none"/>
          <w:u w:val="single"/>
        </w:rPr>
        <w:t>以暂估价形式包括在总承包范围内的工程、货物、服务分包时，属于依法必须进行招标的项目范围且达到国家规定规模标准的，由承包人作为招标人进行招标</w:t>
      </w:r>
      <w:r>
        <w:rPr>
          <w:rFonts w:hint="eastAsia" w:asciiTheme="majorEastAsia" w:hAnsiTheme="majorEastAsia" w:eastAsiaTheme="majorEastAsia"/>
          <w:highlight w:val="none"/>
        </w:rPr>
        <w:t>。</w:t>
      </w:r>
    </w:p>
    <w:p w14:paraId="0AFC972B">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13.4.2</w:t>
      </w:r>
      <w:r>
        <w:rPr>
          <w:rFonts w:hint="eastAsia" w:asciiTheme="majorEastAsia" w:hAnsiTheme="majorEastAsia" w:eastAsiaTheme="majorEastAsia"/>
          <w:highlight w:val="none"/>
        </w:rPr>
        <w:t>不属于依法必须招标的暂估价项目</w:t>
      </w:r>
    </w:p>
    <w:p w14:paraId="66715CD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不属于依法必须招标的暂估价项目的协商及估价的约定：</w:t>
      </w:r>
      <w:r>
        <w:rPr>
          <w:rFonts w:hint="eastAsia" w:asciiTheme="majorEastAsia" w:hAnsiTheme="majorEastAsia" w:eastAsiaTheme="majorEastAsia"/>
          <w:highlight w:val="none"/>
          <w:u w:val="single"/>
        </w:rPr>
        <w:t>以暂估价形式包括在总承包范围内的工程、货物、服务采购时，不属于依法必须进行招标的项目，承包人应按相关的企业内控制度选取供应商，并留有相关的流程记录提供发包人检查</w:t>
      </w:r>
      <w:r>
        <w:rPr>
          <w:rFonts w:hint="eastAsia" w:asciiTheme="majorEastAsia" w:hAnsiTheme="majorEastAsia" w:eastAsiaTheme="majorEastAsia"/>
          <w:highlight w:val="none"/>
        </w:rPr>
        <w:t>。</w:t>
      </w:r>
    </w:p>
    <w:p w14:paraId="56E07A6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13.5</w:t>
      </w:r>
      <w:r>
        <w:rPr>
          <w:rFonts w:hint="eastAsia" w:asciiTheme="majorEastAsia" w:hAnsiTheme="majorEastAsia" w:eastAsiaTheme="majorEastAsia"/>
          <w:highlight w:val="none"/>
        </w:rPr>
        <w:t>暂列金额</w:t>
      </w:r>
    </w:p>
    <w:p w14:paraId="65B0F5F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其他关于暂列金额使用的约定：</w:t>
      </w:r>
      <w:r>
        <w:rPr>
          <w:rFonts w:hint="eastAsia" w:asciiTheme="majorEastAsia" w:hAnsiTheme="majorEastAsia" w:eastAsiaTheme="majorEastAsia"/>
          <w:highlight w:val="none"/>
          <w:u w:val="single"/>
        </w:rPr>
        <w:t>（1）暂列金用于工程合同签订时尚未确定或者不可预见的所需材料、工程设备、服务的采购，施工中可能发生的工程变更、合同约定调整因素出现时的合同价款调整以及发生的索赔、现场签证确认等的费用。（2）在批准的初步设计范围内，招标控制价中所列的涉铁、涉电专业工程暂估价超出部分允许使用暂列金额。（3）涉及到的工程变更经四方（发包人、工程师、造价咨询单位、承包人）共同认可后方可使用。（4）不可抗力造成的工程费用和工期的变化。（5）因不可预见的困难按第4.8条的约定执行</w:t>
      </w:r>
      <w:r>
        <w:rPr>
          <w:rFonts w:hint="eastAsia" w:asciiTheme="majorEastAsia" w:hAnsiTheme="majorEastAsia" w:eastAsiaTheme="majorEastAsia"/>
          <w:highlight w:val="none"/>
        </w:rPr>
        <w:t>。</w:t>
      </w:r>
    </w:p>
    <w:p w14:paraId="70782711">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 xml:space="preserve">13.8 </w:t>
      </w:r>
      <w:r>
        <w:rPr>
          <w:rFonts w:hint="eastAsia" w:asciiTheme="majorEastAsia" w:hAnsiTheme="majorEastAsia" w:eastAsiaTheme="majorEastAsia"/>
          <w:highlight w:val="none"/>
        </w:rPr>
        <w:t>市场价格波动引起的调整</w:t>
      </w:r>
    </w:p>
    <w:p w14:paraId="4207E2B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3.8.2 </w:t>
      </w:r>
      <w:r>
        <w:rPr>
          <w:rFonts w:hint="eastAsia" w:asciiTheme="majorEastAsia" w:hAnsiTheme="majorEastAsia" w:eastAsiaTheme="majorEastAsia"/>
          <w:highlight w:val="none"/>
        </w:rPr>
        <w:t>关于是否采用《价格指数权重表》的约定：</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2342988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 xml:space="preserve">3.8.3 </w:t>
      </w:r>
      <w:r>
        <w:rPr>
          <w:rFonts w:hint="eastAsia" w:asciiTheme="majorEastAsia" w:hAnsiTheme="majorEastAsia" w:eastAsiaTheme="majorEastAsia"/>
          <w:highlight w:val="none"/>
        </w:rPr>
        <w:t>关于采用其他方式调整合同价款的约定：</w:t>
      </w:r>
      <w:r>
        <w:rPr>
          <w:rFonts w:hint="eastAsia" w:asciiTheme="majorEastAsia" w:hAnsiTheme="majorEastAsia" w:eastAsiaTheme="majorEastAsia"/>
          <w:highlight w:val="none"/>
          <w:u w:val="single"/>
        </w:rPr>
        <w:t>按13.3.3.1条款执行</w:t>
      </w:r>
      <w:r>
        <w:rPr>
          <w:rFonts w:hint="eastAsia" w:asciiTheme="majorEastAsia" w:hAnsiTheme="majorEastAsia" w:eastAsiaTheme="majorEastAsia"/>
          <w:highlight w:val="none"/>
        </w:rPr>
        <w:t>。</w:t>
      </w:r>
    </w:p>
    <w:p w14:paraId="3A629ECA">
      <w:pPr>
        <w:spacing w:line="560" w:lineRule="exact"/>
        <w:rPr>
          <w:rFonts w:asciiTheme="majorEastAsia" w:hAnsiTheme="majorEastAsia" w:eastAsiaTheme="majorEastAsia"/>
          <w:b/>
          <w:highlight w:val="none"/>
        </w:rPr>
      </w:pPr>
      <w:bookmarkStart w:id="999" w:name="_Toc54862345"/>
      <w:r>
        <w:rPr>
          <w:rFonts w:hint="eastAsia" w:asciiTheme="majorEastAsia" w:hAnsiTheme="majorEastAsia" w:eastAsiaTheme="majorEastAsia"/>
          <w:b/>
          <w:highlight w:val="none"/>
        </w:rPr>
        <w:t>第</w:t>
      </w:r>
      <w:r>
        <w:rPr>
          <w:rFonts w:asciiTheme="majorEastAsia" w:hAnsiTheme="majorEastAsia" w:eastAsiaTheme="majorEastAsia"/>
          <w:b/>
          <w:highlight w:val="none"/>
        </w:rPr>
        <w:t>14条</w:t>
      </w:r>
      <w:r>
        <w:rPr>
          <w:rFonts w:hint="eastAsia" w:asciiTheme="majorEastAsia" w:hAnsiTheme="majorEastAsia" w:eastAsiaTheme="majorEastAsia"/>
          <w:b/>
          <w:highlight w:val="none"/>
        </w:rPr>
        <w:t xml:space="preserve">  合同价格与支付</w:t>
      </w:r>
      <w:bookmarkEnd w:id="999"/>
    </w:p>
    <w:p w14:paraId="559B8538">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14.1</w:t>
      </w:r>
      <w:r>
        <w:rPr>
          <w:rFonts w:hint="eastAsia" w:asciiTheme="majorEastAsia" w:hAnsiTheme="majorEastAsia" w:eastAsiaTheme="majorEastAsia"/>
          <w:highlight w:val="none"/>
        </w:rPr>
        <w:t>合同价格形式</w:t>
      </w:r>
    </w:p>
    <w:p w14:paraId="062F7EF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4.1.1</w:t>
      </w:r>
      <w:r>
        <w:rPr>
          <w:rFonts w:hint="eastAsia" w:asciiTheme="majorEastAsia" w:hAnsiTheme="majorEastAsia" w:eastAsiaTheme="majorEastAsia"/>
          <w:highlight w:val="none"/>
        </w:rPr>
        <w:t>关于合同价格形式的约定：</w:t>
      </w:r>
      <w:r>
        <w:rPr>
          <w:rFonts w:hint="eastAsia" w:asciiTheme="majorEastAsia" w:hAnsiTheme="majorEastAsia" w:eastAsiaTheme="majorEastAsia"/>
          <w:highlight w:val="none"/>
          <w:u w:val="single"/>
        </w:rPr>
        <w:t>本合同协议书价格为暂定价。</w:t>
      </w:r>
    </w:p>
    <w:p w14:paraId="004AB7F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签订合同时，合同总价按照以下方式确定</w:t>
      </w:r>
    </w:p>
    <w:p w14:paraId="34B9C7AE">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w:t>
      </w:r>
      <w:r>
        <w:rPr>
          <w:rFonts w:asciiTheme="majorEastAsia" w:hAnsiTheme="majorEastAsia" w:eastAsiaTheme="majorEastAsia"/>
          <w:highlight w:val="none"/>
          <w:u w:val="single"/>
        </w:rPr>
        <w:t>1）合同（暂定）总价=暂定建安工程费×（1-下浮率）+设计费×（1-下浮率）+设备购置费×（1-下浮率）。</w:t>
      </w:r>
    </w:p>
    <w:p w14:paraId="4B93C649">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承包人在施工图确认30</w:t>
      </w:r>
      <w:r>
        <w:rPr>
          <w:rFonts w:asciiTheme="majorEastAsia" w:hAnsiTheme="majorEastAsia" w:eastAsiaTheme="majorEastAsia"/>
          <w:highlight w:val="none"/>
          <w:u w:val="single"/>
        </w:rPr>
        <w:t>天内按本合同计价原则完成承包范围内的清单预算编制，本工程造价咨询单位在收到清单预算后14天内向发包人提交审核报告，经发包人审核确定后的清单预算金额为本工程暂定建安工程费，如承包人未在规定时间内容上报清单预算或不配合相关清单预算的审核工作，致使审核工作不能完成的，停止相关工程计量支付工作，本工程的下浮率为承包人投标时填报的下浮率（该值不因任何因素调整）</w:t>
      </w:r>
      <w:r>
        <w:rPr>
          <w:rFonts w:hint="eastAsia" w:asciiTheme="majorEastAsia" w:hAnsiTheme="majorEastAsia" w:eastAsiaTheme="majorEastAsia"/>
          <w:highlight w:val="none"/>
          <w:u w:val="single"/>
        </w:rPr>
        <w:t>；</w:t>
      </w:r>
      <w:r>
        <w:rPr>
          <w:rFonts w:asciiTheme="majorEastAsia" w:hAnsiTheme="majorEastAsia" w:eastAsiaTheme="majorEastAsia"/>
          <w:highlight w:val="none"/>
          <w:u w:val="single"/>
        </w:rPr>
        <w:t>暂定设计费以暂定的建安工程费为计费额，按投标填报的浮动幅度值计算。</w:t>
      </w:r>
    </w:p>
    <w:p w14:paraId="4198FACF">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w:t>
      </w:r>
      <w:r>
        <w:rPr>
          <w:rFonts w:asciiTheme="majorEastAsia" w:hAnsiTheme="majorEastAsia" w:eastAsiaTheme="majorEastAsia"/>
          <w:highlight w:val="none"/>
          <w:u w:val="single"/>
        </w:rPr>
        <w:t>2）最终的结算价=经审计部门审定的工程结算价（已按中标下浮率下浮）+设计费（已按中标下浮率下浮）。</w:t>
      </w:r>
    </w:p>
    <w:p w14:paraId="76BFA489">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w:t>
      </w:r>
      <w:r>
        <w:rPr>
          <w:rFonts w:asciiTheme="majorEastAsia" w:hAnsiTheme="majorEastAsia" w:eastAsiaTheme="majorEastAsia"/>
          <w:highlight w:val="none"/>
          <w:u w:val="single"/>
        </w:rPr>
        <w:t>3）合同价款及其调整</w:t>
      </w:r>
    </w:p>
    <w:p w14:paraId="18AF969F">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本项目工程费用按以下约定的方式确定。</w:t>
      </w:r>
    </w:p>
    <w:p w14:paraId="55C2AD11">
      <w:pPr>
        <w:spacing w:line="560" w:lineRule="exact"/>
        <w:ind w:firstLine="410" w:firstLineChars="171"/>
        <w:rPr>
          <w:rFonts w:asciiTheme="majorEastAsia" w:hAnsiTheme="majorEastAsia" w:eastAsiaTheme="majorEastAsia"/>
          <w:highlight w:val="none"/>
          <w:u w:val="single"/>
        </w:rPr>
      </w:pPr>
      <w:r>
        <w:rPr>
          <w:rFonts w:asciiTheme="majorEastAsia" w:hAnsiTheme="majorEastAsia" w:eastAsiaTheme="majorEastAsia"/>
          <w:highlight w:val="none"/>
          <w:u w:val="single"/>
        </w:rPr>
        <w:t>1）最终结算计价规则：</w:t>
      </w:r>
    </w:p>
    <w:p w14:paraId="0A749DC8">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本项目各类工程计价标准执行《建设工程工程量清单计价规范》</w:t>
      </w:r>
      <w:r>
        <w:rPr>
          <w:rFonts w:hint="eastAsia" w:asciiTheme="majorEastAsia" w:hAnsiTheme="majorEastAsia" w:eastAsiaTheme="majorEastAsia"/>
          <w:highlight w:val="none"/>
          <w:u w:val="single"/>
          <w:lang w:eastAsia="zh-CN"/>
        </w:rPr>
        <w:t>（GB/T 50500-2024）</w:t>
      </w:r>
      <w:r>
        <w:rPr>
          <w:rFonts w:hint="eastAsia" w:asciiTheme="majorEastAsia" w:hAnsiTheme="majorEastAsia" w:eastAsiaTheme="majorEastAsia"/>
          <w:highlight w:val="none"/>
          <w:u w:val="single"/>
        </w:rPr>
        <w:t>中规定的工程量清单计价方式计价，计价标准执行“云建标[2013]989号文”等现行有关配套计价文件</w:t>
      </w:r>
      <w:r>
        <w:rPr>
          <w:rFonts w:hint="eastAsia" w:asciiTheme="majorEastAsia" w:hAnsiTheme="majorEastAsia" w:eastAsiaTheme="majorEastAsia"/>
          <w:highlight w:val="none"/>
          <w:u w:val="single"/>
          <w:lang w:eastAsia="zh-CN"/>
        </w:rPr>
        <w:t>，</w:t>
      </w:r>
      <w:r>
        <w:rPr>
          <w:rFonts w:hint="eastAsia" w:asciiTheme="majorEastAsia" w:hAnsiTheme="majorEastAsia" w:eastAsiaTheme="majorEastAsia"/>
          <w:highlight w:val="none"/>
          <w:u w:val="single"/>
        </w:rPr>
        <w:t>云南省住房和城乡建设厅关于《云南省建设工程造价计价标准（</w:t>
      </w:r>
      <w:r>
        <w:rPr>
          <w:rFonts w:asciiTheme="majorEastAsia" w:hAnsiTheme="majorEastAsia" w:eastAsiaTheme="majorEastAsia"/>
          <w:highlight w:val="none"/>
          <w:u w:val="single"/>
        </w:rPr>
        <w:t>2020）版》发布实施的通知、《云南省建设工程造价计价规则及机械仪器台班费用定额》（DBJ53/T-58-2020）、《云南省市政工程计价标准》（DBJ53/T-59-2020）、《云南省园林绿化工程计价标准》（DBJ53/T-60-2020）、《云南省建筑工程计价标准》（DBJ53/T-61-2020）、《云南省通用安装工程计价标准》（DBJ53/T-63-2020）及有关配套等文件执行。</w:t>
      </w:r>
    </w:p>
    <w:p w14:paraId="64FB992F">
      <w:pPr>
        <w:spacing w:line="560" w:lineRule="exact"/>
        <w:ind w:firstLine="410" w:firstLineChars="171"/>
        <w:rPr>
          <w:rFonts w:asciiTheme="majorEastAsia" w:hAnsiTheme="majorEastAsia" w:eastAsiaTheme="majorEastAsia"/>
          <w:highlight w:val="none"/>
          <w:u w:val="single"/>
        </w:rPr>
      </w:pPr>
      <w:r>
        <w:rPr>
          <w:rFonts w:asciiTheme="majorEastAsia" w:hAnsiTheme="majorEastAsia" w:eastAsiaTheme="majorEastAsia"/>
          <w:highlight w:val="none"/>
          <w:u w:val="single"/>
        </w:rPr>
        <w:t>2）材料计价：</w:t>
      </w:r>
    </w:p>
    <w:p w14:paraId="47E93372">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①总承包方进场后</w:t>
      </w:r>
      <w:r>
        <w:rPr>
          <w:rFonts w:asciiTheme="majorEastAsia" w:hAnsiTheme="majorEastAsia" w:eastAsiaTheme="majorEastAsia"/>
          <w:highlight w:val="none"/>
          <w:u w:val="single"/>
        </w:rPr>
        <w:t>15日内，向监理单位递交本项目预计将使用的材料、设备清单，发包人将组织监理单位对清单进行审核，初步确定甲供（即发包人供应的材料、设备）、甲指乙供（即发包人指定，承包方组织采购、供应的材料、设备）及其他材料、设备的范围，并确定材料、设备品牌及价格。</w:t>
      </w:r>
    </w:p>
    <w:p w14:paraId="55C5CEA8">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②甲供材料、设备按其实际采购价格计入工程造价，并根据</w:t>
      </w:r>
      <w:r>
        <w:rPr>
          <w:rFonts w:hint="eastAsia" w:asciiTheme="majorEastAsia" w:hAnsiTheme="majorEastAsia" w:eastAsiaTheme="majorEastAsia"/>
          <w:highlight w:val="none"/>
          <w:u w:val="single"/>
          <w:lang w:eastAsia="zh-CN"/>
        </w:rPr>
        <w:t>按《建设工程工程量清单计价规范》（GB/T 50500-2024）中规定的工程量清单计价方式计价，计价标准执行“云建标[2013]989号文”等现行有关配套计价文件，</w:t>
      </w:r>
      <w:r>
        <w:rPr>
          <w:rFonts w:hint="eastAsia" w:asciiTheme="majorEastAsia" w:hAnsiTheme="majorEastAsia" w:eastAsiaTheme="majorEastAsia"/>
          <w:highlight w:val="none"/>
          <w:u w:val="single"/>
        </w:rPr>
        <w:t>云南省住房和城乡建设厅关于《云南省建设工程造价计价标准（</w:t>
      </w:r>
      <w:r>
        <w:rPr>
          <w:rFonts w:asciiTheme="majorEastAsia" w:hAnsiTheme="majorEastAsia" w:eastAsiaTheme="majorEastAsia"/>
          <w:highlight w:val="none"/>
          <w:u w:val="single"/>
        </w:rPr>
        <w:t>2020）版》发布实施的通知、《云南省建设工程造价计价规则及机械仪器台班费用定额》（DBJ53/T-58-2020）、《云南省市政工程计价标准》（DBJ53/T-59-2020）、《云南省园林绿化工程计价标准》（DBJ53/T-60-2020）、《云南省建筑工程计价标准》（DBJ53/T-61-2020）、《云南省通用安装工程计价标准》（DBJ53/T-63-2020）中相关专业工程的消耗量进行核算，</w:t>
      </w:r>
      <w:r>
        <w:rPr>
          <w:rFonts w:hint="eastAsia" w:asciiTheme="majorEastAsia" w:hAnsiTheme="majorEastAsia" w:eastAsiaTheme="majorEastAsia"/>
          <w:highlight w:val="none"/>
          <w:u w:val="single"/>
        </w:rPr>
        <w:t>节余和浪费由承包方受益或承担，在支付工程款及结算时，首先计算出含甲供或甲供材料、设备的造价后，再按实际采购价格及定额消耗量进行扣减；甲供材料、设备结算造价，不参与造价下浮。</w:t>
      </w:r>
      <w:r>
        <w:rPr>
          <w:rFonts w:asciiTheme="majorEastAsia" w:hAnsiTheme="majorEastAsia" w:eastAsiaTheme="majorEastAsia"/>
          <w:highlight w:val="none"/>
          <w:u w:val="single"/>
        </w:rPr>
        <w:t xml:space="preserve"> </w:t>
      </w:r>
    </w:p>
    <w:p w14:paraId="3B1246A9">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③甲指乙供材料、设备按发包人确定的材料及设备的实际采购价格计入工程造价，消耗量</w:t>
      </w:r>
      <w:r>
        <w:rPr>
          <w:rFonts w:hint="eastAsia" w:asciiTheme="majorEastAsia" w:hAnsiTheme="majorEastAsia" w:eastAsiaTheme="majorEastAsia"/>
          <w:highlight w:val="none"/>
          <w:u w:val="single"/>
          <w:lang w:eastAsia="zh-CN"/>
        </w:rPr>
        <w:t>按《建设工程工程量清单计价规范》（GB/T 50500-2024）中规定的工程量清单计价方式计价，计价标准执行“云建标[2013]989号文”等现行有关配套计价文件，</w:t>
      </w:r>
      <w:r>
        <w:rPr>
          <w:rFonts w:hint="eastAsia" w:asciiTheme="majorEastAsia" w:hAnsiTheme="majorEastAsia" w:eastAsiaTheme="majorEastAsia"/>
          <w:highlight w:val="none"/>
          <w:u w:val="single"/>
        </w:rPr>
        <w:t>云南省住房和城乡建设厅关于《云南省建设工程造价计价标准（</w:t>
      </w:r>
      <w:r>
        <w:rPr>
          <w:rFonts w:asciiTheme="majorEastAsia" w:hAnsiTheme="majorEastAsia" w:eastAsiaTheme="majorEastAsia"/>
          <w:highlight w:val="none"/>
          <w:u w:val="single"/>
        </w:rPr>
        <w:t>2020）版》发布实施的通知、《云南省建设工程造价计价规则及机械仪器台班费用定额》（DBJ53/T-58-2020）、《云南省市政工程计价标准》（DBJ53/T-59-2020）、《云南省园林绿化工程计价标准》（DBJ53/T-60-2020）、《云南省建筑工程计价标准》（DBJ53/T-61-2020）、《云南省通用安装工程计价标准》（DBJ53/T-63-2020）中相</w:t>
      </w:r>
      <w:r>
        <w:rPr>
          <w:rFonts w:hint="eastAsia" w:asciiTheme="majorEastAsia" w:hAnsiTheme="majorEastAsia" w:eastAsiaTheme="majorEastAsia"/>
          <w:highlight w:val="none"/>
          <w:u w:val="single"/>
        </w:rPr>
        <w:t>关专业工程进行计算，该部分材料费结算时不参与造价下浮，除参与税金计算外，不参与其他取费。</w:t>
      </w:r>
    </w:p>
    <w:p w14:paraId="576BCF4E">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④除甲供的和甲指乙供材料外，主要材料（含设备、人工、机械台班）的风险及价差计算执行云建标</w:t>
      </w:r>
      <w:r>
        <w:rPr>
          <w:rFonts w:asciiTheme="majorEastAsia" w:hAnsiTheme="majorEastAsia" w:eastAsiaTheme="majorEastAsia"/>
          <w:highlight w:val="none"/>
          <w:u w:val="single"/>
        </w:rPr>
        <w:t>[2008]201号文件，在包干范围内的工程主要材料（含设备）指招标人提供的工程量清单中的主要材料（含设备）。中标人所报的主要材料（含设备）的价格的风险包干幅度为</w:t>
      </w:r>
      <w:r>
        <w:rPr>
          <w:rFonts w:hint="eastAsia" w:asciiTheme="majorEastAsia" w:hAnsiTheme="majorEastAsia" w:eastAsiaTheme="majorEastAsia"/>
          <w:highlight w:val="none"/>
          <w:u w:val="single"/>
        </w:rPr>
        <w:t>5</w:t>
      </w:r>
      <w:r>
        <w:rPr>
          <w:rFonts w:asciiTheme="majorEastAsia" w:hAnsiTheme="majorEastAsia" w:eastAsiaTheme="majorEastAsia"/>
          <w:highlight w:val="none"/>
          <w:u w:val="single"/>
        </w:rPr>
        <w:t>%，施工合同履行过程中，在包干范围以内的主要材料（含设备）单价发生上涨或下降的情况，其幅度在±</w:t>
      </w:r>
      <w:r>
        <w:rPr>
          <w:rFonts w:hint="eastAsia" w:asciiTheme="majorEastAsia" w:hAnsiTheme="majorEastAsia" w:eastAsiaTheme="majorEastAsia"/>
          <w:highlight w:val="none"/>
          <w:u w:val="single"/>
        </w:rPr>
        <w:t>5</w:t>
      </w:r>
      <w:r>
        <w:rPr>
          <w:rFonts w:asciiTheme="majorEastAsia" w:hAnsiTheme="majorEastAsia" w:eastAsiaTheme="majorEastAsia"/>
          <w:highlight w:val="none"/>
          <w:u w:val="single"/>
        </w:rPr>
        <w:t>%以内（含±</w:t>
      </w:r>
      <w:r>
        <w:rPr>
          <w:rFonts w:hint="eastAsia" w:asciiTheme="majorEastAsia" w:hAnsiTheme="majorEastAsia" w:eastAsiaTheme="majorEastAsia"/>
          <w:highlight w:val="none"/>
          <w:u w:val="single"/>
        </w:rPr>
        <w:t>5</w:t>
      </w:r>
      <w:r>
        <w:rPr>
          <w:rFonts w:asciiTheme="majorEastAsia" w:hAnsiTheme="majorEastAsia" w:eastAsiaTheme="majorEastAsia"/>
          <w:highlight w:val="none"/>
          <w:u w:val="single"/>
        </w:rPr>
        <w:t>%）的，其价差由承包人承担或受益</w:t>
      </w:r>
      <w:r>
        <w:rPr>
          <w:rFonts w:hint="eastAsia" w:asciiTheme="majorEastAsia" w:hAnsiTheme="majorEastAsia" w:eastAsiaTheme="majorEastAsia"/>
          <w:highlight w:val="none"/>
          <w:u w:val="single"/>
        </w:rPr>
        <w:t>；</w:t>
      </w:r>
      <w:r>
        <w:rPr>
          <w:rFonts w:asciiTheme="majorEastAsia" w:hAnsiTheme="majorEastAsia" w:eastAsiaTheme="majorEastAsia"/>
          <w:highlight w:val="none"/>
          <w:u w:val="single"/>
        </w:rPr>
        <w:t>其幅度在±</w:t>
      </w:r>
      <w:r>
        <w:rPr>
          <w:rFonts w:hint="eastAsia" w:asciiTheme="majorEastAsia" w:hAnsiTheme="majorEastAsia" w:eastAsiaTheme="majorEastAsia"/>
          <w:highlight w:val="none"/>
          <w:u w:val="single"/>
        </w:rPr>
        <w:t>5</w:t>
      </w:r>
      <w:r>
        <w:rPr>
          <w:rFonts w:asciiTheme="majorEastAsia" w:hAnsiTheme="majorEastAsia" w:eastAsiaTheme="majorEastAsia"/>
          <w:highlight w:val="none"/>
          <w:u w:val="single"/>
        </w:rPr>
        <w:t>%以外的，其价差由发包人承担或受益。</w:t>
      </w:r>
    </w:p>
    <w:p w14:paraId="57D61943">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主要材料（含设备、人工、机械台班）价差的取定，以工程所在地造价管理部门发布的材料指导价为基准（缺指导价的材料设备以承发包双方确认的市场信息价为准），差价为施工期间同类材料加权平均指导价格与合同工程基准期（招标工程为递交投标文件截止日期前</w:t>
      </w:r>
      <w:r>
        <w:rPr>
          <w:rFonts w:asciiTheme="majorEastAsia" w:hAnsiTheme="majorEastAsia" w:eastAsiaTheme="majorEastAsia"/>
          <w:highlight w:val="none"/>
          <w:u w:val="single"/>
        </w:rPr>
        <w:t>28天）当期材料指导价格的差额。</w:t>
      </w:r>
    </w:p>
    <w:p w14:paraId="0308EA6D">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施工期材料加权平均指导价按下列公式计算：</w:t>
      </w:r>
    </w:p>
    <w:p w14:paraId="646CBBEE">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施工期材料加权平均指导价</w:t>
      </w:r>
      <w:r>
        <w:rPr>
          <w:rFonts w:asciiTheme="majorEastAsia" w:hAnsiTheme="majorEastAsia" w:eastAsiaTheme="majorEastAsia"/>
          <w:highlight w:val="none"/>
          <w:u w:val="single"/>
        </w:rPr>
        <w:t>=∑（每月实际使用量×当期材料指导价）/同类材料总用量</w:t>
      </w:r>
    </w:p>
    <w:p w14:paraId="4F89C847">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⑤当地建设材料价格信息中没有的材料承包人应提前上报价格，待造价工程师及发包人审核批复后执行，审核批复的价格不因施工期价格变动而做调整，以上材料价格参与取费，并按承包人投标时填报的下浮率（该值不因任何因素调整）同比例下浮。</w:t>
      </w:r>
    </w:p>
    <w:p w14:paraId="5AECC5E5">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⑥人工费</w:t>
      </w:r>
      <w:r>
        <w:rPr>
          <w:rFonts w:hint="eastAsia" w:asciiTheme="majorEastAsia" w:hAnsiTheme="majorEastAsia" w:eastAsiaTheme="majorEastAsia"/>
          <w:highlight w:val="none"/>
          <w:u w:val="single"/>
          <w:lang w:eastAsia="zh-CN"/>
        </w:rPr>
        <w:t>按《建设工程工程量清单计价规范》（GB/T 50500-2024）中规定的工程量清单计价方式计价，计价标准执行“云建标[2013]989号文”等现行有关配套计价文件，</w:t>
      </w:r>
      <w:r>
        <w:rPr>
          <w:rFonts w:hint="eastAsia" w:asciiTheme="majorEastAsia" w:hAnsiTheme="majorEastAsia" w:eastAsiaTheme="majorEastAsia"/>
          <w:highlight w:val="none"/>
          <w:u w:val="single"/>
        </w:rPr>
        <w:t>云南省住房和城乡建设厅关于《云南省建设工程造价计价标准（</w:t>
      </w:r>
      <w:r>
        <w:rPr>
          <w:rFonts w:asciiTheme="majorEastAsia" w:hAnsiTheme="majorEastAsia" w:eastAsiaTheme="majorEastAsia"/>
          <w:highlight w:val="none"/>
          <w:u w:val="single"/>
        </w:rPr>
        <w:t>2020）版》发布实施的通知、《云南省建设工程造价计价规则及机械仪器台班费用定额》（DBJ53/T-58-2020）、《云南省市政工程计价标准》（DBJ53/T-59-2020）、《云南省园林绿化工程计价标准》（DBJ53/T-60-2020）、《云南省建筑工程计价标准》（DBJ53/T-61-2020）、《云南省通用安装工程计价标准》（DBJ53/T-63-2020）中相关专业工程定额基价计算，参与造价下浮。若施工过程中云南省住房和城乡建设</w:t>
      </w:r>
      <w:r>
        <w:rPr>
          <w:rFonts w:hint="eastAsia" w:asciiTheme="majorEastAsia" w:hAnsiTheme="majorEastAsia" w:eastAsiaTheme="majorEastAsia"/>
          <w:highlight w:val="none"/>
          <w:u w:val="single"/>
        </w:rPr>
        <w:t>厅发布新政策性文件，人工费按新政策性文件执行。</w:t>
      </w:r>
    </w:p>
    <w:p w14:paraId="71E2DB6C">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⑦机械费</w:t>
      </w:r>
      <w:r>
        <w:rPr>
          <w:rFonts w:hint="eastAsia" w:asciiTheme="majorEastAsia" w:hAnsiTheme="majorEastAsia" w:eastAsiaTheme="majorEastAsia"/>
          <w:highlight w:val="none"/>
          <w:u w:val="single"/>
          <w:lang w:eastAsia="zh-CN"/>
        </w:rPr>
        <w:t>按《建设工程工程量清单计价规范》（GB/T 50500-2024）中规定的工程量清单计价方式计价，计价标准执行“云建标[2013]989号文”等现行有关配套计价文件，</w:t>
      </w:r>
      <w:r>
        <w:rPr>
          <w:rFonts w:hint="eastAsia" w:asciiTheme="majorEastAsia" w:hAnsiTheme="majorEastAsia" w:eastAsiaTheme="majorEastAsia"/>
          <w:highlight w:val="none"/>
          <w:u w:val="single"/>
        </w:rPr>
        <w:t>云南省住房和城乡建设厅关于《云南省建设工程造价计价标准（</w:t>
      </w:r>
      <w:r>
        <w:rPr>
          <w:rFonts w:asciiTheme="majorEastAsia" w:hAnsiTheme="majorEastAsia" w:eastAsiaTheme="majorEastAsia"/>
          <w:highlight w:val="none"/>
          <w:u w:val="single"/>
        </w:rPr>
        <w:t>2020）版》发布实施的通知、《云南省建设工程造价计价规则及机械仪器台班费用定额》（DBJ53/T-58-2020）、《云南省市政工程计价标准》（DBJ53/T-59-2020）、《云南省园林绿化工程计价标准》（DBJ53/T-60-2020）、《云南省建筑工程计价标准》（DBJ53/T-61-2020）、《云南省通用安装工程计价标准》（DBJ53/T-63-2020）中的消耗量及定额基价计算，参与造价下浮,工程施工期间，承包人采用的机械设备</w:t>
      </w:r>
      <w:r>
        <w:rPr>
          <w:rFonts w:hint="eastAsia" w:asciiTheme="majorEastAsia" w:hAnsiTheme="majorEastAsia" w:eastAsiaTheme="majorEastAsia"/>
          <w:highlight w:val="none"/>
          <w:u w:val="single"/>
        </w:rPr>
        <w:t>不同于消耗量定额中的机械设备时，或承包人为保证工期、安全采用的其他机械设备的，不作为承包人调整定额的依据；在施工过程中，机械台班中燃料动力使用的电、油按云南省住房和城乡建设厅关于《云南省建设工程造价计价标准（</w:t>
      </w:r>
      <w:r>
        <w:rPr>
          <w:rFonts w:asciiTheme="majorEastAsia" w:hAnsiTheme="majorEastAsia" w:eastAsiaTheme="majorEastAsia"/>
          <w:highlight w:val="none"/>
          <w:u w:val="single"/>
        </w:rPr>
        <w:t>2020）版》发布实施的通知、《云南省建设工程造价计价规则及机械仪器台班费用定额》（DBJ53/T-58-2020）、《云南省市政工程计价标准》（DBJ53/T-59-2020）、《云南省园林绿化工程计价标准》（DBJ53/T-60-2020）、《云南省建筑工程计价标准》（DBJ53/T-61-2020</w:t>
      </w:r>
      <w:r>
        <w:rPr>
          <w:rFonts w:hint="eastAsia" w:asciiTheme="majorEastAsia" w:hAnsiTheme="majorEastAsia" w:eastAsiaTheme="majorEastAsia"/>
          <w:highlight w:val="none"/>
          <w:u w:val="single"/>
        </w:rPr>
        <w:t>）、《云南省通用安装工程计价标准》（</w:t>
      </w:r>
      <w:r>
        <w:rPr>
          <w:rFonts w:asciiTheme="majorEastAsia" w:hAnsiTheme="majorEastAsia" w:eastAsiaTheme="majorEastAsia"/>
          <w:highlight w:val="none"/>
          <w:u w:val="single"/>
        </w:rPr>
        <w:t>DBJ53/T-63-2020）中的消耗量及定额基价计算，如电费、油费单价存在差额，据实补差，该补差不参与管理费、利润计算，参与造价下浮。</w:t>
      </w:r>
    </w:p>
    <w:p w14:paraId="729C93F0">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施工期油料价格</w:t>
      </w:r>
      <w:r>
        <w:rPr>
          <w:rFonts w:asciiTheme="majorEastAsia" w:hAnsiTheme="majorEastAsia" w:eastAsiaTheme="majorEastAsia"/>
          <w:highlight w:val="none"/>
          <w:u w:val="single"/>
        </w:rPr>
        <w:t>=∑（每月核定完成产值对应的油料用量×当期油料指导价）／同类油料总用量</w:t>
      </w:r>
    </w:p>
    <w:p w14:paraId="7B2004F6">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电价比较稳定，但如果发生波动，参照油料调差执行。</w:t>
      </w:r>
    </w:p>
    <w:p w14:paraId="493BFAA1">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⑧辅助材料费</w:t>
      </w:r>
      <w:r>
        <w:rPr>
          <w:rFonts w:hint="eastAsia" w:asciiTheme="majorEastAsia" w:hAnsiTheme="majorEastAsia" w:eastAsiaTheme="majorEastAsia"/>
          <w:highlight w:val="none"/>
          <w:u w:val="single"/>
          <w:lang w:eastAsia="zh-CN"/>
        </w:rPr>
        <w:t>按《建设工程工程量清单计价规范》（GB/T 50500-2024）中规定的工程量清单计价方式计价，计价标准执行“云建标[2013]989号文”等现行有关配套计价文件，</w:t>
      </w:r>
      <w:r>
        <w:rPr>
          <w:rFonts w:hint="eastAsia" w:asciiTheme="majorEastAsia" w:hAnsiTheme="majorEastAsia" w:eastAsiaTheme="majorEastAsia"/>
          <w:highlight w:val="none"/>
          <w:u w:val="single"/>
        </w:rPr>
        <w:t>云南省住房和城乡建设厅关于《云南省建设工程造价计价标准（</w:t>
      </w:r>
      <w:r>
        <w:rPr>
          <w:rFonts w:asciiTheme="majorEastAsia" w:hAnsiTheme="majorEastAsia" w:eastAsiaTheme="majorEastAsia"/>
          <w:highlight w:val="none"/>
          <w:u w:val="single"/>
        </w:rPr>
        <w:t>2020）版》发布实施的通知、《云南省建设工程造价计价规则及机械仪器台班费用定额》（DBJ53/T-58-2020）、《云南省市政工程计价标准》（DBJ53/T-59-2020）、《云南省园林绿化工程计价标准》（DBJ53/T-60-2020）、《云南省建筑工程计价标准》（DBJ53/T-61-2020）、《云南省通用安装工程计价标准》（DBJ53/T-63-2020）中相关专业工程中的消耗量及定额基价进行计算，参与造价下浮。（除本条第④</w:t>
      </w:r>
      <w:r>
        <w:rPr>
          <w:rFonts w:hint="eastAsia" w:asciiTheme="majorEastAsia" w:hAnsiTheme="majorEastAsia" w:eastAsiaTheme="majorEastAsia"/>
          <w:highlight w:val="none"/>
          <w:u w:val="single"/>
        </w:rPr>
        <w:t>款约定的主要材料以外均为辅材）</w:t>
      </w:r>
    </w:p>
    <w:p w14:paraId="578E1136">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⑨措施费、管理费、利润、规费、税金</w:t>
      </w:r>
      <w:r>
        <w:rPr>
          <w:rFonts w:hint="eastAsia" w:asciiTheme="majorEastAsia" w:hAnsiTheme="majorEastAsia" w:eastAsiaTheme="majorEastAsia"/>
          <w:highlight w:val="none"/>
          <w:u w:val="single"/>
          <w:lang w:eastAsia="zh-CN"/>
        </w:rPr>
        <w:t>按《建设工程工程量清单计价规范》（GB/T 50500-2024）中规定的工程量清单计价方式计价，计价标准执行“云建标[2013]989号文”等现行有关配套计价文件，</w:t>
      </w:r>
      <w:r>
        <w:rPr>
          <w:rFonts w:hint="eastAsia" w:asciiTheme="majorEastAsia" w:hAnsiTheme="majorEastAsia" w:eastAsiaTheme="majorEastAsia"/>
          <w:highlight w:val="none"/>
          <w:u w:val="single"/>
        </w:rPr>
        <w:t>云南省住房和城乡建设厅关于《云南省建设工程造价计价标准（</w:t>
      </w:r>
      <w:r>
        <w:rPr>
          <w:rFonts w:asciiTheme="majorEastAsia" w:hAnsiTheme="majorEastAsia" w:eastAsiaTheme="majorEastAsia"/>
          <w:highlight w:val="none"/>
          <w:u w:val="single"/>
        </w:rPr>
        <w:t>2020）版》发布实施的通知、《云南省建设工程造价计价规则及机械仪器台班费用定额》（DBJ53/T-58-2020）、《云南省市政工程计价标准》（DBJ53/T-59-2020）、《云南省园林绿化工程计价标准》（DBJ53/T-60-2020）、《云南省建筑工程计价标准》（DBJ53/T-61-2020）、《云南省通用安装工程计价标准》（DBJ53/T-63-2020）的有关规定及本合同签订之日的云南省现行有关配套计</w:t>
      </w:r>
      <w:r>
        <w:rPr>
          <w:rFonts w:hint="eastAsia" w:asciiTheme="majorEastAsia" w:hAnsiTheme="majorEastAsia" w:eastAsiaTheme="majorEastAsia"/>
          <w:highlight w:val="none"/>
          <w:u w:val="single"/>
        </w:rPr>
        <w:t>价文件规定计算，措施费、管理费、利润参与造价下浮，规费及税金以相关计价文件规定的规费费率及税率按实计取。</w:t>
      </w:r>
    </w:p>
    <w:p w14:paraId="345E7AE2">
      <w:pPr>
        <w:spacing w:line="560" w:lineRule="exact"/>
        <w:ind w:firstLine="410" w:firstLineChars="171"/>
        <w:rPr>
          <w:rFonts w:asciiTheme="majorEastAsia" w:hAnsiTheme="majorEastAsia" w:eastAsiaTheme="majorEastAsia"/>
          <w:highlight w:val="none"/>
          <w:u w:val="single"/>
        </w:rPr>
      </w:pPr>
      <w:r>
        <w:rPr>
          <w:rFonts w:hint="eastAsia" w:asciiTheme="majorEastAsia" w:hAnsiTheme="majorEastAsia" w:eastAsiaTheme="majorEastAsia"/>
          <w:highlight w:val="none"/>
          <w:u w:val="single"/>
        </w:rPr>
        <w:t>⑩总承包方需向发包方指定分包的专业工程、甲供材料及设备、甲指乙供材料及设备、相关专业分包单位进行管理、服务，以及提供施工现场管理、总协调、竣工资料汇总整理等服务工作，结算时另行计取费用。</w:t>
      </w:r>
    </w:p>
    <w:p w14:paraId="25F4E0C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4.1.2</w:t>
      </w:r>
      <w:r>
        <w:rPr>
          <w:rFonts w:hint="eastAsia" w:asciiTheme="majorEastAsia" w:hAnsiTheme="majorEastAsia" w:eastAsiaTheme="majorEastAsia"/>
          <w:highlight w:val="none"/>
        </w:rPr>
        <w:t>关于合同价格调整的约定：</w:t>
      </w:r>
      <w:r>
        <w:rPr>
          <w:rFonts w:hint="eastAsia" w:asciiTheme="majorEastAsia" w:hAnsiTheme="majorEastAsia" w:eastAsiaTheme="majorEastAsia"/>
          <w:highlight w:val="none"/>
          <w:u w:val="single"/>
        </w:rPr>
        <w:t>按13.3条[变更估价]约定</w:t>
      </w:r>
      <w:r>
        <w:rPr>
          <w:rFonts w:hint="eastAsia" w:asciiTheme="majorEastAsia" w:hAnsiTheme="majorEastAsia" w:eastAsiaTheme="majorEastAsia"/>
          <w:highlight w:val="none"/>
        </w:rPr>
        <w:t>。</w:t>
      </w:r>
    </w:p>
    <w:p w14:paraId="6FA67CC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4.1.3</w:t>
      </w:r>
      <w:r>
        <w:rPr>
          <w:rFonts w:hint="eastAsia" w:asciiTheme="majorEastAsia" w:hAnsiTheme="majorEastAsia" w:eastAsiaTheme="majorEastAsia"/>
          <w:highlight w:val="none"/>
        </w:rPr>
        <w:t>按实际完成的工程量支付工程价款的计量方法、估价方法：</w:t>
      </w:r>
      <w:r>
        <w:rPr>
          <w:rFonts w:hint="eastAsia"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41CAB0E7">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14.2</w:t>
      </w:r>
      <w:r>
        <w:rPr>
          <w:rFonts w:hint="eastAsia" w:asciiTheme="majorEastAsia" w:hAnsiTheme="majorEastAsia" w:eastAsiaTheme="majorEastAsia"/>
          <w:highlight w:val="none"/>
        </w:rPr>
        <w:t>预付款</w:t>
      </w:r>
    </w:p>
    <w:p w14:paraId="0AF8AFB1">
      <w:pPr>
        <w:spacing w:line="560" w:lineRule="exact"/>
        <w:ind w:firstLine="410" w:firstLineChars="171"/>
        <w:rPr>
          <w:rFonts w:asciiTheme="majorEastAsia" w:hAnsiTheme="majorEastAsia" w:eastAsiaTheme="majorEastAsia"/>
          <w:highlight w:val="none"/>
          <w:u w:val="single"/>
        </w:rPr>
      </w:pPr>
      <w:r>
        <w:rPr>
          <w:rFonts w:asciiTheme="majorEastAsia" w:hAnsiTheme="majorEastAsia" w:eastAsiaTheme="majorEastAsia"/>
          <w:highlight w:val="none"/>
        </w:rPr>
        <w:t>14.2.1</w:t>
      </w:r>
      <w:r>
        <w:rPr>
          <w:rFonts w:hint="eastAsia" w:asciiTheme="majorEastAsia" w:hAnsiTheme="majorEastAsia" w:eastAsiaTheme="majorEastAsia"/>
          <w:highlight w:val="none"/>
        </w:rPr>
        <w:t>预付款支付、抵扣方式和比例：</w:t>
      </w:r>
      <w:r>
        <w:rPr>
          <w:rFonts w:hint="eastAsia" w:asciiTheme="majorEastAsia" w:hAnsiTheme="majorEastAsia" w:eastAsiaTheme="majorEastAsia"/>
          <w:highlight w:val="none"/>
          <w:lang w:val="en-US" w:eastAsia="zh-CN"/>
        </w:rPr>
        <w:t>30%</w:t>
      </w:r>
      <w:r>
        <w:rPr>
          <w:rFonts w:hint="eastAsia" w:asciiTheme="majorEastAsia" w:hAnsiTheme="majorEastAsia" w:eastAsiaTheme="majorEastAsia"/>
          <w:highlight w:val="none"/>
        </w:rPr>
        <w:t>。</w:t>
      </w:r>
    </w:p>
    <w:p w14:paraId="7E37F5A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4.2.2预付款担保</w:t>
      </w:r>
    </w:p>
    <w:p w14:paraId="7572D1B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提供预付款担保期限：/。</w:t>
      </w:r>
    </w:p>
    <w:p w14:paraId="312DEEE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预付款担保形式：/。</w:t>
      </w:r>
    </w:p>
    <w:p w14:paraId="5D397CCA">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14.3</w:t>
      </w:r>
      <w:r>
        <w:rPr>
          <w:rFonts w:hint="eastAsia" w:asciiTheme="majorEastAsia" w:hAnsiTheme="majorEastAsia" w:eastAsiaTheme="majorEastAsia"/>
          <w:highlight w:val="none"/>
        </w:rPr>
        <w:t>工程进度款</w:t>
      </w:r>
    </w:p>
    <w:p w14:paraId="4317F0D2">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14.3.1</w:t>
      </w:r>
      <w:r>
        <w:rPr>
          <w:rFonts w:hint="eastAsia" w:asciiTheme="majorEastAsia" w:hAnsiTheme="majorEastAsia" w:eastAsiaTheme="majorEastAsia"/>
          <w:highlight w:val="none"/>
        </w:rPr>
        <w:t>工程进度付款申请</w:t>
      </w:r>
    </w:p>
    <w:p w14:paraId="0AB4DCB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工程进度付款申请方式：</w:t>
      </w:r>
      <w:r>
        <w:rPr>
          <w:rFonts w:hint="eastAsia" w:asciiTheme="majorEastAsia" w:hAnsiTheme="majorEastAsia" w:eastAsiaTheme="majorEastAsia"/>
          <w:highlight w:val="none"/>
          <w:u w:val="single"/>
        </w:rPr>
        <w:t>按通用条件和发包人的要求执行</w:t>
      </w:r>
      <w:r>
        <w:rPr>
          <w:rFonts w:hint="eastAsia" w:asciiTheme="majorEastAsia" w:hAnsiTheme="majorEastAsia" w:eastAsiaTheme="majorEastAsia"/>
          <w:highlight w:val="none"/>
        </w:rPr>
        <w:t>。</w:t>
      </w:r>
    </w:p>
    <w:p w14:paraId="59CF8F9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承包人提交进度付款申请单的格式、内容、份数和时间：</w:t>
      </w:r>
      <w:r>
        <w:rPr>
          <w:rFonts w:hint="eastAsia" w:asciiTheme="majorEastAsia" w:hAnsiTheme="majorEastAsia" w:eastAsiaTheme="majorEastAsia"/>
          <w:highlight w:val="none"/>
          <w:u w:val="single"/>
        </w:rPr>
        <w:t>按通用条件和发包人的要求执行</w:t>
      </w:r>
      <w:r>
        <w:rPr>
          <w:rFonts w:hint="eastAsia" w:asciiTheme="majorEastAsia" w:hAnsiTheme="majorEastAsia" w:eastAsiaTheme="majorEastAsia"/>
          <w:highlight w:val="none"/>
        </w:rPr>
        <w:t>。</w:t>
      </w:r>
    </w:p>
    <w:p w14:paraId="19A091A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进度付款申请单应包括的内容：</w:t>
      </w:r>
      <w:r>
        <w:rPr>
          <w:rFonts w:hint="eastAsia" w:asciiTheme="majorEastAsia" w:hAnsiTheme="majorEastAsia" w:eastAsiaTheme="majorEastAsia"/>
          <w:highlight w:val="none"/>
          <w:u w:val="single"/>
        </w:rPr>
        <w:t>按通用条件和发包人的要求执行</w:t>
      </w:r>
      <w:r>
        <w:rPr>
          <w:rFonts w:hint="eastAsia" w:asciiTheme="majorEastAsia" w:hAnsiTheme="majorEastAsia" w:eastAsiaTheme="majorEastAsia"/>
          <w:highlight w:val="none"/>
        </w:rPr>
        <w:t>。</w:t>
      </w:r>
    </w:p>
    <w:p w14:paraId="061DBA4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14.3.2进度付款审核和支付</w:t>
      </w:r>
    </w:p>
    <w:p w14:paraId="3A5E718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hint="eastAsia" w:asciiTheme="majorEastAsia" w:hAnsiTheme="majorEastAsia" w:eastAsiaTheme="majorEastAsia"/>
          <w:highlight w:val="none"/>
          <w:lang w:val="en-US" w:eastAsia="zh-CN"/>
        </w:rPr>
        <w:t>合同签订时约定，甲方在支付进度款时，乙方须向甲方支付1%质保金</w:t>
      </w:r>
      <w:r>
        <w:rPr>
          <w:rFonts w:hint="eastAsia" w:asciiTheme="majorEastAsia" w:hAnsiTheme="majorEastAsia" w:eastAsiaTheme="majorEastAsia"/>
          <w:highlight w:val="none"/>
        </w:rPr>
        <w:t>。</w:t>
      </w:r>
    </w:p>
    <w:p w14:paraId="3F22BEC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（2）土方弃置场地是经城市管理部门和甲方认可的弃置场地,本项目清单中确定的土方运距为项目所在地至弃置场地的实际运距,超出此范围的运距</w:t>
      </w:r>
      <w:r>
        <w:rPr>
          <w:rFonts w:hint="eastAsia"/>
          <w:highlight w:val="none"/>
        </w:rPr>
        <w:t>按实计取</w:t>
      </w:r>
      <w:r>
        <w:rPr>
          <w:rFonts w:hint="eastAsia" w:asciiTheme="majorEastAsia" w:hAnsiTheme="majorEastAsia" w:eastAsiaTheme="majorEastAsia"/>
          <w:highlight w:val="none"/>
        </w:rPr>
        <w:t>。</w:t>
      </w:r>
    </w:p>
    <w:p w14:paraId="156E954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（3）其他约定:</w:t>
      </w:r>
    </w:p>
    <w:p w14:paraId="4C7CDC31">
      <w:pPr>
        <w:spacing w:line="560" w:lineRule="exact"/>
        <w:ind w:firstLine="410" w:firstLineChars="171"/>
        <w:rPr>
          <w:rFonts w:asciiTheme="majorEastAsia" w:hAnsiTheme="majorEastAsia" w:eastAsiaTheme="majorEastAsia"/>
          <w:highlight w:val="none"/>
        </w:rPr>
      </w:pPr>
      <w:bookmarkStart w:id="1000" w:name="_Toc188557076"/>
      <w:r>
        <w:rPr>
          <w:rFonts w:hint="eastAsia" w:asciiTheme="majorEastAsia" w:hAnsiTheme="majorEastAsia" w:eastAsiaTheme="majorEastAsia"/>
          <w:highlight w:val="none"/>
        </w:rPr>
        <w:t>a.民工工资发放要求: 执行《云南省建设厅关于贯彻实施&lt;云南省建设领域农民工资支付管理试行办法&gt;的通知》。</w:t>
      </w:r>
    </w:p>
    <w:p w14:paraId="386AE34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b.自觉接收甲方对其劳务工资发放的监管。</w:t>
      </w:r>
    </w:p>
    <w:p w14:paraId="084EB90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c.若发包人工程资金暂不到位，工期予以顺延，如因发包人逾期支付工程进度款导致恶性群体上访事件的发生，发包人承担由此产生的一切损失。</w:t>
      </w:r>
      <w:bookmarkEnd w:id="1000"/>
    </w:p>
    <w:p w14:paraId="3DCF4B7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d</w:t>
      </w:r>
      <w:r>
        <w:rPr>
          <w:rFonts w:asciiTheme="majorEastAsia" w:hAnsiTheme="majorEastAsia" w:eastAsiaTheme="majorEastAsia"/>
          <w:highlight w:val="none"/>
        </w:rPr>
        <w:t>.</w:t>
      </w:r>
      <w:r>
        <w:rPr>
          <w:rFonts w:hint="eastAsia" w:asciiTheme="majorEastAsia" w:hAnsiTheme="majorEastAsia" w:eastAsiaTheme="majorEastAsia"/>
          <w:highlight w:val="none"/>
        </w:rPr>
        <w:t>乙方应当按照有关规定开设含人社部门、甲方、开户银行共同监管的农民工工资专用账户，专项用于支付该建设项目的农民工工资，并为农民工办理实名制工资支付银行卡，甲方将应付工程款中的人工费（工资款）拨付至农民工工资专用账户，乙方委托农民工工资专用账户开户银行直接将农民工工资发放至工资卡。</w:t>
      </w:r>
    </w:p>
    <w:p w14:paraId="04B0DD2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 xml:space="preserve">为保障农民工权益，禁止将人工费支付任何自然人或挂靠单位后才支付农民工。  </w:t>
      </w:r>
    </w:p>
    <w:p w14:paraId="2703F93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设计进度付款的审核方式和支付的约定：</w:t>
      </w:r>
    </w:p>
    <w:p w14:paraId="0630F032">
      <w:pPr>
        <w:spacing w:line="520" w:lineRule="exact"/>
        <w:ind w:firstLine="480" w:firstLineChars="200"/>
        <w:rPr>
          <w:rFonts w:asciiTheme="majorEastAsia" w:hAnsiTheme="majorEastAsia" w:eastAsiaTheme="majorEastAsia"/>
          <w:highlight w:val="none"/>
        </w:rPr>
      </w:pPr>
      <w:r>
        <w:rPr>
          <w:rFonts w:hint="eastAsia" w:asciiTheme="majorEastAsia" w:hAnsiTheme="majorEastAsia" w:eastAsiaTheme="majorEastAsia"/>
          <w:highlight w:val="none"/>
        </w:rPr>
        <w:t>1、预付款</w:t>
      </w:r>
      <w:r>
        <w:rPr>
          <w:rFonts w:hint="eastAsia" w:asciiTheme="majorEastAsia" w:hAnsiTheme="majorEastAsia" w:eastAsiaTheme="majorEastAsia"/>
          <w:highlight w:val="none"/>
          <w:lang w:val="en-US" w:eastAsia="zh-CN"/>
        </w:rPr>
        <w:t>3</w:t>
      </w:r>
      <w:r>
        <w:rPr>
          <w:rFonts w:hint="eastAsia" w:asciiTheme="majorEastAsia" w:hAnsiTheme="majorEastAsia" w:eastAsiaTheme="majorEastAsia"/>
          <w:highlight w:val="none"/>
        </w:rPr>
        <w:t>0%，签订合同后10天。</w:t>
      </w:r>
    </w:p>
    <w:p w14:paraId="4CD12E5C">
      <w:pPr>
        <w:spacing w:line="520" w:lineRule="exact"/>
        <w:ind w:firstLine="480" w:firstLineChars="200"/>
        <w:rPr>
          <w:rFonts w:asciiTheme="majorEastAsia" w:hAnsiTheme="majorEastAsia" w:eastAsiaTheme="majorEastAsia"/>
          <w:highlight w:val="none"/>
        </w:rPr>
      </w:pPr>
      <w:r>
        <w:rPr>
          <w:rFonts w:hint="eastAsia" w:asciiTheme="majorEastAsia" w:hAnsiTheme="majorEastAsia" w:eastAsiaTheme="majorEastAsia"/>
          <w:highlight w:val="none"/>
        </w:rPr>
        <w:t>2、主体施工图设计通过技术审查并取得施工图合格证后10天内，发包人向设计人支付设计费总额的50%。</w:t>
      </w:r>
    </w:p>
    <w:p w14:paraId="4E2E2362">
      <w:pPr>
        <w:spacing w:line="520" w:lineRule="exact"/>
        <w:ind w:firstLine="480" w:firstLineChars="200"/>
        <w:rPr>
          <w:rFonts w:asciiTheme="majorEastAsia" w:hAnsiTheme="majorEastAsia" w:eastAsiaTheme="majorEastAsia"/>
          <w:highlight w:val="none"/>
        </w:rPr>
      </w:pPr>
      <w:r>
        <w:rPr>
          <w:rFonts w:hint="eastAsia" w:asciiTheme="majorEastAsia" w:hAnsiTheme="majorEastAsia" w:eastAsiaTheme="majorEastAsia"/>
          <w:highlight w:val="none"/>
        </w:rPr>
        <w:t>3、装修、景观、智能化设计施工图通过技术审查，取得施工图合格证或发包人确认后10天内，发包人向设计人支付设计费总额的10%。</w:t>
      </w:r>
    </w:p>
    <w:p w14:paraId="239290E3">
      <w:pPr>
        <w:spacing w:line="520" w:lineRule="exact"/>
        <w:ind w:firstLine="480" w:firstLineChars="200"/>
        <w:rPr>
          <w:highlight w:val="none"/>
        </w:rPr>
      </w:pPr>
      <w:r>
        <w:rPr>
          <w:rFonts w:hint="eastAsia" w:asciiTheme="majorEastAsia" w:hAnsiTheme="majorEastAsia" w:eastAsiaTheme="majorEastAsia"/>
          <w:highlight w:val="none"/>
        </w:rPr>
        <w:t>4、其他专项设计通过技术审查，取得施工图合格证或发包人确认后10天内，发包人向设计人支付设计费总额的10%。</w:t>
      </w:r>
    </w:p>
    <w:p w14:paraId="2189B4CD">
      <w:pPr>
        <w:spacing w:line="520" w:lineRule="exact"/>
        <w:ind w:firstLine="480" w:firstLineChars="200"/>
        <w:rPr>
          <w:rFonts w:asciiTheme="majorEastAsia" w:hAnsiTheme="majorEastAsia" w:eastAsiaTheme="majorEastAsia"/>
          <w:highlight w:val="none"/>
        </w:rPr>
      </w:pPr>
      <w:r>
        <w:rPr>
          <w:rFonts w:hint="eastAsia" w:asciiTheme="majorEastAsia" w:hAnsiTheme="majorEastAsia" w:eastAsiaTheme="majorEastAsia"/>
          <w:highlight w:val="none"/>
        </w:rPr>
        <w:t>5、工程竣工验收后7天内, 发包人向设计人支付设计费总额的97%。</w:t>
      </w:r>
    </w:p>
    <w:p w14:paraId="0EB63A25">
      <w:pPr>
        <w:spacing w:line="520" w:lineRule="exact"/>
        <w:ind w:firstLine="480" w:firstLineChars="200"/>
        <w:rPr>
          <w:rFonts w:asciiTheme="majorEastAsia" w:hAnsiTheme="majorEastAsia" w:eastAsiaTheme="majorEastAsia"/>
          <w:highlight w:val="none"/>
        </w:rPr>
      </w:pPr>
      <w:r>
        <w:rPr>
          <w:rFonts w:hint="eastAsia" w:asciiTheme="majorEastAsia" w:hAnsiTheme="majorEastAsia" w:eastAsiaTheme="majorEastAsia"/>
          <w:highlight w:val="none"/>
        </w:rPr>
        <w:t>设计费按照投标费率进行结算，过程中由于设计变更、调整等增加的工作量不再另行计费，项目前期相关设计规划成果将作为项目方案设计的基础，前期成果相关费用由中标人承担。</w:t>
      </w:r>
    </w:p>
    <w:p w14:paraId="231E1BC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14.4</w:t>
      </w:r>
      <w:r>
        <w:rPr>
          <w:rFonts w:hint="eastAsia" w:asciiTheme="majorEastAsia" w:hAnsiTheme="majorEastAsia" w:eastAsiaTheme="majorEastAsia"/>
          <w:highlight w:val="none"/>
        </w:rPr>
        <w:t>付款计划表</w:t>
      </w:r>
    </w:p>
    <w:p w14:paraId="1ABA25E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14.4.1付款计划表的编制要求</w:t>
      </w:r>
      <w:r>
        <w:rPr>
          <w:rFonts w:hint="eastAsia" w:asciiTheme="majorEastAsia" w:hAnsiTheme="majorEastAsia" w:eastAsiaTheme="majorEastAsia"/>
          <w:highlight w:val="none"/>
        </w:rPr>
        <w:t>：</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4CDF781E">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14.4.2</w:t>
      </w:r>
      <w:r>
        <w:rPr>
          <w:rFonts w:hint="eastAsia" w:asciiTheme="majorEastAsia" w:hAnsiTheme="majorEastAsia" w:eastAsiaTheme="majorEastAsia"/>
          <w:highlight w:val="none"/>
        </w:rPr>
        <w:t>付款计划表的编制与审批</w:t>
      </w:r>
    </w:p>
    <w:p w14:paraId="62A98C3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付款计划表的编制：</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7B296E28">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14.5</w:t>
      </w:r>
      <w:r>
        <w:rPr>
          <w:rFonts w:hint="eastAsia" w:asciiTheme="majorEastAsia" w:hAnsiTheme="majorEastAsia" w:eastAsiaTheme="majorEastAsia"/>
          <w:highlight w:val="none"/>
        </w:rPr>
        <w:t>竣工结算</w:t>
      </w:r>
    </w:p>
    <w:p w14:paraId="4741B82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14.5.1</w:t>
      </w:r>
      <w:r>
        <w:rPr>
          <w:rFonts w:hint="eastAsia" w:asciiTheme="majorEastAsia" w:hAnsiTheme="majorEastAsia" w:eastAsiaTheme="majorEastAsia"/>
          <w:highlight w:val="none"/>
        </w:rPr>
        <w:t>竣工结算申请</w:t>
      </w:r>
    </w:p>
    <w:p w14:paraId="12AF78A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承包人提交竣工结算申请的时间：</w:t>
      </w:r>
      <w:r>
        <w:rPr>
          <w:rFonts w:hint="eastAsia" w:asciiTheme="majorEastAsia" w:hAnsiTheme="majorEastAsia" w:eastAsiaTheme="majorEastAsia"/>
          <w:highlight w:val="none"/>
          <w:u w:val="single"/>
        </w:rPr>
        <w:t>竣工验收报告及完整的竣工资料经发包人确认后30天内</w:t>
      </w:r>
      <w:r>
        <w:rPr>
          <w:rFonts w:hint="eastAsia" w:asciiTheme="majorEastAsia" w:hAnsiTheme="majorEastAsia" w:eastAsiaTheme="majorEastAsia"/>
          <w:highlight w:val="none"/>
        </w:rPr>
        <w:t>。</w:t>
      </w:r>
    </w:p>
    <w:p w14:paraId="58C8F8D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竣工结算申请的资料清单和份数：</w:t>
      </w:r>
      <w:r>
        <w:rPr>
          <w:rFonts w:hint="eastAsia" w:asciiTheme="majorEastAsia" w:hAnsiTheme="majorEastAsia" w:eastAsiaTheme="majorEastAsia"/>
          <w:highlight w:val="none"/>
          <w:u w:val="single"/>
        </w:rPr>
        <w:t>合同签订时约定</w:t>
      </w:r>
      <w:r>
        <w:rPr>
          <w:rFonts w:hint="eastAsia" w:asciiTheme="majorEastAsia" w:hAnsiTheme="majorEastAsia" w:eastAsiaTheme="majorEastAsia"/>
          <w:highlight w:val="none"/>
        </w:rPr>
        <w:t>。</w:t>
      </w:r>
    </w:p>
    <w:p w14:paraId="05BA291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竣工结算申请单的内容应包括：</w:t>
      </w:r>
      <w:r>
        <w:rPr>
          <w:rFonts w:hint="eastAsia" w:asciiTheme="majorEastAsia" w:hAnsiTheme="majorEastAsia" w:eastAsiaTheme="majorEastAsia"/>
          <w:highlight w:val="none"/>
          <w:u w:val="single"/>
        </w:rPr>
        <w:t>合同签订时约定</w:t>
      </w:r>
      <w:r>
        <w:rPr>
          <w:rFonts w:hint="eastAsia" w:asciiTheme="majorEastAsia" w:hAnsiTheme="majorEastAsia" w:eastAsiaTheme="majorEastAsia"/>
          <w:highlight w:val="none"/>
        </w:rPr>
        <w:t>。</w:t>
      </w:r>
    </w:p>
    <w:p w14:paraId="6C5FE264">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14.5.2</w:t>
      </w:r>
      <w:r>
        <w:rPr>
          <w:rFonts w:hint="eastAsia" w:asciiTheme="majorEastAsia" w:hAnsiTheme="majorEastAsia" w:eastAsiaTheme="majorEastAsia"/>
          <w:highlight w:val="none"/>
        </w:rPr>
        <w:t>竣工结算审核</w:t>
      </w:r>
    </w:p>
    <w:p w14:paraId="0CF0324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发包人审批竣工结算申请单的期限：</w:t>
      </w:r>
      <w:r>
        <w:rPr>
          <w:rFonts w:hint="eastAsia" w:asciiTheme="majorEastAsia" w:hAnsiTheme="majorEastAsia" w:eastAsiaTheme="majorEastAsia"/>
          <w:highlight w:val="none"/>
          <w:u w:val="single"/>
        </w:rPr>
        <w:t>合同签订时约定</w:t>
      </w:r>
      <w:r>
        <w:rPr>
          <w:rFonts w:hint="eastAsia" w:asciiTheme="majorEastAsia" w:hAnsiTheme="majorEastAsia" w:eastAsiaTheme="majorEastAsia"/>
          <w:highlight w:val="none"/>
        </w:rPr>
        <w:t>。</w:t>
      </w:r>
    </w:p>
    <w:p w14:paraId="15C4AC5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发包人完成竣工结算的期限：</w:t>
      </w:r>
      <w:r>
        <w:rPr>
          <w:rFonts w:hint="eastAsia" w:asciiTheme="majorEastAsia" w:hAnsiTheme="majorEastAsia" w:eastAsiaTheme="majorEastAsia"/>
          <w:highlight w:val="none"/>
          <w:u w:val="single"/>
        </w:rPr>
        <w:t>发包人委托造价咨询单位出具的结算审核书征求意见后60个日历天内完成工竣工结算审核</w:t>
      </w:r>
      <w:r>
        <w:rPr>
          <w:rFonts w:hint="eastAsia" w:asciiTheme="majorEastAsia" w:hAnsiTheme="majorEastAsia" w:eastAsiaTheme="majorEastAsia"/>
          <w:highlight w:val="none"/>
        </w:rPr>
        <w:t>。</w:t>
      </w:r>
    </w:p>
    <w:p w14:paraId="10FF9FB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关于竣工付款证书异议部分复核的方式和程序：</w:t>
      </w:r>
      <w:r>
        <w:rPr>
          <w:rFonts w:hint="eastAsia" w:asciiTheme="majorEastAsia" w:hAnsiTheme="majorEastAsia" w:eastAsiaTheme="majorEastAsia"/>
          <w:highlight w:val="none"/>
          <w:u w:val="single"/>
        </w:rPr>
        <w:t>承包人对发包人签认的竣工付款证书有异议的，对于有异议部分应在收到发包人签认的竣工付款证书后14天内提出异议，并由合同双方按照第20条[争议解决]约定处理</w:t>
      </w:r>
      <w:r>
        <w:rPr>
          <w:rFonts w:hint="eastAsia" w:asciiTheme="majorEastAsia" w:hAnsiTheme="majorEastAsia" w:eastAsiaTheme="majorEastAsia"/>
          <w:highlight w:val="none"/>
        </w:rPr>
        <w:t>。</w:t>
      </w:r>
    </w:p>
    <w:p w14:paraId="541E056E">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14.6</w:t>
      </w:r>
      <w:r>
        <w:rPr>
          <w:rFonts w:hint="eastAsia" w:asciiTheme="majorEastAsia" w:hAnsiTheme="majorEastAsia" w:eastAsiaTheme="majorEastAsia"/>
          <w:highlight w:val="none"/>
        </w:rPr>
        <w:t>质量保证金</w:t>
      </w:r>
    </w:p>
    <w:p w14:paraId="1124D350">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14.6.1</w:t>
      </w:r>
      <w:r>
        <w:rPr>
          <w:rFonts w:hint="eastAsia" w:asciiTheme="majorEastAsia" w:hAnsiTheme="majorEastAsia" w:eastAsiaTheme="majorEastAsia"/>
          <w:highlight w:val="none"/>
        </w:rPr>
        <w:t>承包人提供质量保证金的方式</w:t>
      </w:r>
    </w:p>
    <w:p w14:paraId="6E231FE5">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质量</w:t>
      </w:r>
      <w:r>
        <w:rPr>
          <w:rFonts w:hint="eastAsia" w:asciiTheme="majorEastAsia" w:hAnsiTheme="majorEastAsia" w:eastAsiaTheme="majorEastAsia"/>
          <w:highlight w:val="none"/>
        </w:rPr>
        <w:t>保证金</w:t>
      </w:r>
      <w:r>
        <w:rPr>
          <w:rFonts w:asciiTheme="majorEastAsia" w:hAnsiTheme="majorEastAsia" w:eastAsiaTheme="majorEastAsia"/>
          <w:highlight w:val="none"/>
        </w:rPr>
        <w:t>采用以下</w:t>
      </w:r>
      <w:r>
        <w:rPr>
          <w:rFonts w:hint="eastAsia" w:asciiTheme="majorEastAsia" w:hAnsiTheme="majorEastAsia" w:eastAsiaTheme="majorEastAsia"/>
          <w:highlight w:val="none"/>
        </w:rPr>
        <w:t>第</w:t>
      </w:r>
      <w:r>
        <w:rPr>
          <w:rFonts w:hint="eastAsia" w:asciiTheme="majorEastAsia" w:hAnsiTheme="majorEastAsia" w:eastAsiaTheme="majorEastAsia"/>
          <w:highlight w:val="none"/>
          <w:u w:val="single"/>
        </w:rPr>
        <w:t>（1）种</w:t>
      </w:r>
      <w:r>
        <w:rPr>
          <w:rFonts w:hint="eastAsia" w:asciiTheme="majorEastAsia" w:hAnsiTheme="majorEastAsia" w:eastAsiaTheme="majorEastAsia"/>
          <w:highlight w:val="none"/>
        </w:rPr>
        <w:t>合同签订时约定种</w:t>
      </w:r>
      <w:r>
        <w:rPr>
          <w:rFonts w:asciiTheme="majorEastAsia" w:hAnsiTheme="majorEastAsia" w:eastAsiaTheme="majorEastAsia"/>
          <w:highlight w:val="none"/>
        </w:rPr>
        <w:t>方式：</w:t>
      </w:r>
    </w:p>
    <w:p w14:paraId="66747EC1">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w:t>
      </w:r>
      <w:r>
        <w:rPr>
          <w:rFonts w:hint="eastAsia" w:asciiTheme="majorEastAsia" w:hAnsiTheme="majorEastAsia" w:eastAsiaTheme="majorEastAsia"/>
          <w:highlight w:val="none"/>
        </w:rPr>
        <w:t>工程质量保证担保</w:t>
      </w:r>
      <w:r>
        <w:rPr>
          <w:rFonts w:asciiTheme="majorEastAsia" w:hAnsiTheme="majorEastAsia" w:eastAsiaTheme="majorEastAsia"/>
          <w:highlight w:val="none"/>
        </w:rPr>
        <w:t>，保证金额为：</w:t>
      </w:r>
      <w:r>
        <w:rPr>
          <w:rFonts w:hint="eastAsia" w:asciiTheme="majorEastAsia" w:hAnsiTheme="majorEastAsia" w:eastAsiaTheme="majorEastAsia"/>
          <w:color w:val="auto"/>
          <w:highlight w:val="none"/>
          <w:u w:val="single"/>
          <w:lang w:eastAsia="zh-CN"/>
        </w:rPr>
        <w:t>签订合同金额</w:t>
      </w:r>
      <w:r>
        <w:rPr>
          <w:rFonts w:hint="eastAsia" w:asciiTheme="majorEastAsia" w:hAnsiTheme="majorEastAsia" w:eastAsiaTheme="majorEastAsia"/>
          <w:color w:val="auto"/>
          <w:highlight w:val="none"/>
          <w:u w:val="single"/>
        </w:rPr>
        <w:t>的</w:t>
      </w:r>
      <w:r>
        <w:rPr>
          <w:rFonts w:hint="eastAsia" w:asciiTheme="majorEastAsia" w:hAnsiTheme="majorEastAsia" w:eastAsiaTheme="majorEastAsia"/>
          <w:color w:val="auto"/>
          <w:highlight w:val="none"/>
          <w:u w:val="single"/>
          <w:lang w:val="en-US" w:eastAsia="zh-CN"/>
        </w:rPr>
        <w:t>1</w:t>
      </w:r>
      <w:r>
        <w:rPr>
          <w:rFonts w:hint="eastAsia" w:asciiTheme="majorEastAsia" w:hAnsiTheme="majorEastAsia" w:eastAsiaTheme="majorEastAsia"/>
          <w:color w:val="auto"/>
          <w:highlight w:val="none"/>
          <w:u w:val="single"/>
        </w:rPr>
        <w:t>%</w:t>
      </w:r>
      <w:r>
        <w:rPr>
          <w:rFonts w:hint="eastAsia" w:asciiTheme="majorEastAsia" w:hAnsiTheme="majorEastAsia" w:eastAsiaTheme="majorEastAsia"/>
          <w:highlight w:val="none"/>
        </w:rPr>
        <w:t>；</w:t>
      </w:r>
    </w:p>
    <w:p w14:paraId="4774EEDA">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w:t>
      </w:r>
      <w:r>
        <w:rPr>
          <w:rFonts w:hint="eastAsia" w:asciiTheme="majorEastAsia" w:hAnsiTheme="majorEastAsia" w:eastAsiaTheme="majorEastAsia"/>
          <w:highlight w:val="none"/>
        </w:rPr>
        <w:t>按单体分别计算并支付，单体工程竣工验收合格、工程结算审定后，发包人按工程价款结算总额的</w:t>
      </w:r>
      <w:r>
        <w:rPr>
          <w:rFonts w:hint="eastAsia" w:asciiTheme="majorEastAsia" w:hAnsiTheme="majorEastAsia" w:eastAsiaTheme="majorEastAsia"/>
          <w:highlight w:val="none"/>
          <w:lang w:val="en-US" w:eastAsia="zh-CN"/>
        </w:rPr>
        <w:t>1</w:t>
      </w:r>
      <w:r>
        <w:rPr>
          <w:rFonts w:hint="eastAsia" w:asciiTheme="majorEastAsia" w:hAnsiTheme="majorEastAsia" w:eastAsiaTheme="majorEastAsia"/>
          <w:highlight w:val="none"/>
        </w:rPr>
        <w:t>%</w:t>
      </w:r>
      <w:r>
        <w:rPr>
          <w:rFonts w:asciiTheme="majorEastAsia" w:hAnsiTheme="majorEastAsia" w:eastAsiaTheme="majorEastAsia"/>
          <w:highlight w:val="none"/>
        </w:rPr>
        <w:t>的工程款</w:t>
      </w:r>
      <w:r>
        <w:rPr>
          <w:rFonts w:hint="eastAsia" w:asciiTheme="majorEastAsia" w:hAnsiTheme="majorEastAsia" w:eastAsiaTheme="majorEastAsia"/>
          <w:highlight w:val="none"/>
        </w:rPr>
        <w:t>；</w:t>
      </w:r>
    </w:p>
    <w:p w14:paraId="3ECBD581">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（3）</w:t>
      </w:r>
      <w:r>
        <w:rPr>
          <w:rFonts w:hint="eastAsia" w:asciiTheme="majorEastAsia" w:hAnsiTheme="majorEastAsia" w:eastAsiaTheme="majorEastAsia"/>
          <w:highlight w:val="none"/>
        </w:rPr>
        <w:t>其他方式：</w:t>
      </w:r>
      <w:r>
        <w:rPr>
          <w:rFonts w:hint="eastAsia" w:asciiTheme="majorEastAsia" w:hAnsiTheme="majorEastAsia" w:eastAsiaTheme="majorEastAsia"/>
          <w:highlight w:val="none"/>
          <w:u w:val="single"/>
        </w:rPr>
        <w:t>合同签订时约定</w:t>
      </w:r>
      <w:r>
        <w:rPr>
          <w:rFonts w:hint="eastAsia" w:asciiTheme="majorEastAsia" w:hAnsiTheme="majorEastAsia" w:eastAsiaTheme="majorEastAsia"/>
          <w:highlight w:val="none"/>
        </w:rPr>
        <w:t>。</w:t>
      </w:r>
    </w:p>
    <w:p w14:paraId="36757AF2">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14.6.2</w:t>
      </w:r>
      <w:r>
        <w:rPr>
          <w:rFonts w:hint="eastAsia" w:asciiTheme="majorEastAsia" w:hAnsiTheme="majorEastAsia" w:eastAsiaTheme="majorEastAsia"/>
          <w:highlight w:val="none"/>
        </w:rPr>
        <w:t>质量保证金的预留</w:t>
      </w:r>
    </w:p>
    <w:p w14:paraId="3EEB0E5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质量</w:t>
      </w:r>
      <w:r>
        <w:rPr>
          <w:rFonts w:hint="eastAsia" w:asciiTheme="majorEastAsia" w:hAnsiTheme="majorEastAsia" w:eastAsiaTheme="majorEastAsia"/>
          <w:highlight w:val="none"/>
        </w:rPr>
        <w:t>保证金</w:t>
      </w:r>
      <w:r>
        <w:rPr>
          <w:rFonts w:asciiTheme="majorEastAsia" w:hAnsiTheme="majorEastAsia" w:eastAsiaTheme="majorEastAsia"/>
          <w:highlight w:val="none"/>
        </w:rPr>
        <w:t>的预留采取以下第</w:t>
      </w:r>
      <w:r>
        <w:rPr>
          <w:rFonts w:hint="eastAsia" w:asciiTheme="majorEastAsia" w:hAnsiTheme="majorEastAsia" w:eastAsiaTheme="majorEastAsia"/>
          <w:highlight w:val="none"/>
        </w:rPr>
        <w:t>（2）种</w:t>
      </w:r>
      <w:r>
        <w:rPr>
          <w:rFonts w:asciiTheme="majorEastAsia" w:hAnsiTheme="majorEastAsia" w:eastAsiaTheme="majorEastAsia"/>
          <w:highlight w:val="none"/>
        </w:rPr>
        <w:t>方式：</w:t>
      </w:r>
    </w:p>
    <w:p w14:paraId="0FD3950E">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（1）在支付工程进度款时逐次预留</w:t>
      </w:r>
      <w:r>
        <w:rPr>
          <w:rFonts w:hint="eastAsia" w:asciiTheme="majorEastAsia" w:hAnsiTheme="majorEastAsia" w:eastAsiaTheme="majorEastAsia"/>
          <w:highlight w:val="none"/>
        </w:rPr>
        <w:t>的质量保证金的比例：</w:t>
      </w:r>
      <w:r>
        <w:rPr>
          <w:rFonts w:hint="eastAsia" w:asciiTheme="majorEastAsia" w:hAnsiTheme="majorEastAsia" w:eastAsiaTheme="majorEastAsia"/>
          <w:highlight w:val="none"/>
          <w:u w:val="single"/>
        </w:rPr>
        <w:t>/</w:t>
      </w:r>
      <w:r>
        <w:rPr>
          <w:rFonts w:asciiTheme="majorEastAsia" w:hAnsiTheme="majorEastAsia" w:eastAsiaTheme="majorEastAsia"/>
          <w:highlight w:val="none"/>
        </w:rPr>
        <w:t>，在此情形下，质量</w:t>
      </w:r>
      <w:r>
        <w:rPr>
          <w:rFonts w:hint="eastAsia" w:asciiTheme="majorEastAsia" w:hAnsiTheme="majorEastAsia" w:eastAsiaTheme="majorEastAsia"/>
          <w:highlight w:val="none"/>
        </w:rPr>
        <w:t>保证金</w:t>
      </w:r>
      <w:r>
        <w:rPr>
          <w:rFonts w:asciiTheme="majorEastAsia" w:hAnsiTheme="majorEastAsia" w:eastAsiaTheme="majorEastAsia"/>
          <w:highlight w:val="none"/>
        </w:rPr>
        <w:t>的计算基数不包括预付款的支付、扣回以及价格调整的金额</w:t>
      </w:r>
      <w:r>
        <w:rPr>
          <w:rFonts w:hint="eastAsia" w:asciiTheme="majorEastAsia" w:hAnsiTheme="majorEastAsia" w:eastAsiaTheme="majorEastAsia"/>
          <w:highlight w:val="none"/>
        </w:rPr>
        <w:t>；</w:t>
      </w:r>
    </w:p>
    <w:p w14:paraId="5855A58F">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（2）工程竣工结算时一次性预留</w:t>
      </w:r>
      <w:r>
        <w:rPr>
          <w:rFonts w:hint="eastAsia" w:asciiTheme="majorEastAsia" w:hAnsiTheme="majorEastAsia" w:eastAsiaTheme="majorEastAsia"/>
          <w:highlight w:val="none"/>
        </w:rPr>
        <w:t>专用合同条件第</w:t>
      </w:r>
      <w:r>
        <w:rPr>
          <w:rFonts w:asciiTheme="majorEastAsia" w:hAnsiTheme="majorEastAsia" w:eastAsiaTheme="majorEastAsia"/>
          <w:highlight w:val="none"/>
        </w:rPr>
        <w:t>14.6.1</w:t>
      </w:r>
      <w:r>
        <w:rPr>
          <w:rFonts w:hint="eastAsia" w:asciiTheme="majorEastAsia" w:hAnsiTheme="majorEastAsia" w:eastAsiaTheme="majorEastAsia"/>
          <w:highlight w:val="none"/>
        </w:rPr>
        <w:t>项第</w:t>
      </w:r>
      <w:r>
        <w:rPr>
          <w:rFonts w:asciiTheme="majorEastAsia" w:hAnsiTheme="majorEastAsia" w:eastAsiaTheme="majorEastAsia"/>
          <w:highlight w:val="none"/>
        </w:rPr>
        <w:t>（2）</w:t>
      </w:r>
      <w:r>
        <w:rPr>
          <w:rFonts w:hint="eastAsia" w:asciiTheme="majorEastAsia" w:hAnsiTheme="majorEastAsia" w:eastAsiaTheme="majorEastAsia"/>
          <w:highlight w:val="none"/>
        </w:rPr>
        <w:t>目约定的工程款预留比例的</w:t>
      </w:r>
      <w:r>
        <w:rPr>
          <w:rFonts w:asciiTheme="majorEastAsia" w:hAnsiTheme="majorEastAsia" w:eastAsiaTheme="majorEastAsia"/>
          <w:highlight w:val="none"/>
        </w:rPr>
        <w:t>质量</w:t>
      </w:r>
      <w:r>
        <w:rPr>
          <w:rFonts w:hint="eastAsia" w:asciiTheme="majorEastAsia" w:hAnsiTheme="majorEastAsia" w:eastAsiaTheme="majorEastAsia"/>
          <w:highlight w:val="none"/>
        </w:rPr>
        <w:t>保证金；</w:t>
      </w:r>
    </w:p>
    <w:p w14:paraId="544B1257">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（3）其他预留方式：</w:t>
      </w:r>
      <w:r>
        <w:rPr>
          <w:rFonts w:hint="eastAsia" w:asciiTheme="majorEastAsia" w:hAnsiTheme="majorEastAsia" w:eastAsiaTheme="majorEastAsia"/>
          <w:highlight w:val="none"/>
          <w:u w:val="single"/>
        </w:rPr>
        <w:t>合同签订时约定</w:t>
      </w:r>
      <w:r>
        <w:rPr>
          <w:rFonts w:hint="eastAsia" w:asciiTheme="majorEastAsia" w:hAnsiTheme="majorEastAsia" w:eastAsiaTheme="majorEastAsia"/>
          <w:highlight w:val="none"/>
        </w:rPr>
        <w:t>。</w:t>
      </w:r>
    </w:p>
    <w:p w14:paraId="1A229F4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关于质量保证金的补充约定：</w:t>
      </w:r>
      <w:r>
        <w:rPr>
          <w:rFonts w:hint="eastAsia" w:asciiTheme="majorEastAsia" w:hAnsiTheme="majorEastAsia" w:eastAsiaTheme="majorEastAsia"/>
          <w:highlight w:val="none"/>
          <w:u w:val="single"/>
        </w:rPr>
        <w:t>采取第（2）种方式预留质量保证金的，发包人在缺陷责任期满后或质量质保期满无质量异议后14天内一次性无息退还。</w:t>
      </w:r>
    </w:p>
    <w:p w14:paraId="3D17C95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14.7</w:t>
      </w:r>
      <w:r>
        <w:rPr>
          <w:rFonts w:hint="eastAsia" w:asciiTheme="majorEastAsia" w:hAnsiTheme="majorEastAsia" w:eastAsiaTheme="majorEastAsia"/>
          <w:highlight w:val="none"/>
        </w:rPr>
        <w:t>最终结清</w:t>
      </w:r>
    </w:p>
    <w:p w14:paraId="488A212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14.7.1</w:t>
      </w:r>
      <w:r>
        <w:rPr>
          <w:rFonts w:hint="eastAsia" w:asciiTheme="majorEastAsia" w:hAnsiTheme="majorEastAsia" w:eastAsiaTheme="majorEastAsia"/>
          <w:highlight w:val="none"/>
        </w:rPr>
        <w:t>最终结清申请单</w:t>
      </w:r>
    </w:p>
    <w:p w14:paraId="1108DDE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当事人双方关于最终结清申请的其他约定：</w:t>
      </w:r>
      <w:r>
        <w:rPr>
          <w:rFonts w:hint="eastAsia" w:asciiTheme="majorEastAsia" w:hAnsiTheme="majorEastAsia" w:eastAsiaTheme="majorEastAsia"/>
          <w:highlight w:val="none"/>
          <w:u w:val="single"/>
        </w:rPr>
        <w:t>合同签订时约定</w:t>
      </w:r>
      <w:r>
        <w:rPr>
          <w:rFonts w:hint="eastAsia" w:asciiTheme="majorEastAsia" w:hAnsiTheme="majorEastAsia" w:eastAsiaTheme="majorEastAsia"/>
          <w:highlight w:val="none"/>
        </w:rPr>
        <w:t>。</w:t>
      </w:r>
    </w:p>
    <w:p w14:paraId="5FFB97F7">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14.7.2</w:t>
      </w:r>
      <w:r>
        <w:rPr>
          <w:rFonts w:hint="eastAsia" w:asciiTheme="majorEastAsia" w:hAnsiTheme="majorEastAsia" w:eastAsiaTheme="majorEastAsia"/>
          <w:highlight w:val="none"/>
        </w:rPr>
        <w:t>最终结清证书和支付</w:t>
      </w:r>
    </w:p>
    <w:p w14:paraId="571398E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当事人双方关于最终结清支付的其他约定：</w:t>
      </w:r>
      <w:r>
        <w:rPr>
          <w:rFonts w:hint="eastAsia" w:asciiTheme="majorEastAsia" w:hAnsiTheme="majorEastAsia" w:eastAsiaTheme="majorEastAsia"/>
          <w:highlight w:val="none"/>
          <w:u w:val="single"/>
        </w:rPr>
        <w:t>合同签订时约定。</w:t>
      </w:r>
    </w:p>
    <w:p w14:paraId="34EA5219">
      <w:pPr>
        <w:spacing w:line="560" w:lineRule="exact"/>
        <w:rPr>
          <w:rFonts w:asciiTheme="majorEastAsia" w:hAnsiTheme="majorEastAsia" w:eastAsiaTheme="majorEastAsia"/>
          <w:b/>
          <w:highlight w:val="none"/>
        </w:rPr>
      </w:pPr>
      <w:bookmarkStart w:id="1001" w:name="_Toc54862346"/>
      <w:r>
        <w:rPr>
          <w:rFonts w:hint="eastAsia" w:asciiTheme="majorEastAsia" w:hAnsiTheme="majorEastAsia" w:eastAsiaTheme="majorEastAsia"/>
          <w:b/>
          <w:highlight w:val="none"/>
        </w:rPr>
        <w:t>第</w:t>
      </w:r>
      <w:r>
        <w:rPr>
          <w:rFonts w:asciiTheme="majorEastAsia" w:hAnsiTheme="majorEastAsia" w:eastAsiaTheme="majorEastAsia"/>
          <w:b/>
          <w:highlight w:val="none"/>
        </w:rPr>
        <w:t>15条</w:t>
      </w:r>
      <w:r>
        <w:rPr>
          <w:rFonts w:hint="eastAsia" w:asciiTheme="majorEastAsia" w:hAnsiTheme="majorEastAsia" w:eastAsiaTheme="majorEastAsia"/>
          <w:b/>
          <w:highlight w:val="none"/>
        </w:rPr>
        <w:t xml:space="preserve">  违约</w:t>
      </w:r>
      <w:bookmarkEnd w:id="1001"/>
    </w:p>
    <w:p w14:paraId="601496F5">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 xml:space="preserve">15.1 </w:t>
      </w:r>
      <w:r>
        <w:rPr>
          <w:rFonts w:hint="eastAsia" w:asciiTheme="majorEastAsia" w:hAnsiTheme="majorEastAsia" w:eastAsiaTheme="majorEastAsia"/>
          <w:highlight w:val="none"/>
        </w:rPr>
        <w:t>发包人违约</w:t>
      </w:r>
    </w:p>
    <w:p w14:paraId="08EFE7F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 xml:space="preserve">15.1.1 </w:t>
      </w:r>
      <w:r>
        <w:rPr>
          <w:rFonts w:hint="eastAsia" w:asciiTheme="majorEastAsia" w:hAnsiTheme="majorEastAsia" w:eastAsiaTheme="majorEastAsia"/>
          <w:highlight w:val="none"/>
        </w:rPr>
        <w:t>发包人违约的情形</w:t>
      </w:r>
    </w:p>
    <w:p w14:paraId="2636EEB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发包人违约的其他情形/。</w:t>
      </w:r>
    </w:p>
    <w:p w14:paraId="40B1317F">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 xml:space="preserve">15.1.3 </w:t>
      </w:r>
      <w:r>
        <w:rPr>
          <w:rFonts w:hint="eastAsia" w:asciiTheme="majorEastAsia" w:hAnsiTheme="majorEastAsia" w:eastAsiaTheme="majorEastAsia"/>
          <w:highlight w:val="none"/>
        </w:rPr>
        <w:t>发包人违约的责任</w:t>
      </w:r>
    </w:p>
    <w:p w14:paraId="1F232B8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发包人违约</w:t>
      </w:r>
      <w:r>
        <w:rPr>
          <w:rFonts w:asciiTheme="majorEastAsia" w:hAnsiTheme="majorEastAsia" w:eastAsiaTheme="majorEastAsia"/>
          <w:highlight w:val="none"/>
        </w:rPr>
        <w:t>责任</w:t>
      </w:r>
      <w:r>
        <w:rPr>
          <w:rFonts w:hint="eastAsia" w:asciiTheme="majorEastAsia" w:hAnsiTheme="majorEastAsia" w:eastAsiaTheme="majorEastAsia"/>
          <w:highlight w:val="none"/>
        </w:rPr>
        <w:t>的</w:t>
      </w:r>
      <w:r>
        <w:rPr>
          <w:rFonts w:asciiTheme="majorEastAsia" w:hAnsiTheme="majorEastAsia" w:eastAsiaTheme="majorEastAsia"/>
          <w:highlight w:val="none"/>
        </w:rPr>
        <w:t>承担方式</w:t>
      </w:r>
      <w:r>
        <w:rPr>
          <w:rFonts w:hint="eastAsia" w:asciiTheme="majorEastAsia" w:hAnsiTheme="majorEastAsia" w:eastAsiaTheme="majorEastAsia"/>
          <w:highlight w:val="none"/>
        </w:rPr>
        <w:t>和</w:t>
      </w:r>
      <w:r>
        <w:rPr>
          <w:rFonts w:asciiTheme="majorEastAsia" w:hAnsiTheme="majorEastAsia" w:eastAsiaTheme="majorEastAsia"/>
          <w:highlight w:val="none"/>
        </w:rPr>
        <w:t>计算方法</w:t>
      </w:r>
      <w:r>
        <w:rPr>
          <w:rFonts w:hint="eastAsia" w:asciiTheme="majorEastAsia" w:hAnsiTheme="majorEastAsia" w:eastAsiaTheme="majorEastAsia"/>
          <w:highlight w:val="none"/>
        </w:rPr>
        <w:t>：</w:t>
      </w:r>
    </w:p>
    <w:p w14:paraId="1E40884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（1）因发包人原因未能在计划开工日期前7天内下达开工通知的违约责任：工期顺延并赔偿承包人因此造成的所有损失费用。</w:t>
      </w:r>
    </w:p>
    <w:p w14:paraId="466EF5D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（2）因发包人原因未能按合同约定支付合同价款的违约责任：从违约之日起，发包人每日按延付金额的0.04 %向承包人支付违约金，承包人的损失按实际发生计，所耽误的工期相应顺延。对于违约金超过合同总价 5 %或发包人拒不支付时，承包人可按专用条款20.4条的规定进入争议解决程序。</w:t>
      </w:r>
    </w:p>
    <w:p w14:paraId="0157E6A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（4）发包人提供的材料、工程设备的规格、数量或质量不符合合同约定，或因发包人原因导致交货日期延误或交货地点变更等情况的违约责任：工期顺延并赔偿承包人因此造成的所有损失费用。</w:t>
      </w:r>
    </w:p>
    <w:p w14:paraId="062932A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（5）因发包人违反合同约定造成暂停施工的违约责任：工期顺延并赔偿承包人因此造成的所有损失费用。</w:t>
      </w:r>
    </w:p>
    <w:p w14:paraId="02DB07E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（6）发包人无正当理由没有在约定期限内发出复工指示，导致承包人无法复工的违约责任：工期顺延并赔偿承包人因此造成的所有损失费用。</w:t>
      </w:r>
    </w:p>
    <w:p w14:paraId="3668EA0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 xml:space="preserve">15.2 </w:t>
      </w:r>
      <w:r>
        <w:rPr>
          <w:rFonts w:hint="eastAsia" w:asciiTheme="majorEastAsia" w:hAnsiTheme="majorEastAsia" w:eastAsiaTheme="majorEastAsia"/>
          <w:highlight w:val="none"/>
        </w:rPr>
        <w:t>承包人违约</w:t>
      </w:r>
    </w:p>
    <w:p w14:paraId="083BD3A5">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 xml:space="preserve">15.2.1 </w:t>
      </w:r>
      <w:r>
        <w:rPr>
          <w:rFonts w:hint="eastAsia" w:asciiTheme="majorEastAsia" w:hAnsiTheme="majorEastAsia" w:eastAsiaTheme="majorEastAsia"/>
          <w:highlight w:val="none"/>
        </w:rPr>
        <w:t>承包人违约的情形</w:t>
      </w:r>
    </w:p>
    <w:p w14:paraId="6D6C90E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承包人违约的其他情形：</w:t>
      </w:r>
      <w:r>
        <w:rPr>
          <w:rFonts w:asciiTheme="majorEastAsia" w:hAnsiTheme="majorEastAsia" w:eastAsiaTheme="majorEastAsia"/>
          <w:highlight w:val="none"/>
          <w:u w:val="single"/>
        </w:rPr>
        <w:t>（1）</w:t>
      </w:r>
      <w:r>
        <w:rPr>
          <w:rFonts w:hint="eastAsia" w:asciiTheme="majorEastAsia" w:hAnsiTheme="majorEastAsia" w:eastAsiaTheme="majorEastAsia"/>
          <w:highlight w:val="none"/>
          <w:u w:val="single"/>
        </w:rPr>
        <w:t>工程质量不符合合同规定的，在质保期内应负责在发包人指定的期限内无偿修理或返工，并自行承担由此产生的一切费用。由于修理或返工造成逾期交付或工程交付时间不符合规定的，发包人按照8.7.2 的约定[因承包人导致工期延误]的违约责任，误期赔偿费列入</w:t>
      </w:r>
      <w:r>
        <w:rPr>
          <w:highlight w:val="none"/>
        </w:rPr>
        <w:fldChar w:fldCharType="begin"/>
      </w:r>
      <w:r>
        <w:rPr>
          <w:highlight w:val="none"/>
        </w:rPr>
        <w:instrText xml:space="preserve"> HYPERLINK "https://www.baidu.com/s?wd=%E7%AB%A3%E5%B7%A5%E7%BB%93%E7%AE%97&amp;tn=SE_PcZhidaonwhc_ngpagmjz&amp;rsv_dl=gh_pc_zhidao" \t "_blank" </w:instrText>
      </w:r>
      <w:r>
        <w:rPr>
          <w:highlight w:val="none"/>
        </w:rPr>
        <w:fldChar w:fldCharType="separate"/>
      </w:r>
      <w:r>
        <w:rPr>
          <w:rFonts w:asciiTheme="majorEastAsia" w:hAnsiTheme="majorEastAsia" w:eastAsiaTheme="majorEastAsia"/>
          <w:highlight w:val="none"/>
          <w:u w:val="single"/>
        </w:rPr>
        <w:t>竣工结算</w:t>
      </w:r>
      <w:r>
        <w:rPr>
          <w:rFonts w:asciiTheme="majorEastAsia" w:hAnsiTheme="majorEastAsia" w:eastAsiaTheme="majorEastAsia"/>
          <w:highlight w:val="none"/>
          <w:u w:val="single"/>
        </w:rPr>
        <w:fldChar w:fldCharType="end"/>
      </w:r>
      <w:r>
        <w:rPr>
          <w:rFonts w:hint="eastAsia" w:asciiTheme="majorEastAsia" w:hAnsiTheme="majorEastAsia" w:eastAsiaTheme="majorEastAsia"/>
          <w:highlight w:val="none"/>
          <w:u w:val="single"/>
        </w:rPr>
        <w:t>文件中，在结算款中扣除</w:t>
      </w:r>
      <w:r>
        <w:rPr>
          <w:rFonts w:hint="eastAsia" w:asciiTheme="majorEastAsia" w:hAnsiTheme="majorEastAsia" w:eastAsiaTheme="majorEastAsia"/>
          <w:highlight w:val="none"/>
        </w:rPr>
        <w:t>。</w:t>
      </w:r>
    </w:p>
    <w:p w14:paraId="134C6392">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15.2.2</w:t>
      </w:r>
      <w:r>
        <w:rPr>
          <w:rFonts w:hint="eastAsia" w:asciiTheme="majorEastAsia" w:hAnsiTheme="majorEastAsia" w:eastAsiaTheme="majorEastAsia"/>
          <w:highlight w:val="none"/>
        </w:rPr>
        <w:t>通知改正</w:t>
      </w:r>
    </w:p>
    <w:p w14:paraId="3EF4A06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工程师通知承包人改正的合理期限是：</w:t>
      </w:r>
      <w:r>
        <w:rPr>
          <w:rFonts w:hint="eastAsia" w:asciiTheme="majorEastAsia" w:hAnsiTheme="majorEastAsia" w:eastAsiaTheme="majorEastAsia"/>
          <w:highlight w:val="none"/>
          <w:u w:val="single"/>
        </w:rPr>
        <w:t>合同签订时约定</w:t>
      </w:r>
      <w:r>
        <w:rPr>
          <w:rFonts w:hint="eastAsia" w:asciiTheme="majorEastAsia" w:hAnsiTheme="majorEastAsia" w:eastAsiaTheme="majorEastAsia"/>
          <w:highlight w:val="none"/>
        </w:rPr>
        <w:t>。</w:t>
      </w:r>
    </w:p>
    <w:p w14:paraId="419F5F3D">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15.2.3</w:t>
      </w:r>
      <w:r>
        <w:rPr>
          <w:rFonts w:hint="eastAsia" w:asciiTheme="majorEastAsia" w:hAnsiTheme="majorEastAsia" w:eastAsiaTheme="majorEastAsia"/>
          <w:highlight w:val="none"/>
        </w:rPr>
        <w:t>承包人违约的责任</w:t>
      </w:r>
    </w:p>
    <w:p w14:paraId="6DB2906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承包人违约</w:t>
      </w:r>
      <w:r>
        <w:rPr>
          <w:rFonts w:asciiTheme="majorEastAsia" w:hAnsiTheme="majorEastAsia" w:eastAsiaTheme="majorEastAsia"/>
          <w:highlight w:val="none"/>
        </w:rPr>
        <w:t>责任</w:t>
      </w:r>
      <w:r>
        <w:rPr>
          <w:rFonts w:hint="eastAsia" w:asciiTheme="majorEastAsia" w:hAnsiTheme="majorEastAsia" w:eastAsiaTheme="majorEastAsia"/>
          <w:highlight w:val="none"/>
        </w:rPr>
        <w:t>的</w:t>
      </w:r>
      <w:r>
        <w:rPr>
          <w:rFonts w:asciiTheme="majorEastAsia" w:hAnsiTheme="majorEastAsia" w:eastAsiaTheme="majorEastAsia"/>
          <w:highlight w:val="none"/>
        </w:rPr>
        <w:t>承担方式</w:t>
      </w:r>
      <w:r>
        <w:rPr>
          <w:rFonts w:hint="eastAsia" w:asciiTheme="majorEastAsia" w:hAnsiTheme="majorEastAsia" w:eastAsiaTheme="majorEastAsia"/>
          <w:highlight w:val="none"/>
        </w:rPr>
        <w:t>和</w:t>
      </w:r>
      <w:r>
        <w:rPr>
          <w:rFonts w:asciiTheme="majorEastAsia" w:hAnsiTheme="majorEastAsia" w:eastAsiaTheme="majorEastAsia"/>
          <w:highlight w:val="none"/>
        </w:rPr>
        <w:t>计算方法</w:t>
      </w:r>
      <w:r>
        <w:rPr>
          <w:rFonts w:hint="eastAsia" w:asciiTheme="majorEastAsia" w:hAnsiTheme="majorEastAsia" w:eastAsiaTheme="majorEastAsia"/>
          <w:highlight w:val="none"/>
        </w:rPr>
        <w:t>：</w:t>
      </w:r>
      <w:r>
        <w:rPr>
          <w:rFonts w:hint="eastAsia" w:asciiTheme="majorEastAsia" w:hAnsiTheme="majorEastAsia" w:eastAsiaTheme="majorEastAsia"/>
          <w:highlight w:val="none"/>
          <w:u w:val="single"/>
        </w:rPr>
        <w:t>按专用条件4.1[承包人的一般义务]和专用条件</w:t>
      </w:r>
      <w:r>
        <w:rPr>
          <w:rFonts w:asciiTheme="majorEastAsia" w:hAnsiTheme="majorEastAsia" w:eastAsiaTheme="majorEastAsia"/>
          <w:highlight w:val="none"/>
          <w:u w:val="single"/>
        </w:rPr>
        <w:t>15.2.1</w:t>
      </w:r>
      <w:r>
        <w:rPr>
          <w:rFonts w:hint="eastAsia" w:asciiTheme="majorEastAsia" w:hAnsiTheme="majorEastAsia" w:eastAsiaTheme="majorEastAsia"/>
          <w:highlight w:val="none"/>
          <w:u w:val="single"/>
        </w:rPr>
        <w:t>[承包人违约的情形]执行</w:t>
      </w:r>
      <w:r>
        <w:rPr>
          <w:rFonts w:hint="eastAsia" w:asciiTheme="majorEastAsia" w:hAnsiTheme="majorEastAsia" w:eastAsiaTheme="majorEastAsia"/>
          <w:highlight w:val="none"/>
        </w:rPr>
        <w:t>。</w:t>
      </w:r>
    </w:p>
    <w:p w14:paraId="78AEA478">
      <w:pPr>
        <w:spacing w:line="560" w:lineRule="exact"/>
        <w:rPr>
          <w:rFonts w:asciiTheme="majorEastAsia" w:hAnsiTheme="majorEastAsia" w:eastAsiaTheme="majorEastAsia"/>
          <w:b/>
          <w:highlight w:val="none"/>
        </w:rPr>
      </w:pPr>
      <w:bookmarkStart w:id="1002" w:name="_Toc54862347"/>
      <w:r>
        <w:rPr>
          <w:rFonts w:hint="eastAsia" w:asciiTheme="majorEastAsia" w:hAnsiTheme="majorEastAsia" w:eastAsiaTheme="majorEastAsia"/>
          <w:b/>
          <w:highlight w:val="none"/>
        </w:rPr>
        <w:t>第</w:t>
      </w:r>
      <w:r>
        <w:rPr>
          <w:rFonts w:asciiTheme="majorEastAsia" w:hAnsiTheme="majorEastAsia" w:eastAsiaTheme="majorEastAsia"/>
          <w:b/>
          <w:highlight w:val="none"/>
        </w:rPr>
        <w:t>16条</w:t>
      </w:r>
      <w:r>
        <w:rPr>
          <w:rFonts w:hint="eastAsia" w:asciiTheme="majorEastAsia" w:hAnsiTheme="majorEastAsia" w:eastAsiaTheme="majorEastAsia"/>
          <w:b/>
          <w:highlight w:val="none"/>
        </w:rPr>
        <w:t xml:space="preserve">  合同解除</w:t>
      </w:r>
      <w:bookmarkEnd w:id="1002"/>
    </w:p>
    <w:p w14:paraId="4E0CC4C2">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16.1</w:t>
      </w:r>
      <w:r>
        <w:rPr>
          <w:rFonts w:hint="eastAsia" w:asciiTheme="majorEastAsia" w:hAnsiTheme="majorEastAsia" w:eastAsiaTheme="majorEastAsia"/>
          <w:highlight w:val="none"/>
        </w:rPr>
        <w:t>由发包人解除合同</w:t>
      </w:r>
    </w:p>
    <w:p w14:paraId="19A4BAC7">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16.1.1</w:t>
      </w:r>
      <w:r>
        <w:rPr>
          <w:rFonts w:hint="eastAsia" w:asciiTheme="majorEastAsia" w:hAnsiTheme="majorEastAsia" w:eastAsiaTheme="majorEastAsia"/>
          <w:highlight w:val="none"/>
        </w:rPr>
        <w:t>因承包人违约解除合同</w:t>
      </w:r>
    </w:p>
    <w:p w14:paraId="6942F27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双方约定可由发包人解除合同的其他事由：</w:t>
      </w:r>
      <w:r>
        <w:rPr>
          <w:rFonts w:hint="eastAsia" w:asciiTheme="majorEastAsia" w:hAnsiTheme="majorEastAsia" w:eastAsiaTheme="majorEastAsia"/>
          <w:highlight w:val="none"/>
          <w:u w:val="single"/>
        </w:rPr>
        <w:t>按本合同相关条款约定执行</w:t>
      </w:r>
      <w:r>
        <w:rPr>
          <w:rFonts w:hint="eastAsia" w:asciiTheme="majorEastAsia" w:hAnsiTheme="majorEastAsia" w:eastAsiaTheme="majorEastAsia"/>
          <w:highlight w:val="none"/>
        </w:rPr>
        <w:t>。</w:t>
      </w:r>
    </w:p>
    <w:p w14:paraId="750F8A20">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16.2</w:t>
      </w:r>
      <w:r>
        <w:rPr>
          <w:rFonts w:hint="eastAsia" w:asciiTheme="majorEastAsia" w:hAnsiTheme="majorEastAsia" w:eastAsiaTheme="majorEastAsia"/>
          <w:highlight w:val="none"/>
        </w:rPr>
        <w:t>由承包人解除合同</w:t>
      </w:r>
    </w:p>
    <w:p w14:paraId="278652E8">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16.2.1</w:t>
      </w:r>
      <w:r>
        <w:rPr>
          <w:rFonts w:hint="eastAsia" w:asciiTheme="majorEastAsia" w:hAnsiTheme="majorEastAsia" w:eastAsiaTheme="majorEastAsia"/>
          <w:highlight w:val="none"/>
        </w:rPr>
        <w:t>因发包人违约解除合同</w:t>
      </w:r>
    </w:p>
    <w:p w14:paraId="1D8EE34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双方约定可由承包人解除合同的其他事由：</w:t>
      </w:r>
      <w:r>
        <w:rPr>
          <w:rFonts w:hint="eastAsia" w:asciiTheme="majorEastAsia" w:hAnsiTheme="majorEastAsia" w:eastAsiaTheme="majorEastAsia"/>
          <w:highlight w:val="none"/>
          <w:u w:val="single"/>
        </w:rPr>
        <w:t>双方协商解决</w:t>
      </w:r>
      <w:r>
        <w:rPr>
          <w:rFonts w:hint="eastAsia" w:asciiTheme="majorEastAsia" w:hAnsiTheme="majorEastAsia" w:eastAsiaTheme="majorEastAsia"/>
          <w:highlight w:val="none"/>
        </w:rPr>
        <w:t>。</w:t>
      </w:r>
    </w:p>
    <w:p w14:paraId="76E09F87">
      <w:pPr>
        <w:spacing w:line="560" w:lineRule="exact"/>
        <w:rPr>
          <w:rFonts w:asciiTheme="majorEastAsia" w:hAnsiTheme="majorEastAsia" w:eastAsiaTheme="majorEastAsia"/>
          <w:b/>
          <w:highlight w:val="none"/>
        </w:rPr>
      </w:pPr>
      <w:bookmarkStart w:id="1003" w:name="_Toc54862348"/>
      <w:r>
        <w:rPr>
          <w:rFonts w:hint="eastAsia" w:asciiTheme="majorEastAsia" w:hAnsiTheme="majorEastAsia" w:eastAsiaTheme="majorEastAsia"/>
          <w:b/>
          <w:highlight w:val="none"/>
        </w:rPr>
        <w:t>第</w:t>
      </w:r>
      <w:r>
        <w:rPr>
          <w:rFonts w:asciiTheme="majorEastAsia" w:hAnsiTheme="majorEastAsia" w:eastAsiaTheme="majorEastAsia"/>
          <w:b/>
          <w:highlight w:val="none"/>
        </w:rPr>
        <w:t>17条</w:t>
      </w:r>
      <w:r>
        <w:rPr>
          <w:rFonts w:hint="eastAsia" w:asciiTheme="majorEastAsia" w:hAnsiTheme="majorEastAsia" w:eastAsiaTheme="majorEastAsia"/>
          <w:b/>
          <w:highlight w:val="none"/>
        </w:rPr>
        <w:t xml:space="preserve">  不可抗力</w:t>
      </w:r>
      <w:bookmarkEnd w:id="1003"/>
    </w:p>
    <w:p w14:paraId="09E267FC">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17.1</w:t>
      </w:r>
      <w:r>
        <w:rPr>
          <w:rFonts w:hint="eastAsia" w:asciiTheme="majorEastAsia" w:hAnsiTheme="majorEastAsia" w:eastAsiaTheme="majorEastAsia"/>
          <w:highlight w:val="none"/>
        </w:rPr>
        <w:t>不可抗力的定义</w:t>
      </w:r>
    </w:p>
    <w:p w14:paraId="2706D27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除通用合同条件约定的不可抗力事件之外，视为不可抗力的其他情形：</w:t>
      </w:r>
      <w:r>
        <w:rPr>
          <w:rFonts w:hint="eastAsia" w:asciiTheme="majorEastAsia" w:hAnsiTheme="majorEastAsia" w:eastAsiaTheme="majorEastAsia"/>
          <w:highlight w:val="none"/>
          <w:u w:val="single"/>
        </w:rPr>
        <w:t>（1）地震、海啸、火山爆发、泥石流、暴雨（雪）、台风、龙卷风、水灾等自然灾害；（2）战争、骚乱、暴动，但纯属承包人派遣与雇用的人员由于工程施工原因引起者除外；（3）空中飞行物体坠落或非发包人或承包人责任造成的爆炸、火灾；（4）新冠疫情；（5）重大社会活动</w:t>
      </w:r>
      <w:r>
        <w:rPr>
          <w:rFonts w:hint="eastAsia" w:asciiTheme="majorEastAsia" w:hAnsiTheme="majorEastAsia" w:eastAsiaTheme="majorEastAsia"/>
          <w:highlight w:val="none"/>
        </w:rPr>
        <w:t>。</w:t>
      </w:r>
    </w:p>
    <w:p w14:paraId="5A766850">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17.6</w:t>
      </w:r>
      <w:r>
        <w:rPr>
          <w:rFonts w:hint="eastAsia" w:asciiTheme="majorEastAsia" w:hAnsiTheme="majorEastAsia" w:eastAsiaTheme="majorEastAsia"/>
          <w:highlight w:val="none"/>
        </w:rPr>
        <w:t>因不可抗力解除合同</w:t>
      </w:r>
    </w:p>
    <w:p w14:paraId="52CD8931">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合同解除后，发包人应</w:t>
      </w:r>
      <w:r>
        <w:rPr>
          <w:rFonts w:hint="eastAsia" w:asciiTheme="majorEastAsia" w:hAnsiTheme="majorEastAsia" w:eastAsiaTheme="majorEastAsia"/>
          <w:highlight w:val="none"/>
        </w:rPr>
        <w:t>当</w:t>
      </w:r>
      <w:r>
        <w:rPr>
          <w:rFonts w:asciiTheme="majorEastAsia" w:hAnsiTheme="majorEastAsia" w:eastAsiaTheme="majorEastAsia"/>
          <w:highlight w:val="none"/>
        </w:rPr>
        <w:t>在商定或确定发包人应支付款项后</w:t>
      </w:r>
      <w:r>
        <w:rPr>
          <w:rFonts w:hint="eastAsia" w:asciiTheme="majorEastAsia" w:hAnsiTheme="majorEastAsia" w:eastAsiaTheme="majorEastAsia"/>
          <w:highlight w:val="none"/>
        </w:rPr>
        <w:t>的28</w:t>
      </w:r>
      <w:r>
        <w:rPr>
          <w:rFonts w:asciiTheme="majorEastAsia" w:hAnsiTheme="majorEastAsia" w:eastAsiaTheme="majorEastAsia"/>
          <w:highlight w:val="none"/>
        </w:rPr>
        <w:t>天内完成款项的支付。</w:t>
      </w:r>
    </w:p>
    <w:p w14:paraId="02E400D0">
      <w:pPr>
        <w:spacing w:line="560" w:lineRule="exact"/>
        <w:rPr>
          <w:rFonts w:asciiTheme="majorEastAsia" w:hAnsiTheme="majorEastAsia" w:eastAsiaTheme="majorEastAsia"/>
          <w:b/>
          <w:highlight w:val="none"/>
        </w:rPr>
      </w:pPr>
      <w:bookmarkStart w:id="1004" w:name="_Toc4784276"/>
      <w:bookmarkEnd w:id="1004"/>
      <w:bookmarkStart w:id="1005" w:name="_Toc4784277"/>
      <w:bookmarkEnd w:id="1005"/>
      <w:bookmarkStart w:id="1006" w:name="_Toc54862349"/>
      <w:r>
        <w:rPr>
          <w:rFonts w:hint="eastAsia" w:asciiTheme="majorEastAsia" w:hAnsiTheme="majorEastAsia" w:eastAsiaTheme="majorEastAsia"/>
          <w:b/>
          <w:highlight w:val="none"/>
        </w:rPr>
        <w:t>第1</w:t>
      </w:r>
      <w:r>
        <w:rPr>
          <w:rFonts w:asciiTheme="majorEastAsia" w:hAnsiTheme="majorEastAsia" w:eastAsiaTheme="majorEastAsia"/>
          <w:b/>
          <w:highlight w:val="none"/>
        </w:rPr>
        <w:t>8</w:t>
      </w:r>
      <w:r>
        <w:rPr>
          <w:rFonts w:hint="eastAsia" w:asciiTheme="majorEastAsia" w:hAnsiTheme="majorEastAsia" w:eastAsiaTheme="majorEastAsia"/>
          <w:b/>
          <w:highlight w:val="none"/>
        </w:rPr>
        <w:t>条</w:t>
      </w:r>
      <w:r>
        <w:rPr>
          <w:rFonts w:asciiTheme="majorEastAsia" w:hAnsiTheme="majorEastAsia" w:eastAsiaTheme="majorEastAsia"/>
          <w:b/>
          <w:highlight w:val="none"/>
        </w:rPr>
        <w:t xml:space="preserve"> </w:t>
      </w:r>
      <w:r>
        <w:rPr>
          <w:rFonts w:hint="eastAsia" w:asciiTheme="majorEastAsia" w:hAnsiTheme="majorEastAsia" w:eastAsiaTheme="majorEastAsia"/>
          <w:b/>
          <w:highlight w:val="none"/>
        </w:rPr>
        <w:t xml:space="preserve"> 保险</w:t>
      </w:r>
      <w:bookmarkEnd w:id="1006"/>
    </w:p>
    <w:p w14:paraId="66FDCF59">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18.1</w:t>
      </w:r>
      <w:r>
        <w:rPr>
          <w:rFonts w:hint="eastAsia" w:asciiTheme="majorEastAsia" w:hAnsiTheme="majorEastAsia" w:eastAsiaTheme="majorEastAsia"/>
          <w:highlight w:val="none"/>
        </w:rPr>
        <w:t>设计和工程保险</w:t>
      </w:r>
    </w:p>
    <w:p w14:paraId="3178EEE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8.1.1</w:t>
      </w:r>
      <w:r>
        <w:rPr>
          <w:rFonts w:hint="eastAsia" w:asciiTheme="majorEastAsia" w:hAnsiTheme="majorEastAsia" w:eastAsiaTheme="majorEastAsia"/>
          <w:highlight w:val="none"/>
        </w:rPr>
        <w:t>双方当事人</w:t>
      </w:r>
      <w:r>
        <w:rPr>
          <w:rFonts w:asciiTheme="majorEastAsia" w:hAnsiTheme="majorEastAsia" w:eastAsiaTheme="majorEastAsia"/>
          <w:highlight w:val="none"/>
        </w:rPr>
        <w:t>关于</w:t>
      </w:r>
      <w:r>
        <w:rPr>
          <w:rFonts w:hint="eastAsia" w:asciiTheme="majorEastAsia" w:hAnsiTheme="majorEastAsia" w:eastAsiaTheme="majorEastAsia"/>
          <w:highlight w:val="none"/>
        </w:rPr>
        <w:t>设计和工程保险</w:t>
      </w:r>
      <w:r>
        <w:rPr>
          <w:rFonts w:asciiTheme="majorEastAsia" w:hAnsiTheme="majorEastAsia" w:eastAsiaTheme="majorEastAsia"/>
          <w:highlight w:val="none"/>
        </w:rPr>
        <w:t>的特别</w:t>
      </w:r>
      <w:r>
        <w:rPr>
          <w:rFonts w:hint="eastAsia" w:asciiTheme="majorEastAsia" w:hAnsiTheme="majorEastAsia" w:eastAsiaTheme="majorEastAsia"/>
          <w:highlight w:val="none"/>
        </w:rPr>
        <w:t>约</w:t>
      </w:r>
      <w:r>
        <w:rPr>
          <w:rFonts w:asciiTheme="majorEastAsia" w:hAnsiTheme="majorEastAsia" w:eastAsiaTheme="majorEastAsia"/>
          <w:highlight w:val="none"/>
        </w:rPr>
        <w:t>定</w:t>
      </w:r>
      <w:r>
        <w:rPr>
          <w:rFonts w:hint="eastAsia" w:asciiTheme="majorEastAsia" w:hAnsiTheme="majorEastAsia" w:eastAsiaTheme="majorEastAsia"/>
          <w:highlight w:val="none"/>
        </w:rPr>
        <w:t>：</w:t>
      </w:r>
      <w:r>
        <w:rPr>
          <w:rFonts w:hint="eastAsia" w:asciiTheme="majorEastAsia" w:hAnsiTheme="majorEastAsia" w:eastAsiaTheme="majorEastAsia"/>
          <w:highlight w:val="none"/>
          <w:u w:val="single"/>
        </w:rPr>
        <w:t>建筑安装工程一切险由承包人负责购买，并承担相应费用，承包人将具体的险种、保险范围、保险金额、保险期限报工程师、造价咨询单位、发包人审批后方可进行购买，且承包人购买建筑安装工程一切险的费用不得超过招标控制价中的保险费用最高限价，承包人依保险合同约定每支付完一笔保险费用，凭保险合同、保险单据、保险凭证及缴费单据，向发包人提出付款申请，经工程师、造价咨询单位审核，发包人审批同意，支付保险费</w:t>
      </w:r>
      <w:r>
        <w:rPr>
          <w:rFonts w:hint="eastAsia" w:asciiTheme="majorEastAsia" w:hAnsiTheme="majorEastAsia" w:eastAsiaTheme="majorEastAsia"/>
          <w:highlight w:val="none"/>
        </w:rPr>
        <w:t>。</w:t>
      </w:r>
    </w:p>
    <w:p w14:paraId="6C36E3D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8.1.2</w:t>
      </w:r>
      <w:r>
        <w:rPr>
          <w:rFonts w:hint="eastAsia" w:asciiTheme="majorEastAsia" w:hAnsiTheme="majorEastAsia" w:eastAsiaTheme="majorEastAsia"/>
          <w:highlight w:val="none"/>
        </w:rPr>
        <w:t>双方当事人</w:t>
      </w:r>
      <w:r>
        <w:rPr>
          <w:rFonts w:asciiTheme="majorEastAsia" w:hAnsiTheme="majorEastAsia" w:eastAsiaTheme="majorEastAsia"/>
          <w:highlight w:val="none"/>
        </w:rPr>
        <w:t>关于</w:t>
      </w:r>
      <w:r>
        <w:rPr>
          <w:rFonts w:hint="eastAsia" w:asciiTheme="majorEastAsia" w:hAnsiTheme="majorEastAsia" w:eastAsiaTheme="majorEastAsia"/>
          <w:highlight w:val="none"/>
        </w:rPr>
        <w:t>第三方责任险</w:t>
      </w:r>
      <w:r>
        <w:rPr>
          <w:rFonts w:asciiTheme="majorEastAsia" w:hAnsiTheme="majorEastAsia" w:eastAsiaTheme="majorEastAsia"/>
          <w:highlight w:val="none"/>
        </w:rPr>
        <w:t>的特别</w:t>
      </w:r>
      <w:r>
        <w:rPr>
          <w:rFonts w:hint="eastAsia" w:asciiTheme="majorEastAsia" w:hAnsiTheme="majorEastAsia" w:eastAsiaTheme="majorEastAsia"/>
          <w:highlight w:val="none"/>
        </w:rPr>
        <w:t>约</w:t>
      </w:r>
      <w:r>
        <w:rPr>
          <w:rFonts w:asciiTheme="majorEastAsia" w:hAnsiTheme="majorEastAsia" w:eastAsiaTheme="majorEastAsia"/>
          <w:highlight w:val="none"/>
        </w:rPr>
        <w:t>定：</w:t>
      </w:r>
      <w:r>
        <w:rPr>
          <w:rFonts w:hint="eastAsia" w:asciiTheme="majorEastAsia" w:hAnsiTheme="majorEastAsia" w:eastAsiaTheme="majorEastAsia"/>
          <w:highlight w:val="none"/>
          <w:u w:val="single"/>
        </w:rPr>
        <w:t>第三方责任险由承包人负责购买，并承担相应费用，承包人将具体的险种、保险范围、保险金额、保险期限报工程师、造价咨询单位、发包人审批后方可进行购买，且承包人购买第三方责任险的费用不得超过招标控制价中的保险费用最高限价，承包人依保险合同约定每支付完一笔保险费用，凭保险合同、保险单据、保险凭证及缴费单据，向发包人提出付款申请，经工程师、造价咨询单位审核，发包人审批同意，支付保险费</w:t>
      </w:r>
      <w:r>
        <w:rPr>
          <w:rFonts w:hint="eastAsia" w:asciiTheme="majorEastAsia" w:hAnsiTheme="majorEastAsia" w:eastAsiaTheme="majorEastAsia"/>
          <w:highlight w:val="none"/>
        </w:rPr>
        <w:t>。</w:t>
      </w:r>
    </w:p>
    <w:p w14:paraId="05730DDE">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18.2</w:t>
      </w:r>
      <w:r>
        <w:rPr>
          <w:rFonts w:hint="eastAsia" w:asciiTheme="majorEastAsia" w:hAnsiTheme="majorEastAsia" w:eastAsiaTheme="majorEastAsia"/>
          <w:highlight w:val="none"/>
        </w:rPr>
        <w:t>工伤和意外伤害保险</w:t>
      </w:r>
    </w:p>
    <w:p w14:paraId="31B57EC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1</w:t>
      </w:r>
      <w:r>
        <w:rPr>
          <w:rFonts w:asciiTheme="majorEastAsia" w:hAnsiTheme="majorEastAsia" w:eastAsiaTheme="majorEastAsia"/>
          <w:highlight w:val="none"/>
        </w:rPr>
        <w:t>8.2.3关于</w:t>
      </w:r>
      <w:r>
        <w:rPr>
          <w:rFonts w:hint="eastAsia" w:asciiTheme="majorEastAsia" w:hAnsiTheme="majorEastAsia" w:eastAsiaTheme="majorEastAsia"/>
          <w:highlight w:val="none"/>
        </w:rPr>
        <w:t>工伤保险和意外伤害保险</w:t>
      </w:r>
      <w:r>
        <w:rPr>
          <w:rFonts w:asciiTheme="majorEastAsia" w:hAnsiTheme="majorEastAsia" w:eastAsiaTheme="majorEastAsia"/>
          <w:highlight w:val="none"/>
        </w:rPr>
        <w:t>的特别</w:t>
      </w:r>
      <w:r>
        <w:rPr>
          <w:rFonts w:hint="eastAsia" w:asciiTheme="majorEastAsia" w:hAnsiTheme="majorEastAsia" w:eastAsiaTheme="majorEastAsia"/>
          <w:highlight w:val="none"/>
        </w:rPr>
        <w:t>约</w:t>
      </w:r>
      <w:r>
        <w:rPr>
          <w:rFonts w:asciiTheme="majorEastAsia" w:hAnsiTheme="majorEastAsia" w:eastAsiaTheme="majorEastAsia"/>
          <w:highlight w:val="none"/>
        </w:rPr>
        <w:t>定：</w:t>
      </w:r>
      <w:r>
        <w:rPr>
          <w:rFonts w:hint="eastAsia" w:asciiTheme="majorEastAsia" w:hAnsiTheme="majorEastAsia" w:eastAsiaTheme="majorEastAsia"/>
          <w:highlight w:val="none"/>
          <w:u w:val="single"/>
        </w:rPr>
        <w:t>承包人应依照法律规定为其履行合同雇用的全部人员办理工伤保险，缴纳工伤保险费，费用由承包人自行承担，发包人不另行支付</w:t>
      </w:r>
      <w:r>
        <w:rPr>
          <w:rFonts w:hint="eastAsia" w:asciiTheme="majorEastAsia" w:hAnsiTheme="majorEastAsia" w:eastAsiaTheme="majorEastAsia"/>
          <w:highlight w:val="none"/>
        </w:rPr>
        <w:t>。</w:t>
      </w:r>
    </w:p>
    <w:p w14:paraId="7D414AC2">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18.3</w:t>
      </w:r>
      <w:r>
        <w:rPr>
          <w:rFonts w:hint="eastAsia" w:asciiTheme="majorEastAsia" w:hAnsiTheme="majorEastAsia" w:eastAsiaTheme="majorEastAsia"/>
          <w:highlight w:val="none"/>
        </w:rPr>
        <w:t>货物保险</w:t>
      </w:r>
    </w:p>
    <w:p w14:paraId="6BDA364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关于承包人应为其施工设备、材料、工程设备和临时工程等办理财产</w:t>
      </w:r>
      <w:r>
        <w:rPr>
          <w:rFonts w:asciiTheme="majorEastAsia" w:hAnsiTheme="majorEastAsia" w:eastAsiaTheme="majorEastAsia"/>
          <w:highlight w:val="none"/>
        </w:rPr>
        <w:t>保险的特别</w:t>
      </w:r>
      <w:r>
        <w:rPr>
          <w:rFonts w:hint="eastAsia" w:asciiTheme="majorEastAsia" w:hAnsiTheme="majorEastAsia" w:eastAsiaTheme="majorEastAsia"/>
          <w:highlight w:val="none"/>
        </w:rPr>
        <w:t>约</w:t>
      </w:r>
      <w:r>
        <w:rPr>
          <w:rFonts w:asciiTheme="majorEastAsia" w:hAnsiTheme="majorEastAsia" w:eastAsiaTheme="majorEastAsia"/>
          <w:highlight w:val="none"/>
        </w:rPr>
        <w:t>定：</w:t>
      </w:r>
      <w:r>
        <w:rPr>
          <w:rFonts w:hint="eastAsia" w:asciiTheme="majorEastAsia" w:hAnsiTheme="majorEastAsia" w:eastAsiaTheme="majorEastAsia"/>
          <w:highlight w:val="none"/>
          <w:u w:val="single"/>
        </w:rPr>
        <w:t>若承包人购买此项保险，费用由承包人自行承担，发包人不另行支付</w:t>
      </w:r>
      <w:r>
        <w:rPr>
          <w:rFonts w:hint="eastAsia" w:asciiTheme="majorEastAsia" w:hAnsiTheme="majorEastAsia" w:eastAsiaTheme="majorEastAsia"/>
          <w:highlight w:val="none"/>
        </w:rPr>
        <w:t>。</w:t>
      </w:r>
    </w:p>
    <w:p w14:paraId="2168C379">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18.4</w:t>
      </w:r>
      <w:r>
        <w:rPr>
          <w:rFonts w:hint="eastAsia" w:asciiTheme="majorEastAsia" w:hAnsiTheme="majorEastAsia" w:eastAsiaTheme="majorEastAsia"/>
          <w:highlight w:val="none"/>
        </w:rPr>
        <w:t>其他保险</w:t>
      </w:r>
    </w:p>
    <w:p w14:paraId="26FA3AB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关于其他保险的约定：</w:t>
      </w:r>
      <w:r>
        <w:rPr>
          <w:rFonts w:hint="eastAsia" w:asciiTheme="majorEastAsia" w:hAnsiTheme="majorEastAsia" w:eastAsiaTheme="majorEastAsia"/>
          <w:highlight w:val="none"/>
          <w:u w:val="single"/>
        </w:rPr>
        <w:t>若承包人购买其他保险，费用由承包人自行承担，发包人不另行支付</w:t>
      </w:r>
      <w:r>
        <w:rPr>
          <w:rFonts w:hint="eastAsia" w:asciiTheme="majorEastAsia" w:hAnsiTheme="majorEastAsia" w:eastAsiaTheme="majorEastAsia"/>
          <w:highlight w:val="none"/>
        </w:rPr>
        <w:t>。</w:t>
      </w:r>
    </w:p>
    <w:p w14:paraId="74E254A5">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18.5</w:t>
      </w:r>
      <w:r>
        <w:rPr>
          <w:rFonts w:hint="eastAsia" w:asciiTheme="majorEastAsia" w:hAnsiTheme="majorEastAsia" w:eastAsiaTheme="majorEastAsia"/>
          <w:highlight w:val="none"/>
        </w:rPr>
        <w:t>对各项保险的一般要求</w:t>
      </w:r>
    </w:p>
    <w:p w14:paraId="6E31D036">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18.5.2保险凭证</w:t>
      </w:r>
    </w:p>
    <w:p w14:paraId="768569C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保险单的条件：</w:t>
      </w:r>
      <w:r>
        <w:rPr>
          <w:rFonts w:hint="eastAsia" w:asciiTheme="majorEastAsia" w:hAnsiTheme="majorEastAsia" w:eastAsiaTheme="majorEastAsia"/>
          <w:highlight w:val="none"/>
          <w:u w:val="single"/>
        </w:rPr>
        <w:t>合同签订时约定</w:t>
      </w:r>
      <w:r>
        <w:rPr>
          <w:rFonts w:hint="eastAsia" w:asciiTheme="majorEastAsia" w:hAnsiTheme="majorEastAsia" w:eastAsiaTheme="majorEastAsia"/>
          <w:highlight w:val="none"/>
        </w:rPr>
        <w:t>。</w:t>
      </w:r>
    </w:p>
    <w:p w14:paraId="6A15E4D7">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18.5.4通知义务</w:t>
      </w:r>
    </w:p>
    <w:p w14:paraId="1263E985">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关于变更保险合同时的通知义务的约定：按通用条款执行。</w:t>
      </w:r>
    </w:p>
    <w:p w14:paraId="16163D24">
      <w:pPr>
        <w:spacing w:line="560" w:lineRule="exact"/>
        <w:rPr>
          <w:rFonts w:asciiTheme="majorEastAsia" w:hAnsiTheme="majorEastAsia" w:eastAsiaTheme="majorEastAsia"/>
          <w:b/>
          <w:highlight w:val="none"/>
        </w:rPr>
      </w:pPr>
      <w:bookmarkStart w:id="1007" w:name="_Toc54862350"/>
      <w:r>
        <w:rPr>
          <w:rFonts w:hint="eastAsia" w:asciiTheme="majorEastAsia" w:hAnsiTheme="majorEastAsia" w:eastAsiaTheme="majorEastAsia"/>
          <w:b/>
          <w:highlight w:val="none"/>
        </w:rPr>
        <w:t>第</w:t>
      </w:r>
      <w:r>
        <w:rPr>
          <w:rFonts w:asciiTheme="majorEastAsia" w:hAnsiTheme="majorEastAsia" w:eastAsiaTheme="majorEastAsia"/>
          <w:b/>
          <w:highlight w:val="none"/>
        </w:rPr>
        <w:t>20条</w:t>
      </w:r>
      <w:r>
        <w:rPr>
          <w:rFonts w:hint="eastAsia" w:asciiTheme="majorEastAsia" w:hAnsiTheme="majorEastAsia" w:eastAsiaTheme="majorEastAsia"/>
          <w:b/>
          <w:highlight w:val="none"/>
        </w:rPr>
        <w:t xml:space="preserve">  争议解决</w:t>
      </w:r>
      <w:bookmarkEnd w:id="1007"/>
    </w:p>
    <w:p w14:paraId="0A074BE9">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20.3</w:t>
      </w:r>
      <w:r>
        <w:rPr>
          <w:rFonts w:hint="eastAsia" w:asciiTheme="majorEastAsia" w:hAnsiTheme="majorEastAsia" w:eastAsiaTheme="majorEastAsia"/>
          <w:highlight w:val="none"/>
        </w:rPr>
        <w:t>争议评审</w:t>
      </w:r>
    </w:p>
    <w:p w14:paraId="7DA4F3B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合同当事人是否同意将工程争议提交争议评审小组决定：</w:t>
      </w:r>
      <w:r>
        <w:rPr>
          <w:rFonts w:hint="eastAsia" w:asciiTheme="majorEastAsia" w:hAnsiTheme="majorEastAsia" w:eastAsiaTheme="majorEastAsia"/>
          <w:highlight w:val="none"/>
          <w:u w:val="single"/>
        </w:rPr>
        <w:t>/</w:t>
      </w:r>
      <w:r>
        <w:rPr>
          <w:rFonts w:hint="eastAsia" w:asciiTheme="majorEastAsia" w:hAnsiTheme="majorEastAsia" w:eastAsiaTheme="majorEastAsia"/>
          <w:highlight w:val="none"/>
        </w:rPr>
        <w:t>。</w:t>
      </w:r>
    </w:p>
    <w:p w14:paraId="66A7D85F">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20.3.1</w:t>
      </w:r>
      <w:r>
        <w:rPr>
          <w:rFonts w:hint="eastAsia" w:asciiTheme="majorEastAsia" w:hAnsiTheme="majorEastAsia" w:eastAsiaTheme="majorEastAsia"/>
          <w:highlight w:val="none"/>
        </w:rPr>
        <w:t>争议评审小组</w:t>
      </w:r>
      <w:r>
        <w:rPr>
          <w:rFonts w:asciiTheme="majorEastAsia" w:hAnsiTheme="majorEastAsia" w:eastAsiaTheme="majorEastAsia"/>
          <w:highlight w:val="none"/>
        </w:rPr>
        <w:t>的确定</w:t>
      </w:r>
    </w:p>
    <w:p w14:paraId="4362F1C4">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争议评审小组成员的人数：</w:t>
      </w:r>
      <w:r>
        <w:rPr>
          <w:rFonts w:hint="eastAsia" w:asciiTheme="majorEastAsia" w:hAnsiTheme="majorEastAsia" w:eastAsiaTheme="majorEastAsia"/>
          <w:highlight w:val="none"/>
          <w:u w:val="single"/>
        </w:rPr>
        <w:t>/</w:t>
      </w:r>
      <w:r>
        <w:rPr>
          <w:rFonts w:asciiTheme="majorEastAsia" w:hAnsiTheme="majorEastAsia" w:eastAsiaTheme="majorEastAsia"/>
          <w:highlight w:val="none"/>
        </w:rPr>
        <w:t>。</w:t>
      </w:r>
    </w:p>
    <w:p w14:paraId="00A1ADBA">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争议评审小组成员的确定：</w:t>
      </w:r>
      <w:r>
        <w:rPr>
          <w:rFonts w:hint="eastAsia" w:asciiTheme="majorEastAsia" w:hAnsiTheme="majorEastAsia" w:eastAsiaTheme="majorEastAsia"/>
          <w:highlight w:val="none"/>
          <w:u w:val="single"/>
        </w:rPr>
        <w:t>/</w:t>
      </w:r>
      <w:r>
        <w:rPr>
          <w:rFonts w:asciiTheme="majorEastAsia" w:hAnsiTheme="majorEastAsia" w:eastAsiaTheme="majorEastAsia"/>
          <w:highlight w:val="none"/>
        </w:rPr>
        <w:t>。</w:t>
      </w:r>
    </w:p>
    <w:p w14:paraId="58C8A5A3">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选定争议避免/评审组的期限：</w:t>
      </w:r>
      <w:r>
        <w:rPr>
          <w:rFonts w:hint="eastAsia" w:asciiTheme="majorEastAsia" w:hAnsiTheme="majorEastAsia" w:eastAsiaTheme="majorEastAsia"/>
          <w:highlight w:val="none"/>
          <w:u w:val="single"/>
        </w:rPr>
        <w:t>/</w:t>
      </w:r>
      <w:r>
        <w:rPr>
          <w:rFonts w:asciiTheme="majorEastAsia" w:hAnsiTheme="majorEastAsia" w:eastAsiaTheme="majorEastAsia"/>
          <w:highlight w:val="none"/>
        </w:rPr>
        <w:t>。</w:t>
      </w:r>
    </w:p>
    <w:p w14:paraId="075A9EB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评审机构：</w:t>
      </w:r>
      <w:r>
        <w:rPr>
          <w:rFonts w:hint="eastAsia" w:asciiTheme="majorEastAsia" w:hAnsiTheme="majorEastAsia" w:eastAsiaTheme="majorEastAsia"/>
          <w:highlight w:val="none"/>
          <w:u w:val="single"/>
        </w:rPr>
        <w:t>/</w:t>
      </w:r>
      <w:r>
        <w:rPr>
          <w:rFonts w:asciiTheme="majorEastAsia" w:hAnsiTheme="majorEastAsia" w:eastAsiaTheme="majorEastAsia"/>
          <w:highlight w:val="none"/>
        </w:rPr>
        <w:t>。</w:t>
      </w:r>
    </w:p>
    <w:p w14:paraId="28B159A7">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其他事项的约定：</w:t>
      </w:r>
      <w:r>
        <w:rPr>
          <w:rFonts w:hint="eastAsia" w:asciiTheme="majorEastAsia" w:hAnsiTheme="majorEastAsia" w:eastAsiaTheme="majorEastAsia"/>
          <w:highlight w:val="none"/>
          <w:u w:val="single"/>
        </w:rPr>
        <w:t>/</w:t>
      </w:r>
      <w:r>
        <w:rPr>
          <w:rFonts w:asciiTheme="majorEastAsia" w:hAnsiTheme="majorEastAsia" w:eastAsiaTheme="majorEastAsia"/>
          <w:highlight w:val="none"/>
        </w:rPr>
        <w:t>。</w:t>
      </w:r>
    </w:p>
    <w:p w14:paraId="2000A82E">
      <w:pPr>
        <w:spacing w:line="560" w:lineRule="exact"/>
        <w:ind w:firstLine="410" w:firstLineChars="171"/>
        <w:rPr>
          <w:rFonts w:asciiTheme="majorEastAsia" w:hAnsiTheme="majorEastAsia" w:eastAsiaTheme="majorEastAsia"/>
          <w:b/>
          <w:highlight w:val="none"/>
        </w:rPr>
      </w:pPr>
      <w:r>
        <w:rPr>
          <w:rFonts w:asciiTheme="majorEastAsia" w:hAnsiTheme="majorEastAsia" w:eastAsiaTheme="majorEastAsia"/>
          <w:highlight w:val="none"/>
        </w:rPr>
        <w:t>争议评审员报酬</w:t>
      </w:r>
      <w:r>
        <w:rPr>
          <w:rFonts w:hint="eastAsia" w:asciiTheme="majorEastAsia" w:hAnsiTheme="majorEastAsia" w:eastAsiaTheme="majorEastAsia"/>
          <w:highlight w:val="none"/>
        </w:rPr>
        <w:t>的承担人：</w:t>
      </w:r>
      <w:r>
        <w:rPr>
          <w:rFonts w:hint="eastAsia" w:asciiTheme="majorEastAsia" w:hAnsiTheme="majorEastAsia" w:eastAsiaTheme="majorEastAsia"/>
          <w:highlight w:val="none"/>
          <w:u w:val="single"/>
        </w:rPr>
        <w:t>/</w:t>
      </w:r>
      <w:r>
        <w:rPr>
          <w:rFonts w:asciiTheme="majorEastAsia" w:hAnsiTheme="majorEastAsia" w:eastAsiaTheme="majorEastAsia"/>
          <w:highlight w:val="none"/>
        </w:rPr>
        <w:t>。</w:t>
      </w:r>
    </w:p>
    <w:p w14:paraId="0948297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20.3.2争议的避免</w:t>
      </w:r>
    </w:p>
    <w:p w14:paraId="0FD911B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发包人和承包人是否均出席争议避免的非正式讨论：/</w:t>
      </w:r>
      <w:r>
        <w:rPr>
          <w:rFonts w:asciiTheme="majorEastAsia" w:hAnsiTheme="majorEastAsia" w:eastAsiaTheme="majorEastAsia"/>
          <w:highlight w:val="none"/>
        </w:rPr>
        <w:t>。</w:t>
      </w:r>
    </w:p>
    <w:p w14:paraId="3BD4B0B3">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20.3.3</w:t>
      </w:r>
      <w:r>
        <w:rPr>
          <w:rFonts w:hint="eastAsia" w:asciiTheme="majorEastAsia" w:hAnsiTheme="majorEastAsia" w:eastAsiaTheme="majorEastAsia"/>
          <w:highlight w:val="none"/>
        </w:rPr>
        <w:t>争议评审小组的决定</w:t>
      </w:r>
    </w:p>
    <w:p w14:paraId="6D8AA83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关于争议评审小组的决定的特别约定：</w:t>
      </w:r>
      <w:r>
        <w:rPr>
          <w:rFonts w:hint="eastAsia" w:asciiTheme="majorEastAsia" w:hAnsiTheme="majorEastAsia" w:eastAsiaTheme="majorEastAsia"/>
          <w:highlight w:val="none"/>
          <w:u w:val="single"/>
        </w:rPr>
        <w:t>/</w:t>
      </w:r>
      <w:r>
        <w:rPr>
          <w:rFonts w:asciiTheme="majorEastAsia" w:hAnsiTheme="majorEastAsia" w:eastAsiaTheme="majorEastAsia"/>
          <w:highlight w:val="none"/>
        </w:rPr>
        <w:t>。</w:t>
      </w:r>
    </w:p>
    <w:p w14:paraId="4FA58F5A">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20.4</w:t>
      </w:r>
      <w:r>
        <w:rPr>
          <w:rFonts w:hint="eastAsia" w:asciiTheme="majorEastAsia" w:hAnsiTheme="majorEastAsia" w:eastAsiaTheme="majorEastAsia"/>
          <w:highlight w:val="none"/>
        </w:rPr>
        <w:t>仲裁或诉讼</w:t>
      </w:r>
    </w:p>
    <w:p w14:paraId="6662581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因合同及合同有关事项发生的争议，按下列第（2）</w:t>
      </w:r>
      <w:r>
        <w:rPr>
          <w:rFonts w:asciiTheme="majorEastAsia" w:hAnsiTheme="majorEastAsia" w:eastAsiaTheme="majorEastAsia"/>
          <w:highlight w:val="none"/>
        </w:rPr>
        <w:t>种方式解决：</w:t>
      </w:r>
    </w:p>
    <w:p w14:paraId="477ED7A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w:t>
      </w:r>
      <w:r>
        <w:rPr>
          <w:rFonts w:asciiTheme="majorEastAsia" w:hAnsiTheme="majorEastAsia" w:eastAsiaTheme="majorEastAsia"/>
          <w:highlight w:val="none"/>
        </w:rPr>
        <w:t>1）向</w:t>
      </w:r>
      <w:r>
        <w:rPr>
          <w:rFonts w:hint="eastAsia" w:asciiTheme="majorEastAsia" w:hAnsiTheme="majorEastAsia" w:eastAsiaTheme="majorEastAsia"/>
          <w:highlight w:val="none"/>
        </w:rPr>
        <w:t>当地</w:t>
      </w:r>
      <w:r>
        <w:rPr>
          <w:rFonts w:asciiTheme="majorEastAsia" w:hAnsiTheme="majorEastAsia" w:eastAsiaTheme="majorEastAsia"/>
          <w:highlight w:val="none"/>
        </w:rPr>
        <w:t>仲裁委员会申请仲裁</w:t>
      </w:r>
      <w:r>
        <w:rPr>
          <w:rFonts w:hint="eastAsia" w:asciiTheme="majorEastAsia" w:hAnsiTheme="majorEastAsia" w:eastAsiaTheme="majorEastAsia"/>
          <w:highlight w:val="none"/>
        </w:rPr>
        <w:t>；</w:t>
      </w:r>
    </w:p>
    <w:p w14:paraId="5CD4180E">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w:t>
      </w:r>
      <w:r>
        <w:rPr>
          <w:rFonts w:asciiTheme="majorEastAsia" w:hAnsiTheme="majorEastAsia" w:eastAsiaTheme="majorEastAsia"/>
          <w:highlight w:val="none"/>
        </w:rPr>
        <w:t>2）向</w:t>
      </w:r>
      <w:r>
        <w:rPr>
          <w:rFonts w:hint="eastAsia" w:asciiTheme="majorEastAsia" w:hAnsiTheme="majorEastAsia" w:eastAsiaTheme="majorEastAsia"/>
          <w:highlight w:val="none"/>
          <w:u w:val="single"/>
        </w:rPr>
        <w:t>项目所在地有管辖权的</w:t>
      </w:r>
      <w:r>
        <w:rPr>
          <w:rFonts w:asciiTheme="majorEastAsia" w:hAnsiTheme="majorEastAsia" w:eastAsiaTheme="majorEastAsia"/>
          <w:highlight w:val="none"/>
        </w:rPr>
        <w:t>人民法院起诉。</w:t>
      </w:r>
    </w:p>
    <w:p w14:paraId="01CFFA46">
      <w:pPr>
        <w:spacing w:line="560" w:lineRule="exact"/>
        <w:rPr>
          <w:rFonts w:asciiTheme="majorEastAsia" w:hAnsiTheme="majorEastAsia" w:eastAsiaTheme="majorEastAsia"/>
          <w:b/>
          <w:highlight w:val="none"/>
        </w:rPr>
      </w:pPr>
      <w:r>
        <w:rPr>
          <w:rFonts w:asciiTheme="majorEastAsia" w:hAnsiTheme="majorEastAsia" w:eastAsiaTheme="majorEastAsia"/>
          <w:b/>
          <w:highlight w:val="none"/>
        </w:rPr>
        <w:t>第</w:t>
      </w:r>
      <w:r>
        <w:rPr>
          <w:rFonts w:hint="eastAsia" w:asciiTheme="majorEastAsia" w:hAnsiTheme="majorEastAsia" w:eastAsiaTheme="majorEastAsia"/>
          <w:b/>
          <w:highlight w:val="none"/>
        </w:rPr>
        <w:t>21</w:t>
      </w:r>
      <w:r>
        <w:rPr>
          <w:rFonts w:asciiTheme="majorEastAsia" w:hAnsiTheme="majorEastAsia" w:eastAsiaTheme="majorEastAsia"/>
          <w:b/>
          <w:highlight w:val="none"/>
        </w:rPr>
        <w:t xml:space="preserve">条  </w:t>
      </w:r>
      <w:r>
        <w:rPr>
          <w:rFonts w:hint="eastAsia" w:asciiTheme="majorEastAsia" w:hAnsiTheme="majorEastAsia" w:eastAsiaTheme="majorEastAsia"/>
          <w:b/>
          <w:highlight w:val="none"/>
        </w:rPr>
        <w:t>补充条款</w:t>
      </w:r>
    </w:p>
    <w:p w14:paraId="04E00098">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21.1设计单位所出具的成果不能有任何指向性品牌、规格参数等内容，由此产生的后果由设计单位承担。</w:t>
      </w:r>
    </w:p>
    <w:p w14:paraId="6C23D1E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21.2承包人须牵头迎接政府部门的检查工作，</w:t>
      </w:r>
      <w:r>
        <w:rPr>
          <w:rFonts w:hint="eastAsia"/>
          <w:highlight w:val="none"/>
        </w:rPr>
        <w:t>若是配合发包人迎接检查，费用由发包人承担。</w:t>
      </w:r>
      <w:r>
        <w:rPr>
          <w:rFonts w:hint="eastAsia" w:asciiTheme="majorEastAsia" w:hAnsiTheme="majorEastAsia" w:eastAsiaTheme="majorEastAsia"/>
          <w:highlight w:val="none"/>
        </w:rPr>
        <w:t>。</w:t>
      </w:r>
    </w:p>
    <w:p w14:paraId="2BF012E1">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21.3已完工程成品保护的特殊要求及费用承担：已完工的工程、已安装的设备在工程未移交前，其成品保护及费用由承包单位承担，如出现损坏，由承包人负责。</w:t>
      </w:r>
    </w:p>
    <w:p w14:paraId="0C0D354D">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21.4因变更引起价格调整的处理方式：若出现设计变更或现场变更时，原设计文件或工程量清单中设备取消的，其单价作废。变更后设备单价，由承包人提出，经监理人、造价咨询人审核后根据市场价格确定后由发包人书面确定。</w:t>
      </w:r>
    </w:p>
    <w:p w14:paraId="1DA1920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21.5施工场地清洁卫生的要求：全天候做好施工场地保洁工作，及时清理因清运废土，做到文明施工，工完场清，费用自理。</w:t>
      </w:r>
    </w:p>
    <w:p w14:paraId="0068B88C">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21.6本项目施工所需材料由承包人自行采购，但必须在招标人指定要求下进行采购。</w:t>
      </w:r>
    </w:p>
    <w:p w14:paraId="442F61F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21.7工程量清单漏项的补充原则及方法：由承包人提出，经监理单位核定后由发包人书面确认。</w:t>
      </w:r>
    </w:p>
    <w:p w14:paraId="1CFB556B">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21.8工程量调整的原则和方法：由承包人提出，经监理单位核定后由发包人书面确认。</w:t>
      </w:r>
    </w:p>
    <w:p w14:paraId="57A6F6A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21.9措施费用调整的原则和方法：由于工程量清单漏项、设计变更、施工条件变更、工程量清单的工程数量有误而造成施工措施费用增减，由承包人提出，经监理人、造价咨询人（如有）审核后由发包人书面确定。</w:t>
      </w:r>
    </w:p>
    <w:p w14:paraId="0FCCF912">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21.10本项目施工要求一次性验收达到合格</w:t>
      </w:r>
      <w:r>
        <w:rPr>
          <w:rFonts w:asciiTheme="majorEastAsia" w:hAnsiTheme="majorEastAsia" w:eastAsiaTheme="majorEastAsia"/>
          <w:highlight w:val="none"/>
        </w:rPr>
        <w:t>（</w:t>
      </w:r>
      <w:r>
        <w:rPr>
          <w:rFonts w:hint="eastAsia" w:asciiTheme="majorEastAsia" w:hAnsiTheme="majorEastAsia" w:eastAsiaTheme="majorEastAsia"/>
          <w:highlight w:val="none"/>
        </w:rPr>
        <w:t>含初步验收及竣工验收</w:t>
      </w:r>
      <w:r>
        <w:rPr>
          <w:rFonts w:asciiTheme="majorEastAsia" w:hAnsiTheme="majorEastAsia" w:eastAsiaTheme="majorEastAsia"/>
          <w:highlight w:val="none"/>
        </w:rPr>
        <w:t>）</w:t>
      </w:r>
      <w:r>
        <w:rPr>
          <w:rFonts w:hint="eastAsia" w:asciiTheme="majorEastAsia" w:hAnsiTheme="majorEastAsia" w:eastAsiaTheme="majorEastAsia"/>
          <w:highlight w:val="none"/>
        </w:rPr>
        <w:t>，若由于承包人自身的原因造成工程质量达不到合格标准，致使多次整改验收，由此给发包人造成损失的，承包人应赔偿发包人因此而造成的实际损失，并且每增加一次整改验收，承包人每次向发包人支付违约金10万元，质量违约金最高限额为相应板块合同金额10%。</w:t>
      </w:r>
    </w:p>
    <w:p w14:paraId="54760396">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21.11违约事实由承包人汇同监理人共同确认，由发包人出具违约支付通知，违约金由发包人直接从工程款或合同履约保证金中扣除。</w:t>
      </w:r>
    </w:p>
    <w:p w14:paraId="33A02A79">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21</w:t>
      </w:r>
      <w:r>
        <w:rPr>
          <w:rFonts w:asciiTheme="majorEastAsia" w:hAnsiTheme="majorEastAsia" w:eastAsiaTheme="majorEastAsia"/>
          <w:highlight w:val="none"/>
        </w:rPr>
        <w:t>.1</w:t>
      </w:r>
      <w:r>
        <w:rPr>
          <w:rFonts w:hint="eastAsia" w:asciiTheme="majorEastAsia" w:hAnsiTheme="majorEastAsia" w:eastAsiaTheme="majorEastAsia"/>
          <w:highlight w:val="none"/>
        </w:rPr>
        <w:t>2承包人必须保证资金专款专用并设立专户，绝不挪作他用，在收到工程预付款和进度款前必须列出开支计划，优先保障民工工资的支付，并接受发包人的监督。若发生挪作他用或不按开支计划合理使用工程资金，发包人有权停止支付款项，并有权直接支付相应开支，且承包人不能因此而停止工程的施工。</w:t>
      </w:r>
    </w:p>
    <w:p w14:paraId="5DC08E4F">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21.13承包人应当严格按照新型冠状病毒肺炎防控要求的相关文件进行自检，配合和执行招标人及相关防疫部门的要求，制定疫情防控方案。做到无任何感染或疑似感染症状人员出现在项目施工现场。若因此而引发的一切后果，由承包人自行承担。</w:t>
      </w:r>
    </w:p>
    <w:p w14:paraId="03DAC497">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w:t>
      </w:r>
      <w:r>
        <w:rPr>
          <w:rFonts w:hint="eastAsia" w:asciiTheme="majorEastAsia" w:hAnsiTheme="majorEastAsia" w:eastAsiaTheme="majorEastAsia"/>
          <w:highlight w:val="none"/>
        </w:rPr>
        <w:t>1</w:t>
      </w:r>
      <w:r>
        <w:rPr>
          <w:rFonts w:asciiTheme="majorEastAsia" w:hAnsiTheme="majorEastAsia" w:eastAsiaTheme="majorEastAsia"/>
          <w:highlight w:val="none"/>
        </w:rPr>
        <w:t>.1</w:t>
      </w:r>
      <w:r>
        <w:rPr>
          <w:rFonts w:hint="eastAsia" w:asciiTheme="majorEastAsia" w:hAnsiTheme="majorEastAsia" w:eastAsiaTheme="majorEastAsia"/>
          <w:highlight w:val="none"/>
        </w:rPr>
        <w:t>4承包合同工程的内容及合同工作范围划分：</w:t>
      </w:r>
    </w:p>
    <w:p w14:paraId="70FD4F04">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w:t>
      </w:r>
      <w:r>
        <w:rPr>
          <w:rFonts w:hint="eastAsia" w:asciiTheme="majorEastAsia" w:hAnsiTheme="majorEastAsia" w:eastAsiaTheme="majorEastAsia"/>
          <w:highlight w:val="none"/>
        </w:rPr>
        <w:t>1</w:t>
      </w:r>
      <w:r>
        <w:rPr>
          <w:rFonts w:asciiTheme="majorEastAsia" w:hAnsiTheme="majorEastAsia" w:eastAsiaTheme="majorEastAsia"/>
          <w:highlight w:val="none"/>
        </w:rPr>
        <w:t>.</w:t>
      </w:r>
      <w:r>
        <w:rPr>
          <w:rFonts w:hint="eastAsia" w:asciiTheme="majorEastAsia" w:hAnsiTheme="majorEastAsia" w:eastAsiaTheme="majorEastAsia"/>
          <w:highlight w:val="none"/>
        </w:rPr>
        <w:t>15承包合同的单项工程一览表：</w:t>
      </w:r>
    </w:p>
    <w:p w14:paraId="50C9B4A4">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w:t>
      </w:r>
      <w:r>
        <w:rPr>
          <w:rFonts w:hint="eastAsia" w:asciiTheme="majorEastAsia" w:hAnsiTheme="majorEastAsia" w:eastAsiaTheme="majorEastAsia"/>
          <w:highlight w:val="none"/>
        </w:rPr>
        <w:t>1</w:t>
      </w:r>
      <w:r>
        <w:rPr>
          <w:rFonts w:asciiTheme="majorEastAsia" w:hAnsiTheme="majorEastAsia" w:eastAsiaTheme="majorEastAsia"/>
          <w:highlight w:val="none"/>
        </w:rPr>
        <w:t>.</w:t>
      </w:r>
      <w:r>
        <w:rPr>
          <w:rFonts w:hint="eastAsia" w:asciiTheme="majorEastAsia" w:hAnsiTheme="majorEastAsia" w:eastAsiaTheme="majorEastAsia"/>
          <w:highlight w:val="none"/>
        </w:rPr>
        <w:t>16合同价格清单分项表：</w:t>
      </w:r>
    </w:p>
    <w:p w14:paraId="7DFCA895">
      <w:pPr>
        <w:spacing w:line="560" w:lineRule="exact"/>
        <w:ind w:firstLine="410" w:firstLineChars="171"/>
        <w:rPr>
          <w:rFonts w:asciiTheme="majorEastAsia" w:hAnsiTheme="majorEastAsia" w:eastAsiaTheme="majorEastAsia"/>
          <w:highlight w:val="none"/>
        </w:rPr>
      </w:pPr>
      <w:r>
        <w:rPr>
          <w:rFonts w:asciiTheme="majorEastAsia" w:hAnsiTheme="majorEastAsia" w:eastAsiaTheme="majorEastAsia"/>
          <w:highlight w:val="none"/>
        </w:rPr>
        <w:t>2</w:t>
      </w:r>
      <w:r>
        <w:rPr>
          <w:rFonts w:hint="eastAsia" w:asciiTheme="majorEastAsia" w:hAnsiTheme="majorEastAsia" w:eastAsiaTheme="majorEastAsia"/>
          <w:highlight w:val="none"/>
        </w:rPr>
        <w:t>1</w:t>
      </w:r>
      <w:r>
        <w:rPr>
          <w:rFonts w:asciiTheme="majorEastAsia" w:hAnsiTheme="majorEastAsia" w:eastAsiaTheme="majorEastAsia"/>
          <w:highlight w:val="none"/>
        </w:rPr>
        <w:t>.</w:t>
      </w:r>
      <w:r>
        <w:rPr>
          <w:rFonts w:hint="eastAsia" w:asciiTheme="majorEastAsia" w:hAnsiTheme="majorEastAsia" w:eastAsiaTheme="majorEastAsia"/>
          <w:highlight w:val="none"/>
        </w:rPr>
        <w:t>17其他合同附件：</w:t>
      </w:r>
    </w:p>
    <w:p w14:paraId="7C8B92E0">
      <w:pPr>
        <w:spacing w:line="560" w:lineRule="exact"/>
        <w:ind w:firstLine="410" w:firstLineChars="171"/>
        <w:rPr>
          <w:rFonts w:asciiTheme="majorEastAsia" w:hAnsiTheme="majorEastAsia" w:eastAsiaTheme="majorEastAsia"/>
          <w:highlight w:val="none"/>
        </w:rPr>
      </w:pPr>
      <w:r>
        <w:rPr>
          <w:rFonts w:hint="eastAsia" w:asciiTheme="majorEastAsia" w:hAnsiTheme="majorEastAsia" w:eastAsiaTheme="majorEastAsia"/>
          <w:highlight w:val="none"/>
        </w:rPr>
        <w:t>21.18未尽事宜，双方协商约定。</w:t>
      </w:r>
    </w:p>
    <w:p w14:paraId="0EE3666E">
      <w:pPr>
        <w:rPr>
          <w:rFonts w:asciiTheme="majorEastAsia" w:hAnsiTheme="majorEastAsia" w:eastAsiaTheme="majorEastAsia"/>
          <w:highlight w:val="none"/>
        </w:rPr>
      </w:pPr>
      <w:r>
        <w:rPr>
          <w:rFonts w:asciiTheme="majorEastAsia" w:hAnsiTheme="majorEastAsia" w:eastAsiaTheme="majorEastAsia"/>
          <w:highlight w:val="none"/>
        </w:rPr>
        <w:br w:type="page"/>
      </w:r>
    </w:p>
    <w:p w14:paraId="44961C36">
      <w:pPr>
        <w:jc w:val="center"/>
        <w:rPr>
          <w:rFonts w:asciiTheme="majorEastAsia" w:hAnsiTheme="majorEastAsia" w:eastAsiaTheme="majorEastAsia"/>
          <w:sz w:val="44"/>
          <w:szCs w:val="44"/>
          <w:highlight w:val="none"/>
        </w:rPr>
      </w:pPr>
      <w:r>
        <w:rPr>
          <w:rFonts w:hint="eastAsia" w:asciiTheme="majorEastAsia" w:hAnsiTheme="majorEastAsia" w:eastAsiaTheme="majorEastAsia"/>
          <w:sz w:val="44"/>
          <w:szCs w:val="44"/>
          <w:highlight w:val="none"/>
        </w:rPr>
        <w:t>第四节  合同附件格式</w:t>
      </w:r>
    </w:p>
    <w:p w14:paraId="0C1B04F8">
      <w:pPr>
        <w:pStyle w:val="4"/>
        <w:spacing w:beforeLines="50" w:after="120" w:afterLines="50" w:line="700" w:lineRule="exact"/>
        <w:ind w:firstLine="0" w:firstLineChars="0"/>
        <w:jc w:val="left"/>
        <w:rPr>
          <w:rFonts w:asciiTheme="majorEastAsia" w:hAnsiTheme="majorEastAsia" w:eastAsiaTheme="majorEastAsia"/>
          <w:sz w:val="30"/>
          <w:szCs w:val="30"/>
          <w:highlight w:val="none"/>
        </w:rPr>
      </w:pPr>
      <w:r>
        <w:rPr>
          <w:rFonts w:hint="eastAsia" w:asciiTheme="majorEastAsia" w:hAnsiTheme="majorEastAsia" w:eastAsiaTheme="majorEastAsia"/>
          <w:sz w:val="30"/>
          <w:szCs w:val="30"/>
          <w:highlight w:val="none"/>
        </w:rPr>
        <w:t>附件</w:t>
      </w:r>
      <w:r>
        <w:rPr>
          <w:rFonts w:hint="eastAsia" w:asciiTheme="majorEastAsia" w:hAnsiTheme="majorEastAsia" w:eastAsiaTheme="majorEastAsia"/>
          <w:sz w:val="30"/>
          <w:szCs w:val="30"/>
          <w:highlight w:val="none"/>
          <w:lang w:val="en-US" w:eastAsia="zh-CN"/>
        </w:rPr>
        <w:t>一</w:t>
      </w:r>
      <w:r>
        <w:rPr>
          <w:rFonts w:hint="eastAsia" w:asciiTheme="majorEastAsia" w:hAnsiTheme="majorEastAsia" w:eastAsiaTheme="majorEastAsia"/>
          <w:sz w:val="30"/>
          <w:szCs w:val="30"/>
          <w:highlight w:val="none"/>
        </w:rPr>
        <w:t>：安全生产责任书</w:t>
      </w:r>
    </w:p>
    <w:p w14:paraId="513CBEF4">
      <w:pPr>
        <w:spacing w:line="700" w:lineRule="exact"/>
        <w:ind w:firstLine="602"/>
        <w:jc w:val="center"/>
        <w:rPr>
          <w:rFonts w:asciiTheme="majorEastAsia" w:hAnsiTheme="majorEastAsia" w:eastAsiaTheme="majorEastAsia"/>
          <w:b/>
          <w:sz w:val="30"/>
          <w:szCs w:val="30"/>
          <w:highlight w:val="none"/>
        </w:rPr>
      </w:pPr>
      <w:r>
        <w:rPr>
          <w:rFonts w:hint="eastAsia" w:asciiTheme="majorEastAsia" w:hAnsiTheme="majorEastAsia" w:eastAsiaTheme="majorEastAsia"/>
          <w:b/>
          <w:sz w:val="30"/>
          <w:szCs w:val="30"/>
          <w:highlight w:val="none"/>
        </w:rPr>
        <w:t>安全生产责任书</w:t>
      </w:r>
    </w:p>
    <w:p w14:paraId="40351CDE">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为认真贯彻落实安全第一、预防为主、综合治理的方针，强化</w:t>
      </w:r>
      <w:r>
        <w:rPr>
          <w:rFonts w:hint="eastAsia" w:asciiTheme="majorEastAsia" w:hAnsiTheme="majorEastAsia" w:eastAsiaTheme="majorEastAsia"/>
          <w:highlight w:val="none"/>
          <w:u w:val="single"/>
        </w:rPr>
        <w:t xml:space="preserve">        </w:t>
      </w:r>
      <w:r>
        <w:rPr>
          <w:rFonts w:hint="eastAsia" w:asciiTheme="majorEastAsia" w:hAnsiTheme="majorEastAsia" w:eastAsiaTheme="majorEastAsia"/>
          <w:highlight w:val="none"/>
        </w:rPr>
        <w:t>工程施工过程的安全生产管理，全面推行安全生产责任制，遏制伤亡事故，减少一般事故，确保人民生命和国家财产安全，促进经济发展和社会稳定，根据《中华人民共和国安全生产法》、《云南省安全生产条例》等国家、省、市有关部门的要求和本工程施工合同中有关安全生产的条款规定，签订本安全生产管理目标责任书。</w:t>
      </w:r>
    </w:p>
    <w:p w14:paraId="122331CE">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一、本责任书责任单位为：承担</w:t>
      </w:r>
      <w:r>
        <w:rPr>
          <w:rFonts w:hint="eastAsia" w:asciiTheme="majorEastAsia" w:hAnsiTheme="majorEastAsia" w:eastAsiaTheme="majorEastAsia"/>
          <w:highlight w:val="none"/>
          <w:u w:val="single"/>
        </w:rPr>
        <w:t xml:space="preserve">         </w:t>
      </w:r>
      <w:r>
        <w:rPr>
          <w:rFonts w:hint="eastAsia" w:asciiTheme="majorEastAsia" w:hAnsiTheme="majorEastAsia" w:eastAsiaTheme="majorEastAsia"/>
          <w:highlight w:val="none"/>
        </w:rPr>
        <w:t>工程的施工、监理单位。主要责任人为：施工单位项目经理，监理单位项目总监。</w:t>
      </w:r>
    </w:p>
    <w:p w14:paraId="544A5961">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二、本工程安全生产责任目标起止时限：从签订本工程施工合同之日起至工程竣工验收合格之日止。</w:t>
      </w:r>
    </w:p>
    <w:p w14:paraId="4D974F2B">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三、责任目标：</w:t>
      </w:r>
    </w:p>
    <w:p w14:paraId="46B6A149">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1、安全生产死亡事故控制目标：本工程在从签订工程施工合同之日起至工程竣工验收合格之日止的期间内，安全生产死亡人数为零。</w:t>
      </w:r>
    </w:p>
    <w:p w14:paraId="56CD5684">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2、一般及以上安全生产事故为零。</w:t>
      </w:r>
    </w:p>
    <w:p w14:paraId="1867329D">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3、施工损坏燃气、供电、供水、通信等地下管线事故为零。</w:t>
      </w:r>
    </w:p>
    <w:p w14:paraId="71B242D9">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4、施工造成的基坑坍塌、洞内塌方冒顶、地表超限沉降及由此引起的交通中断、周边建筑构物损坏等事故为零。</w:t>
      </w:r>
    </w:p>
    <w:p w14:paraId="5B610512">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5、重大及以上设备事故、重大交通事故和重大火灾事故为零。</w:t>
      </w:r>
    </w:p>
    <w:p w14:paraId="1B6158F9">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四、措施和要求</w:t>
      </w:r>
    </w:p>
    <w:p w14:paraId="049E35AD">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1、落实安全生产责任制。建立、健全专门安全生产管理组织，制订、完善安全生产管理制度和安全生产形势预分析制度，切实把安全生产工作列入本工程建设总体工作规划。</w:t>
      </w:r>
    </w:p>
    <w:p w14:paraId="4E147051">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2、加强安全生产检查工作，落实安全生产制度、措施。劳动安全保护设施必须与主体工程同时设计、施工、投产使用即“三同时”工作。</w:t>
      </w:r>
    </w:p>
    <w:p w14:paraId="4A8CC9A1">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3、自觉做到安全、文明施工。施工人员必须按规定佩戴安全帽及安全防护装备方可进场作业。施工现场安全警示标志、标识、告示牌必须齐全、醒目、清洁，保持建材堆放规化范。</w:t>
      </w:r>
    </w:p>
    <w:p w14:paraId="02A180B1">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4、安全围栏等防护设施必须坚固，安全生产及安全防范措施得力。</w:t>
      </w:r>
    </w:p>
    <w:p w14:paraId="5A968A5A">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5、特殊工种必须持证上岗（电工、井架工、焊工、搅拌工）。</w:t>
      </w:r>
    </w:p>
    <w:p w14:paraId="049931DC">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6、认真开展安全生产“三级”教育活动，努力增强全体员工的安全生产意识。搞好职工安全技术培训，项目经理安全生产资格认证率为100%，职工三级教育率为100%，特种作业人员持证上岗率为100%。</w:t>
      </w:r>
    </w:p>
    <w:p w14:paraId="0EC4890A">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7、加强危险较大设备的管理工作，起重机械、桩机设备、电器设备、顶管设备等危险性较大的设备的检测检验率必须达100%。</w:t>
      </w:r>
    </w:p>
    <w:p w14:paraId="47BDD879">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8、施工单位应加强施工现场管理，防止与施工无关的人员进入施工现场，防止安全事故发生。</w:t>
      </w:r>
    </w:p>
    <w:p w14:paraId="3C05483A">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9、加强对参加本工程建设施工工作人员的教育和管理，杜绝与建设施工有关的交通运输事故和对社会造成危害、影响较大的事故。</w:t>
      </w:r>
    </w:p>
    <w:p w14:paraId="3F374C08">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10、按时报送工程建设安全生产相关的信息，按规定程序及时报告安全生产事故，做到不瞒报、不虚报、不漏报。</w:t>
      </w:r>
    </w:p>
    <w:p w14:paraId="77173B69">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五、奖惩制度</w:t>
      </w:r>
    </w:p>
    <w:p w14:paraId="6FC6FAB3">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1、存在重大安全隐患的，应当进行停工处理，但需报请建设单位同意后方可实施。如在施工过程中遇有重大险情的，应在立即处置的同时报告或先处置后报告。</w:t>
      </w:r>
    </w:p>
    <w:p w14:paraId="32BC0084">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2、进入施工现场不戴安全帽者，每人处以50元罚款。</w:t>
      </w:r>
    </w:p>
    <w:p w14:paraId="2490A241">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3、施工现场发生不安全因素，管理人员应立即通知停工施工，待纠正后在施工，发现违章施工的，对管理人员以100元以上罚款，接到隐患通知逾期不改的处500元至1000元罚款，并督促其整改好。</w:t>
      </w:r>
    </w:p>
    <w:p w14:paraId="0FFB6C09">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4、工地没有按规定设施标牌平面图的，处500元罚款。</w:t>
      </w:r>
    </w:p>
    <w:p w14:paraId="4D59A810">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5、发生伤亡事故，应及时向上级有关部门报告，不报隐瞒者加重处罚甚至追究有关人员的责任。</w:t>
      </w:r>
    </w:p>
    <w:p w14:paraId="4E1AAF16">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6、对违反以上各款规定者，除对责任人进行罚款外，并应及时对责任人进行教育、整改、在至满足有关规定后方可进入工地继续施工。</w:t>
      </w:r>
    </w:p>
    <w:p w14:paraId="10BE93C5">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7、公司将组织安全生产领导小组人员时时对各工地安全生产责任制执行和落实情况进行跟踪检查，考核、年终组织考评。好的给予表彰和奖励，差的给予通报批评。因责任制不落实，造成事故的，要按照有关规定追究责任。</w:t>
      </w:r>
    </w:p>
    <w:p w14:paraId="10932600">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8、本责任书经公司分管安全生产负责人和项目经理签章下达即生效。</w:t>
      </w:r>
    </w:p>
    <w:p w14:paraId="397BFB10">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9、施工单位安全生产制度不健全，措施不落实，工作不到位，整改不及时、不彻底，导致发生安全生产责任事故的，由施工单位承担全部经济、法律责任及其他连带责任。</w:t>
      </w:r>
    </w:p>
    <w:p w14:paraId="75E344ED">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10、监理单位不履行安全监管职责，监管不到位造成安全生产责任事故的，监理单位按上级有关部门确定的责任范围承担相应责任。</w:t>
      </w:r>
    </w:p>
    <w:p w14:paraId="54FCEBB4">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本责任书一式三份，发包人、施工单位、监理单位各执一份，经三方盖章签字后生效。</w:t>
      </w:r>
    </w:p>
    <w:p w14:paraId="76E65CA1">
      <w:pPr>
        <w:spacing w:line="700" w:lineRule="exact"/>
        <w:ind w:firstLine="679" w:firstLineChars="283"/>
        <w:rPr>
          <w:rFonts w:asciiTheme="majorEastAsia" w:hAnsiTheme="majorEastAsia" w:eastAsiaTheme="majorEastAsia"/>
          <w:highlight w:val="none"/>
        </w:rPr>
      </w:pPr>
      <w:r>
        <w:rPr>
          <w:rFonts w:hint="eastAsia" w:asciiTheme="majorEastAsia" w:hAnsiTheme="majorEastAsia" w:eastAsiaTheme="majorEastAsia"/>
          <w:highlight w:val="none"/>
        </w:rPr>
        <w:t xml:space="preserve">发包人（签字） </w:t>
      </w:r>
    </w:p>
    <w:p w14:paraId="5565F4A0">
      <w:pPr>
        <w:spacing w:line="700" w:lineRule="exact"/>
        <w:ind w:firstLine="679" w:firstLineChars="283"/>
        <w:rPr>
          <w:rFonts w:asciiTheme="majorEastAsia" w:hAnsiTheme="majorEastAsia" w:eastAsiaTheme="majorEastAsia"/>
          <w:highlight w:val="none"/>
        </w:rPr>
      </w:pPr>
      <w:r>
        <w:rPr>
          <w:rFonts w:hint="eastAsia" w:asciiTheme="majorEastAsia" w:hAnsiTheme="majorEastAsia" w:eastAsiaTheme="majorEastAsia"/>
          <w:highlight w:val="none"/>
        </w:rPr>
        <w:t>二O</w:t>
      </w:r>
      <w:r>
        <w:rPr>
          <w:rFonts w:hint="eastAsia" w:asciiTheme="majorEastAsia" w:hAnsiTheme="majorEastAsia" w:eastAsiaTheme="majorEastAsia"/>
          <w:highlight w:val="none"/>
          <w:lang w:val="en-US" w:eastAsia="zh-CN"/>
        </w:rPr>
        <w:t>二</w:t>
      </w:r>
      <w:r>
        <w:rPr>
          <w:rFonts w:hint="eastAsia" w:asciiTheme="majorEastAsia" w:hAnsiTheme="majorEastAsia" w:eastAsiaTheme="majorEastAsia"/>
          <w:highlight w:val="none"/>
        </w:rPr>
        <w:t xml:space="preserve">     年   月    日　　</w:t>
      </w:r>
    </w:p>
    <w:p w14:paraId="0E846D72">
      <w:pPr>
        <w:spacing w:line="700" w:lineRule="exact"/>
        <w:ind w:firstLine="679" w:firstLineChars="283"/>
        <w:rPr>
          <w:rFonts w:asciiTheme="majorEastAsia" w:hAnsiTheme="majorEastAsia" w:eastAsiaTheme="majorEastAsia"/>
          <w:highlight w:val="none"/>
        </w:rPr>
      </w:pPr>
      <w:r>
        <w:rPr>
          <w:rFonts w:hint="eastAsia" w:asciiTheme="majorEastAsia" w:hAnsiTheme="majorEastAsia" w:eastAsiaTheme="majorEastAsia"/>
          <w:highlight w:val="none"/>
        </w:rPr>
        <w:t xml:space="preserve">施工单位项目经理部（项目经理签字）                    </w:t>
      </w:r>
    </w:p>
    <w:p w14:paraId="2ADF0CD2">
      <w:pPr>
        <w:spacing w:line="700" w:lineRule="exact"/>
        <w:ind w:firstLine="679" w:firstLineChars="283"/>
        <w:rPr>
          <w:rFonts w:asciiTheme="majorEastAsia" w:hAnsiTheme="majorEastAsia" w:eastAsiaTheme="majorEastAsia"/>
          <w:highlight w:val="none"/>
        </w:rPr>
      </w:pPr>
      <w:r>
        <w:rPr>
          <w:rFonts w:hint="eastAsia" w:asciiTheme="majorEastAsia" w:hAnsiTheme="majorEastAsia" w:eastAsiaTheme="majorEastAsia"/>
          <w:highlight w:val="none"/>
        </w:rPr>
        <w:t>二O</w:t>
      </w:r>
      <w:r>
        <w:rPr>
          <w:rFonts w:hint="eastAsia" w:asciiTheme="majorEastAsia" w:hAnsiTheme="majorEastAsia" w:eastAsiaTheme="majorEastAsia"/>
          <w:highlight w:val="none"/>
          <w:lang w:val="en-US" w:eastAsia="zh-CN"/>
        </w:rPr>
        <w:t>二</w:t>
      </w:r>
      <w:r>
        <w:rPr>
          <w:rFonts w:hint="eastAsia" w:asciiTheme="majorEastAsia" w:hAnsiTheme="majorEastAsia" w:eastAsiaTheme="majorEastAsia"/>
          <w:highlight w:val="none"/>
        </w:rPr>
        <w:t xml:space="preserve">     年   月    日　　</w:t>
      </w:r>
    </w:p>
    <w:p w14:paraId="2A527E7B">
      <w:pPr>
        <w:spacing w:line="700" w:lineRule="exact"/>
        <w:ind w:firstLine="679" w:firstLineChars="283"/>
        <w:rPr>
          <w:rFonts w:asciiTheme="majorEastAsia" w:hAnsiTheme="majorEastAsia" w:eastAsiaTheme="majorEastAsia"/>
          <w:highlight w:val="none"/>
        </w:rPr>
      </w:pPr>
      <w:r>
        <w:rPr>
          <w:rFonts w:hint="eastAsia" w:asciiTheme="majorEastAsia" w:hAnsiTheme="majorEastAsia" w:eastAsiaTheme="majorEastAsia"/>
          <w:highlight w:val="none"/>
        </w:rPr>
        <w:t>监理单位（总监签字）</w:t>
      </w:r>
    </w:p>
    <w:p w14:paraId="067E7603">
      <w:pPr>
        <w:spacing w:line="700" w:lineRule="exact"/>
        <w:ind w:firstLine="679" w:firstLineChars="283"/>
        <w:rPr>
          <w:rFonts w:asciiTheme="majorEastAsia" w:hAnsiTheme="majorEastAsia" w:eastAsiaTheme="majorEastAsia"/>
          <w:highlight w:val="none"/>
        </w:rPr>
      </w:pPr>
      <w:r>
        <w:rPr>
          <w:rFonts w:hint="eastAsia" w:asciiTheme="majorEastAsia" w:hAnsiTheme="majorEastAsia" w:eastAsiaTheme="majorEastAsia"/>
          <w:highlight w:val="none"/>
        </w:rPr>
        <w:t>二O</w:t>
      </w:r>
      <w:r>
        <w:rPr>
          <w:rFonts w:hint="eastAsia" w:asciiTheme="majorEastAsia" w:hAnsiTheme="majorEastAsia" w:eastAsiaTheme="majorEastAsia"/>
          <w:highlight w:val="none"/>
          <w:lang w:val="en-US" w:eastAsia="zh-CN"/>
        </w:rPr>
        <w:t>二</w:t>
      </w:r>
      <w:r>
        <w:rPr>
          <w:rFonts w:hint="eastAsia" w:asciiTheme="majorEastAsia" w:hAnsiTheme="majorEastAsia" w:eastAsiaTheme="majorEastAsia"/>
          <w:highlight w:val="none"/>
        </w:rPr>
        <w:t xml:space="preserve">     年   月    日　　</w:t>
      </w:r>
    </w:p>
    <w:p w14:paraId="14D7A585">
      <w:pPr>
        <w:rPr>
          <w:rFonts w:asciiTheme="majorEastAsia" w:hAnsiTheme="majorEastAsia" w:eastAsiaTheme="majorEastAsia"/>
          <w:highlight w:val="none"/>
        </w:rPr>
      </w:pPr>
      <w:r>
        <w:rPr>
          <w:rFonts w:asciiTheme="majorEastAsia" w:hAnsiTheme="majorEastAsia" w:eastAsiaTheme="majorEastAsia"/>
          <w:highlight w:val="none"/>
        </w:rPr>
        <w:br w:type="page"/>
      </w:r>
    </w:p>
    <w:p w14:paraId="78D44326">
      <w:pPr>
        <w:pStyle w:val="4"/>
        <w:spacing w:beforeLines="50" w:after="120" w:afterLines="50" w:line="700" w:lineRule="exact"/>
        <w:ind w:firstLine="0" w:firstLineChars="0"/>
        <w:jc w:val="left"/>
        <w:rPr>
          <w:rFonts w:asciiTheme="majorEastAsia" w:hAnsiTheme="majorEastAsia" w:eastAsiaTheme="majorEastAsia"/>
          <w:sz w:val="30"/>
          <w:szCs w:val="30"/>
          <w:highlight w:val="none"/>
        </w:rPr>
      </w:pPr>
      <w:r>
        <w:rPr>
          <w:rFonts w:hint="eastAsia" w:asciiTheme="majorEastAsia" w:hAnsiTheme="majorEastAsia" w:eastAsiaTheme="majorEastAsia"/>
          <w:sz w:val="30"/>
          <w:szCs w:val="30"/>
          <w:highlight w:val="none"/>
        </w:rPr>
        <w:t>附件</w:t>
      </w:r>
      <w:r>
        <w:rPr>
          <w:rFonts w:hint="eastAsia" w:asciiTheme="majorEastAsia" w:hAnsiTheme="majorEastAsia" w:eastAsiaTheme="majorEastAsia"/>
          <w:sz w:val="30"/>
          <w:szCs w:val="30"/>
          <w:highlight w:val="none"/>
          <w:lang w:val="en-US" w:eastAsia="zh-CN"/>
        </w:rPr>
        <w:t>二</w:t>
      </w:r>
      <w:r>
        <w:rPr>
          <w:rFonts w:asciiTheme="majorEastAsia" w:hAnsiTheme="majorEastAsia" w:eastAsiaTheme="majorEastAsia"/>
          <w:sz w:val="30"/>
          <w:szCs w:val="30"/>
          <w:highlight w:val="none"/>
        </w:rPr>
        <w:t>：</w:t>
      </w:r>
      <w:r>
        <w:rPr>
          <w:rFonts w:hint="eastAsia" w:asciiTheme="majorEastAsia" w:hAnsiTheme="majorEastAsia" w:eastAsiaTheme="majorEastAsia"/>
          <w:sz w:val="30"/>
          <w:szCs w:val="30"/>
          <w:highlight w:val="none"/>
        </w:rPr>
        <w:t>工程质量保修书</w:t>
      </w:r>
    </w:p>
    <w:p w14:paraId="2EFA20A1">
      <w:pPr>
        <w:spacing w:line="700" w:lineRule="exact"/>
        <w:ind w:firstLine="602"/>
        <w:jc w:val="center"/>
        <w:rPr>
          <w:rFonts w:asciiTheme="majorEastAsia" w:hAnsiTheme="majorEastAsia" w:eastAsiaTheme="majorEastAsia"/>
          <w:b/>
          <w:sz w:val="30"/>
          <w:szCs w:val="30"/>
          <w:highlight w:val="none"/>
        </w:rPr>
      </w:pPr>
      <w:r>
        <w:rPr>
          <w:rFonts w:hint="eastAsia" w:asciiTheme="majorEastAsia" w:hAnsiTheme="majorEastAsia" w:eastAsiaTheme="majorEastAsia"/>
          <w:b/>
          <w:sz w:val="30"/>
          <w:szCs w:val="30"/>
          <w:highlight w:val="none"/>
        </w:rPr>
        <w:t>工程质量保修书</w:t>
      </w:r>
    </w:p>
    <w:p w14:paraId="0FCFC7DF">
      <w:pPr>
        <w:spacing w:line="560" w:lineRule="exact"/>
        <w:rPr>
          <w:rFonts w:asciiTheme="majorEastAsia" w:hAnsiTheme="majorEastAsia" w:eastAsiaTheme="majorEastAsia"/>
          <w:highlight w:val="none"/>
        </w:rPr>
      </w:pPr>
      <w:r>
        <w:rPr>
          <w:rFonts w:hint="eastAsia" w:asciiTheme="majorEastAsia" w:hAnsiTheme="majorEastAsia" w:eastAsiaTheme="majorEastAsia"/>
          <w:highlight w:val="none"/>
        </w:rPr>
        <w:t>发包人（全称）：</w:t>
      </w:r>
      <w:r>
        <w:rPr>
          <w:rFonts w:hint="eastAsia" w:asciiTheme="majorEastAsia" w:hAnsiTheme="majorEastAsia" w:eastAsiaTheme="majorEastAsia"/>
          <w:highlight w:val="none"/>
          <w:u w:val="single"/>
        </w:rPr>
        <w:t xml:space="preserve"> </w:t>
      </w:r>
      <w:r>
        <w:rPr>
          <w:rFonts w:asciiTheme="majorEastAsia" w:hAnsiTheme="majorEastAsia" w:eastAsiaTheme="majorEastAsia"/>
          <w:highlight w:val="none"/>
          <w:u w:val="single"/>
        </w:rPr>
        <w:t xml:space="preserve">                                     </w:t>
      </w:r>
    </w:p>
    <w:p w14:paraId="28F04514">
      <w:pPr>
        <w:spacing w:line="560" w:lineRule="exact"/>
        <w:rPr>
          <w:rFonts w:asciiTheme="majorEastAsia" w:hAnsiTheme="majorEastAsia" w:eastAsiaTheme="majorEastAsia"/>
          <w:highlight w:val="none"/>
        </w:rPr>
      </w:pPr>
      <w:r>
        <w:rPr>
          <w:rFonts w:hint="eastAsia" w:asciiTheme="majorEastAsia" w:hAnsiTheme="majorEastAsia" w:eastAsiaTheme="majorEastAsia"/>
          <w:highlight w:val="none"/>
        </w:rPr>
        <w:t>承包人（全称）：</w:t>
      </w:r>
      <w:r>
        <w:rPr>
          <w:rFonts w:hint="eastAsia" w:asciiTheme="majorEastAsia" w:hAnsiTheme="majorEastAsia" w:eastAsiaTheme="majorEastAsia"/>
          <w:highlight w:val="none"/>
          <w:u w:val="single"/>
        </w:rPr>
        <w:t xml:space="preserve">                                      </w:t>
      </w:r>
      <w:r>
        <w:rPr>
          <w:rFonts w:asciiTheme="majorEastAsia" w:hAnsiTheme="majorEastAsia" w:eastAsiaTheme="majorEastAsia"/>
          <w:highlight w:val="none"/>
          <w:u w:val="single"/>
        </w:rPr>
        <w:t xml:space="preserve">  </w:t>
      </w:r>
    </w:p>
    <w:p w14:paraId="51A8BEED">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发包人和承包人根据《中华人民共和国建筑法》和《建设工程质量管理条例》，经协商一致就</w:t>
      </w:r>
      <w:r>
        <w:rPr>
          <w:rFonts w:hint="eastAsia" w:asciiTheme="majorEastAsia" w:hAnsiTheme="majorEastAsia" w:eastAsiaTheme="majorEastAsia"/>
          <w:highlight w:val="none"/>
          <w:u w:val="single"/>
        </w:rPr>
        <w:t xml:space="preserve">                                </w:t>
      </w:r>
      <w:r>
        <w:rPr>
          <w:rFonts w:asciiTheme="majorEastAsia" w:hAnsiTheme="majorEastAsia" w:eastAsiaTheme="majorEastAsia"/>
          <w:highlight w:val="none"/>
        </w:rPr>
        <w:t>（工程全称）签订工程质量保修书。</w:t>
      </w:r>
    </w:p>
    <w:p w14:paraId="78CF9050">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一、工程质量保修范围和内容</w:t>
      </w:r>
    </w:p>
    <w:p w14:paraId="38DC0DB6">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承包人在质量保修期内，按照有关法律规定和合同约定，承担工程质量保修责任。</w:t>
      </w:r>
    </w:p>
    <w:p w14:paraId="14AF384F">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质量保修范围包括室内装修清单内及签证部分、有防水要求的卫生间、房间和外墙面的防渗漏，供热与供冷系统，电气管线、给排水管道、设备安装和装修工程，以及双方约定的其他项目。具体保修的内容，双方约定如下：</w:t>
      </w:r>
    </w:p>
    <w:p w14:paraId="5F311430">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二、质量保修期</w:t>
      </w:r>
    </w:p>
    <w:p w14:paraId="16F5E53D">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根据《建设工程质量管理条例》及有关规定，工程的质量保修期如下：</w:t>
      </w:r>
    </w:p>
    <w:p w14:paraId="1104657F">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1</w:t>
      </w:r>
      <w:r>
        <w:rPr>
          <w:rFonts w:hint="eastAsia" w:asciiTheme="majorEastAsia" w:hAnsiTheme="majorEastAsia" w:eastAsiaTheme="majorEastAsia"/>
          <w:highlight w:val="none"/>
        </w:rPr>
        <w:t>、</w:t>
      </w:r>
      <w:r>
        <w:rPr>
          <w:rFonts w:asciiTheme="majorEastAsia" w:hAnsiTheme="majorEastAsia" w:eastAsiaTheme="majorEastAsia"/>
          <w:highlight w:val="none"/>
        </w:rPr>
        <w:t>地基基础工程和主体结构工程为设计文件规定的工程合理使用年限</w:t>
      </w:r>
      <w:r>
        <w:rPr>
          <w:rFonts w:hint="eastAsia" w:asciiTheme="majorEastAsia" w:hAnsiTheme="majorEastAsia" w:eastAsiaTheme="majorEastAsia"/>
          <w:highlight w:val="none"/>
        </w:rPr>
        <w:t>；</w:t>
      </w:r>
    </w:p>
    <w:p w14:paraId="2BA4681B">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lang w:val="en-US" w:eastAsia="zh-CN"/>
        </w:rPr>
        <w:t>2</w:t>
      </w:r>
      <w:r>
        <w:rPr>
          <w:rFonts w:hint="eastAsia" w:asciiTheme="majorEastAsia" w:hAnsiTheme="majorEastAsia" w:eastAsiaTheme="majorEastAsia"/>
          <w:highlight w:val="none"/>
        </w:rPr>
        <w:t>、</w:t>
      </w:r>
      <w:r>
        <w:rPr>
          <w:rFonts w:asciiTheme="majorEastAsia" w:hAnsiTheme="majorEastAsia" w:eastAsiaTheme="majorEastAsia"/>
          <w:highlight w:val="none"/>
        </w:rPr>
        <w:t>电气管线、给排水管道、设备安装工程为</w:t>
      </w:r>
      <w:r>
        <w:rPr>
          <w:rFonts w:hint="eastAsia" w:asciiTheme="majorEastAsia" w:hAnsiTheme="majorEastAsia" w:eastAsiaTheme="majorEastAsia"/>
          <w:highlight w:val="none"/>
        </w:rPr>
        <w:t>两</w:t>
      </w:r>
      <w:r>
        <w:rPr>
          <w:rFonts w:asciiTheme="majorEastAsia" w:hAnsiTheme="majorEastAsia" w:eastAsiaTheme="majorEastAsia"/>
          <w:highlight w:val="none"/>
        </w:rPr>
        <w:t>年</w:t>
      </w:r>
      <w:r>
        <w:rPr>
          <w:rFonts w:hint="eastAsia" w:asciiTheme="majorEastAsia" w:hAnsiTheme="majorEastAsia" w:eastAsiaTheme="majorEastAsia"/>
          <w:highlight w:val="none"/>
        </w:rPr>
        <w:t>；</w:t>
      </w:r>
    </w:p>
    <w:p w14:paraId="5E058E78">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lang w:val="en-US" w:eastAsia="zh-CN"/>
        </w:rPr>
        <w:t>3</w:t>
      </w:r>
      <w:r>
        <w:rPr>
          <w:rFonts w:hint="eastAsia" w:asciiTheme="majorEastAsia" w:hAnsiTheme="majorEastAsia" w:eastAsiaTheme="majorEastAsia"/>
          <w:highlight w:val="none"/>
        </w:rPr>
        <w:t>、</w:t>
      </w:r>
      <w:r>
        <w:rPr>
          <w:rFonts w:asciiTheme="majorEastAsia" w:hAnsiTheme="majorEastAsia" w:eastAsiaTheme="majorEastAsia"/>
          <w:highlight w:val="none"/>
        </w:rPr>
        <w:t>供热与供冷系统为</w:t>
      </w:r>
      <w:r>
        <w:rPr>
          <w:rFonts w:hint="eastAsia" w:asciiTheme="majorEastAsia" w:hAnsiTheme="majorEastAsia" w:eastAsiaTheme="majorEastAsia"/>
          <w:highlight w:val="none"/>
        </w:rPr>
        <w:t>两</w:t>
      </w:r>
      <w:r>
        <w:rPr>
          <w:rFonts w:asciiTheme="majorEastAsia" w:hAnsiTheme="majorEastAsia" w:eastAsiaTheme="majorEastAsia"/>
          <w:highlight w:val="none"/>
        </w:rPr>
        <w:t>个采暖期、供冷期</w:t>
      </w:r>
      <w:r>
        <w:rPr>
          <w:rFonts w:hint="eastAsia" w:asciiTheme="majorEastAsia" w:hAnsiTheme="majorEastAsia" w:eastAsiaTheme="majorEastAsia"/>
          <w:highlight w:val="none"/>
        </w:rPr>
        <w:t>；</w:t>
      </w:r>
    </w:p>
    <w:p w14:paraId="1C9CCBDD">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lang w:val="en-US" w:eastAsia="zh-CN"/>
        </w:rPr>
        <w:t>4</w:t>
      </w:r>
      <w:r>
        <w:rPr>
          <w:rFonts w:asciiTheme="majorEastAsia" w:hAnsiTheme="majorEastAsia" w:eastAsiaTheme="majorEastAsia"/>
          <w:highlight w:val="none"/>
        </w:rPr>
        <w:t>．其他项目保修期限约定如下：</w:t>
      </w:r>
      <w:r>
        <w:rPr>
          <w:rFonts w:hint="eastAsia" w:asciiTheme="majorEastAsia" w:hAnsiTheme="majorEastAsia" w:eastAsiaTheme="majorEastAsia"/>
          <w:highlight w:val="none"/>
          <w:u w:val="single"/>
        </w:rPr>
        <w:t>本工程质保期为一年</w:t>
      </w:r>
      <w:r>
        <w:rPr>
          <w:rFonts w:hint="eastAsia" w:asciiTheme="majorEastAsia" w:hAnsiTheme="majorEastAsia" w:eastAsiaTheme="majorEastAsia"/>
          <w:highlight w:val="none"/>
        </w:rPr>
        <w:t>。</w:t>
      </w:r>
    </w:p>
    <w:p w14:paraId="5212646A">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质量保修期自工程竣工验收合格之日起计算。</w:t>
      </w:r>
    </w:p>
    <w:p w14:paraId="2B016363">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三、缺陷责任期</w:t>
      </w:r>
    </w:p>
    <w:p w14:paraId="58D7F295">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工程缺陷责任期为</w:t>
      </w:r>
      <w:r>
        <w:rPr>
          <w:rFonts w:asciiTheme="majorEastAsia" w:hAnsiTheme="majorEastAsia" w:eastAsiaTheme="majorEastAsia"/>
          <w:highlight w:val="none"/>
        </w:rPr>
        <w:t>24个月，缺陷责任期自工程实际竣工之日起计算。单位工程先于全部工程进行验收，单位工程缺陷责任期自单位工程验收合格之日起算。</w:t>
      </w:r>
    </w:p>
    <w:p w14:paraId="687AE146">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四、质量保修责任</w:t>
      </w:r>
    </w:p>
    <w:p w14:paraId="66728CEA">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1</w:t>
      </w:r>
      <w:r>
        <w:rPr>
          <w:rFonts w:hint="eastAsia" w:asciiTheme="majorEastAsia" w:hAnsiTheme="majorEastAsia" w:eastAsiaTheme="majorEastAsia"/>
          <w:highlight w:val="none"/>
        </w:rPr>
        <w:t>、</w:t>
      </w:r>
      <w:r>
        <w:rPr>
          <w:rFonts w:asciiTheme="majorEastAsia" w:hAnsiTheme="majorEastAsia" w:eastAsiaTheme="majorEastAsia"/>
          <w:highlight w:val="none"/>
        </w:rPr>
        <w:t>属于保修范围、内容的项目，承包人应当在接到保修通知后1天内，派技术人员了解情况，2天内承包人专业维修人员赶到现场予以处理，并及时采取相应有效的维</w:t>
      </w:r>
      <w:r>
        <w:rPr>
          <w:rFonts w:hint="eastAsia" w:asciiTheme="majorEastAsia" w:hAnsiTheme="majorEastAsia" w:eastAsiaTheme="majorEastAsia"/>
          <w:highlight w:val="none"/>
        </w:rPr>
        <w:t>修措施。若发包人或发包人授权的物业公司通知承包人后</w:t>
      </w:r>
      <w:r>
        <w:rPr>
          <w:rFonts w:asciiTheme="majorEastAsia" w:hAnsiTheme="majorEastAsia" w:eastAsiaTheme="majorEastAsia"/>
          <w:highlight w:val="none"/>
        </w:rPr>
        <w:t>2天内，承包人仍未派人进行故障处理，则发包人有权委托第三方进行处理，所发生的费用从质量保证金中双倍扣除</w:t>
      </w:r>
      <w:r>
        <w:rPr>
          <w:rFonts w:hint="eastAsia" w:asciiTheme="majorEastAsia" w:hAnsiTheme="majorEastAsia" w:eastAsiaTheme="majorEastAsia"/>
          <w:highlight w:val="none"/>
        </w:rPr>
        <w:t>；</w:t>
      </w:r>
      <w:r>
        <w:rPr>
          <w:rFonts w:asciiTheme="majorEastAsia" w:hAnsiTheme="majorEastAsia" w:eastAsiaTheme="majorEastAsia"/>
          <w:highlight w:val="none"/>
        </w:rPr>
        <w:t>因承包人的维修责任给发包人造成的损失由承包人承担，发包人有权从承包人的质保金中直接扣除，质保金不足以支付的，发包人有权向承包人追偿。</w:t>
      </w:r>
    </w:p>
    <w:p w14:paraId="51CEF4D4">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2</w:t>
      </w:r>
      <w:r>
        <w:rPr>
          <w:rFonts w:hint="eastAsia" w:asciiTheme="majorEastAsia" w:hAnsiTheme="majorEastAsia" w:eastAsiaTheme="majorEastAsia"/>
          <w:highlight w:val="none"/>
        </w:rPr>
        <w:t>、</w:t>
      </w:r>
      <w:r>
        <w:rPr>
          <w:rFonts w:asciiTheme="majorEastAsia" w:hAnsiTheme="majorEastAsia" w:eastAsiaTheme="majorEastAsia"/>
          <w:highlight w:val="none"/>
        </w:rPr>
        <w:t>发生紧急事故需抢修的，承包人在接到事故通知后，应当立即到达事故现场抢修。</w:t>
      </w:r>
    </w:p>
    <w:p w14:paraId="67513FAC">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3</w:t>
      </w:r>
      <w:r>
        <w:rPr>
          <w:rFonts w:hint="eastAsia" w:asciiTheme="majorEastAsia" w:hAnsiTheme="majorEastAsia" w:eastAsiaTheme="majorEastAsia"/>
          <w:highlight w:val="none"/>
        </w:rPr>
        <w:t>、</w:t>
      </w:r>
      <w:r>
        <w:rPr>
          <w:rFonts w:asciiTheme="majorEastAsia" w:hAnsiTheme="majorEastAsia" w:eastAsiaTheme="majorEastAsia"/>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A84BF34">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4</w:t>
      </w:r>
      <w:r>
        <w:rPr>
          <w:rFonts w:hint="eastAsia" w:asciiTheme="majorEastAsia" w:hAnsiTheme="majorEastAsia" w:eastAsiaTheme="majorEastAsia"/>
          <w:highlight w:val="none"/>
        </w:rPr>
        <w:t>、</w:t>
      </w:r>
      <w:r>
        <w:rPr>
          <w:rFonts w:asciiTheme="majorEastAsia" w:hAnsiTheme="majorEastAsia" w:eastAsiaTheme="majorEastAsia"/>
          <w:highlight w:val="none"/>
        </w:rPr>
        <w:t>质量保修完成后，由发包人组织验收。</w:t>
      </w:r>
    </w:p>
    <w:p w14:paraId="746EEECD">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5</w:t>
      </w:r>
      <w:r>
        <w:rPr>
          <w:rFonts w:hint="eastAsia" w:asciiTheme="majorEastAsia" w:hAnsiTheme="majorEastAsia" w:eastAsiaTheme="majorEastAsia"/>
          <w:highlight w:val="none"/>
        </w:rPr>
        <w:t>、</w:t>
      </w:r>
      <w:r>
        <w:rPr>
          <w:rFonts w:asciiTheme="majorEastAsia" w:hAnsiTheme="majorEastAsia" w:eastAsiaTheme="majorEastAsia"/>
          <w:highlight w:val="none"/>
        </w:rPr>
        <w:t>承包人</w:t>
      </w:r>
      <w:r>
        <w:rPr>
          <w:rFonts w:hint="eastAsia" w:asciiTheme="majorEastAsia" w:hAnsiTheme="majorEastAsia" w:eastAsiaTheme="majorEastAsia"/>
          <w:highlight w:val="none"/>
        </w:rPr>
        <w:t>维修服务机构地址：</w:t>
      </w:r>
      <w:r>
        <w:rPr>
          <w:rFonts w:asciiTheme="majorEastAsia" w:hAnsiTheme="majorEastAsia" w:eastAsiaTheme="majorEastAsia"/>
          <w:highlight w:val="none"/>
          <w:u w:val="single"/>
        </w:rPr>
        <w:t xml:space="preserve">                                  </w:t>
      </w:r>
    </w:p>
    <w:p w14:paraId="31B8A350">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电话：</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 xml:space="preserve">            </w:t>
      </w:r>
      <w:r>
        <w:rPr>
          <w:rFonts w:asciiTheme="majorEastAsia" w:hAnsiTheme="majorEastAsia" w:eastAsiaTheme="majorEastAsia"/>
          <w:highlight w:val="none"/>
        </w:rPr>
        <w:t xml:space="preserve"> </w:t>
      </w:r>
      <w:r>
        <w:rPr>
          <w:rFonts w:hint="eastAsia" w:asciiTheme="majorEastAsia" w:hAnsiTheme="majorEastAsia" w:eastAsiaTheme="majorEastAsia"/>
          <w:highlight w:val="none"/>
        </w:rPr>
        <w:t>传真：</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 xml:space="preserve">         </w:t>
      </w:r>
      <w:r>
        <w:rPr>
          <w:rFonts w:asciiTheme="majorEastAsia" w:hAnsiTheme="majorEastAsia" w:eastAsiaTheme="majorEastAsia"/>
          <w:highlight w:val="none"/>
        </w:rPr>
        <w:t xml:space="preserve"> </w:t>
      </w:r>
      <w:r>
        <w:rPr>
          <w:rFonts w:hint="eastAsia" w:asciiTheme="majorEastAsia" w:hAnsiTheme="majorEastAsia" w:eastAsiaTheme="majorEastAsia"/>
          <w:highlight w:val="none"/>
        </w:rPr>
        <w:t>电子邮箱：</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u w:val="single"/>
        </w:rPr>
        <w:t xml:space="preserve">                  </w:t>
      </w:r>
      <w:r>
        <w:rPr>
          <w:rFonts w:asciiTheme="majorEastAsia" w:hAnsiTheme="majorEastAsia" w:eastAsiaTheme="majorEastAsia"/>
          <w:highlight w:val="none"/>
          <w:u w:val="single"/>
        </w:rPr>
        <w:t xml:space="preserve"> </w:t>
      </w:r>
      <w:r>
        <w:rPr>
          <w:rFonts w:hint="eastAsia" w:asciiTheme="majorEastAsia" w:hAnsiTheme="majorEastAsia" w:eastAsiaTheme="majorEastAsia"/>
          <w:highlight w:val="none"/>
        </w:rPr>
        <w:t>。</w:t>
      </w:r>
    </w:p>
    <w:p w14:paraId="43031D5A">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注：通知送达方式为：电子邮箱、电话、传真，发包人按照以上任何一种方式均视为送达。</w:t>
      </w:r>
    </w:p>
    <w:p w14:paraId="5F0E28FC">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若改变以上联系方式需在一天内书面通知发包人，否则发包人按以上联系方式视为送达知晓。</w:t>
      </w:r>
    </w:p>
    <w:p w14:paraId="147FBD5C">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五、保修费用</w:t>
      </w:r>
    </w:p>
    <w:p w14:paraId="2B58EFBC">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保修费用由造成质量缺陷的责任方承担。</w:t>
      </w:r>
    </w:p>
    <w:p w14:paraId="07925F97">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六、双方约定的其他工程质量保修事项：</w:t>
      </w:r>
      <w:r>
        <w:rPr>
          <w:rFonts w:hint="eastAsia" w:asciiTheme="majorEastAsia" w:hAnsiTheme="majorEastAsia" w:eastAsiaTheme="majorEastAsia"/>
          <w:highlight w:val="none"/>
          <w:u w:val="single"/>
        </w:rPr>
        <w:t>无</w:t>
      </w:r>
      <w:r>
        <w:rPr>
          <w:rFonts w:asciiTheme="majorEastAsia" w:hAnsiTheme="majorEastAsia" w:eastAsiaTheme="majorEastAsia"/>
          <w:highlight w:val="none"/>
        </w:rPr>
        <w:t>。</w:t>
      </w:r>
    </w:p>
    <w:p w14:paraId="3A57BA48">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工程质量保修书由发包人、承包人在工程竣工验收前共同签署，作为施工合同附件，其有效期限至保修期满。</w:t>
      </w:r>
    </w:p>
    <w:p w14:paraId="52F4B57E">
      <w:pPr>
        <w:spacing w:line="560" w:lineRule="exact"/>
        <w:ind w:firstLine="566" w:firstLineChars="236"/>
        <w:rPr>
          <w:rFonts w:asciiTheme="majorEastAsia" w:hAnsiTheme="majorEastAsia" w:eastAsiaTheme="majorEastAsia"/>
          <w:highlight w:val="none"/>
        </w:rPr>
      </w:pPr>
      <w:r>
        <w:rPr>
          <w:rFonts w:hint="eastAsia" w:asciiTheme="majorEastAsia" w:hAnsiTheme="majorEastAsia" w:eastAsiaTheme="majorEastAsia"/>
          <w:highlight w:val="none"/>
        </w:rPr>
        <w:t>（</w:t>
      </w:r>
      <w:r>
        <w:rPr>
          <w:rFonts w:asciiTheme="majorEastAsia" w:hAnsiTheme="majorEastAsia" w:eastAsiaTheme="majorEastAsia"/>
          <w:highlight w:val="none"/>
        </w:rPr>
        <w:t>以下无正文）</w:t>
      </w:r>
    </w:p>
    <w:p w14:paraId="05E954D5">
      <w:pPr>
        <w:spacing w:line="700" w:lineRule="exact"/>
        <w:ind w:firstLine="648" w:firstLineChars="270"/>
        <w:rPr>
          <w:rFonts w:asciiTheme="majorEastAsia" w:hAnsiTheme="majorEastAsia" w:eastAsiaTheme="majorEastAsia"/>
          <w:highlight w:val="none"/>
        </w:rPr>
      </w:pPr>
      <w:r>
        <w:rPr>
          <w:rFonts w:hint="eastAsia" w:asciiTheme="majorEastAsia" w:hAnsiTheme="majorEastAsia" w:eastAsiaTheme="majorEastAsia"/>
          <w:highlight w:val="none"/>
        </w:rPr>
        <w:t>发包人</w:t>
      </w:r>
      <w:r>
        <w:rPr>
          <w:rFonts w:asciiTheme="majorEastAsia" w:hAnsiTheme="majorEastAsia" w:eastAsiaTheme="majorEastAsia"/>
          <w:highlight w:val="none"/>
        </w:rPr>
        <w:t xml:space="preserve">（公章）：                       承包人（公章）： </w:t>
      </w:r>
    </w:p>
    <w:p w14:paraId="30AB1EA7">
      <w:pPr>
        <w:spacing w:line="700" w:lineRule="exact"/>
        <w:ind w:firstLine="648" w:firstLineChars="270"/>
        <w:rPr>
          <w:rFonts w:asciiTheme="majorEastAsia" w:hAnsiTheme="majorEastAsia" w:eastAsiaTheme="majorEastAsia"/>
          <w:highlight w:val="none"/>
        </w:rPr>
      </w:pPr>
      <w:r>
        <w:rPr>
          <w:rFonts w:hint="eastAsia" w:asciiTheme="majorEastAsia" w:hAnsiTheme="majorEastAsia" w:eastAsiaTheme="majorEastAsia"/>
          <w:highlight w:val="none"/>
        </w:rPr>
        <w:t>地</w:t>
      </w:r>
      <w:r>
        <w:rPr>
          <w:rFonts w:asciiTheme="majorEastAsia" w:hAnsiTheme="majorEastAsia" w:eastAsiaTheme="majorEastAsia"/>
          <w:highlight w:val="none"/>
        </w:rPr>
        <w:t xml:space="preserve">  址：                             地  址：  </w:t>
      </w:r>
    </w:p>
    <w:p w14:paraId="1A354589">
      <w:pPr>
        <w:spacing w:line="700" w:lineRule="exact"/>
        <w:ind w:firstLine="648" w:firstLineChars="270"/>
        <w:rPr>
          <w:rFonts w:asciiTheme="majorEastAsia" w:hAnsiTheme="majorEastAsia" w:eastAsiaTheme="majorEastAsia"/>
          <w:highlight w:val="none"/>
        </w:rPr>
      </w:pPr>
      <w:r>
        <w:rPr>
          <w:rFonts w:hint="eastAsia" w:asciiTheme="majorEastAsia" w:hAnsiTheme="majorEastAsia" w:eastAsiaTheme="majorEastAsia"/>
          <w:highlight w:val="none"/>
        </w:rPr>
        <w:t>法定代表人</w:t>
      </w:r>
      <w:r>
        <w:rPr>
          <w:rFonts w:asciiTheme="majorEastAsia" w:hAnsiTheme="majorEastAsia" w:eastAsiaTheme="majorEastAsia"/>
          <w:highlight w:val="none"/>
        </w:rPr>
        <w:t xml:space="preserve">：          </w:t>
      </w:r>
      <w:r>
        <w:rPr>
          <w:rFonts w:hint="eastAsia" w:asciiTheme="majorEastAsia" w:hAnsiTheme="majorEastAsia" w:eastAsiaTheme="majorEastAsia"/>
          <w:highlight w:val="none"/>
        </w:rPr>
        <w:t xml:space="preserve">      </w:t>
      </w:r>
      <w:r>
        <w:rPr>
          <w:rFonts w:asciiTheme="majorEastAsia" w:hAnsiTheme="majorEastAsia" w:eastAsiaTheme="majorEastAsia"/>
          <w:highlight w:val="none"/>
        </w:rPr>
        <w:t xml:space="preserve">         法定代表人：   </w:t>
      </w:r>
    </w:p>
    <w:p w14:paraId="423B367A">
      <w:pPr>
        <w:spacing w:line="700" w:lineRule="exact"/>
        <w:ind w:firstLine="648" w:firstLineChars="270"/>
        <w:rPr>
          <w:rFonts w:asciiTheme="majorEastAsia" w:hAnsiTheme="majorEastAsia" w:eastAsiaTheme="majorEastAsia"/>
          <w:highlight w:val="none"/>
        </w:rPr>
      </w:pPr>
      <w:r>
        <w:rPr>
          <w:rFonts w:hint="eastAsia" w:asciiTheme="majorEastAsia" w:hAnsiTheme="majorEastAsia" w:eastAsiaTheme="majorEastAsia"/>
          <w:highlight w:val="none"/>
        </w:rPr>
        <w:t>或委托代理人</w:t>
      </w:r>
      <w:r>
        <w:rPr>
          <w:rFonts w:asciiTheme="majorEastAsia" w:hAnsiTheme="majorEastAsia" w:eastAsiaTheme="majorEastAsia"/>
          <w:highlight w:val="none"/>
        </w:rPr>
        <w:t xml:space="preserve">：              </w:t>
      </w:r>
      <w:r>
        <w:rPr>
          <w:rFonts w:hint="eastAsia" w:asciiTheme="majorEastAsia" w:hAnsiTheme="majorEastAsia" w:eastAsiaTheme="majorEastAsia"/>
          <w:highlight w:val="none"/>
        </w:rPr>
        <w:t xml:space="preserve">       </w:t>
      </w:r>
      <w:r>
        <w:rPr>
          <w:rFonts w:asciiTheme="majorEastAsia" w:hAnsiTheme="majorEastAsia" w:eastAsiaTheme="majorEastAsia"/>
          <w:highlight w:val="none"/>
        </w:rPr>
        <w:t xml:space="preserve">  </w:t>
      </w:r>
      <w:r>
        <w:rPr>
          <w:rFonts w:hint="eastAsia" w:asciiTheme="majorEastAsia" w:hAnsiTheme="majorEastAsia" w:eastAsiaTheme="majorEastAsia"/>
          <w:highlight w:val="none"/>
        </w:rPr>
        <w:t>或</w:t>
      </w:r>
      <w:r>
        <w:rPr>
          <w:rFonts w:asciiTheme="majorEastAsia" w:hAnsiTheme="majorEastAsia" w:eastAsiaTheme="majorEastAsia"/>
          <w:highlight w:val="none"/>
        </w:rPr>
        <w:t xml:space="preserve">委托代理人：    </w:t>
      </w:r>
    </w:p>
    <w:p w14:paraId="7F104F71">
      <w:pPr>
        <w:spacing w:line="700" w:lineRule="exact"/>
        <w:ind w:firstLine="648" w:firstLineChars="270"/>
        <w:rPr>
          <w:rFonts w:asciiTheme="majorEastAsia" w:hAnsiTheme="majorEastAsia" w:eastAsiaTheme="majorEastAsia"/>
          <w:highlight w:val="none"/>
        </w:rPr>
      </w:pPr>
      <w:r>
        <w:rPr>
          <w:rFonts w:hint="eastAsia" w:asciiTheme="majorEastAsia" w:hAnsiTheme="majorEastAsia" w:eastAsiaTheme="majorEastAsia"/>
          <w:highlight w:val="none"/>
        </w:rPr>
        <w:t>电</w:t>
      </w:r>
      <w:r>
        <w:rPr>
          <w:rFonts w:asciiTheme="majorEastAsia" w:hAnsiTheme="majorEastAsia" w:eastAsiaTheme="majorEastAsia"/>
          <w:highlight w:val="none"/>
        </w:rPr>
        <w:t xml:space="preserve">  话：                             电  话：   </w:t>
      </w:r>
    </w:p>
    <w:p w14:paraId="7CA52AB6">
      <w:pPr>
        <w:spacing w:line="700" w:lineRule="exact"/>
        <w:ind w:firstLine="648" w:firstLineChars="270"/>
        <w:rPr>
          <w:rFonts w:asciiTheme="majorEastAsia" w:hAnsiTheme="majorEastAsia" w:eastAsiaTheme="majorEastAsia"/>
          <w:highlight w:val="none"/>
        </w:rPr>
      </w:pPr>
      <w:r>
        <w:rPr>
          <w:rFonts w:hint="eastAsia" w:asciiTheme="majorEastAsia" w:hAnsiTheme="majorEastAsia" w:eastAsiaTheme="majorEastAsia"/>
          <w:highlight w:val="none"/>
        </w:rPr>
        <w:t>传</w:t>
      </w:r>
      <w:r>
        <w:rPr>
          <w:rFonts w:asciiTheme="majorEastAsia" w:hAnsiTheme="majorEastAsia" w:eastAsiaTheme="majorEastAsia"/>
          <w:highlight w:val="none"/>
        </w:rPr>
        <w:t xml:space="preserve">  真：                             传  真：  </w:t>
      </w:r>
    </w:p>
    <w:p w14:paraId="53FDAE77">
      <w:pPr>
        <w:spacing w:line="700" w:lineRule="exact"/>
        <w:ind w:firstLine="648" w:firstLineChars="270"/>
        <w:rPr>
          <w:rFonts w:asciiTheme="majorEastAsia" w:hAnsiTheme="majorEastAsia" w:eastAsiaTheme="majorEastAsia"/>
          <w:highlight w:val="none"/>
        </w:rPr>
      </w:pPr>
      <w:r>
        <w:rPr>
          <w:rFonts w:hint="eastAsia" w:asciiTheme="majorEastAsia" w:hAnsiTheme="majorEastAsia" w:eastAsiaTheme="majorEastAsia"/>
          <w:highlight w:val="none"/>
        </w:rPr>
        <w:t>开户银行：</w:t>
      </w:r>
      <w:r>
        <w:rPr>
          <w:rFonts w:asciiTheme="majorEastAsia" w:hAnsiTheme="majorEastAsia" w:eastAsiaTheme="majorEastAsia"/>
          <w:highlight w:val="none"/>
        </w:rPr>
        <w:t xml:space="preserve">                           开户银行：</w:t>
      </w:r>
    </w:p>
    <w:p w14:paraId="47569F0A">
      <w:pPr>
        <w:spacing w:line="700" w:lineRule="exact"/>
        <w:ind w:firstLine="648" w:firstLineChars="270"/>
        <w:rPr>
          <w:rFonts w:asciiTheme="majorEastAsia" w:hAnsiTheme="majorEastAsia" w:eastAsiaTheme="majorEastAsia"/>
          <w:b/>
          <w:highlight w:val="none"/>
        </w:rPr>
      </w:pPr>
      <w:r>
        <w:rPr>
          <w:rFonts w:hint="eastAsia" w:asciiTheme="majorEastAsia" w:hAnsiTheme="majorEastAsia" w:eastAsiaTheme="majorEastAsia"/>
          <w:highlight w:val="none"/>
        </w:rPr>
        <w:t>账</w:t>
      </w:r>
      <w:r>
        <w:rPr>
          <w:rFonts w:asciiTheme="majorEastAsia" w:hAnsiTheme="majorEastAsia" w:eastAsiaTheme="majorEastAsia"/>
          <w:highlight w:val="none"/>
        </w:rPr>
        <w:t xml:space="preserve">  号：                             账  号：</w:t>
      </w:r>
      <w:r>
        <w:rPr>
          <w:rFonts w:asciiTheme="majorEastAsia" w:hAnsiTheme="majorEastAsia" w:eastAsiaTheme="majorEastAsia"/>
          <w:b/>
          <w:highlight w:val="none"/>
        </w:rPr>
        <w:t xml:space="preserve"> </w:t>
      </w:r>
    </w:p>
    <w:p w14:paraId="14CA66B5">
      <w:pPr>
        <w:rPr>
          <w:kern w:val="2"/>
          <w:highlight w:val="none"/>
        </w:rPr>
      </w:pPr>
      <w:r>
        <w:rPr>
          <w:kern w:val="2"/>
          <w:highlight w:val="none"/>
        </w:rPr>
        <w:br w:type="page"/>
      </w:r>
    </w:p>
    <w:p w14:paraId="7AA0C0D0">
      <w:pPr>
        <w:rPr>
          <w:kern w:val="2"/>
          <w:highlight w:val="none"/>
        </w:rPr>
      </w:pPr>
    </w:p>
    <w:p w14:paraId="3D79433C">
      <w:pPr>
        <w:pStyle w:val="4"/>
        <w:spacing w:beforeLines="50" w:after="120" w:afterLines="50" w:line="700" w:lineRule="exact"/>
        <w:ind w:firstLine="0" w:firstLineChars="0"/>
        <w:jc w:val="left"/>
        <w:rPr>
          <w:rFonts w:asciiTheme="majorEastAsia" w:hAnsiTheme="majorEastAsia" w:eastAsiaTheme="majorEastAsia"/>
          <w:sz w:val="30"/>
          <w:szCs w:val="30"/>
          <w:highlight w:val="none"/>
        </w:rPr>
      </w:pPr>
      <w:r>
        <w:rPr>
          <w:rFonts w:hint="eastAsia" w:asciiTheme="majorEastAsia" w:hAnsiTheme="majorEastAsia" w:eastAsiaTheme="majorEastAsia"/>
          <w:sz w:val="30"/>
          <w:szCs w:val="30"/>
          <w:highlight w:val="none"/>
        </w:rPr>
        <w:t>附件</w:t>
      </w:r>
      <w:r>
        <w:rPr>
          <w:rFonts w:hint="eastAsia" w:asciiTheme="majorEastAsia" w:hAnsiTheme="majorEastAsia" w:eastAsiaTheme="majorEastAsia"/>
          <w:sz w:val="30"/>
          <w:szCs w:val="30"/>
          <w:highlight w:val="none"/>
          <w:lang w:val="en-US" w:eastAsia="zh-CN"/>
        </w:rPr>
        <w:t>三</w:t>
      </w:r>
      <w:r>
        <w:rPr>
          <w:rFonts w:hint="eastAsia" w:asciiTheme="majorEastAsia" w:hAnsiTheme="majorEastAsia" w:eastAsiaTheme="majorEastAsia"/>
          <w:sz w:val="30"/>
          <w:szCs w:val="30"/>
          <w:highlight w:val="none"/>
        </w:rPr>
        <w:t>：建设工程廉政合同</w:t>
      </w:r>
    </w:p>
    <w:tbl>
      <w:tblPr>
        <w:tblStyle w:val="63"/>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0"/>
      </w:tblGrid>
      <w:tr w14:paraId="69995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0" w:type="dxa"/>
            <w:vAlign w:val="center"/>
          </w:tcPr>
          <w:p w14:paraId="24919FD4">
            <w:pPr>
              <w:pStyle w:val="518"/>
              <w:spacing w:line="440" w:lineRule="exact"/>
              <w:ind w:right="24" w:rightChars="10"/>
              <w:rPr>
                <w:rFonts w:asciiTheme="majorEastAsia" w:hAnsiTheme="majorEastAsia" w:eastAsiaTheme="majorEastAsia"/>
                <w:kern w:val="2"/>
                <w:sz w:val="24"/>
                <w:szCs w:val="24"/>
                <w:highlight w:val="none"/>
              </w:rPr>
            </w:pPr>
            <w:r>
              <w:rPr>
                <w:rFonts w:hint="eastAsia" w:asciiTheme="majorEastAsia" w:hAnsiTheme="majorEastAsia" w:eastAsiaTheme="majorEastAsia"/>
                <w:kern w:val="2"/>
                <w:sz w:val="24"/>
                <w:szCs w:val="24"/>
                <w:highlight w:val="none"/>
              </w:rPr>
              <w:t xml:space="preserve">建设单位（甲方）： </w:t>
            </w:r>
          </w:p>
        </w:tc>
      </w:tr>
      <w:tr w14:paraId="355D7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0" w:type="dxa"/>
            <w:vAlign w:val="center"/>
          </w:tcPr>
          <w:p w14:paraId="10D82D36">
            <w:pPr>
              <w:pStyle w:val="518"/>
              <w:spacing w:line="440" w:lineRule="exact"/>
              <w:ind w:right="24" w:rightChars="10"/>
              <w:rPr>
                <w:rFonts w:asciiTheme="majorEastAsia" w:hAnsiTheme="majorEastAsia" w:eastAsiaTheme="majorEastAsia"/>
                <w:kern w:val="2"/>
                <w:sz w:val="24"/>
                <w:szCs w:val="24"/>
                <w:highlight w:val="none"/>
              </w:rPr>
            </w:pPr>
            <w:r>
              <w:rPr>
                <w:rFonts w:hint="eastAsia" w:asciiTheme="majorEastAsia" w:hAnsiTheme="majorEastAsia" w:eastAsiaTheme="majorEastAsia"/>
                <w:kern w:val="2"/>
                <w:sz w:val="24"/>
                <w:szCs w:val="24"/>
                <w:highlight w:val="none"/>
              </w:rPr>
              <w:t xml:space="preserve">中标单位（乙方）： </w:t>
            </w:r>
          </w:p>
        </w:tc>
      </w:tr>
      <w:tr w14:paraId="3D9B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0" w:type="dxa"/>
            <w:vAlign w:val="center"/>
          </w:tcPr>
          <w:p w14:paraId="7979154E">
            <w:pPr>
              <w:pStyle w:val="518"/>
              <w:spacing w:line="440" w:lineRule="exact"/>
              <w:ind w:right="24" w:rightChars="10"/>
              <w:rPr>
                <w:rFonts w:asciiTheme="majorEastAsia" w:hAnsiTheme="majorEastAsia" w:eastAsiaTheme="majorEastAsia"/>
                <w:kern w:val="2"/>
                <w:sz w:val="24"/>
                <w:szCs w:val="24"/>
                <w:highlight w:val="none"/>
              </w:rPr>
            </w:pPr>
            <w:r>
              <w:rPr>
                <w:rFonts w:hint="eastAsia" w:asciiTheme="majorEastAsia" w:hAnsiTheme="majorEastAsia" w:eastAsiaTheme="majorEastAsia"/>
                <w:kern w:val="2"/>
                <w:sz w:val="24"/>
                <w:szCs w:val="24"/>
                <w:highlight w:val="none"/>
              </w:rPr>
              <w:t>项目</w:t>
            </w:r>
            <w:r>
              <w:rPr>
                <w:rFonts w:asciiTheme="majorEastAsia" w:hAnsiTheme="majorEastAsia" w:eastAsiaTheme="majorEastAsia"/>
                <w:kern w:val="2"/>
                <w:sz w:val="24"/>
                <w:szCs w:val="24"/>
                <w:highlight w:val="none"/>
              </w:rPr>
              <w:t>名称：</w:t>
            </w:r>
          </w:p>
        </w:tc>
      </w:tr>
      <w:tr w14:paraId="6DE5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0" w:type="dxa"/>
            <w:vAlign w:val="center"/>
          </w:tcPr>
          <w:p w14:paraId="4949703F">
            <w:pPr>
              <w:pStyle w:val="518"/>
              <w:spacing w:line="440" w:lineRule="exact"/>
              <w:ind w:right="24" w:rightChars="10"/>
              <w:rPr>
                <w:rFonts w:asciiTheme="majorEastAsia" w:hAnsiTheme="majorEastAsia" w:eastAsiaTheme="majorEastAsia"/>
                <w:kern w:val="2"/>
                <w:sz w:val="24"/>
                <w:szCs w:val="24"/>
                <w:highlight w:val="none"/>
              </w:rPr>
            </w:pPr>
            <w:r>
              <w:rPr>
                <w:rFonts w:hint="eastAsia" w:asciiTheme="majorEastAsia" w:hAnsiTheme="majorEastAsia" w:eastAsiaTheme="majorEastAsia"/>
                <w:kern w:val="2"/>
                <w:sz w:val="24"/>
                <w:szCs w:val="24"/>
                <w:highlight w:val="none"/>
              </w:rPr>
              <w:t>投资计划批准机关及文号：</w:t>
            </w:r>
          </w:p>
        </w:tc>
      </w:tr>
      <w:tr w14:paraId="0732B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0" w:type="dxa"/>
            <w:vAlign w:val="center"/>
          </w:tcPr>
          <w:p w14:paraId="0EA4DBBD">
            <w:pPr>
              <w:pStyle w:val="518"/>
              <w:spacing w:line="440" w:lineRule="exact"/>
              <w:ind w:right="24" w:rightChars="10"/>
              <w:rPr>
                <w:rFonts w:asciiTheme="majorEastAsia" w:hAnsiTheme="majorEastAsia" w:eastAsiaTheme="majorEastAsia"/>
                <w:kern w:val="2"/>
                <w:sz w:val="24"/>
                <w:szCs w:val="24"/>
                <w:highlight w:val="none"/>
              </w:rPr>
            </w:pPr>
            <w:r>
              <w:rPr>
                <w:rFonts w:hint="eastAsia" w:asciiTheme="majorEastAsia" w:hAnsiTheme="majorEastAsia" w:eastAsiaTheme="majorEastAsia"/>
                <w:kern w:val="2"/>
                <w:sz w:val="24"/>
                <w:szCs w:val="24"/>
                <w:highlight w:val="none"/>
              </w:rPr>
              <w:t xml:space="preserve">投资来源： </w:t>
            </w:r>
          </w:p>
        </w:tc>
      </w:tr>
      <w:tr w14:paraId="6167E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0" w:type="dxa"/>
            <w:vAlign w:val="center"/>
          </w:tcPr>
          <w:p w14:paraId="5AEB78EC">
            <w:pPr>
              <w:pStyle w:val="518"/>
              <w:spacing w:line="440" w:lineRule="exact"/>
              <w:ind w:right="24" w:rightChars="10"/>
              <w:rPr>
                <w:rFonts w:asciiTheme="majorEastAsia" w:hAnsiTheme="majorEastAsia" w:eastAsiaTheme="majorEastAsia"/>
                <w:kern w:val="2"/>
                <w:sz w:val="24"/>
                <w:szCs w:val="24"/>
                <w:highlight w:val="none"/>
              </w:rPr>
            </w:pPr>
            <w:r>
              <w:rPr>
                <w:rFonts w:hint="eastAsia" w:asciiTheme="majorEastAsia" w:hAnsiTheme="majorEastAsia" w:eastAsiaTheme="majorEastAsia"/>
                <w:kern w:val="2"/>
                <w:sz w:val="24"/>
                <w:szCs w:val="24"/>
                <w:highlight w:val="none"/>
              </w:rPr>
              <w:t>投标形式：公开</w:t>
            </w:r>
            <w:r>
              <w:rPr>
                <w:rFonts w:asciiTheme="majorEastAsia" w:hAnsiTheme="majorEastAsia" w:eastAsiaTheme="majorEastAsia"/>
                <w:kern w:val="2"/>
                <w:sz w:val="24"/>
                <w:szCs w:val="24"/>
                <w:highlight w:val="none"/>
              </w:rPr>
              <w:sym w:font="Wingdings" w:char="F0A8"/>
            </w:r>
            <w:r>
              <w:rPr>
                <w:rFonts w:hint="eastAsia" w:asciiTheme="majorEastAsia" w:hAnsiTheme="majorEastAsia" w:eastAsiaTheme="majorEastAsia"/>
                <w:kern w:val="2"/>
                <w:sz w:val="24"/>
                <w:szCs w:val="24"/>
                <w:highlight w:val="none"/>
              </w:rPr>
              <w:t xml:space="preserve">  邀请</w:t>
            </w:r>
            <w:r>
              <w:rPr>
                <w:rFonts w:asciiTheme="majorEastAsia" w:hAnsiTheme="majorEastAsia" w:eastAsiaTheme="majorEastAsia"/>
                <w:kern w:val="2"/>
                <w:sz w:val="24"/>
                <w:szCs w:val="24"/>
                <w:highlight w:val="none"/>
              </w:rPr>
              <w:sym w:font="Wingdings" w:char="F0A8"/>
            </w:r>
            <w:r>
              <w:rPr>
                <w:rFonts w:hint="eastAsia" w:asciiTheme="majorEastAsia" w:hAnsiTheme="majorEastAsia" w:eastAsiaTheme="majorEastAsia"/>
                <w:kern w:val="2"/>
                <w:sz w:val="24"/>
                <w:szCs w:val="24"/>
                <w:highlight w:val="none"/>
              </w:rPr>
              <w:t xml:space="preserve">  直接发包</w:t>
            </w:r>
            <w:r>
              <w:rPr>
                <w:rFonts w:asciiTheme="majorEastAsia" w:hAnsiTheme="majorEastAsia" w:eastAsiaTheme="majorEastAsia"/>
                <w:kern w:val="2"/>
                <w:sz w:val="24"/>
                <w:szCs w:val="24"/>
                <w:highlight w:val="none"/>
              </w:rPr>
              <w:sym w:font="Wingdings" w:char="F0A8"/>
            </w:r>
            <w:r>
              <w:rPr>
                <w:rFonts w:hint="eastAsia" w:asciiTheme="majorEastAsia" w:hAnsiTheme="majorEastAsia" w:eastAsiaTheme="majorEastAsia"/>
                <w:kern w:val="2"/>
                <w:sz w:val="24"/>
                <w:szCs w:val="24"/>
                <w:highlight w:val="none"/>
              </w:rPr>
              <w:t xml:space="preserve">  未招标</w:t>
            </w:r>
            <w:r>
              <w:rPr>
                <w:rFonts w:asciiTheme="majorEastAsia" w:hAnsiTheme="majorEastAsia" w:eastAsiaTheme="majorEastAsia"/>
                <w:kern w:val="2"/>
                <w:sz w:val="24"/>
                <w:szCs w:val="24"/>
                <w:highlight w:val="none"/>
              </w:rPr>
              <w:sym w:font="Wingdings" w:char="F0A8"/>
            </w:r>
          </w:p>
        </w:tc>
      </w:tr>
      <w:tr w14:paraId="76558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0" w:type="dxa"/>
            <w:vAlign w:val="center"/>
          </w:tcPr>
          <w:p w14:paraId="6F2557FF">
            <w:pPr>
              <w:pStyle w:val="518"/>
              <w:spacing w:line="440" w:lineRule="exact"/>
              <w:ind w:right="24" w:rightChars="10"/>
              <w:rPr>
                <w:rFonts w:asciiTheme="majorEastAsia" w:hAnsiTheme="majorEastAsia" w:eastAsiaTheme="majorEastAsia"/>
                <w:kern w:val="2"/>
                <w:sz w:val="24"/>
                <w:szCs w:val="24"/>
                <w:highlight w:val="none"/>
              </w:rPr>
            </w:pPr>
            <w:r>
              <w:rPr>
                <w:rFonts w:asciiTheme="majorEastAsia" w:hAnsiTheme="majorEastAsia" w:eastAsiaTheme="majorEastAsia"/>
                <w:kern w:val="2"/>
                <w:sz w:val="24"/>
                <w:szCs w:val="24"/>
                <w:highlight w:val="none"/>
              </w:rPr>
              <w:t>投标报价：                业主标底价：               中标价：</w:t>
            </w:r>
          </w:p>
        </w:tc>
      </w:tr>
      <w:tr w14:paraId="27B00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0" w:type="dxa"/>
            <w:vAlign w:val="center"/>
          </w:tcPr>
          <w:p w14:paraId="1F89F331">
            <w:pPr>
              <w:pStyle w:val="518"/>
              <w:spacing w:line="440" w:lineRule="exact"/>
              <w:ind w:right="24" w:rightChars="10"/>
              <w:rPr>
                <w:rFonts w:asciiTheme="majorEastAsia" w:hAnsiTheme="majorEastAsia" w:eastAsiaTheme="majorEastAsia"/>
                <w:kern w:val="2"/>
                <w:sz w:val="24"/>
                <w:szCs w:val="24"/>
                <w:highlight w:val="none"/>
              </w:rPr>
            </w:pPr>
            <w:r>
              <w:rPr>
                <w:rFonts w:hint="eastAsia" w:asciiTheme="majorEastAsia" w:hAnsiTheme="majorEastAsia" w:eastAsiaTheme="majorEastAsia"/>
                <w:kern w:val="2"/>
                <w:sz w:val="24"/>
                <w:szCs w:val="24"/>
                <w:highlight w:val="none"/>
              </w:rPr>
              <w:t xml:space="preserve">建设工期： </w:t>
            </w:r>
          </w:p>
        </w:tc>
      </w:tr>
      <w:tr w14:paraId="546A5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0" w:type="dxa"/>
            <w:vAlign w:val="center"/>
          </w:tcPr>
          <w:p w14:paraId="715BA432">
            <w:pPr>
              <w:pStyle w:val="518"/>
              <w:spacing w:line="440" w:lineRule="exact"/>
              <w:ind w:right="24" w:rightChars="10"/>
              <w:rPr>
                <w:rFonts w:asciiTheme="majorEastAsia" w:hAnsiTheme="majorEastAsia" w:eastAsiaTheme="majorEastAsia"/>
                <w:kern w:val="2"/>
                <w:sz w:val="24"/>
                <w:szCs w:val="24"/>
                <w:highlight w:val="none"/>
              </w:rPr>
            </w:pPr>
            <w:r>
              <w:rPr>
                <w:rFonts w:hint="eastAsia" w:asciiTheme="majorEastAsia" w:hAnsiTheme="majorEastAsia" w:eastAsiaTheme="majorEastAsia"/>
                <w:kern w:val="2"/>
                <w:sz w:val="24"/>
                <w:szCs w:val="24"/>
                <w:highlight w:val="none"/>
              </w:rPr>
              <w:t xml:space="preserve">建设地点： </w:t>
            </w:r>
          </w:p>
        </w:tc>
      </w:tr>
      <w:tr w14:paraId="0C834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0" w:type="dxa"/>
            <w:vAlign w:val="center"/>
          </w:tcPr>
          <w:p w14:paraId="522FDA8B">
            <w:pPr>
              <w:pStyle w:val="518"/>
              <w:spacing w:line="440" w:lineRule="exact"/>
              <w:ind w:right="24" w:rightChars="10"/>
              <w:rPr>
                <w:rFonts w:asciiTheme="majorEastAsia" w:hAnsiTheme="majorEastAsia" w:eastAsiaTheme="majorEastAsia"/>
                <w:kern w:val="2"/>
                <w:sz w:val="24"/>
                <w:szCs w:val="24"/>
                <w:highlight w:val="none"/>
              </w:rPr>
            </w:pPr>
            <w:r>
              <w:rPr>
                <w:rFonts w:hint="eastAsia" w:asciiTheme="majorEastAsia" w:hAnsiTheme="majorEastAsia" w:eastAsiaTheme="majorEastAsia"/>
                <w:kern w:val="2"/>
                <w:sz w:val="24"/>
                <w:szCs w:val="24"/>
                <w:highlight w:val="none"/>
              </w:rPr>
              <w:t>评标形式：综合评分</w:t>
            </w:r>
            <w:r>
              <w:rPr>
                <w:rFonts w:asciiTheme="majorEastAsia" w:hAnsiTheme="majorEastAsia" w:eastAsiaTheme="majorEastAsia"/>
                <w:kern w:val="2"/>
                <w:sz w:val="24"/>
                <w:szCs w:val="24"/>
                <w:highlight w:val="none"/>
              </w:rPr>
              <w:sym w:font="Wingdings" w:char="F0A8"/>
            </w:r>
            <w:r>
              <w:rPr>
                <w:rFonts w:hint="eastAsia" w:asciiTheme="majorEastAsia" w:hAnsiTheme="majorEastAsia" w:eastAsiaTheme="majorEastAsia"/>
                <w:kern w:val="2"/>
                <w:sz w:val="24"/>
                <w:szCs w:val="24"/>
                <w:highlight w:val="none"/>
              </w:rPr>
              <w:t xml:space="preserve">    量化评分</w:t>
            </w:r>
            <w:r>
              <w:rPr>
                <w:rFonts w:asciiTheme="majorEastAsia" w:hAnsiTheme="majorEastAsia" w:eastAsiaTheme="majorEastAsia"/>
                <w:kern w:val="2"/>
                <w:sz w:val="24"/>
                <w:szCs w:val="24"/>
                <w:highlight w:val="none"/>
              </w:rPr>
              <w:sym w:font="Wingdings" w:char="F0A8"/>
            </w:r>
            <w:r>
              <w:rPr>
                <w:rFonts w:hint="eastAsia" w:asciiTheme="majorEastAsia" w:hAnsiTheme="majorEastAsia" w:eastAsiaTheme="majorEastAsia"/>
                <w:kern w:val="2"/>
                <w:sz w:val="24"/>
                <w:szCs w:val="24"/>
                <w:highlight w:val="none"/>
              </w:rPr>
              <w:t xml:space="preserve">    合理最佳低价</w:t>
            </w:r>
            <w:r>
              <w:rPr>
                <w:rFonts w:asciiTheme="majorEastAsia" w:hAnsiTheme="majorEastAsia" w:eastAsiaTheme="majorEastAsia"/>
                <w:kern w:val="2"/>
                <w:sz w:val="24"/>
                <w:szCs w:val="24"/>
                <w:highlight w:val="none"/>
              </w:rPr>
              <w:sym w:font="Wingdings" w:char="F0A8"/>
            </w:r>
          </w:p>
        </w:tc>
      </w:tr>
      <w:tr w14:paraId="5BC1C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0" w:type="dxa"/>
            <w:vAlign w:val="center"/>
          </w:tcPr>
          <w:p w14:paraId="7C1D9F31">
            <w:pPr>
              <w:pStyle w:val="518"/>
              <w:spacing w:line="440" w:lineRule="exact"/>
              <w:ind w:right="24" w:rightChars="10"/>
              <w:rPr>
                <w:rFonts w:asciiTheme="majorEastAsia" w:hAnsiTheme="majorEastAsia" w:eastAsiaTheme="majorEastAsia"/>
                <w:kern w:val="2"/>
                <w:sz w:val="24"/>
                <w:szCs w:val="24"/>
                <w:highlight w:val="none"/>
              </w:rPr>
            </w:pPr>
            <w:r>
              <w:rPr>
                <w:rFonts w:hint="eastAsia" w:asciiTheme="majorEastAsia" w:hAnsiTheme="majorEastAsia" w:eastAsiaTheme="majorEastAsia"/>
                <w:kern w:val="2"/>
                <w:sz w:val="24"/>
                <w:szCs w:val="24"/>
                <w:highlight w:val="none"/>
              </w:rPr>
              <w:t>定标形式：当场</w:t>
            </w:r>
            <w:r>
              <w:rPr>
                <w:rFonts w:asciiTheme="majorEastAsia" w:hAnsiTheme="majorEastAsia" w:eastAsiaTheme="majorEastAsia"/>
                <w:kern w:val="2"/>
                <w:sz w:val="24"/>
                <w:szCs w:val="24"/>
                <w:highlight w:val="none"/>
              </w:rPr>
              <w:sym w:font="Wingdings" w:char="F0A8"/>
            </w:r>
            <w:r>
              <w:rPr>
                <w:rFonts w:hint="eastAsia" w:asciiTheme="majorEastAsia" w:hAnsiTheme="majorEastAsia" w:eastAsiaTheme="majorEastAsia"/>
                <w:kern w:val="2"/>
                <w:sz w:val="24"/>
                <w:szCs w:val="24"/>
                <w:highlight w:val="none"/>
              </w:rPr>
              <w:t xml:space="preserve">              隔日</w:t>
            </w:r>
            <w:r>
              <w:rPr>
                <w:rFonts w:asciiTheme="majorEastAsia" w:hAnsiTheme="majorEastAsia" w:eastAsiaTheme="majorEastAsia"/>
                <w:kern w:val="2"/>
                <w:sz w:val="24"/>
                <w:szCs w:val="24"/>
                <w:highlight w:val="none"/>
              </w:rPr>
              <w:sym w:font="Wingdings" w:char="F0A8"/>
            </w:r>
          </w:p>
        </w:tc>
      </w:tr>
    </w:tbl>
    <w:p w14:paraId="16C62D9B">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根据国家建设部、监察部《关于在工程建设中深入开展反对腐败和反对不正当竞争的通知》和中共云南省纪委、监察厅、建设厅《关于在全省建设工程中建立工程承包和工程廉政“双合同”机制的通知》精神，坚决执行《反不正当竞争法》、《建筑法》、《招标投标法》等有关法律法规和政策，为确保建设工程质量达到国家有关规定、争优创优、干部廉洁，在签订工程建设合同的同时，甲乙双方必须签订工程廉政合同。</w:t>
      </w:r>
    </w:p>
    <w:p w14:paraId="45C7FF41">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一、甲方不得接受乙方请吃、请玩</w:t>
      </w:r>
      <w:r>
        <w:rPr>
          <w:rFonts w:hint="eastAsia" w:asciiTheme="majorEastAsia" w:hAnsiTheme="majorEastAsia" w:eastAsiaTheme="majorEastAsia"/>
          <w:highlight w:val="none"/>
        </w:rPr>
        <w:t>；</w:t>
      </w:r>
      <w:r>
        <w:rPr>
          <w:rFonts w:asciiTheme="majorEastAsia" w:hAnsiTheme="majorEastAsia" w:eastAsiaTheme="majorEastAsia"/>
          <w:highlight w:val="none"/>
        </w:rPr>
        <w:t>不得接受乙方赠送的礼品、礼金和各种有价证券、信用卡及其他支付凭证</w:t>
      </w:r>
      <w:r>
        <w:rPr>
          <w:rFonts w:hint="eastAsia" w:asciiTheme="majorEastAsia" w:hAnsiTheme="majorEastAsia" w:eastAsiaTheme="majorEastAsia"/>
          <w:highlight w:val="none"/>
        </w:rPr>
        <w:t>；</w:t>
      </w:r>
      <w:r>
        <w:rPr>
          <w:rFonts w:asciiTheme="majorEastAsia" w:hAnsiTheme="majorEastAsia" w:eastAsiaTheme="majorEastAsia"/>
          <w:highlight w:val="none"/>
        </w:rPr>
        <w:t>不得接受乙方任何好处费及工程回扣</w:t>
      </w:r>
      <w:r>
        <w:rPr>
          <w:rFonts w:hint="eastAsia" w:asciiTheme="majorEastAsia" w:hAnsiTheme="majorEastAsia" w:eastAsiaTheme="majorEastAsia"/>
          <w:highlight w:val="none"/>
        </w:rPr>
        <w:t>；</w:t>
      </w:r>
      <w:r>
        <w:rPr>
          <w:rFonts w:asciiTheme="majorEastAsia" w:hAnsiTheme="majorEastAsia" w:eastAsiaTheme="majorEastAsia"/>
          <w:highlight w:val="none"/>
        </w:rPr>
        <w:t>不得向乙方报销任何由甲方支付的费用</w:t>
      </w:r>
      <w:r>
        <w:rPr>
          <w:rFonts w:hint="eastAsia" w:asciiTheme="majorEastAsia" w:hAnsiTheme="majorEastAsia" w:eastAsiaTheme="majorEastAsia"/>
          <w:highlight w:val="none"/>
        </w:rPr>
        <w:t>；</w:t>
      </w:r>
      <w:r>
        <w:rPr>
          <w:rFonts w:asciiTheme="majorEastAsia" w:hAnsiTheme="majorEastAsia" w:eastAsiaTheme="majorEastAsia"/>
          <w:highlight w:val="none"/>
        </w:rPr>
        <w:t>不得借用、租用乙方的交通、通讯工具等物品</w:t>
      </w:r>
      <w:r>
        <w:rPr>
          <w:rFonts w:hint="eastAsia" w:asciiTheme="majorEastAsia" w:hAnsiTheme="majorEastAsia" w:eastAsiaTheme="majorEastAsia"/>
          <w:highlight w:val="none"/>
        </w:rPr>
        <w:t>；</w:t>
      </w:r>
      <w:r>
        <w:rPr>
          <w:rFonts w:asciiTheme="majorEastAsia" w:hAnsiTheme="majorEastAsia" w:eastAsiaTheme="majorEastAsia"/>
          <w:highlight w:val="none"/>
        </w:rPr>
        <w:t>不得参加乙方举行的任何祝贺庆典活动。</w:t>
      </w:r>
    </w:p>
    <w:p w14:paraId="37366CE8">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二、甲方工作人员的配偶、子女，不得承包或从事与工程有关的材料供应、工程分包、工程监理、工程装璜和装修、组织提供劳务等活动</w:t>
      </w:r>
      <w:r>
        <w:rPr>
          <w:rFonts w:hint="eastAsia" w:asciiTheme="majorEastAsia" w:hAnsiTheme="majorEastAsia" w:eastAsiaTheme="majorEastAsia"/>
          <w:highlight w:val="none"/>
        </w:rPr>
        <w:t>；</w:t>
      </w:r>
      <w:r>
        <w:rPr>
          <w:rFonts w:asciiTheme="majorEastAsia" w:hAnsiTheme="majorEastAsia" w:eastAsiaTheme="majorEastAsia"/>
          <w:highlight w:val="none"/>
        </w:rPr>
        <w:t>不得向施工方推荐分包单位</w:t>
      </w:r>
      <w:r>
        <w:rPr>
          <w:rFonts w:hint="eastAsia" w:asciiTheme="majorEastAsia" w:hAnsiTheme="majorEastAsia" w:eastAsiaTheme="majorEastAsia"/>
          <w:highlight w:val="none"/>
        </w:rPr>
        <w:t>；</w:t>
      </w:r>
      <w:r>
        <w:rPr>
          <w:rFonts w:asciiTheme="majorEastAsia" w:hAnsiTheme="majorEastAsia" w:eastAsiaTheme="majorEastAsia"/>
          <w:highlight w:val="none"/>
        </w:rPr>
        <w:t>不得要求施工方购买合同规定外的材料和设备。</w:t>
      </w:r>
    </w:p>
    <w:p w14:paraId="349E8512">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三、甲方人员向乙方索贿，经乙方或其他线索检举，被纪检监察机关立案查处认定的，由此产生的办案费用由甲方（索贿方单位或个人）承担。不论举报甲方或乙方的贿赂行为的举报人，经查证属实，可由查办案件的机关（单位）依照规定给予奖励。</w:t>
      </w:r>
    </w:p>
    <w:p w14:paraId="7DB03A9A">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四、乙方不得以任何形式邀请甲方人员吃、玩或向甲方赠送礼品、礼金、各种有价证券、信用卡及其他支付凭证或物品。如有违反，由有关行政主管部门对乙方给予扣减应付工程款的3%—5%，或者中止工程建设合同。并视情节轻重，对乙方决策人和经办人以及甲方接受人员给予批评教育、党纪政纪处分、依法追究刑事责任。</w:t>
      </w:r>
    </w:p>
    <w:p w14:paraId="0BC43097">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五、乙方在工程项目建设中贿赂甲方人员、中介方人员，被纪检监察机关或司法机关立案查处的，甲方有权中止工程建设合同。由此给甲方造成的损失以及发生的一切费用均由乙方承担。可在工程款中扣除。</w:t>
      </w:r>
    </w:p>
    <w:p w14:paraId="323AB0BA">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六、甲乙双方人员赠送、贿赂、接受或索要钱物的行为，如果一方发生，另一方当事人应立即主动报告本单位领导和纪检监察机关或向检察机关举报。对不主动报告情况的有关人员，一经查出，必须视情节轻重给予批评教育、党纪政纪处分依法追究刑事责任。</w:t>
      </w:r>
    </w:p>
    <w:p w14:paraId="4217CBC7">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七、凡是未按规定签订《工程廉政合同》的工程项目，不得办理工程建设项目施工许可证等相关手续，不得擅自同意或者进行施工（勘察、设计、监理）。违者将由纪检监察机关追究党纪政纪责任，由有关行政主管部门依照有关法律法规进行处罚。</w:t>
      </w:r>
    </w:p>
    <w:p w14:paraId="4B8AB82B">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八、甲乙双方单位法定代表人和分管领导、有关人员要严格履行《工程廉政合同》。履行《工程廉政合同》中的相互监督、自查自纠等情况，甲乙双方分别在工程建设合同中期要向本单位的纪检监察部门和监证的纪检监察机关、部门作出报告。纪检监察机关、部门可视情况进行定期不定期的检查。如有违反，对法定代表人主要领导或分管领导要从严追究责任。</w:t>
      </w:r>
    </w:p>
    <w:p w14:paraId="78F31F87">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九、工程竣工验收同期，甲乙双方要分别向本单位的纪检监察部门和监证的纪检监察机关、部门写出执行《工程廉政合同》的情况总结和相互鉴定报告。未按规定做出报告或纪检监察机关、部门不同意验收的工程，不得办理工程竣工验收手续。</w:t>
      </w:r>
    </w:p>
    <w:p w14:paraId="6E967892">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十、此合同一式</w:t>
      </w:r>
      <w:r>
        <w:rPr>
          <w:rFonts w:hint="eastAsia" w:asciiTheme="majorEastAsia" w:hAnsiTheme="majorEastAsia" w:eastAsiaTheme="majorEastAsia"/>
          <w:highlight w:val="none"/>
        </w:rPr>
        <w:t xml:space="preserve">   </w:t>
      </w:r>
      <w:r>
        <w:rPr>
          <w:rFonts w:asciiTheme="majorEastAsia" w:hAnsiTheme="majorEastAsia" w:eastAsiaTheme="majorEastAsia"/>
          <w:highlight w:val="none"/>
        </w:rPr>
        <w:t>份：甲方</w:t>
      </w:r>
      <w:r>
        <w:rPr>
          <w:rFonts w:hint="eastAsia" w:asciiTheme="majorEastAsia" w:hAnsiTheme="majorEastAsia" w:eastAsiaTheme="majorEastAsia"/>
          <w:highlight w:val="none"/>
        </w:rPr>
        <w:t xml:space="preserve">   份，</w:t>
      </w:r>
      <w:r>
        <w:rPr>
          <w:rFonts w:asciiTheme="majorEastAsia" w:hAnsiTheme="majorEastAsia" w:eastAsiaTheme="majorEastAsia"/>
          <w:highlight w:val="none"/>
        </w:rPr>
        <w:t>乙方</w:t>
      </w:r>
      <w:r>
        <w:rPr>
          <w:rFonts w:hint="eastAsia" w:asciiTheme="majorEastAsia" w:hAnsiTheme="majorEastAsia" w:eastAsiaTheme="majorEastAsia"/>
          <w:highlight w:val="none"/>
        </w:rPr>
        <w:t xml:space="preserve">   </w:t>
      </w:r>
      <w:r>
        <w:rPr>
          <w:rFonts w:asciiTheme="majorEastAsia" w:hAnsiTheme="majorEastAsia" w:eastAsiaTheme="majorEastAsia"/>
          <w:highlight w:val="none"/>
        </w:rPr>
        <w:t>份，有关行政主管部门一份，纪检监察机关、部门一份。</w:t>
      </w:r>
    </w:p>
    <w:p w14:paraId="1E92A6B5">
      <w:pPr>
        <w:spacing w:line="560" w:lineRule="exact"/>
        <w:ind w:firstLine="566" w:firstLineChars="236"/>
        <w:rPr>
          <w:rFonts w:asciiTheme="majorEastAsia" w:hAnsiTheme="majorEastAsia" w:eastAsiaTheme="majorEastAsia"/>
          <w:highlight w:val="none"/>
        </w:rPr>
      </w:pPr>
      <w:r>
        <w:rPr>
          <w:rFonts w:asciiTheme="majorEastAsia" w:hAnsiTheme="majorEastAsia" w:eastAsiaTheme="majorEastAsia"/>
          <w:highlight w:val="none"/>
        </w:rPr>
        <w:t>十</w:t>
      </w:r>
      <w:r>
        <w:rPr>
          <w:rFonts w:hint="eastAsia" w:asciiTheme="majorEastAsia" w:hAnsiTheme="majorEastAsia" w:eastAsiaTheme="majorEastAsia"/>
          <w:highlight w:val="none"/>
          <w:lang w:val="en-US" w:eastAsia="zh-CN"/>
        </w:rPr>
        <w:t>一</w:t>
      </w:r>
      <w:r>
        <w:rPr>
          <w:rFonts w:asciiTheme="majorEastAsia" w:hAnsiTheme="majorEastAsia" w:eastAsiaTheme="majorEastAsia"/>
          <w:highlight w:val="none"/>
        </w:rPr>
        <w:t>、此合同自双方签字并经纪检监察机关、部门监证后即生效，并由本单位的纪检监察部门和监证的纪检监察机关、部门监督执行。</w:t>
      </w:r>
    </w:p>
    <w:p w14:paraId="1B5442DF">
      <w:pPr>
        <w:pStyle w:val="518"/>
        <w:spacing w:line="700" w:lineRule="exact"/>
        <w:ind w:firstLine="480" w:firstLineChars="200"/>
        <w:rPr>
          <w:rFonts w:asciiTheme="majorEastAsia" w:hAnsiTheme="majorEastAsia" w:eastAsiaTheme="majorEastAsia"/>
          <w:kern w:val="2"/>
          <w:sz w:val="24"/>
          <w:szCs w:val="24"/>
          <w:highlight w:val="none"/>
        </w:rPr>
      </w:pPr>
      <w:r>
        <w:rPr>
          <w:rFonts w:asciiTheme="majorEastAsia" w:hAnsiTheme="majorEastAsia" w:eastAsiaTheme="majorEastAsia"/>
          <w:kern w:val="2"/>
          <w:sz w:val="24"/>
          <w:szCs w:val="24"/>
          <w:highlight w:val="none"/>
        </w:rPr>
        <w:t xml:space="preserve">建设单位（甲方）：（公章）   </w:t>
      </w:r>
      <w:r>
        <w:rPr>
          <w:rFonts w:asciiTheme="majorEastAsia" w:hAnsiTheme="majorEastAsia" w:eastAsiaTheme="majorEastAsia"/>
          <w:kern w:val="2"/>
          <w:sz w:val="24"/>
          <w:szCs w:val="24"/>
          <w:highlight w:val="none"/>
        </w:rPr>
        <w:tab/>
      </w:r>
      <w:r>
        <w:rPr>
          <w:rFonts w:asciiTheme="majorEastAsia" w:hAnsiTheme="majorEastAsia" w:eastAsiaTheme="majorEastAsia"/>
          <w:kern w:val="2"/>
          <w:sz w:val="24"/>
          <w:szCs w:val="24"/>
          <w:highlight w:val="none"/>
        </w:rPr>
        <w:tab/>
      </w:r>
      <w:r>
        <w:rPr>
          <w:rFonts w:hint="eastAsia" w:asciiTheme="majorEastAsia" w:hAnsiTheme="majorEastAsia" w:eastAsiaTheme="majorEastAsia"/>
          <w:kern w:val="2"/>
          <w:sz w:val="24"/>
          <w:szCs w:val="24"/>
          <w:highlight w:val="none"/>
        </w:rPr>
        <w:t xml:space="preserve">     </w:t>
      </w:r>
      <w:r>
        <w:rPr>
          <w:rFonts w:asciiTheme="majorEastAsia" w:hAnsiTheme="majorEastAsia" w:eastAsiaTheme="majorEastAsia"/>
          <w:kern w:val="2"/>
          <w:sz w:val="24"/>
          <w:szCs w:val="24"/>
          <w:highlight w:val="none"/>
        </w:rPr>
        <w:t>中标单位（乙方）：（公章）</w:t>
      </w:r>
    </w:p>
    <w:p w14:paraId="2EEB7B50">
      <w:pPr>
        <w:pStyle w:val="518"/>
        <w:spacing w:line="700" w:lineRule="exact"/>
        <w:ind w:firstLine="480" w:firstLineChars="200"/>
        <w:rPr>
          <w:rFonts w:asciiTheme="majorEastAsia" w:hAnsiTheme="majorEastAsia" w:eastAsiaTheme="majorEastAsia"/>
          <w:kern w:val="2"/>
          <w:sz w:val="24"/>
          <w:szCs w:val="24"/>
          <w:highlight w:val="none"/>
        </w:rPr>
      </w:pPr>
      <w:r>
        <w:rPr>
          <w:rFonts w:asciiTheme="majorEastAsia" w:hAnsiTheme="majorEastAsia" w:eastAsiaTheme="majorEastAsia"/>
          <w:kern w:val="2"/>
          <w:sz w:val="24"/>
          <w:szCs w:val="24"/>
          <w:highlight w:val="none"/>
        </w:rPr>
        <w:t xml:space="preserve">地址：                  </w:t>
      </w:r>
      <w:r>
        <w:rPr>
          <w:rFonts w:asciiTheme="majorEastAsia" w:hAnsiTheme="majorEastAsia" w:eastAsiaTheme="majorEastAsia"/>
          <w:kern w:val="2"/>
          <w:sz w:val="24"/>
          <w:szCs w:val="24"/>
          <w:highlight w:val="none"/>
        </w:rPr>
        <w:tab/>
      </w:r>
      <w:r>
        <w:rPr>
          <w:rFonts w:asciiTheme="majorEastAsia" w:hAnsiTheme="majorEastAsia" w:eastAsiaTheme="majorEastAsia"/>
          <w:kern w:val="2"/>
          <w:sz w:val="24"/>
          <w:szCs w:val="24"/>
          <w:highlight w:val="none"/>
        </w:rPr>
        <w:tab/>
      </w:r>
      <w:r>
        <w:rPr>
          <w:rFonts w:hint="eastAsia" w:asciiTheme="majorEastAsia" w:hAnsiTheme="majorEastAsia" w:eastAsiaTheme="majorEastAsia"/>
          <w:kern w:val="2"/>
          <w:sz w:val="24"/>
          <w:szCs w:val="24"/>
          <w:highlight w:val="none"/>
        </w:rPr>
        <w:t xml:space="preserve">           </w:t>
      </w:r>
      <w:r>
        <w:rPr>
          <w:rFonts w:asciiTheme="majorEastAsia" w:hAnsiTheme="majorEastAsia" w:eastAsiaTheme="majorEastAsia"/>
          <w:kern w:val="2"/>
          <w:sz w:val="24"/>
          <w:szCs w:val="24"/>
          <w:highlight w:val="none"/>
        </w:rPr>
        <w:t xml:space="preserve">地址： </w:t>
      </w:r>
    </w:p>
    <w:p w14:paraId="371F2B5A">
      <w:pPr>
        <w:pStyle w:val="518"/>
        <w:spacing w:line="700" w:lineRule="exact"/>
        <w:ind w:firstLine="480" w:firstLineChars="200"/>
        <w:rPr>
          <w:rFonts w:asciiTheme="majorEastAsia" w:hAnsiTheme="majorEastAsia" w:eastAsiaTheme="majorEastAsia"/>
          <w:kern w:val="2"/>
          <w:sz w:val="24"/>
          <w:szCs w:val="24"/>
          <w:highlight w:val="none"/>
        </w:rPr>
      </w:pPr>
      <w:r>
        <w:rPr>
          <w:rFonts w:asciiTheme="majorEastAsia" w:hAnsiTheme="majorEastAsia" w:eastAsiaTheme="majorEastAsia"/>
          <w:kern w:val="2"/>
          <w:sz w:val="24"/>
          <w:szCs w:val="24"/>
          <w:highlight w:val="none"/>
        </w:rPr>
        <w:t xml:space="preserve">建设单位法定代表人：      </w:t>
      </w:r>
      <w:r>
        <w:rPr>
          <w:rFonts w:asciiTheme="majorEastAsia" w:hAnsiTheme="majorEastAsia" w:eastAsiaTheme="majorEastAsia"/>
          <w:kern w:val="2"/>
          <w:sz w:val="24"/>
          <w:szCs w:val="24"/>
          <w:highlight w:val="none"/>
        </w:rPr>
        <w:tab/>
      </w:r>
      <w:r>
        <w:rPr>
          <w:rFonts w:asciiTheme="majorEastAsia" w:hAnsiTheme="majorEastAsia" w:eastAsiaTheme="majorEastAsia"/>
          <w:kern w:val="2"/>
          <w:sz w:val="24"/>
          <w:szCs w:val="24"/>
          <w:highlight w:val="none"/>
        </w:rPr>
        <w:tab/>
      </w:r>
      <w:r>
        <w:rPr>
          <w:rFonts w:hint="eastAsia" w:asciiTheme="majorEastAsia" w:hAnsiTheme="majorEastAsia" w:eastAsiaTheme="majorEastAsia"/>
          <w:kern w:val="2"/>
          <w:sz w:val="24"/>
          <w:szCs w:val="24"/>
          <w:highlight w:val="none"/>
        </w:rPr>
        <w:t xml:space="preserve">     </w:t>
      </w:r>
      <w:r>
        <w:rPr>
          <w:rFonts w:asciiTheme="majorEastAsia" w:hAnsiTheme="majorEastAsia" w:eastAsiaTheme="majorEastAsia"/>
          <w:kern w:val="2"/>
          <w:sz w:val="24"/>
          <w:szCs w:val="24"/>
          <w:highlight w:val="none"/>
        </w:rPr>
        <w:t>中标单位法定代表人：</w:t>
      </w:r>
    </w:p>
    <w:p w14:paraId="2D0304B5">
      <w:pPr>
        <w:pStyle w:val="518"/>
        <w:spacing w:line="700" w:lineRule="exact"/>
        <w:ind w:firstLine="480" w:firstLineChars="200"/>
        <w:rPr>
          <w:rFonts w:asciiTheme="majorEastAsia" w:hAnsiTheme="majorEastAsia" w:eastAsiaTheme="majorEastAsia"/>
          <w:kern w:val="2"/>
          <w:sz w:val="24"/>
          <w:szCs w:val="24"/>
          <w:highlight w:val="none"/>
        </w:rPr>
      </w:pPr>
      <w:r>
        <w:rPr>
          <w:rFonts w:asciiTheme="majorEastAsia" w:hAnsiTheme="majorEastAsia" w:eastAsiaTheme="majorEastAsia"/>
          <w:kern w:val="2"/>
          <w:sz w:val="24"/>
          <w:szCs w:val="24"/>
          <w:highlight w:val="none"/>
        </w:rPr>
        <w:t xml:space="preserve">联系电话：                   </w:t>
      </w:r>
      <w:r>
        <w:rPr>
          <w:rFonts w:asciiTheme="majorEastAsia" w:hAnsiTheme="majorEastAsia" w:eastAsiaTheme="majorEastAsia"/>
          <w:kern w:val="2"/>
          <w:sz w:val="24"/>
          <w:szCs w:val="24"/>
          <w:highlight w:val="none"/>
        </w:rPr>
        <w:tab/>
      </w:r>
      <w:r>
        <w:rPr>
          <w:rFonts w:hint="eastAsia" w:asciiTheme="majorEastAsia" w:hAnsiTheme="majorEastAsia" w:eastAsiaTheme="majorEastAsia"/>
          <w:kern w:val="2"/>
          <w:sz w:val="24"/>
          <w:szCs w:val="24"/>
          <w:highlight w:val="none"/>
        </w:rPr>
        <w:t xml:space="preserve">           </w:t>
      </w:r>
      <w:r>
        <w:rPr>
          <w:rFonts w:asciiTheme="majorEastAsia" w:hAnsiTheme="majorEastAsia" w:eastAsiaTheme="majorEastAsia"/>
          <w:kern w:val="2"/>
          <w:sz w:val="24"/>
          <w:szCs w:val="24"/>
          <w:highlight w:val="none"/>
        </w:rPr>
        <w:t>联系电话：</w:t>
      </w:r>
    </w:p>
    <w:p w14:paraId="7CB2E639">
      <w:pPr>
        <w:pStyle w:val="518"/>
        <w:spacing w:line="700" w:lineRule="exact"/>
        <w:ind w:firstLine="480" w:firstLineChars="200"/>
        <w:rPr>
          <w:rFonts w:asciiTheme="majorEastAsia" w:hAnsiTheme="majorEastAsia" w:eastAsiaTheme="majorEastAsia"/>
          <w:kern w:val="2"/>
          <w:sz w:val="24"/>
          <w:szCs w:val="24"/>
          <w:highlight w:val="none"/>
        </w:rPr>
      </w:pPr>
      <w:r>
        <w:rPr>
          <w:rFonts w:asciiTheme="majorEastAsia" w:hAnsiTheme="majorEastAsia" w:eastAsiaTheme="majorEastAsia"/>
          <w:kern w:val="2"/>
          <w:sz w:val="24"/>
          <w:szCs w:val="24"/>
          <w:highlight w:val="none"/>
        </w:rPr>
        <w:t xml:space="preserve">建设单位项目法人：           </w:t>
      </w:r>
      <w:r>
        <w:rPr>
          <w:rFonts w:hint="eastAsia" w:asciiTheme="majorEastAsia" w:hAnsiTheme="majorEastAsia" w:eastAsiaTheme="majorEastAsia"/>
          <w:kern w:val="2"/>
          <w:sz w:val="24"/>
          <w:szCs w:val="24"/>
          <w:highlight w:val="none"/>
        </w:rPr>
        <w:t xml:space="preserve">   </w:t>
      </w:r>
      <w:r>
        <w:rPr>
          <w:rFonts w:asciiTheme="majorEastAsia" w:hAnsiTheme="majorEastAsia" w:eastAsiaTheme="majorEastAsia"/>
          <w:kern w:val="2"/>
          <w:sz w:val="24"/>
          <w:szCs w:val="24"/>
          <w:highlight w:val="none"/>
        </w:rPr>
        <w:tab/>
      </w:r>
      <w:r>
        <w:rPr>
          <w:rFonts w:hint="eastAsia" w:asciiTheme="majorEastAsia" w:hAnsiTheme="majorEastAsia" w:eastAsiaTheme="majorEastAsia"/>
          <w:kern w:val="2"/>
          <w:sz w:val="24"/>
          <w:szCs w:val="24"/>
          <w:highlight w:val="none"/>
        </w:rPr>
        <w:t xml:space="preserve">     </w:t>
      </w:r>
      <w:r>
        <w:rPr>
          <w:rFonts w:asciiTheme="majorEastAsia" w:hAnsiTheme="majorEastAsia" w:eastAsiaTheme="majorEastAsia"/>
          <w:kern w:val="2"/>
          <w:sz w:val="24"/>
          <w:szCs w:val="24"/>
          <w:highlight w:val="none"/>
        </w:rPr>
        <w:t>中标单位项目法人：</w:t>
      </w:r>
    </w:p>
    <w:p w14:paraId="26F3CAF1">
      <w:pPr>
        <w:pStyle w:val="518"/>
        <w:spacing w:line="700" w:lineRule="exact"/>
        <w:ind w:firstLine="480" w:firstLineChars="200"/>
        <w:rPr>
          <w:rFonts w:asciiTheme="majorEastAsia" w:hAnsiTheme="majorEastAsia" w:eastAsiaTheme="majorEastAsia"/>
          <w:kern w:val="2"/>
          <w:sz w:val="24"/>
          <w:szCs w:val="24"/>
          <w:highlight w:val="none"/>
        </w:rPr>
      </w:pPr>
      <w:r>
        <w:rPr>
          <w:rFonts w:asciiTheme="majorEastAsia" w:hAnsiTheme="majorEastAsia" w:eastAsiaTheme="majorEastAsia"/>
          <w:kern w:val="2"/>
          <w:sz w:val="24"/>
          <w:szCs w:val="24"/>
          <w:highlight w:val="none"/>
        </w:rPr>
        <w:t xml:space="preserve">联系电话：                   </w:t>
      </w:r>
      <w:r>
        <w:rPr>
          <w:rFonts w:asciiTheme="majorEastAsia" w:hAnsiTheme="majorEastAsia" w:eastAsiaTheme="majorEastAsia"/>
          <w:kern w:val="2"/>
          <w:sz w:val="24"/>
          <w:szCs w:val="24"/>
          <w:highlight w:val="none"/>
        </w:rPr>
        <w:tab/>
      </w:r>
      <w:r>
        <w:rPr>
          <w:rFonts w:hint="eastAsia" w:asciiTheme="majorEastAsia" w:hAnsiTheme="majorEastAsia" w:eastAsiaTheme="majorEastAsia"/>
          <w:kern w:val="2"/>
          <w:sz w:val="24"/>
          <w:szCs w:val="24"/>
          <w:highlight w:val="none"/>
        </w:rPr>
        <w:t xml:space="preserve">           </w:t>
      </w:r>
      <w:r>
        <w:rPr>
          <w:rFonts w:asciiTheme="majorEastAsia" w:hAnsiTheme="majorEastAsia" w:eastAsiaTheme="majorEastAsia"/>
          <w:kern w:val="2"/>
          <w:sz w:val="24"/>
          <w:szCs w:val="24"/>
          <w:highlight w:val="none"/>
        </w:rPr>
        <w:t>联系电话：</w:t>
      </w:r>
    </w:p>
    <w:p w14:paraId="10F22F9C">
      <w:pPr>
        <w:pStyle w:val="518"/>
        <w:spacing w:line="700" w:lineRule="exact"/>
        <w:ind w:firstLine="480" w:firstLineChars="200"/>
        <w:rPr>
          <w:rFonts w:asciiTheme="majorEastAsia" w:hAnsiTheme="majorEastAsia" w:eastAsiaTheme="majorEastAsia"/>
          <w:kern w:val="2"/>
          <w:sz w:val="24"/>
          <w:szCs w:val="24"/>
          <w:highlight w:val="none"/>
        </w:rPr>
      </w:pPr>
      <w:r>
        <w:rPr>
          <w:rFonts w:asciiTheme="majorEastAsia" w:hAnsiTheme="majorEastAsia" w:eastAsiaTheme="majorEastAsia"/>
          <w:kern w:val="2"/>
          <w:sz w:val="24"/>
          <w:szCs w:val="24"/>
          <w:highlight w:val="none"/>
        </w:rPr>
        <w:t>本单位纪检监察部门：（公章）</w:t>
      </w:r>
      <w:r>
        <w:rPr>
          <w:rFonts w:hint="eastAsia" w:asciiTheme="majorEastAsia" w:hAnsiTheme="majorEastAsia" w:eastAsiaTheme="majorEastAsia"/>
          <w:kern w:val="2"/>
          <w:sz w:val="24"/>
          <w:szCs w:val="24"/>
          <w:highlight w:val="none"/>
        </w:rPr>
        <w:t xml:space="preserve">　　　　       </w:t>
      </w:r>
      <w:r>
        <w:rPr>
          <w:rFonts w:asciiTheme="majorEastAsia" w:hAnsiTheme="majorEastAsia" w:eastAsiaTheme="majorEastAsia"/>
          <w:kern w:val="2"/>
          <w:sz w:val="24"/>
          <w:szCs w:val="24"/>
          <w:highlight w:val="none"/>
        </w:rPr>
        <w:t>纪检监察机关、部门：（公章）</w:t>
      </w:r>
    </w:p>
    <w:p w14:paraId="1FA9B52F">
      <w:pPr>
        <w:pStyle w:val="518"/>
        <w:spacing w:line="700" w:lineRule="exact"/>
        <w:ind w:firstLine="480" w:firstLineChars="200"/>
        <w:rPr>
          <w:rFonts w:asciiTheme="majorEastAsia" w:hAnsiTheme="majorEastAsia" w:eastAsiaTheme="majorEastAsia"/>
          <w:kern w:val="2"/>
          <w:sz w:val="24"/>
          <w:szCs w:val="24"/>
          <w:highlight w:val="none"/>
        </w:rPr>
      </w:pPr>
      <w:r>
        <w:rPr>
          <w:rFonts w:asciiTheme="majorEastAsia" w:hAnsiTheme="majorEastAsia" w:eastAsiaTheme="majorEastAsia"/>
          <w:kern w:val="2"/>
          <w:sz w:val="24"/>
          <w:szCs w:val="24"/>
          <w:highlight w:val="none"/>
        </w:rPr>
        <w:t>联系电话：</w:t>
      </w:r>
      <w:r>
        <w:rPr>
          <w:rFonts w:hint="eastAsia" w:asciiTheme="majorEastAsia" w:hAnsiTheme="majorEastAsia" w:eastAsiaTheme="majorEastAsia"/>
          <w:kern w:val="2"/>
          <w:sz w:val="24"/>
          <w:szCs w:val="24"/>
          <w:highlight w:val="none"/>
        </w:rPr>
        <w:t xml:space="preserve">　　　　　　　　　　　　　       </w:t>
      </w:r>
      <w:r>
        <w:rPr>
          <w:rFonts w:asciiTheme="majorEastAsia" w:hAnsiTheme="majorEastAsia" w:eastAsiaTheme="majorEastAsia"/>
          <w:kern w:val="2"/>
          <w:sz w:val="24"/>
          <w:szCs w:val="24"/>
          <w:highlight w:val="none"/>
        </w:rPr>
        <w:t>联系电话：</w:t>
      </w:r>
    </w:p>
    <w:p w14:paraId="3C561782">
      <w:pPr>
        <w:spacing w:line="700" w:lineRule="exact"/>
        <w:ind w:firstLine="560"/>
        <w:rPr>
          <w:rFonts w:asciiTheme="majorEastAsia" w:hAnsiTheme="majorEastAsia" w:eastAsiaTheme="majorEastAsia"/>
          <w:highlight w:val="none"/>
        </w:rPr>
      </w:pPr>
      <w:r>
        <w:rPr>
          <w:rFonts w:asciiTheme="majorEastAsia" w:hAnsiTheme="majorEastAsia" w:eastAsiaTheme="majorEastAsia"/>
          <w:spacing w:val="20"/>
          <w:kern w:val="10"/>
          <w:highlight w:val="none"/>
        </w:rPr>
        <w:t xml:space="preserve">              </w:t>
      </w:r>
      <w:r>
        <w:rPr>
          <w:rFonts w:hint="eastAsia" w:asciiTheme="majorEastAsia" w:hAnsiTheme="majorEastAsia" w:eastAsiaTheme="majorEastAsia"/>
          <w:spacing w:val="20"/>
          <w:kern w:val="10"/>
          <w:highlight w:val="none"/>
        </w:rPr>
        <w:t xml:space="preserve">                      </w:t>
      </w:r>
      <w:r>
        <w:rPr>
          <w:rFonts w:asciiTheme="majorEastAsia" w:hAnsiTheme="majorEastAsia" w:eastAsiaTheme="majorEastAsia"/>
          <w:spacing w:val="20"/>
          <w:kern w:val="10"/>
          <w:highlight w:val="none"/>
        </w:rPr>
        <w:t>年  月  日</w:t>
      </w:r>
    </w:p>
    <w:p w14:paraId="562A7A86">
      <w:pPr>
        <w:pStyle w:val="61"/>
        <w:ind w:firstLine="200"/>
        <w:rPr>
          <w:highlight w:val="none"/>
        </w:rPr>
      </w:pPr>
    </w:p>
    <w:bookmarkEnd w:id="245"/>
    <w:p w14:paraId="6E719E38">
      <w:pPr>
        <w:rPr>
          <w:rFonts w:asciiTheme="majorEastAsia" w:hAnsiTheme="majorEastAsia" w:eastAsiaTheme="majorEastAsia"/>
          <w:highlight w:val="none"/>
        </w:rPr>
      </w:pPr>
      <w:r>
        <w:rPr>
          <w:rFonts w:asciiTheme="majorEastAsia" w:hAnsiTheme="majorEastAsia" w:eastAsiaTheme="majorEastAsia"/>
          <w:highlight w:val="none"/>
        </w:rPr>
        <w:br w:type="page"/>
      </w:r>
    </w:p>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14:paraId="6E029D61">
      <w:pPr>
        <w:rPr>
          <w:rFonts w:asciiTheme="majorEastAsia" w:hAnsiTheme="majorEastAsia" w:eastAsiaTheme="majorEastAsia"/>
          <w:highlight w:val="none"/>
        </w:rPr>
      </w:pPr>
      <w:bookmarkStart w:id="1008" w:name="_Toc351721079"/>
      <w:bookmarkStart w:id="1009" w:name="_Toc478646380"/>
      <w:bookmarkStart w:id="1010" w:name="_Toc175625726"/>
      <w:bookmarkStart w:id="1011" w:name="_Toc67728471"/>
      <w:bookmarkStart w:id="1012" w:name="_Toc39482943"/>
    </w:p>
    <w:p w14:paraId="19CB5E96">
      <w:pPr>
        <w:pStyle w:val="346"/>
        <w:spacing w:before="120" w:after="120" w:line="800" w:lineRule="exact"/>
        <w:rPr>
          <w:rFonts w:cs="宋体" w:asciiTheme="majorEastAsia" w:hAnsiTheme="majorEastAsia" w:eastAsiaTheme="majorEastAsia"/>
          <w:b/>
          <w:sz w:val="52"/>
          <w:szCs w:val="52"/>
          <w:highlight w:val="none"/>
        </w:rPr>
      </w:pPr>
      <w:bookmarkStart w:id="1013" w:name="_Toc995"/>
      <w:r>
        <w:rPr>
          <w:rFonts w:hint="eastAsia" w:cs="宋体" w:asciiTheme="majorEastAsia" w:hAnsiTheme="majorEastAsia" w:eastAsiaTheme="majorEastAsia"/>
          <w:b/>
          <w:sz w:val="52"/>
          <w:szCs w:val="52"/>
          <w:highlight w:val="none"/>
        </w:rPr>
        <w:t>第五章</w:t>
      </w:r>
      <w:bookmarkEnd w:id="1008"/>
      <w:bookmarkEnd w:id="1009"/>
      <w:r>
        <w:rPr>
          <w:rFonts w:hint="eastAsia" w:cs="宋体" w:asciiTheme="majorEastAsia" w:hAnsiTheme="majorEastAsia" w:eastAsiaTheme="majorEastAsia"/>
          <w:b/>
          <w:sz w:val="52"/>
          <w:szCs w:val="52"/>
          <w:highlight w:val="none"/>
        </w:rPr>
        <w:t xml:space="preserve">  规范及标准</w:t>
      </w:r>
      <w:bookmarkEnd w:id="1013"/>
    </w:p>
    <w:p w14:paraId="44767CD4">
      <w:pPr>
        <w:spacing w:line="560" w:lineRule="exact"/>
        <w:ind w:firstLine="523" w:firstLineChars="218"/>
        <w:rPr>
          <w:rFonts w:cs="宋体" w:asciiTheme="majorEastAsia" w:hAnsiTheme="majorEastAsia" w:eastAsiaTheme="majorEastAsia"/>
          <w:highlight w:val="none"/>
        </w:rPr>
      </w:pPr>
      <w:r>
        <w:rPr>
          <w:rFonts w:hint="eastAsia" w:cs="宋体" w:asciiTheme="majorEastAsia" w:hAnsiTheme="majorEastAsia" w:eastAsiaTheme="majorEastAsia"/>
          <w:highlight w:val="none"/>
        </w:rPr>
        <w:t>一、本招标工程在实施过程中材料、设备、施工必须符合现行中华人民共和国以及省、自治区、直辖市或行业的工程建设标准、规范的要求。</w:t>
      </w:r>
    </w:p>
    <w:p w14:paraId="3FB45DA9">
      <w:pPr>
        <w:spacing w:line="560" w:lineRule="exact"/>
        <w:ind w:firstLine="523" w:firstLineChars="218"/>
        <w:rPr>
          <w:rFonts w:cs="宋体" w:asciiTheme="majorEastAsia" w:hAnsiTheme="majorEastAsia" w:eastAsiaTheme="majorEastAsia"/>
          <w:highlight w:val="none"/>
        </w:rPr>
      </w:pPr>
      <w:r>
        <w:rPr>
          <w:rFonts w:hint="eastAsia" w:cs="宋体" w:asciiTheme="majorEastAsia" w:hAnsiTheme="majorEastAsia" w:eastAsiaTheme="majorEastAsia"/>
          <w:highlight w:val="none"/>
        </w:rPr>
        <w:t>二、本招标工程的安全生产、文明施工、环境保护措施应符合中华人民共和国以及省、自治区、直辖市或行业以及当地政府的有关法律、法规的要求。</w:t>
      </w:r>
    </w:p>
    <w:p w14:paraId="44F6DD8E">
      <w:pPr>
        <w:spacing w:line="560" w:lineRule="exact"/>
        <w:ind w:firstLine="523" w:firstLineChars="218"/>
        <w:rPr>
          <w:rFonts w:cs="宋体" w:asciiTheme="majorEastAsia" w:hAnsiTheme="majorEastAsia" w:eastAsiaTheme="majorEastAsia"/>
          <w:highlight w:val="none"/>
        </w:rPr>
      </w:pPr>
      <w:r>
        <w:rPr>
          <w:rFonts w:hint="eastAsia" w:cs="宋体" w:asciiTheme="majorEastAsia" w:hAnsiTheme="majorEastAsia" w:eastAsiaTheme="majorEastAsia"/>
          <w:highlight w:val="none"/>
        </w:rPr>
        <w:t>三、根据工程设计要求及所处地域当地政府的相关规定，该项工程的材料、设备、施工除必须达到以上的标准外还应满足相关要求。</w:t>
      </w:r>
    </w:p>
    <w:p w14:paraId="1ABF9CF2">
      <w:pPr>
        <w:rPr>
          <w:rFonts w:cs="宋体" w:asciiTheme="majorEastAsia" w:hAnsiTheme="majorEastAsia" w:eastAsiaTheme="majorEastAsia"/>
          <w:highlight w:val="none"/>
        </w:rPr>
      </w:pPr>
      <w:r>
        <w:rPr>
          <w:rFonts w:hint="eastAsia" w:cs="宋体" w:asciiTheme="majorEastAsia" w:hAnsiTheme="majorEastAsia" w:eastAsiaTheme="majorEastAsia"/>
          <w:highlight w:val="none"/>
        </w:rPr>
        <w:br w:type="page"/>
      </w:r>
      <w:bookmarkStart w:id="1014" w:name="_Toc478646381"/>
    </w:p>
    <w:p w14:paraId="56E56685">
      <w:pPr>
        <w:rPr>
          <w:rFonts w:asciiTheme="majorEastAsia" w:hAnsiTheme="majorEastAsia" w:eastAsiaTheme="majorEastAsia"/>
          <w:highlight w:val="none"/>
        </w:rPr>
      </w:pPr>
    </w:p>
    <w:bookmarkEnd w:id="1014"/>
    <w:p w14:paraId="6770A947">
      <w:pPr>
        <w:rPr>
          <w:rFonts w:cs="宋体" w:asciiTheme="majorEastAsia" w:hAnsiTheme="majorEastAsia" w:eastAsiaTheme="majorEastAsia"/>
          <w:highlight w:val="none"/>
        </w:rPr>
      </w:pPr>
    </w:p>
    <w:p w14:paraId="59A1C28E">
      <w:pPr>
        <w:rPr>
          <w:rFonts w:cs="宋体" w:asciiTheme="majorEastAsia" w:hAnsiTheme="majorEastAsia" w:eastAsiaTheme="majorEastAsia"/>
          <w:highlight w:val="none"/>
        </w:rPr>
      </w:pPr>
    </w:p>
    <w:p w14:paraId="66C19929">
      <w:pPr>
        <w:rPr>
          <w:rFonts w:cs="宋体" w:asciiTheme="majorEastAsia" w:hAnsiTheme="majorEastAsia" w:eastAsiaTheme="majorEastAsia"/>
          <w:highlight w:val="none"/>
        </w:rPr>
      </w:pPr>
    </w:p>
    <w:p w14:paraId="51FE5FCD">
      <w:pPr>
        <w:rPr>
          <w:rFonts w:cs="宋体" w:asciiTheme="majorEastAsia" w:hAnsiTheme="majorEastAsia" w:eastAsiaTheme="majorEastAsia"/>
          <w:highlight w:val="none"/>
        </w:rPr>
      </w:pPr>
    </w:p>
    <w:p w14:paraId="6A96E3B4">
      <w:pPr>
        <w:rPr>
          <w:rFonts w:cs="宋体" w:asciiTheme="majorEastAsia" w:hAnsiTheme="majorEastAsia" w:eastAsiaTheme="majorEastAsia"/>
          <w:highlight w:val="none"/>
        </w:rPr>
      </w:pPr>
    </w:p>
    <w:p w14:paraId="0B043F20">
      <w:pPr>
        <w:rPr>
          <w:rFonts w:cs="宋体" w:asciiTheme="majorEastAsia" w:hAnsiTheme="majorEastAsia" w:eastAsiaTheme="majorEastAsia"/>
          <w:highlight w:val="none"/>
        </w:rPr>
      </w:pPr>
    </w:p>
    <w:p w14:paraId="3BCF7452">
      <w:pPr>
        <w:rPr>
          <w:rFonts w:cs="宋体" w:asciiTheme="majorEastAsia" w:hAnsiTheme="majorEastAsia" w:eastAsiaTheme="majorEastAsia"/>
          <w:highlight w:val="none"/>
        </w:rPr>
      </w:pPr>
    </w:p>
    <w:p w14:paraId="723A7680">
      <w:pPr>
        <w:rPr>
          <w:rFonts w:cs="宋体" w:asciiTheme="majorEastAsia" w:hAnsiTheme="majorEastAsia" w:eastAsiaTheme="majorEastAsia"/>
          <w:highlight w:val="none"/>
        </w:rPr>
      </w:pPr>
    </w:p>
    <w:p w14:paraId="2220D536">
      <w:pPr>
        <w:rPr>
          <w:rFonts w:cs="宋体" w:asciiTheme="majorEastAsia" w:hAnsiTheme="majorEastAsia" w:eastAsiaTheme="majorEastAsia"/>
          <w:highlight w:val="none"/>
        </w:rPr>
      </w:pPr>
    </w:p>
    <w:p w14:paraId="0B6664EF">
      <w:pPr>
        <w:rPr>
          <w:rFonts w:cs="宋体" w:asciiTheme="majorEastAsia" w:hAnsiTheme="majorEastAsia" w:eastAsiaTheme="majorEastAsia"/>
          <w:highlight w:val="none"/>
        </w:rPr>
      </w:pPr>
    </w:p>
    <w:p w14:paraId="1142D177">
      <w:pPr>
        <w:rPr>
          <w:rFonts w:cs="宋体" w:asciiTheme="majorEastAsia" w:hAnsiTheme="majorEastAsia" w:eastAsiaTheme="majorEastAsia"/>
          <w:highlight w:val="none"/>
        </w:rPr>
      </w:pPr>
    </w:p>
    <w:p w14:paraId="5512D322">
      <w:pPr>
        <w:rPr>
          <w:rFonts w:cs="宋体" w:asciiTheme="majorEastAsia" w:hAnsiTheme="majorEastAsia" w:eastAsiaTheme="majorEastAsia"/>
          <w:highlight w:val="none"/>
        </w:rPr>
      </w:pPr>
    </w:p>
    <w:p w14:paraId="0249B610">
      <w:pPr>
        <w:rPr>
          <w:rFonts w:cs="宋体" w:asciiTheme="majorEastAsia" w:hAnsiTheme="majorEastAsia" w:eastAsiaTheme="majorEastAsia"/>
          <w:highlight w:val="none"/>
        </w:rPr>
      </w:pPr>
    </w:p>
    <w:p w14:paraId="576B272A">
      <w:pPr>
        <w:rPr>
          <w:rFonts w:cs="宋体" w:asciiTheme="majorEastAsia" w:hAnsiTheme="majorEastAsia" w:eastAsiaTheme="majorEastAsia"/>
          <w:highlight w:val="none"/>
        </w:rPr>
      </w:pPr>
    </w:p>
    <w:p w14:paraId="37D74A63">
      <w:pPr>
        <w:rPr>
          <w:rFonts w:cs="宋体" w:asciiTheme="majorEastAsia" w:hAnsiTheme="majorEastAsia" w:eastAsiaTheme="majorEastAsia"/>
          <w:highlight w:val="none"/>
        </w:rPr>
      </w:pPr>
    </w:p>
    <w:p w14:paraId="10A0CA93">
      <w:pPr>
        <w:rPr>
          <w:rFonts w:cs="宋体" w:asciiTheme="majorEastAsia" w:hAnsiTheme="majorEastAsia" w:eastAsiaTheme="majorEastAsia"/>
          <w:highlight w:val="none"/>
        </w:rPr>
      </w:pPr>
    </w:p>
    <w:p w14:paraId="51513E59">
      <w:pPr>
        <w:rPr>
          <w:rFonts w:cs="宋体" w:asciiTheme="majorEastAsia" w:hAnsiTheme="majorEastAsia" w:eastAsiaTheme="majorEastAsia"/>
          <w:highlight w:val="none"/>
        </w:rPr>
      </w:pPr>
    </w:p>
    <w:p w14:paraId="6146678D">
      <w:pPr>
        <w:rPr>
          <w:rFonts w:cs="宋体" w:asciiTheme="majorEastAsia" w:hAnsiTheme="majorEastAsia" w:eastAsiaTheme="majorEastAsia"/>
          <w:highlight w:val="none"/>
        </w:rPr>
      </w:pPr>
    </w:p>
    <w:p w14:paraId="7387FB58">
      <w:pPr>
        <w:pStyle w:val="346"/>
        <w:spacing w:before="120" w:after="120" w:line="800" w:lineRule="exact"/>
        <w:rPr>
          <w:rFonts w:cs="宋体" w:asciiTheme="majorEastAsia" w:hAnsiTheme="majorEastAsia" w:eastAsiaTheme="majorEastAsia"/>
          <w:b/>
          <w:sz w:val="52"/>
          <w:szCs w:val="52"/>
          <w:highlight w:val="none"/>
        </w:rPr>
      </w:pPr>
      <w:bookmarkStart w:id="1015" w:name="_Toc478646382"/>
      <w:bookmarkStart w:id="1016" w:name="_Toc18812"/>
      <w:r>
        <w:rPr>
          <w:rFonts w:hint="eastAsia" w:cs="宋体" w:asciiTheme="majorEastAsia" w:hAnsiTheme="majorEastAsia" w:eastAsiaTheme="majorEastAsia"/>
          <w:b/>
          <w:sz w:val="52"/>
          <w:szCs w:val="52"/>
          <w:highlight w:val="none"/>
        </w:rPr>
        <w:t>第</w:t>
      </w:r>
      <w:r>
        <w:rPr>
          <w:rFonts w:hint="eastAsia" w:cs="宋体" w:asciiTheme="majorEastAsia" w:hAnsiTheme="majorEastAsia" w:eastAsiaTheme="majorEastAsia"/>
          <w:b/>
          <w:sz w:val="52"/>
          <w:szCs w:val="52"/>
          <w:highlight w:val="none"/>
          <w:lang w:val="en-US" w:eastAsia="zh-CN"/>
        </w:rPr>
        <w:t>六</w:t>
      </w:r>
      <w:r>
        <w:rPr>
          <w:rFonts w:hint="eastAsia" w:cs="宋体" w:asciiTheme="majorEastAsia" w:hAnsiTheme="majorEastAsia" w:eastAsiaTheme="majorEastAsia"/>
          <w:b/>
          <w:sz w:val="52"/>
          <w:szCs w:val="52"/>
          <w:highlight w:val="none"/>
        </w:rPr>
        <w:t>章  投标文件格式</w:t>
      </w:r>
      <w:bookmarkEnd w:id="1010"/>
      <w:bookmarkEnd w:id="1015"/>
      <w:bookmarkEnd w:id="1016"/>
    </w:p>
    <w:p w14:paraId="523425ED">
      <w:pPr>
        <w:rPr>
          <w:rFonts w:cs="宋体" w:asciiTheme="majorEastAsia" w:hAnsiTheme="majorEastAsia" w:eastAsiaTheme="majorEastAsia"/>
          <w:highlight w:val="none"/>
        </w:rPr>
      </w:pPr>
      <w:r>
        <w:rPr>
          <w:rFonts w:hint="eastAsia" w:cs="宋体" w:asciiTheme="majorEastAsia" w:hAnsiTheme="majorEastAsia" w:eastAsiaTheme="majorEastAsia"/>
          <w:b/>
          <w:highlight w:val="none"/>
        </w:rPr>
        <w:br w:type="page"/>
      </w:r>
    </w:p>
    <w:p w14:paraId="45751D43">
      <w:pPr>
        <w:rPr>
          <w:rFonts w:cs="宋体" w:asciiTheme="majorEastAsia" w:hAnsiTheme="majorEastAsia" w:eastAsiaTheme="majorEastAsia"/>
          <w:highlight w:val="none"/>
        </w:rPr>
      </w:pPr>
    </w:p>
    <w:p w14:paraId="22731C21">
      <w:pPr>
        <w:rPr>
          <w:rFonts w:cs="宋体" w:asciiTheme="majorEastAsia" w:hAnsiTheme="majorEastAsia" w:eastAsiaTheme="majorEastAsia"/>
          <w:highlight w:val="none"/>
        </w:rPr>
      </w:pPr>
    </w:p>
    <w:p w14:paraId="2C38DB88">
      <w:pPr>
        <w:rPr>
          <w:rFonts w:cs="宋体" w:asciiTheme="majorEastAsia" w:hAnsiTheme="majorEastAsia" w:eastAsiaTheme="majorEastAsia"/>
          <w:highlight w:val="none"/>
        </w:rPr>
      </w:pPr>
    </w:p>
    <w:p w14:paraId="14A900CC">
      <w:pPr>
        <w:rPr>
          <w:rFonts w:cs="宋体" w:asciiTheme="majorEastAsia" w:hAnsiTheme="majorEastAsia" w:eastAsiaTheme="majorEastAsia"/>
          <w:highlight w:val="none"/>
        </w:rPr>
      </w:pPr>
    </w:p>
    <w:p w14:paraId="19342CF5">
      <w:pPr>
        <w:rPr>
          <w:rFonts w:cs="宋体" w:asciiTheme="majorEastAsia" w:hAnsiTheme="majorEastAsia" w:eastAsiaTheme="majorEastAsia"/>
          <w:highlight w:val="none"/>
        </w:rPr>
      </w:pPr>
    </w:p>
    <w:p w14:paraId="7CC1C3E5">
      <w:pPr>
        <w:rPr>
          <w:rFonts w:cs="宋体" w:asciiTheme="majorEastAsia" w:hAnsiTheme="majorEastAsia" w:eastAsiaTheme="majorEastAsia"/>
          <w:highlight w:val="none"/>
        </w:rPr>
      </w:pPr>
    </w:p>
    <w:p w14:paraId="7B36D132">
      <w:pPr>
        <w:rPr>
          <w:rFonts w:cs="宋体" w:asciiTheme="majorEastAsia" w:hAnsiTheme="majorEastAsia" w:eastAsiaTheme="majorEastAsia"/>
          <w:highlight w:val="none"/>
        </w:rPr>
      </w:pPr>
    </w:p>
    <w:p w14:paraId="12DF0026">
      <w:pPr>
        <w:rPr>
          <w:rFonts w:cs="宋体" w:asciiTheme="majorEastAsia" w:hAnsiTheme="majorEastAsia" w:eastAsiaTheme="majorEastAsia"/>
          <w:highlight w:val="none"/>
        </w:rPr>
      </w:pPr>
    </w:p>
    <w:p w14:paraId="6400D0F5">
      <w:pPr>
        <w:rPr>
          <w:rFonts w:cs="宋体" w:asciiTheme="majorEastAsia" w:hAnsiTheme="majorEastAsia" w:eastAsiaTheme="majorEastAsia"/>
          <w:highlight w:val="none"/>
        </w:rPr>
      </w:pPr>
    </w:p>
    <w:p w14:paraId="6F3D5DDB">
      <w:pPr>
        <w:rPr>
          <w:rFonts w:cs="宋体" w:asciiTheme="majorEastAsia" w:hAnsiTheme="majorEastAsia" w:eastAsiaTheme="majorEastAsia"/>
          <w:highlight w:val="none"/>
        </w:rPr>
      </w:pPr>
    </w:p>
    <w:p w14:paraId="4436CF3A">
      <w:pPr>
        <w:rPr>
          <w:rFonts w:cs="宋体" w:asciiTheme="majorEastAsia" w:hAnsiTheme="majorEastAsia" w:eastAsiaTheme="majorEastAsia"/>
          <w:highlight w:val="none"/>
        </w:rPr>
      </w:pPr>
    </w:p>
    <w:p w14:paraId="7753F168">
      <w:pPr>
        <w:rPr>
          <w:rFonts w:cs="宋体" w:asciiTheme="majorEastAsia" w:hAnsiTheme="majorEastAsia" w:eastAsiaTheme="majorEastAsia"/>
          <w:highlight w:val="none"/>
        </w:rPr>
      </w:pPr>
    </w:p>
    <w:p w14:paraId="477914AB">
      <w:pPr>
        <w:rPr>
          <w:rFonts w:cs="宋体" w:asciiTheme="majorEastAsia" w:hAnsiTheme="majorEastAsia" w:eastAsiaTheme="majorEastAsia"/>
          <w:highlight w:val="none"/>
        </w:rPr>
      </w:pPr>
    </w:p>
    <w:p w14:paraId="37B2EBEE">
      <w:pPr>
        <w:rPr>
          <w:rFonts w:cs="宋体" w:asciiTheme="majorEastAsia" w:hAnsiTheme="majorEastAsia" w:eastAsiaTheme="majorEastAsia"/>
          <w:highlight w:val="none"/>
        </w:rPr>
      </w:pPr>
    </w:p>
    <w:p w14:paraId="557C8FAD">
      <w:pPr>
        <w:rPr>
          <w:rFonts w:cs="宋体" w:asciiTheme="majorEastAsia" w:hAnsiTheme="majorEastAsia" w:eastAsiaTheme="majorEastAsia"/>
          <w:highlight w:val="none"/>
        </w:rPr>
      </w:pPr>
    </w:p>
    <w:p w14:paraId="5B4371AB">
      <w:pPr>
        <w:rPr>
          <w:rFonts w:cs="宋体" w:asciiTheme="majorEastAsia" w:hAnsiTheme="majorEastAsia" w:eastAsiaTheme="majorEastAsia"/>
          <w:highlight w:val="none"/>
        </w:rPr>
      </w:pPr>
    </w:p>
    <w:p w14:paraId="2683633E">
      <w:pPr>
        <w:rPr>
          <w:rFonts w:cs="宋体" w:asciiTheme="majorEastAsia" w:hAnsiTheme="majorEastAsia" w:eastAsiaTheme="majorEastAsia"/>
          <w:highlight w:val="none"/>
        </w:rPr>
      </w:pPr>
    </w:p>
    <w:p w14:paraId="54847F89">
      <w:pPr>
        <w:rPr>
          <w:rFonts w:cs="宋体" w:asciiTheme="majorEastAsia" w:hAnsiTheme="majorEastAsia" w:eastAsiaTheme="majorEastAsia"/>
          <w:highlight w:val="none"/>
        </w:rPr>
      </w:pPr>
    </w:p>
    <w:p w14:paraId="33C45072">
      <w:pPr>
        <w:rPr>
          <w:rFonts w:cs="宋体" w:asciiTheme="majorEastAsia" w:hAnsiTheme="majorEastAsia" w:eastAsiaTheme="majorEastAsia"/>
          <w:highlight w:val="none"/>
        </w:rPr>
      </w:pPr>
    </w:p>
    <w:p w14:paraId="102AF4C9">
      <w:pPr>
        <w:pStyle w:val="346"/>
        <w:spacing w:before="120" w:after="120"/>
        <w:rPr>
          <w:rFonts w:cs="宋体" w:asciiTheme="majorEastAsia" w:hAnsiTheme="majorEastAsia" w:eastAsiaTheme="majorEastAsia"/>
          <w:b/>
          <w:sz w:val="48"/>
          <w:szCs w:val="48"/>
          <w:highlight w:val="none"/>
        </w:rPr>
      </w:pPr>
      <w:bookmarkStart w:id="1017" w:name="_Toc12530"/>
      <w:r>
        <w:rPr>
          <w:rFonts w:hint="eastAsia" w:cs="宋体" w:asciiTheme="majorEastAsia" w:hAnsiTheme="majorEastAsia" w:eastAsiaTheme="majorEastAsia"/>
          <w:b/>
          <w:sz w:val="48"/>
          <w:szCs w:val="48"/>
          <w:highlight w:val="none"/>
        </w:rPr>
        <w:t>第一部分  投标函部分格式</w:t>
      </w:r>
      <w:bookmarkEnd w:id="1017"/>
    </w:p>
    <w:p w14:paraId="7EF35D76">
      <w:pPr>
        <w:rPr>
          <w:rFonts w:cs="宋体" w:asciiTheme="majorEastAsia" w:hAnsiTheme="majorEastAsia" w:eastAsiaTheme="majorEastAsia"/>
          <w:highlight w:val="none"/>
        </w:rPr>
      </w:pPr>
      <w:r>
        <w:rPr>
          <w:rFonts w:hint="eastAsia" w:cs="宋体" w:asciiTheme="majorEastAsia" w:hAnsiTheme="majorEastAsia" w:eastAsiaTheme="majorEastAsia"/>
          <w:highlight w:val="none"/>
        </w:rPr>
        <w:br w:type="page"/>
      </w:r>
    </w:p>
    <w:p w14:paraId="6B5E2AF2">
      <w:pPr>
        <w:rPr>
          <w:rFonts w:asciiTheme="majorEastAsia" w:hAnsiTheme="majorEastAsia" w:eastAsiaTheme="majorEastAsia"/>
          <w:highlight w:val="none"/>
        </w:rPr>
      </w:pPr>
    </w:p>
    <w:p w14:paraId="66641BA6">
      <w:pPr>
        <w:spacing w:before="120" w:beforeLines="50" w:after="120" w:afterLines="50" w:line="700" w:lineRule="exact"/>
        <w:jc w:val="center"/>
        <w:rPr>
          <w:rFonts w:cs="宋体" w:asciiTheme="majorEastAsia" w:hAnsiTheme="majorEastAsia" w:eastAsiaTheme="majorEastAsia"/>
          <w:b/>
          <w:bCs/>
          <w:sz w:val="44"/>
          <w:szCs w:val="44"/>
          <w:highlight w:val="none"/>
        </w:rPr>
      </w:pPr>
      <w:r>
        <w:rPr>
          <w:rFonts w:hint="eastAsia" w:cs="宋体" w:asciiTheme="majorEastAsia" w:hAnsiTheme="majorEastAsia" w:eastAsiaTheme="majorEastAsia"/>
          <w:b/>
          <w:bCs/>
          <w:sz w:val="44"/>
          <w:szCs w:val="44"/>
          <w:highlight w:val="none"/>
        </w:rPr>
        <w:t>一、投标函部分封面</w:t>
      </w:r>
    </w:p>
    <w:p w14:paraId="73647574">
      <w:pPr>
        <w:spacing w:line="700" w:lineRule="exact"/>
        <w:jc w:val="right"/>
        <w:rPr>
          <w:rFonts w:hint="eastAsia" w:cs="宋体" w:asciiTheme="majorEastAsia" w:hAnsiTheme="majorEastAsia" w:eastAsiaTheme="majorEastAsia"/>
          <w:b/>
          <w:bCs/>
          <w:sz w:val="28"/>
          <w:szCs w:val="28"/>
          <w:highlight w:val="none"/>
          <w:u w:val="single"/>
          <w:lang w:eastAsia="zh-CN"/>
        </w:rPr>
      </w:pPr>
      <w:r>
        <w:rPr>
          <w:rFonts w:hint="eastAsia" w:cs="宋体" w:asciiTheme="majorEastAsia" w:hAnsiTheme="majorEastAsia" w:eastAsiaTheme="majorEastAsia"/>
          <w:b/>
          <w:bCs/>
          <w:sz w:val="28"/>
          <w:szCs w:val="28"/>
          <w:highlight w:val="none"/>
        </w:rPr>
        <w:t>招标编号：</w:t>
      </w:r>
      <w:r>
        <w:rPr>
          <w:rFonts w:hint="eastAsia" w:cs="宋体" w:asciiTheme="majorEastAsia" w:hAnsiTheme="majorEastAsia" w:eastAsiaTheme="majorEastAsia"/>
          <w:b/>
          <w:bCs/>
          <w:sz w:val="28"/>
          <w:szCs w:val="28"/>
          <w:highlight w:val="none"/>
          <w:lang w:eastAsia="zh-CN"/>
        </w:rPr>
        <w:t>DZZG20260008</w:t>
      </w:r>
    </w:p>
    <w:p w14:paraId="27EC6703">
      <w:pPr>
        <w:spacing w:before="120" w:beforeLines="50" w:after="120" w:afterLines="50" w:line="800" w:lineRule="exact"/>
        <w:jc w:val="center"/>
        <w:rPr>
          <w:rFonts w:hint="eastAsia" w:cs="宋体" w:asciiTheme="majorEastAsia" w:hAnsiTheme="majorEastAsia" w:eastAsiaTheme="majorEastAsia"/>
          <w:b/>
          <w:bCs/>
          <w:sz w:val="32"/>
          <w:szCs w:val="32"/>
          <w:highlight w:val="none"/>
          <w:lang w:eastAsia="zh-CN"/>
        </w:rPr>
      </w:pPr>
      <w:r>
        <w:rPr>
          <w:rFonts w:hint="eastAsia" w:cs="宋体" w:asciiTheme="majorEastAsia" w:hAnsiTheme="majorEastAsia" w:eastAsiaTheme="majorEastAsia"/>
          <w:b/>
          <w:bCs/>
          <w:sz w:val="32"/>
          <w:szCs w:val="32"/>
          <w:highlight w:val="none"/>
        </w:rPr>
        <w:t>云南省</w:t>
      </w:r>
      <w:r>
        <w:rPr>
          <w:rFonts w:hint="eastAsia" w:cs="宋体" w:asciiTheme="majorEastAsia" w:hAnsiTheme="majorEastAsia" w:eastAsiaTheme="majorEastAsia"/>
          <w:b/>
          <w:bCs/>
          <w:sz w:val="32"/>
          <w:szCs w:val="32"/>
          <w:highlight w:val="none"/>
          <w:lang w:eastAsia="zh-CN"/>
        </w:rPr>
        <w:t>联珠镇癸能村花卉产业农文旅融合发展配套设施项目EPC+O</w:t>
      </w:r>
    </w:p>
    <w:p w14:paraId="50630D18">
      <w:pPr>
        <w:jc w:val="center"/>
        <w:rPr>
          <w:rFonts w:cs="宋体" w:asciiTheme="majorEastAsia" w:hAnsiTheme="majorEastAsia" w:eastAsiaTheme="majorEastAsia"/>
          <w:b/>
          <w:sz w:val="30"/>
          <w:szCs w:val="30"/>
          <w:highlight w:val="none"/>
        </w:rPr>
      </w:pPr>
    </w:p>
    <w:p w14:paraId="3F3AEE2C">
      <w:pPr>
        <w:rPr>
          <w:rFonts w:cs="宋体" w:asciiTheme="majorEastAsia" w:hAnsiTheme="majorEastAsia" w:eastAsiaTheme="majorEastAsia"/>
          <w:b/>
          <w:sz w:val="30"/>
          <w:szCs w:val="30"/>
          <w:highlight w:val="none"/>
        </w:rPr>
      </w:pPr>
    </w:p>
    <w:p w14:paraId="635C9604">
      <w:pPr>
        <w:rPr>
          <w:rFonts w:cs="宋体" w:asciiTheme="majorEastAsia" w:hAnsiTheme="majorEastAsia" w:eastAsiaTheme="majorEastAsia"/>
          <w:b/>
          <w:sz w:val="30"/>
          <w:szCs w:val="30"/>
          <w:highlight w:val="none"/>
        </w:rPr>
      </w:pPr>
    </w:p>
    <w:p w14:paraId="7B4B9A57">
      <w:pPr>
        <w:rPr>
          <w:rFonts w:cs="宋体" w:asciiTheme="majorEastAsia" w:hAnsiTheme="majorEastAsia" w:eastAsiaTheme="majorEastAsia"/>
          <w:b/>
          <w:sz w:val="30"/>
          <w:szCs w:val="30"/>
          <w:highlight w:val="none"/>
        </w:rPr>
      </w:pPr>
    </w:p>
    <w:p w14:paraId="6B5DE019">
      <w:pPr>
        <w:rPr>
          <w:rFonts w:cs="宋体" w:asciiTheme="majorEastAsia" w:hAnsiTheme="majorEastAsia" w:eastAsiaTheme="majorEastAsia"/>
          <w:b/>
          <w:sz w:val="30"/>
          <w:szCs w:val="30"/>
          <w:highlight w:val="none"/>
        </w:rPr>
      </w:pPr>
    </w:p>
    <w:p w14:paraId="2C88E3E0">
      <w:pPr>
        <w:rPr>
          <w:rFonts w:cs="宋体" w:asciiTheme="majorEastAsia" w:hAnsiTheme="majorEastAsia" w:eastAsiaTheme="majorEastAsia"/>
          <w:b/>
          <w:sz w:val="30"/>
          <w:szCs w:val="30"/>
          <w:highlight w:val="none"/>
        </w:rPr>
      </w:pPr>
    </w:p>
    <w:p w14:paraId="30351B6C">
      <w:pPr>
        <w:rPr>
          <w:rFonts w:cs="宋体" w:asciiTheme="majorEastAsia" w:hAnsiTheme="majorEastAsia" w:eastAsiaTheme="majorEastAsia"/>
          <w:b/>
          <w:sz w:val="30"/>
          <w:szCs w:val="30"/>
          <w:highlight w:val="none"/>
        </w:rPr>
      </w:pPr>
    </w:p>
    <w:p w14:paraId="1A0250DF">
      <w:pPr>
        <w:jc w:val="center"/>
        <w:rPr>
          <w:rFonts w:cs="宋体" w:asciiTheme="majorEastAsia" w:hAnsiTheme="majorEastAsia" w:eastAsiaTheme="majorEastAsia"/>
          <w:b/>
          <w:sz w:val="84"/>
          <w:szCs w:val="84"/>
          <w:highlight w:val="none"/>
        </w:rPr>
      </w:pPr>
      <w:r>
        <w:rPr>
          <w:rFonts w:hint="eastAsia" w:cs="宋体" w:asciiTheme="majorEastAsia" w:hAnsiTheme="majorEastAsia" w:eastAsiaTheme="majorEastAsia"/>
          <w:b/>
          <w:sz w:val="84"/>
          <w:szCs w:val="84"/>
          <w:highlight w:val="none"/>
        </w:rPr>
        <w:t>投 标 文 件</w:t>
      </w:r>
    </w:p>
    <w:p w14:paraId="5F7E3504">
      <w:pPr>
        <w:rPr>
          <w:rFonts w:cs="宋体" w:asciiTheme="majorEastAsia" w:hAnsiTheme="majorEastAsia" w:eastAsiaTheme="majorEastAsia"/>
          <w:b/>
          <w:sz w:val="30"/>
          <w:szCs w:val="30"/>
          <w:highlight w:val="none"/>
        </w:rPr>
      </w:pPr>
    </w:p>
    <w:p w14:paraId="20E979C5">
      <w:pPr>
        <w:rPr>
          <w:rFonts w:cs="宋体" w:asciiTheme="majorEastAsia" w:hAnsiTheme="majorEastAsia" w:eastAsiaTheme="majorEastAsia"/>
          <w:b/>
          <w:sz w:val="30"/>
          <w:szCs w:val="30"/>
          <w:highlight w:val="none"/>
        </w:rPr>
      </w:pPr>
    </w:p>
    <w:p w14:paraId="2E72D995">
      <w:pPr>
        <w:rPr>
          <w:rFonts w:cs="宋体" w:asciiTheme="majorEastAsia" w:hAnsiTheme="majorEastAsia" w:eastAsiaTheme="majorEastAsia"/>
          <w:b/>
          <w:sz w:val="30"/>
          <w:szCs w:val="30"/>
          <w:highlight w:val="none"/>
        </w:rPr>
      </w:pPr>
    </w:p>
    <w:p w14:paraId="2CD8093E">
      <w:pPr>
        <w:rPr>
          <w:rFonts w:cs="宋体" w:asciiTheme="majorEastAsia" w:hAnsiTheme="majorEastAsia" w:eastAsiaTheme="majorEastAsia"/>
          <w:b/>
          <w:sz w:val="30"/>
          <w:szCs w:val="30"/>
          <w:highlight w:val="none"/>
        </w:rPr>
      </w:pPr>
    </w:p>
    <w:p w14:paraId="3A048A92">
      <w:pPr>
        <w:rPr>
          <w:rFonts w:cs="宋体" w:asciiTheme="majorEastAsia" w:hAnsiTheme="majorEastAsia" w:eastAsiaTheme="majorEastAsia"/>
          <w:b/>
          <w:sz w:val="30"/>
          <w:szCs w:val="30"/>
          <w:highlight w:val="none"/>
        </w:rPr>
      </w:pPr>
    </w:p>
    <w:p w14:paraId="01729F51">
      <w:pPr>
        <w:rPr>
          <w:rFonts w:cs="宋体" w:asciiTheme="majorEastAsia" w:hAnsiTheme="majorEastAsia" w:eastAsiaTheme="majorEastAsia"/>
          <w:b/>
          <w:sz w:val="30"/>
          <w:szCs w:val="30"/>
          <w:highlight w:val="none"/>
        </w:rPr>
      </w:pPr>
    </w:p>
    <w:bookmarkEnd w:id="1011"/>
    <w:bookmarkEnd w:id="1012"/>
    <w:p w14:paraId="170E554F">
      <w:pPr>
        <w:snapToGrid w:val="0"/>
        <w:spacing w:line="800" w:lineRule="exact"/>
        <w:ind w:left="360" w:leftChars="150"/>
        <w:rPr>
          <w:rFonts w:cs="宋体" w:asciiTheme="majorEastAsia" w:hAnsiTheme="majorEastAsia" w:eastAsiaTheme="majorEastAsia"/>
          <w:b/>
          <w:highlight w:val="none"/>
          <w:u w:val="single"/>
        </w:rPr>
      </w:pPr>
      <w:bookmarkStart w:id="1018" w:name="_第九章_评标办法"/>
      <w:bookmarkEnd w:id="1018"/>
      <w:bookmarkStart w:id="1019" w:name="_Toc286307726"/>
      <w:bookmarkStart w:id="1020" w:name="_Toc280798068"/>
      <w:bookmarkStart w:id="1021" w:name="_Toc160864056"/>
      <w:r>
        <w:rPr>
          <w:rFonts w:hint="eastAsia" w:cs="宋体" w:asciiTheme="majorEastAsia" w:hAnsiTheme="majorEastAsia" w:eastAsiaTheme="majorEastAsia"/>
          <w:b/>
          <w:highlight w:val="none"/>
        </w:rPr>
        <w:t>投标人（电子签章）：</w:t>
      </w:r>
      <w:r>
        <w:rPr>
          <w:rFonts w:hint="eastAsia" w:cs="宋体" w:asciiTheme="majorEastAsia" w:hAnsiTheme="majorEastAsia" w:eastAsiaTheme="majorEastAsia"/>
          <w:b/>
          <w:highlight w:val="none"/>
          <w:u w:val="single"/>
        </w:rPr>
        <w:t xml:space="preserve">            （若为联合体，联合体牵头人电子签章）</w:t>
      </w:r>
    </w:p>
    <w:p w14:paraId="078FF5B9">
      <w:pPr>
        <w:snapToGrid w:val="0"/>
        <w:spacing w:line="800" w:lineRule="exact"/>
        <w:ind w:left="360" w:leftChars="150"/>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文件内容：</w:t>
      </w:r>
      <w:r>
        <w:rPr>
          <w:rFonts w:hint="eastAsia" w:cs="宋体" w:asciiTheme="majorEastAsia" w:hAnsiTheme="majorEastAsia" w:eastAsiaTheme="majorEastAsia"/>
          <w:b/>
          <w:highlight w:val="none"/>
          <w:u w:val="single"/>
        </w:rPr>
        <w:t xml:space="preserve">             投标文件投标函部分        </w:t>
      </w:r>
    </w:p>
    <w:p w14:paraId="028CD73D">
      <w:pPr>
        <w:snapToGrid w:val="0"/>
        <w:spacing w:line="800" w:lineRule="exact"/>
        <w:ind w:left="360" w:leftChars="150"/>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法定代表人或其委托代理人（电子签章）：</w:t>
      </w:r>
      <w:r>
        <w:rPr>
          <w:rFonts w:hint="eastAsia" w:cs="宋体" w:asciiTheme="majorEastAsia" w:hAnsiTheme="majorEastAsia" w:eastAsiaTheme="majorEastAsia"/>
          <w:b/>
          <w:highlight w:val="none"/>
          <w:u w:val="single"/>
        </w:rPr>
        <w:t xml:space="preserve">              </w:t>
      </w:r>
    </w:p>
    <w:p w14:paraId="5E377F6F">
      <w:pPr>
        <w:spacing w:line="800" w:lineRule="exact"/>
        <w:ind w:firstLine="289" w:firstLineChars="120"/>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日  期：</w:t>
      </w:r>
      <w:r>
        <w:rPr>
          <w:rFonts w:hint="eastAsia" w:cs="宋体" w:asciiTheme="majorEastAsia" w:hAnsiTheme="majorEastAsia" w:eastAsiaTheme="majorEastAsia"/>
          <w:b/>
          <w:highlight w:val="none"/>
          <w:u w:val="single"/>
        </w:rPr>
        <w:t xml:space="preserve">      </w:t>
      </w:r>
      <w:r>
        <w:rPr>
          <w:rFonts w:hint="eastAsia" w:cs="宋体" w:asciiTheme="majorEastAsia" w:hAnsiTheme="majorEastAsia" w:eastAsiaTheme="majorEastAsia"/>
          <w:b/>
          <w:highlight w:val="none"/>
        </w:rPr>
        <w:t xml:space="preserve"> 年</w:t>
      </w:r>
      <w:r>
        <w:rPr>
          <w:rFonts w:hint="eastAsia" w:cs="宋体" w:asciiTheme="majorEastAsia" w:hAnsiTheme="majorEastAsia" w:eastAsiaTheme="majorEastAsia"/>
          <w:b/>
          <w:highlight w:val="none"/>
          <w:u w:val="single"/>
        </w:rPr>
        <w:t xml:space="preserve">     </w:t>
      </w:r>
      <w:r>
        <w:rPr>
          <w:rFonts w:hint="eastAsia" w:cs="宋体" w:asciiTheme="majorEastAsia" w:hAnsiTheme="majorEastAsia" w:eastAsiaTheme="majorEastAsia"/>
          <w:b/>
          <w:highlight w:val="none"/>
        </w:rPr>
        <w:t xml:space="preserve"> 月</w:t>
      </w:r>
      <w:r>
        <w:rPr>
          <w:rFonts w:hint="eastAsia" w:cs="宋体" w:asciiTheme="majorEastAsia" w:hAnsiTheme="majorEastAsia" w:eastAsiaTheme="majorEastAsia"/>
          <w:b/>
          <w:highlight w:val="none"/>
          <w:u w:val="single"/>
        </w:rPr>
        <w:t xml:space="preserve">     </w:t>
      </w:r>
      <w:r>
        <w:rPr>
          <w:rFonts w:hint="eastAsia" w:cs="宋体" w:asciiTheme="majorEastAsia" w:hAnsiTheme="majorEastAsia" w:eastAsiaTheme="majorEastAsia"/>
          <w:b/>
          <w:highlight w:val="none"/>
        </w:rPr>
        <w:t>日</w:t>
      </w:r>
    </w:p>
    <w:p w14:paraId="5C2B9046">
      <w:pPr>
        <w:rPr>
          <w:rFonts w:cs="宋体" w:asciiTheme="majorEastAsia" w:hAnsiTheme="majorEastAsia" w:eastAsiaTheme="majorEastAsia"/>
          <w:highlight w:val="none"/>
        </w:rPr>
      </w:pPr>
    </w:p>
    <w:p w14:paraId="2B830B9D">
      <w:pPr>
        <w:spacing w:line="520" w:lineRule="exact"/>
        <w:ind w:firstLine="354" w:firstLineChars="147"/>
        <w:rPr>
          <w:rFonts w:cs="宋体" w:asciiTheme="majorEastAsia" w:hAnsiTheme="majorEastAsia" w:eastAsiaTheme="majorEastAsia"/>
          <w:highlight w:val="none"/>
        </w:rPr>
      </w:pPr>
      <w:r>
        <w:rPr>
          <w:rFonts w:hint="eastAsia" w:cs="宋体" w:asciiTheme="majorEastAsia" w:hAnsiTheme="majorEastAsia" w:eastAsiaTheme="majorEastAsia"/>
          <w:b/>
          <w:bCs/>
          <w:highlight w:val="none"/>
        </w:rPr>
        <w:t>注：本页作为投标文件的封面，请放置在</w:t>
      </w:r>
      <w:r>
        <w:rPr>
          <w:rFonts w:hint="eastAsia" w:cs="宋体" w:asciiTheme="majorEastAsia" w:hAnsiTheme="majorEastAsia" w:eastAsiaTheme="majorEastAsia"/>
          <w:b/>
          <w:bCs/>
          <w:highlight w:val="none"/>
          <w:lang w:val="en-US" w:eastAsia="zh-CN"/>
        </w:rPr>
        <w:t>投标</w:t>
      </w:r>
      <w:r>
        <w:rPr>
          <w:rFonts w:hint="eastAsia" w:cs="宋体" w:asciiTheme="majorEastAsia" w:hAnsiTheme="majorEastAsia" w:eastAsiaTheme="majorEastAsia"/>
          <w:b/>
          <w:bCs/>
          <w:highlight w:val="none"/>
        </w:rPr>
        <w:t>文件的第一页</w:t>
      </w:r>
      <w:r>
        <w:rPr>
          <w:rFonts w:hint="eastAsia" w:cs="宋体" w:asciiTheme="majorEastAsia" w:hAnsiTheme="majorEastAsia" w:eastAsiaTheme="majorEastAsia"/>
          <w:highlight w:val="none"/>
        </w:rPr>
        <w:t>。</w:t>
      </w:r>
    </w:p>
    <w:p w14:paraId="03D80D29">
      <w:pPr>
        <w:spacing w:line="520" w:lineRule="exact"/>
        <w:rPr>
          <w:rFonts w:cs="宋体" w:asciiTheme="majorEastAsia" w:hAnsiTheme="majorEastAsia" w:eastAsiaTheme="majorEastAsia"/>
          <w:highlight w:val="none"/>
        </w:rPr>
        <w:sectPr>
          <w:headerReference r:id="rId20" w:type="default"/>
          <w:footerReference r:id="rId21" w:type="default"/>
          <w:pgSz w:w="11906" w:h="16840"/>
          <w:pgMar w:top="1191" w:right="1191" w:bottom="1191" w:left="1191" w:header="720" w:footer="765" w:gutter="0"/>
          <w:cols w:space="0" w:num="1"/>
          <w:docGrid w:linePitch="326" w:charSpace="0"/>
        </w:sectPr>
      </w:pPr>
    </w:p>
    <w:bookmarkEnd w:id="1019"/>
    <w:bookmarkEnd w:id="1020"/>
    <w:p w14:paraId="77720B03">
      <w:pPr>
        <w:rPr>
          <w:rStyle w:val="154"/>
          <w:rFonts w:cs="宋体" w:asciiTheme="majorEastAsia" w:hAnsiTheme="majorEastAsia" w:eastAsiaTheme="majorEastAsia"/>
          <w:sz w:val="30"/>
          <w:szCs w:val="30"/>
          <w:highlight w:val="none"/>
        </w:rPr>
      </w:pPr>
      <w:bookmarkStart w:id="1022" w:name="_Toc459551183"/>
      <w:bookmarkStart w:id="1023" w:name="_Toc478646383"/>
      <w:bookmarkStart w:id="1024" w:name="_Toc405882809"/>
      <w:bookmarkStart w:id="1025" w:name="_Toc437684809"/>
      <w:bookmarkStart w:id="1026" w:name="_Toc259924767"/>
      <w:bookmarkStart w:id="1027" w:name="_Toc145001539"/>
      <w:bookmarkStart w:id="1028" w:name="_Toc79575067"/>
      <w:bookmarkStart w:id="1029" w:name="_Toc102161174"/>
      <w:bookmarkStart w:id="1030" w:name="_Toc145014840"/>
    </w:p>
    <w:p w14:paraId="0FFAE515">
      <w:pPr>
        <w:pStyle w:val="3"/>
        <w:spacing w:before="120" w:after="120" w:afterLines="50" w:line="700" w:lineRule="exact"/>
        <w:ind w:left="0" w:firstLine="0"/>
        <w:jc w:val="center"/>
        <w:rPr>
          <w:rStyle w:val="154"/>
          <w:rFonts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2"/>
          <w:szCs w:val="32"/>
          <w:highlight w:val="none"/>
        </w:rPr>
        <w:t>附件一：投标函</w:t>
      </w:r>
    </w:p>
    <w:p w14:paraId="1B4073E7">
      <w:pPr>
        <w:spacing w:line="520" w:lineRule="exact"/>
        <w:jc w:val="both"/>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致：</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u w:val="single"/>
          <w:lang w:eastAsia="zh-CN"/>
        </w:rPr>
        <w:t>（</w:t>
      </w:r>
      <w:r>
        <w:rPr>
          <w:rFonts w:hint="eastAsia" w:cs="宋体" w:asciiTheme="majorEastAsia" w:hAnsiTheme="majorEastAsia" w:eastAsiaTheme="majorEastAsia"/>
          <w:highlight w:val="none"/>
          <w:u w:val="single"/>
        </w:rPr>
        <w:t>招标人名称</w:t>
      </w:r>
      <w:r>
        <w:rPr>
          <w:rFonts w:hint="eastAsia" w:cs="宋体" w:asciiTheme="majorEastAsia" w:hAnsiTheme="majorEastAsia" w:eastAsiaTheme="majorEastAsia"/>
          <w:highlight w:val="none"/>
          <w:u w:val="single"/>
          <w:lang w:eastAsia="zh-CN"/>
        </w:rPr>
        <w:t>）</w:t>
      </w:r>
      <w:r>
        <w:rPr>
          <w:rFonts w:hint="eastAsia" w:cs="宋体" w:asciiTheme="majorEastAsia" w:hAnsiTheme="majorEastAsia" w:eastAsiaTheme="majorEastAsia"/>
          <w:highlight w:val="none"/>
          <w:u w:val="single"/>
        </w:rPr>
        <w:t xml:space="preserve">   </w:t>
      </w:r>
    </w:p>
    <w:p w14:paraId="236D5C30">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1、我方已仔细研究了</w:t>
      </w:r>
      <w:r>
        <w:rPr>
          <w:rFonts w:hint="eastAsia" w:cs="宋体" w:asciiTheme="majorEastAsia" w:hAnsiTheme="majorEastAsia" w:eastAsiaTheme="majorEastAsia"/>
          <w:highlight w:val="none"/>
          <w:u w:val="single"/>
        </w:rPr>
        <w:t xml:space="preserve">      （项目名称）   </w:t>
      </w:r>
      <w:r>
        <w:rPr>
          <w:rFonts w:hint="eastAsia" w:cs="宋体" w:asciiTheme="majorEastAsia" w:hAnsiTheme="majorEastAsia" w:eastAsiaTheme="majorEastAsia"/>
          <w:highlight w:val="none"/>
        </w:rPr>
        <w:t>招标文件的全部内容，愿意以《投标报价(唱标)一览表》中所承诺的</w:t>
      </w:r>
      <w:r>
        <w:rPr>
          <w:rFonts w:hint="eastAsia" w:cs="宋体" w:asciiTheme="majorEastAsia" w:hAnsiTheme="majorEastAsia" w:eastAsiaTheme="majorEastAsia"/>
          <w:highlight w:val="none"/>
          <w:lang w:val="en-US" w:eastAsia="zh-CN"/>
        </w:rPr>
        <w:t>报价建安工程费</w:t>
      </w:r>
      <w:r>
        <w:rPr>
          <w:rFonts w:hint="eastAsia" w:cs="宋体" w:asciiTheme="majorEastAsia" w:hAnsiTheme="majorEastAsia" w:eastAsiaTheme="majorEastAsia"/>
          <w:highlight w:val="none"/>
        </w:rPr>
        <w:t>下浮</w:t>
      </w:r>
      <w:r>
        <w:rPr>
          <w:rFonts w:hint="eastAsia" w:cs="宋体" w:asciiTheme="majorEastAsia" w:hAnsiTheme="majorEastAsia" w:eastAsiaTheme="majorEastAsia"/>
          <w:highlight w:val="none"/>
          <w:lang w:eastAsia="zh-CN"/>
        </w:rPr>
        <w:t>：</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w:t>
      </w:r>
      <w:r>
        <w:rPr>
          <w:rFonts w:hint="eastAsia" w:cs="宋体" w:asciiTheme="majorEastAsia" w:hAnsiTheme="majorEastAsia" w:eastAsiaTheme="majorEastAsia"/>
          <w:highlight w:val="none"/>
          <w:lang w:val="en-US" w:eastAsia="zh-CN"/>
        </w:rPr>
        <w:t>设计费</w:t>
      </w:r>
      <w:r>
        <w:rPr>
          <w:rFonts w:hint="eastAsia" w:cs="宋体" w:asciiTheme="majorEastAsia" w:hAnsiTheme="majorEastAsia" w:eastAsiaTheme="majorEastAsia"/>
          <w:highlight w:val="none"/>
        </w:rPr>
        <w:t>下浮</w:t>
      </w:r>
      <w:r>
        <w:rPr>
          <w:rFonts w:hint="eastAsia" w:cs="宋体" w:asciiTheme="majorEastAsia" w:hAnsiTheme="majorEastAsia" w:eastAsiaTheme="majorEastAsia"/>
          <w:highlight w:val="none"/>
          <w:lang w:eastAsia="zh-CN"/>
        </w:rPr>
        <w:t>：</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%。总工期</w:t>
      </w:r>
      <w:r>
        <w:rPr>
          <w:rFonts w:hint="eastAsia" w:cs="宋体" w:asciiTheme="majorEastAsia" w:hAnsiTheme="majorEastAsia" w:eastAsiaTheme="majorEastAsia"/>
          <w:highlight w:val="none"/>
          <w:u w:val="single"/>
        </w:rPr>
        <w:t xml:space="preserve">    日历</w:t>
      </w:r>
      <w:r>
        <w:rPr>
          <w:rFonts w:hint="eastAsia" w:cs="宋体" w:asciiTheme="majorEastAsia" w:hAnsiTheme="majorEastAsia" w:eastAsiaTheme="majorEastAsia"/>
          <w:highlight w:val="none"/>
        </w:rPr>
        <w:t>天（含设计</w:t>
      </w:r>
      <w:r>
        <w:rPr>
          <w:rFonts w:hint="eastAsia" w:cs="宋体" w:asciiTheme="majorEastAsia" w:hAnsiTheme="majorEastAsia" w:eastAsiaTheme="majorEastAsia"/>
          <w:highlight w:val="none"/>
          <w:lang w:eastAsia="zh-CN"/>
        </w:rPr>
        <w:t>、</w:t>
      </w:r>
      <w:r>
        <w:rPr>
          <w:rFonts w:hint="eastAsia" w:cs="宋体" w:asciiTheme="majorEastAsia" w:hAnsiTheme="majorEastAsia" w:eastAsiaTheme="majorEastAsia"/>
          <w:highlight w:val="none"/>
        </w:rPr>
        <w:t>施工</w:t>
      </w:r>
      <w:r>
        <w:rPr>
          <w:rFonts w:hint="eastAsia" w:cs="宋体" w:asciiTheme="majorEastAsia" w:hAnsiTheme="majorEastAsia" w:eastAsiaTheme="majorEastAsia"/>
          <w:highlight w:val="none"/>
          <w:lang w:val="en-US" w:eastAsia="zh-CN"/>
        </w:rPr>
        <w:t>及运营</w:t>
      </w:r>
      <w:r>
        <w:rPr>
          <w:rFonts w:hint="eastAsia" w:cs="宋体" w:asciiTheme="majorEastAsia" w:hAnsiTheme="majorEastAsia" w:eastAsiaTheme="majorEastAsia"/>
          <w:highlight w:val="none"/>
        </w:rPr>
        <w:t>），完成本项目合同约定的全部工作内容。</w:t>
      </w:r>
    </w:p>
    <w:p w14:paraId="01478E2A">
      <w:pPr>
        <w:spacing w:line="520" w:lineRule="exact"/>
        <w:ind w:firstLine="480" w:firstLineChars="200"/>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2、我方承诺在招标文件规定的投标有效期内不修改、撤销投标文件。</w:t>
      </w:r>
    </w:p>
    <w:p w14:paraId="120DBE02">
      <w:pPr>
        <w:spacing w:line="520" w:lineRule="exact"/>
        <w:ind w:firstLine="480" w:firstLineChars="200"/>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3</w:t>
      </w:r>
      <w:r>
        <w:rPr>
          <w:rFonts w:hint="eastAsia" w:cs="宋体" w:asciiTheme="majorEastAsia" w:hAnsiTheme="majorEastAsia" w:eastAsiaTheme="majorEastAsia"/>
          <w:highlight w:val="none"/>
        </w:rPr>
        <w:t>、如我方中标：</w:t>
      </w:r>
    </w:p>
    <w:p w14:paraId="699BEE35">
      <w:pPr>
        <w:spacing w:line="520" w:lineRule="exact"/>
        <w:ind w:firstLine="480" w:firstLineChars="200"/>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（1）我方承诺在收到中标通知书后，在中标通知书规定的期限内与你方签订合同。</w:t>
      </w:r>
    </w:p>
    <w:p w14:paraId="5E0A1ED9">
      <w:pPr>
        <w:spacing w:line="520" w:lineRule="exact"/>
        <w:ind w:firstLine="480" w:firstLineChars="200"/>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（2）随同本投标函递交的投标函附录属于合同文件的组成部分。</w:t>
      </w:r>
    </w:p>
    <w:p w14:paraId="047C0099">
      <w:pPr>
        <w:spacing w:line="520" w:lineRule="exact"/>
        <w:ind w:firstLine="480" w:firstLineChars="200"/>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（3）我方承诺在合同约定的期限内完成并移交全部合同工程。</w:t>
      </w:r>
    </w:p>
    <w:p w14:paraId="44687071">
      <w:pPr>
        <w:spacing w:line="520" w:lineRule="exact"/>
        <w:ind w:firstLine="480" w:firstLineChars="200"/>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4</w:t>
      </w:r>
      <w:r>
        <w:rPr>
          <w:rFonts w:hint="eastAsia" w:cs="宋体" w:asciiTheme="majorEastAsia" w:hAnsiTheme="majorEastAsia" w:eastAsiaTheme="majorEastAsia"/>
          <w:highlight w:val="none"/>
        </w:rPr>
        <w:t>、我方在此声明，所递交的投标文件及有关资料内容完整、真实和准确，且不存在第二章“投标人须知”第1.4.3项和第1.4.4项规定的任何一种情形。</w:t>
      </w:r>
    </w:p>
    <w:p w14:paraId="779899DA">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5</w:t>
      </w:r>
      <w:r>
        <w:rPr>
          <w:rFonts w:hint="eastAsia" w:cs="宋体" w:asciiTheme="majorEastAsia" w:hAnsiTheme="majorEastAsia" w:eastAsiaTheme="majorEastAsia"/>
          <w:highlight w:val="none"/>
        </w:rPr>
        <w:t>、其他补充说明：</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（补充说明事项）</w:t>
      </w:r>
    </w:p>
    <w:p w14:paraId="7C99267D">
      <w:pPr>
        <w:spacing w:line="360" w:lineRule="auto"/>
        <w:ind w:firstLine="480" w:firstLineChars="200"/>
        <w:rPr>
          <w:rFonts w:cs="宋体" w:asciiTheme="majorEastAsia" w:hAnsiTheme="majorEastAsia" w:eastAsiaTheme="majorEastAsia"/>
          <w:highlight w:val="none"/>
        </w:rPr>
      </w:pPr>
    </w:p>
    <w:p w14:paraId="7AF82AF6">
      <w:pPr>
        <w:spacing w:line="60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投标人：</w:t>
      </w:r>
      <w:r>
        <w:rPr>
          <w:rFonts w:hint="eastAsia" w:cs="宋体" w:asciiTheme="majorEastAsia" w:hAnsiTheme="majorEastAsia" w:eastAsiaTheme="majorEastAsia"/>
          <w:highlight w:val="none"/>
          <w:u w:val="single"/>
        </w:rPr>
        <w:t xml:space="preserve">                   （若为联合体，联合体牵头人电子签章）</w:t>
      </w:r>
    </w:p>
    <w:p w14:paraId="7D9BF649">
      <w:pPr>
        <w:spacing w:line="600" w:lineRule="exact"/>
        <w:ind w:firstLine="480" w:firstLineChars="200"/>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法定代表人或委托代理人：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（电子签章）</w:t>
      </w:r>
    </w:p>
    <w:p w14:paraId="72EE7CA2">
      <w:pPr>
        <w:spacing w:line="60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地址：</w:t>
      </w:r>
      <w:r>
        <w:rPr>
          <w:rFonts w:hint="eastAsia" w:cs="宋体" w:asciiTheme="majorEastAsia" w:hAnsiTheme="majorEastAsia" w:eastAsiaTheme="majorEastAsia"/>
          <w:highlight w:val="none"/>
          <w:u w:val="single"/>
        </w:rPr>
        <w:t xml:space="preserve">                                                    </w:t>
      </w:r>
    </w:p>
    <w:p w14:paraId="0B64BCAC">
      <w:pPr>
        <w:spacing w:line="60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电话：</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 xml:space="preserve"> 传真：</w:t>
      </w:r>
      <w:r>
        <w:rPr>
          <w:rFonts w:hint="eastAsia" w:cs="宋体" w:asciiTheme="majorEastAsia" w:hAnsiTheme="majorEastAsia" w:eastAsiaTheme="majorEastAsia"/>
          <w:highlight w:val="none"/>
          <w:u w:val="single"/>
        </w:rPr>
        <w:t xml:space="preserve">                        </w:t>
      </w:r>
    </w:p>
    <w:p w14:paraId="37D2B777">
      <w:pPr>
        <w:spacing w:line="60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日期：</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年</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月</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日</w:t>
      </w:r>
    </w:p>
    <w:p w14:paraId="36F5CCF7">
      <w:pPr>
        <w:rPr>
          <w:rStyle w:val="154"/>
          <w:rFonts w:cs="宋体" w:asciiTheme="majorEastAsia" w:hAnsiTheme="majorEastAsia" w:eastAsiaTheme="majorEastAsia"/>
          <w:sz w:val="30"/>
          <w:szCs w:val="30"/>
          <w:highlight w:val="none"/>
        </w:rPr>
      </w:pPr>
      <w:r>
        <w:rPr>
          <w:rStyle w:val="154"/>
          <w:rFonts w:hint="eastAsia" w:cs="宋体" w:asciiTheme="majorEastAsia" w:hAnsiTheme="majorEastAsia" w:eastAsiaTheme="majorEastAsia"/>
          <w:sz w:val="30"/>
          <w:szCs w:val="30"/>
          <w:highlight w:val="none"/>
        </w:rPr>
        <w:br w:type="page"/>
      </w:r>
    </w:p>
    <w:p w14:paraId="171B2E22">
      <w:pPr>
        <w:spacing w:line="240" w:lineRule="atLeast"/>
        <w:rPr>
          <w:rStyle w:val="154"/>
          <w:rFonts w:cs="宋体" w:asciiTheme="majorEastAsia" w:hAnsiTheme="majorEastAsia" w:eastAsiaTheme="majorEastAsia"/>
          <w:sz w:val="32"/>
          <w:szCs w:val="32"/>
          <w:highlight w:val="none"/>
        </w:rPr>
      </w:pPr>
    </w:p>
    <w:p w14:paraId="45DEEC76">
      <w:pPr>
        <w:pStyle w:val="3"/>
        <w:spacing w:before="120" w:after="120" w:afterLines="50" w:line="700" w:lineRule="exact"/>
        <w:ind w:left="0" w:firstLine="0"/>
        <w:jc w:val="center"/>
        <w:rPr>
          <w:rStyle w:val="154"/>
          <w:rFonts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2"/>
          <w:szCs w:val="32"/>
          <w:highlight w:val="none"/>
        </w:rPr>
        <w:t>附件二：投标函附录</w:t>
      </w:r>
    </w:p>
    <w:tbl>
      <w:tblPr>
        <w:tblStyle w:val="63"/>
        <w:tblW w:w="9740" w:type="dxa"/>
        <w:jc w:val="center"/>
        <w:tblLayout w:type="fixed"/>
        <w:tblCellMar>
          <w:top w:w="0" w:type="dxa"/>
          <w:left w:w="108" w:type="dxa"/>
          <w:bottom w:w="0" w:type="dxa"/>
          <w:right w:w="108" w:type="dxa"/>
        </w:tblCellMar>
      </w:tblPr>
      <w:tblGrid>
        <w:gridCol w:w="976"/>
        <w:gridCol w:w="1981"/>
        <w:gridCol w:w="5231"/>
        <w:gridCol w:w="1552"/>
      </w:tblGrid>
      <w:tr w14:paraId="7BFE355E">
        <w:tblPrEx>
          <w:tblCellMar>
            <w:top w:w="0" w:type="dxa"/>
            <w:left w:w="108" w:type="dxa"/>
            <w:bottom w:w="0" w:type="dxa"/>
            <w:right w:w="108" w:type="dxa"/>
          </w:tblCellMar>
        </w:tblPrEx>
        <w:trPr>
          <w:trHeight w:val="567" w:hRule="atLeast"/>
          <w:jc w:val="center"/>
        </w:trPr>
        <w:tc>
          <w:tcPr>
            <w:tcW w:w="976" w:type="dxa"/>
            <w:tcBorders>
              <w:top w:val="single" w:color="000000" w:sz="6" w:space="0"/>
              <w:left w:val="single" w:color="000000" w:sz="4" w:space="0"/>
              <w:bottom w:val="single" w:color="000000" w:sz="4" w:space="0"/>
              <w:right w:val="single" w:color="000000" w:sz="4" w:space="0"/>
            </w:tcBorders>
            <w:vAlign w:val="center"/>
          </w:tcPr>
          <w:p w14:paraId="433CD6E5">
            <w:pPr>
              <w:spacing w:line="40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序号</w:t>
            </w:r>
          </w:p>
        </w:tc>
        <w:tc>
          <w:tcPr>
            <w:tcW w:w="1981" w:type="dxa"/>
            <w:tcBorders>
              <w:top w:val="single" w:color="000000" w:sz="6" w:space="0"/>
              <w:left w:val="single" w:color="000000" w:sz="4" w:space="0"/>
              <w:bottom w:val="single" w:color="000000" w:sz="4" w:space="0"/>
              <w:right w:val="single" w:color="000000" w:sz="4" w:space="0"/>
            </w:tcBorders>
            <w:vAlign w:val="center"/>
          </w:tcPr>
          <w:p w14:paraId="02DD43BC">
            <w:pPr>
              <w:spacing w:line="40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条款名称</w:t>
            </w:r>
          </w:p>
        </w:tc>
        <w:tc>
          <w:tcPr>
            <w:tcW w:w="5231" w:type="dxa"/>
            <w:tcBorders>
              <w:top w:val="single" w:color="000000" w:sz="6" w:space="0"/>
              <w:left w:val="single" w:color="000000" w:sz="4" w:space="0"/>
              <w:bottom w:val="single" w:color="000000" w:sz="4" w:space="0"/>
              <w:right w:val="single" w:color="000000" w:sz="4" w:space="0"/>
            </w:tcBorders>
            <w:vAlign w:val="center"/>
          </w:tcPr>
          <w:p w14:paraId="509FE93B">
            <w:pPr>
              <w:spacing w:line="40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约定内容</w:t>
            </w:r>
          </w:p>
        </w:tc>
        <w:tc>
          <w:tcPr>
            <w:tcW w:w="1552" w:type="dxa"/>
            <w:tcBorders>
              <w:top w:val="single" w:color="000000" w:sz="6" w:space="0"/>
              <w:left w:val="single" w:color="000000" w:sz="4" w:space="0"/>
              <w:bottom w:val="single" w:color="000000" w:sz="4" w:space="0"/>
              <w:right w:val="single" w:color="000000" w:sz="4" w:space="0"/>
            </w:tcBorders>
            <w:vAlign w:val="center"/>
          </w:tcPr>
          <w:p w14:paraId="1B5A4117">
            <w:pPr>
              <w:spacing w:line="400" w:lineRule="exact"/>
              <w:jc w:val="center"/>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备注</w:t>
            </w:r>
          </w:p>
        </w:tc>
      </w:tr>
      <w:tr w14:paraId="3577D49D">
        <w:tblPrEx>
          <w:tblCellMar>
            <w:top w:w="0" w:type="dxa"/>
            <w:left w:w="108" w:type="dxa"/>
            <w:bottom w:w="0" w:type="dxa"/>
            <w:right w:w="108" w:type="dxa"/>
          </w:tblCellMar>
        </w:tblPrEx>
        <w:trPr>
          <w:trHeight w:val="567" w:hRule="atLeast"/>
          <w:jc w:val="center"/>
        </w:trPr>
        <w:tc>
          <w:tcPr>
            <w:tcW w:w="976" w:type="dxa"/>
            <w:tcBorders>
              <w:top w:val="single" w:color="000000" w:sz="4" w:space="0"/>
              <w:left w:val="single" w:color="000000" w:sz="4" w:space="0"/>
              <w:bottom w:val="single" w:color="000000" w:sz="4" w:space="0"/>
              <w:right w:val="single" w:color="000000" w:sz="4" w:space="0"/>
            </w:tcBorders>
            <w:vAlign w:val="center"/>
          </w:tcPr>
          <w:p w14:paraId="311B8F94">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1</w:t>
            </w:r>
          </w:p>
        </w:tc>
        <w:tc>
          <w:tcPr>
            <w:tcW w:w="1981" w:type="dxa"/>
            <w:tcBorders>
              <w:top w:val="single" w:color="000000" w:sz="4" w:space="0"/>
              <w:left w:val="single" w:color="000000" w:sz="4" w:space="0"/>
              <w:bottom w:val="single" w:color="000000" w:sz="4" w:space="0"/>
              <w:right w:val="single" w:color="000000" w:sz="4" w:space="0"/>
            </w:tcBorders>
            <w:vAlign w:val="center"/>
          </w:tcPr>
          <w:p w14:paraId="6D10482B">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项目总负责人</w:t>
            </w:r>
          </w:p>
        </w:tc>
        <w:tc>
          <w:tcPr>
            <w:tcW w:w="5231" w:type="dxa"/>
            <w:tcBorders>
              <w:top w:val="single" w:color="000000" w:sz="4" w:space="0"/>
              <w:left w:val="single" w:color="000000" w:sz="4" w:space="0"/>
              <w:bottom w:val="single" w:color="000000" w:sz="4" w:space="0"/>
              <w:right w:val="single" w:color="000000" w:sz="4" w:space="0"/>
            </w:tcBorders>
            <w:vAlign w:val="center"/>
          </w:tcPr>
          <w:p w14:paraId="441B9970">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 xml:space="preserve">姓名： </w:t>
            </w:r>
          </w:p>
        </w:tc>
        <w:tc>
          <w:tcPr>
            <w:tcW w:w="1552" w:type="dxa"/>
            <w:tcBorders>
              <w:top w:val="single" w:color="000000" w:sz="4" w:space="0"/>
              <w:left w:val="single" w:color="000000" w:sz="4" w:space="0"/>
              <w:bottom w:val="single" w:color="000000" w:sz="4" w:space="0"/>
              <w:right w:val="single" w:color="000000" w:sz="4" w:space="0"/>
            </w:tcBorders>
            <w:vAlign w:val="center"/>
          </w:tcPr>
          <w:p w14:paraId="6183E38D">
            <w:pPr>
              <w:spacing w:line="400" w:lineRule="exact"/>
              <w:rPr>
                <w:rFonts w:cs="宋体" w:asciiTheme="majorEastAsia" w:hAnsiTheme="majorEastAsia" w:eastAsiaTheme="majorEastAsia"/>
                <w:highlight w:val="none"/>
              </w:rPr>
            </w:pPr>
          </w:p>
        </w:tc>
      </w:tr>
      <w:tr w14:paraId="0EE0C1B2">
        <w:tblPrEx>
          <w:tblCellMar>
            <w:top w:w="0" w:type="dxa"/>
            <w:left w:w="108" w:type="dxa"/>
            <w:bottom w:w="0" w:type="dxa"/>
            <w:right w:w="108" w:type="dxa"/>
          </w:tblCellMar>
        </w:tblPrEx>
        <w:trPr>
          <w:trHeight w:val="567" w:hRule="atLeast"/>
          <w:jc w:val="center"/>
        </w:trPr>
        <w:tc>
          <w:tcPr>
            <w:tcW w:w="976" w:type="dxa"/>
            <w:tcBorders>
              <w:top w:val="single" w:color="000000" w:sz="4" w:space="0"/>
              <w:left w:val="single" w:color="000000" w:sz="4" w:space="0"/>
              <w:bottom w:val="single" w:color="000000" w:sz="4" w:space="0"/>
              <w:right w:val="single" w:color="000000" w:sz="4" w:space="0"/>
            </w:tcBorders>
            <w:vAlign w:val="center"/>
          </w:tcPr>
          <w:p w14:paraId="1E7D016E">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2</w:t>
            </w:r>
          </w:p>
        </w:tc>
        <w:tc>
          <w:tcPr>
            <w:tcW w:w="1981" w:type="dxa"/>
            <w:tcBorders>
              <w:top w:val="single" w:color="000000" w:sz="4" w:space="0"/>
              <w:left w:val="single" w:color="000000" w:sz="4" w:space="0"/>
              <w:bottom w:val="single" w:color="000000" w:sz="4" w:space="0"/>
              <w:right w:val="single" w:color="000000" w:sz="4" w:space="0"/>
            </w:tcBorders>
            <w:vAlign w:val="center"/>
          </w:tcPr>
          <w:p w14:paraId="4434D9F4">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设计负责人</w:t>
            </w:r>
          </w:p>
        </w:tc>
        <w:tc>
          <w:tcPr>
            <w:tcW w:w="5231" w:type="dxa"/>
            <w:tcBorders>
              <w:top w:val="single" w:color="000000" w:sz="4" w:space="0"/>
              <w:left w:val="single" w:color="000000" w:sz="4" w:space="0"/>
              <w:bottom w:val="single" w:color="000000" w:sz="4" w:space="0"/>
              <w:right w:val="single" w:color="000000" w:sz="4" w:space="0"/>
            </w:tcBorders>
            <w:vAlign w:val="center"/>
          </w:tcPr>
          <w:p w14:paraId="3F0304E3">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姓名：</w:t>
            </w:r>
          </w:p>
        </w:tc>
        <w:tc>
          <w:tcPr>
            <w:tcW w:w="1552" w:type="dxa"/>
            <w:tcBorders>
              <w:top w:val="single" w:color="000000" w:sz="4" w:space="0"/>
              <w:left w:val="single" w:color="000000" w:sz="4" w:space="0"/>
              <w:bottom w:val="single" w:color="000000" w:sz="4" w:space="0"/>
              <w:right w:val="single" w:color="000000" w:sz="4" w:space="0"/>
            </w:tcBorders>
            <w:vAlign w:val="center"/>
          </w:tcPr>
          <w:p w14:paraId="0D287137">
            <w:pPr>
              <w:spacing w:line="400" w:lineRule="exact"/>
              <w:rPr>
                <w:rFonts w:cs="宋体" w:asciiTheme="majorEastAsia" w:hAnsiTheme="majorEastAsia" w:eastAsiaTheme="majorEastAsia"/>
                <w:highlight w:val="none"/>
              </w:rPr>
            </w:pPr>
          </w:p>
        </w:tc>
      </w:tr>
      <w:tr w14:paraId="0F4C4029">
        <w:tblPrEx>
          <w:tblCellMar>
            <w:top w:w="0" w:type="dxa"/>
            <w:left w:w="108" w:type="dxa"/>
            <w:bottom w:w="0" w:type="dxa"/>
            <w:right w:w="108" w:type="dxa"/>
          </w:tblCellMar>
        </w:tblPrEx>
        <w:trPr>
          <w:trHeight w:val="567" w:hRule="atLeast"/>
          <w:jc w:val="center"/>
        </w:trPr>
        <w:tc>
          <w:tcPr>
            <w:tcW w:w="976" w:type="dxa"/>
            <w:tcBorders>
              <w:top w:val="single" w:color="000000" w:sz="4" w:space="0"/>
              <w:left w:val="single" w:color="000000" w:sz="4" w:space="0"/>
              <w:bottom w:val="single" w:color="000000" w:sz="4" w:space="0"/>
              <w:right w:val="single" w:color="000000" w:sz="4" w:space="0"/>
            </w:tcBorders>
            <w:vAlign w:val="center"/>
          </w:tcPr>
          <w:p w14:paraId="54123310">
            <w:pPr>
              <w:spacing w:line="400" w:lineRule="exact"/>
              <w:jc w:val="center"/>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lang w:val="en-US" w:eastAsia="zh-CN"/>
              </w:rPr>
              <w:t>3</w:t>
            </w:r>
          </w:p>
        </w:tc>
        <w:tc>
          <w:tcPr>
            <w:tcW w:w="1981" w:type="dxa"/>
            <w:tcBorders>
              <w:top w:val="single" w:color="000000" w:sz="4" w:space="0"/>
              <w:left w:val="single" w:color="000000" w:sz="4" w:space="0"/>
              <w:bottom w:val="single" w:color="000000" w:sz="4" w:space="0"/>
              <w:right w:val="single" w:color="000000" w:sz="4" w:space="0"/>
            </w:tcBorders>
            <w:vAlign w:val="center"/>
          </w:tcPr>
          <w:p w14:paraId="4BF2F402">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工期</w:t>
            </w:r>
          </w:p>
        </w:tc>
        <w:tc>
          <w:tcPr>
            <w:tcW w:w="5231" w:type="dxa"/>
            <w:tcBorders>
              <w:top w:val="single" w:color="000000" w:sz="4" w:space="0"/>
              <w:left w:val="single" w:color="000000" w:sz="4" w:space="0"/>
              <w:bottom w:val="single" w:color="000000" w:sz="4" w:space="0"/>
              <w:right w:val="single" w:color="000000" w:sz="4" w:space="0"/>
            </w:tcBorders>
            <w:vAlign w:val="center"/>
          </w:tcPr>
          <w:p w14:paraId="52B75DAE">
            <w:pPr>
              <w:spacing w:line="400" w:lineRule="exact"/>
              <w:rPr>
                <w:rFonts w:cs="宋体" w:asciiTheme="majorEastAsia" w:hAnsiTheme="majorEastAsia" w:eastAsiaTheme="majorEastAsia"/>
                <w:highlight w:val="none"/>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1B80DC4F">
            <w:pPr>
              <w:keepNext/>
              <w:keepLines/>
              <w:widowControl w:val="0"/>
              <w:spacing w:line="400" w:lineRule="exact"/>
              <w:ind w:left="-735"/>
              <w:jc w:val="center"/>
              <w:outlineLvl w:val="0"/>
              <w:rPr>
                <w:rFonts w:cs="宋体" w:asciiTheme="majorEastAsia" w:hAnsiTheme="majorEastAsia" w:eastAsiaTheme="majorEastAsia"/>
                <w:b/>
                <w:kern w:val="44"/>
                <w:highlight w:val="none"/>
              </w:rPr>
            </w:pPr>
          </w:p>
        </w:tc>
      </w:tr>
      <w:tr w14:paraId="587A4E7A">
        <w:tblPrEx>
          <w:tblCellMar>
            <w:top w:w="0" w:type="dxa"/>
            <w:left w:w="108" w:type="dxa"/>
            <w:bottom w:w="0" w:type="dxa"/>
            <w:right w:w="108" w:type="dxa"/>
          </w:tblCellMar>
        </w:tblPrEx>
        <w:trPr>
          <w:trHeight w:val="567" w:hRule="atLeast"/>
          <w:jc w:val="center"/>
        </w:trPr>
        <w:tc>
          <w:tcPr>
            <w:tcW w:w="976" w:type="dxa"/>
            <w:tcBorders>
              <w:top w:val="single" w:color="000000" w:sz="4" w:space="0"/>
              <w:left w:val="single" w:color="000000" w:sz="4" w:space="0"/>
              <w:bottom w:val="single" w:color="000000" w:sz="4" w:space="0"/>
              <w:right w:val="single" w:color="000000" w:sz="4" w:space="0"/>
            </w:tcBorders>
            <w:vAlign w:val="center"/>
          </w:tcPr>
          <w:p w14:paraId="7A118E04">
            <w:pPr>
              <w:spacing w:line="400" w:lineRule="exact"/>
              <w:jc w:val="center"/>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lang w:val="en-US" w:eastAsia="zh-CN"/>
              </w:rPr>
              <w:t>4</w:t>
            </w:r>
          </w:p>
        </w:tc>
        <w:tc>
          <w:tcPr>
            <w:tcW w:w="1981" w:type="dxa"/>
            <w:tcBorders>
              <w:top w:val="single" w:color="000000" w:sz="4" w:space="0"/>
              <w:left w:val="single" w:color="000000" w:sz="4" w:space="0"/>
              <w:bottom w:val="single" w:color="000000" w:sz="4" w:space="0"/>
              <w:right w:val="single" w:color="000000" w:sz="4" w:space="0"/>
            </w:tcBorders>
            <w:vAlign w:val="center"/>
          </w:tcPr>
          <w:p w14:paraId="032CCC9B">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质量标准</w:t>
            </w:r>
          </w:p>
        </w:tc>
        <w:tc>
          <w:tcPr>
            <w:tcW w:w="5231" w:type="dxa"/>
            <w:tcBorders>
              <w:top w:val="single" w:color="000000" w:sz="4" w:space="0"/>
              <w:left w:val="single" w:color="000000" w:sz="4" w:space="0"/>
              <w:bottom w:val="single" w:color="000000" w:sz="4" w:space="0"/>
              <w:right w:val="single" w:color="000000" w:sz="4" w:space="0"/>
            </w:tcBorders>
            <w:vAlign w:val="center"/>
          </w:tcPr>
          <w:p w14:paraId="45570272">
            <w:pPr>
              <w:spacing w:line="400" w:lineRule="exact"/>
              <w:jc w:val="center"/>
              <w:rPr>
                <w:rFonts w:cs="宋体" w:asciiTheme="majorEastAsia" w:hAnsiTheme="majorEastAsia" w:eastAsiaTheme="majorEastAsia"/>
                <w:highlight w:val="none"/>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06990B5A">
            <w:pPr>
              <w:keepNext/>
              <w:keepLines/>
              <w:widowControl w:val="0"/>
              <w:spacing w:line="400" w:lineRule="exact"/>
              <w:ind w:left="-735"/>
              <w:jc w:val="center"/>
              <w:outlineLvl w:val="0"/>
              <w:rPr>
                <w:rFonts w:cs="宋体" w:asciiTheme="majorEastAsia" w:hAnsiTheme="majorEastAsia" w:eastAsiaTheme="majorEastAsia"/>
                <w:b/>
                <w:kern w:val="44"/>
                <w:highlight w:val="none"/>
              </w:rPr>
            </w:pPr>
          </w:p>
        </w:tc>
      </w:tr>
      <w:tr w14:paraId="70643DE8">
        <w:tblPrEx>
          <w:tblCellMar>
            <w:top w:w="0" w:type="dxa"/>
            <w:left w:w="108" w:type="dxa"/>
            <w:bottom w:w="0" w:type="dxa"/>
            <w:right w:w="108" w:type="dxa"/>
          </w:tblCellMar>
        </w:tblPrEx>
        <w:trPr>
          <w:trHeight w:val="567" w:hRule="atLeast"/>
          <w:jc w:val="center"/>
        </w:trPr>
        <w:tc>
          <w:tcPr>
            <w:tcW w:w="976" w:type="dxa"/>
            <w:tcBorders>
              <w:top w:val="single" w:color="000000" w:sz="4" w:space="0"/>
              <w:left w:val="single" w:color="000000" w:sz="4" w:space="0"/>
              <w:bottom w:val="single" w:color="000000" w:sz="4" w:space="0"/>
              <w:right w:val="single" w:color="000000" w:sz="4" w:space="0"/>
            </w:tcBorders>
            <w:vAlign w:val="center"/>
          </w:tcPr>
          <w:p w14:paraId="4EC08EED">
            <w:pPr>
              <w:spacing w:line="400" w:lineRule="exact"/>
              <w:jc w:val="center"/>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lang w:val="en-US" w:eastAsia="zh-CN"/>
              </w:rPr>
              <w:t>5</w:t>
            </w:r>
          </w:p>
        </w:tc>
        <w:tc>
          <w:tcPr>
            <w:tcW w:w="1981" w:type="dxa"/>
            <w:tcBorders>
              <w:top w:val="single" w:color="000000" w:sz="4" w:space="0"/>
              <w:left w:val="single" w:color="000000" w:sz="4" w:space="0"/>
              <w:bottom w:val="single" w:color="000000" w:sz="4" w:space="0"/>
              <w:right w:val="single" w:color="000000" w:sz="4" w:space="0"/>
            </w:tcBorders>
            <w:vAlign w:val="center"/>
          </w:tcPr>
          <w:p w14:paraId="0E9B9745">
            <w:pPr>
              <w:spacing w:line="400" w:lineRule="exact"/>
              <w:rPr>
                <w:rFonts w:cs="宋体" w:asciiTheme="majorEastAsia" w:hAnsiTheme="majorEastAsia" w:eastAsiaTheme="majorEastAsia"/>
                <w:highlight w:val="none"/>
              </w:rPr>
            </w:pPr>
            <w:r>
              <w:rPr>
                <w:rFonts w:hint="eastAsia" w:cs="宋体" w:asciiTheme="majorEastAsia" w:hAnsiTheme="majorEastAsia" w:eastAsiaTheme="majorEastAsia"/>
                <w:highlight w:val="none"/>
              </w:rPr>
              <w:t>分包</w:t>
            </w:r>
          </w:p>
        </w:tc>
        <w:tc>
          <w:tcPr>
            <w:tcW w:w="5231" w:type="dxa"/>
            <w:tcBorders>
              <w:top w:val="single" w:color="000000" w:sz="4" w:space="0"/>
              <w:left w:val="single" w:color="000000" w:sz="4" w:space="0"/>
              <w:bottom w:val="single" w:color="000000" w:sz="4" w:space="0"/>
              <w:right w:val="single" w:color="000000" w:sz="4" w:space="0"/>
            </w:tcBorders>
            <w:vAlign w:val="center"/>
          </w:tcPr>
          <w:p w14:paraId="3B391025">
            <w:pPr>
              <w:spacing w:line="400" w:lineRule="exact"/>
              <w:jc w:val="both"/>
              <w:rPr>
                <w:highlight w:val="none"/>
              </w:rPr>
            </w:pPr>
            <w:r>
              <w:rPr>
                <w:rFonts w:hint="eastAsia"/>
                <w:highlight w:val="none"/>
              </w:rPr>
              <w:t>（</w:t>
            </w:r>
            <w:r>
              <w:rPr>
                <w:rFonts w:hint="eastAsia"/>
                <w:highlight w:val="none"/>
                <w:lang w:val="en-US" w:eastAsia="zh-CN"/>
              </w:rPr>
              <w:t>1</w:t>
            </w:r>
            <w:r>
              <w:rPr>
                <w:rFonts w:hint="eastAsia"/>
                <w:highlight w:val="none"/>
              </w:rPr>
              <w:t>）设计：主体、关键性工作不允许分包。</w:t>
            </w:r>
          </w:p>
          <w:p w14:paraId="762FD81C">
            <w:pPr>
              <w:spacing w:line="400" w:lineRule="exact"/>
              <w:jc w:val="both"/>
              <w:rPr>
                <w:highlight w:val="none"/>
              </w:rPr>
            </w:pPr>
            <w:r>
              <w:rPr>
                <w:rFonts w:hint="eastAsia"/>
                <w:highlight w:val="none"/>
              </w:rPr>
              <w:t>（</w:t>
            </w:r>
            <w:r>
              <w:rPr>
                <w:rFonts w:hint="eastAsia"/>
                <w:highlight w:val="none"/>
                <w:lang w:val="en-US" w:eastAsia="zh-CN"/>
              </w:rPr>
              <w:t>2</w:t>
            </w:r>
            <w:r>
              <w:rPr>
                <w:rFonts w:hint="eastAsia"/>
                <w:highlight w:val="none"/>
              </w:rPr>
              <w:t>）施工：主体、关键性工作不允许分包。</w:t>
            </w:r>
          </w:p>
        </w:tc>
        <w:tc>
          <w:tcPr>
            <w:tcW w:w="1552" w:type="dxa"/>
            <w:tcBorders>
              <w:top w:val="single" w:color="000000" w:sz="4" w:space="0"/>
              <w:left w:val="single" w:color="000000" w:sz="4" w:space="0"/>
              <w:bottom w:val="single" w:color="000000" w:sz="4" w:space="0"/>
              <w:right w:val="single" w:color="000000" w:sz="4" w:space="0"/>
            </w:tcBorders>
            <w:vAlign w:val="center"/>
          </w:tcPr>
          <w:p w14:paraId="0A35B172">
            <w:pPr>
              <w:keepNext/>
              <w:keepLines/>
              <w:widowControl w:val="0"/>
              <w:spacing w:line="400" w:lineRule="exact"/>
              <w:ind w:left="-735"/>
              <w:jc w:val="center"/>
              <w:outlineLvl w:val="0"/>
              <w:rPr>
                <w:rFonts w:cs="宋体" w:asciiTheme="majorEastAsia" w:hAnsiTheme="majorEastAsia" w:eastAsiaTheme="majorEastAsia"/>
                <w:b/>
                <w:kern w:val="44"/>
                <w:highlight w:val="none"/>
              </w:rPr>
            </w:pPr>
          </w:p>
        </w:tc>
      </w:tr>
    </w:tbl>
    <w:p w14:paraId="0DB8EAC3">
      <w:pPr>
        <w:rPr>
          <w:rFonts w:cs="宋体" w:asciiTheme="majorEastAsia" w:hAnsiTheme="majorEastAsia" w:eastAsiaTheme="majorEastAsia"/>
          <w:highlight w:val="none"/>
        </w:rPr>
      </w:pPr>
    </w:p>
    <w:p w14:paraId="0B77A915">
      <w:pPr>
        <w:spacing w:line="600" w:lineRule="exact"/>
        <w:ind w:firstLine="488"/>
        <w:rPr>
          <w:rFonts w:cs="宋体" w:asciiTheme="majorEastAsia" w:hAnsiTheme="majorEastAsia" w:eastAsiaTheme="majorEastAsia"/>
          <w:b/>
          <w:highlight w:val="none"/>
          <w:u w:val="single"/>
        </w:rPr>
      </w:pPr>
      <w:r>
        <w:rPr>
          <w:rFonts w:hint="eastAsia" w:cs="宋体" w:asciiTheme="majorEastAsia" w:hAnsiTheme="majorEastAsia" w:eastAsiaTheme="majorEastAsia"/>
          <w:b/>
          <w:highlight w:val="none"/>
        </w:rPr>
        <w:t>投 标 人：</w:t>
      </w:r>
      <w:r>
        <w:rPr>
          <w:rFonts w:hint="eastAsia" w:cs="宋体" w:asciiTheme="majorEastAsia" w:hAnsiTheme="majorEastAsia" w:eastAsiaTheme="majorEastAsia"/>
          <w:b/>
          <w:highlight w:val="none"/>
          <w:u w:val="single"/>
        </w:rPr>
        <w:t xml:space="preserve">                </w:t>
      </w:r>
      <w:r>
        <w:rPr>
          <w:rFonts w:hint="eastAsia" w:cs="宋体" w:asciiTheme="majorEastAsia" w:hAnsiTheme="majorEastAsia" w:eastAsiaTheme="majorEastAsia"/>
          <w:b/>
          <w:highlight w:val="none"/>
        </w:rPr>
        <w:t>（电子签章）</w:t>
      </w:r>
    </w:p>
    <w:p w14:paraId="0E8D0F1E">
      <w:pPr>
        <w:spacing w:line="600" w:lineRule="exact"/>
        <w:ind w:firstLine="488"/>
        <w:rPr>
          <w:rFonts w:cs="宋体" w:asciiTheme="majorEastAsia" w:hAnsiTheme="majorEastAsia" w:eastAsiaTheme="majorEastAsia"/>
          <w:b/>
          <w:highlight w:val="none"/>
          <w:u w:val="single"/>
        </w:rPr>
      </w:pPr>
      <w:r>
        <w:rPr>
          <w:rFonts w:hint="eastAsia" w:cs="宋体" w:asciiTheme="majorEastAsia" w:hAnsiTheme="majorEastAsia" w:eastAsiaTheme="majorEastAsia"/>
          <w:b/>
          <w:highlight w:val="none"/>
        </w:rPr>
        <w:t>法定代表人或其委托代理人：</w:t>
      </w:r>
      <w:r>
        <w:rPr>
          <w:rFonts w:hint="eastAsia" w:cs="宋体" w:asciiTheme="majorEastAsia" w:hAnsiTheme="majorEastAsia" w:eastAsiaTheme="majorEastAsia"/>
          <w:b/>
          <w:highlight w:val="none"/>
          <w:u w:val="single"/>
        </w:rPr>
        <w:t xml:space="preserve">              </w:t>
      </w:r>
      <w:r>
        <w:rPr>
          <w:rFonts w:hint="eastAsia" w:cs="宋体" w:asciiTheme="majorEastAsia" w:hAnsiTheme="majorEastAsia" w:eastAsiaTheme="majorEastAsia"/>
          <w:b/>
          <w:szCs w:val="21"/>
          <w:highlight w:val="none"/>
        </w:rPr>
        <w:t>（电子签章）</w:t>
      </w:r>
    </w:p>
    <w:p w14:paraId="22805C12">
      <w:pPr>
        <w:spacing w:line="600" w:lineRule="exact"/>
        <w:ind w:firstLine="488"/>
        <w:rPr>
          <w:rFonts w:cs="宋体" w:asciiTheme="majorEastAsia" w:hAnsiTheme="majorEastAsia" w:eastAsiaTheme="majorEastAsia"/>
          <w:b/>
          <w:highlight w:val="none"/>
          <w:u w:val="single"/>
        </w:rPr>
      </w:pPr>
      <w:r>
        <w:rPr>
          <w:rFonts w:hint="eastAsia" w:cs="宋体" w:asciiTheme="majorEastAsia" w:hAnsiTheme="majorEastAsia" w:eastAsiaTheme="majorEastAsia"/>
          <w:b/>
          <w:highlight w:val="none"/>
        </w:rPr>
        <w:t>日   期：</w:t>
      </w:r>
      <w:r>
        <w:rPr>
          <w:rFonts w:hint="eastAsia" w:cs="宋体" w:asciiTheme="majorEastAsia" w:hAnsiTheme="majorEastAsia" w:eastAsiaTheme="majorEastAsia"/>
          <w:b/>
          <w:highlight w:val="none"/>
          <w:u w:val="single"/>
        </w:rPr>
        <w:t xml:space="preserve">         </w:t>
      </w:r>
      <w:r>
        <w:rPr>
          <w:rFonts w:hint="eastAsia" w:cs="宋体" w:asciiTheme="majorEastAsia" w:hAnsiTheme="majorEastAsia" w:eastAsiaTheme="majorEastAsia"/>
          <w:b/>
          <w:highlight w:val="none"/>
        </w:rPr>
        <w:t xml:space="preserve">年 </w:t>
      </w:r>
      <w:r>
        <w:rPr>
          <w:rFonts w:hint="eastAsia" w:cs="宋体" w:asciiTheme="majorEastAsia" w:hAnsiTheme="majorEastAsia" w:eastAsiaTheme="majorEastAsia"/>
          <w:b/>
          <w:highlight w:val="none"/>
          <w:u w:val="single"/>
        </w:rPr>
        <w:t xml:space="preserve">     </w:t>
      </w:r>
      <w:r>
        <w:rPr>
          <w:rFonts w:hint="eastAsia" w:cs="宋体" w:asciiTheme="majorEastAsia" w:hAnsiTheme="majorEastAsia" w:eastAsiaTheme="majorEastAsia"/>
          <w:b/>
          <w:highlight w:val="none"/>
        </w:rPr>
        <w:t>月</w:t>
      </w:r>
      <w:r>
        <w:rPr>
          <w:rFonts w:hint="eastAsia" w:cs="宋体" w:asciiTheme="majorEastAsia" w:hAnsiTheme="majorEastAsia" w:eastAsiaTheme="majorEastAsia"/>
          <w:b/>
          <w:highlight w:val="none"/>
          <w:u w:val="single"/>
        </w:rPr>
        <w:t xml:space="preserve">     </w:t>
      </w:r>
      <w:r>
        <w:rPr>
          <w:rFonts w:hint="eastAsia" w:cs="宋体" w:asciiTheme="majorEastAsia" w:hAnsiTheme="majorEastAsia" w:eastAsiaTheme="majorEastAsia"/>
          <w:b/>
          <w:highlight w:val="none"/>
        </w:rPr>
        <w:t>日</w:t>
      </w:r>
    </w:p>
    <w:p w14:paraId="7C7F90FC">
      <w:pPr>
        <w:rPr>
          <w:rFonts w:cs="宋体" w:asciiTheme="majorEastAsia" w:hAnsiTheme="majorEastAsia" w:eastAsiaTheme="majorEastAsia"/>
          <w:highlight w:val="none"/>
        </w:rPr>
      </w:pPr>
      <w:r>
        <w:rPr>
          <w:rFonts w:hint="eastAsia" w:cs="宋体" w:asciiTheme="majorEastAsia" w:hAnsiTheme="majorEastAsia" w:eastAsiaTheme="majorEastAsia"/>
          <w:highlight w:val="none"/>
        </w:rPr>
        <w:br w:type="page"/>
      </w:r>
    </w:p>
    <w:p w14:paraId="0CA0EB80">
      <w:pPr>
        <w:rPr>
          <w:rStyle w:val="154"/>
          <w:rFonts w:cs="宋体" w:asciiTheme="majorEastAsia" w:hAnsiTheme="majorEastAsia" w:eastAsiaTheme="majorEastAsia"/>
          <w:sz w:val="32"/>
          <w:szCs w:val="32"/>
          <w:highlight w:val="none"/>
        </w:rPr>
      </w:pPr>
    </w:p>
    <w:p w14:paraId="1E38AE05">
      <w:pPr>
        <w:pStyle w:val="3"/>
        <w:spacing w:before="120" w:after="120" w:afterLines="50" w:line="700" w:lineRule="exact"/>
        <w:ind w:left="0" w:firstLine="0"/>
        <w:jc w:val="center"/>
        <w:rPr>
          <w:rStyle w:val="154"/>
          <w:rFonts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2"/>
          <w:szCs w:val="32"/>
          <w:highlight w:val="none"/>
        </w:rPr>
        <w:t>附件三：法定代表人身份证明</w:t>
      </w:r>
    </w:p>
    <w:p w14:paraId="6380E58F">
      <w:pPr>
        <w:spacing w:line="800" w:lineRule="exact"/>
        <w:ind w:firstLine="612"/>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投标人名称：</w:t>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p>
    <w:p w14:paraId="18911823">
      <w:pPr>
        <w:spacing w:line="800" w:lineRule="exact"/>
        <w:ind w:firstLine="610"/>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单位性质：</w:t>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p>
    <w:p w14:paraId="70103182">
      <w:pPr>
        <w:spacing w:line="800" w:lineRule="exact"/>
        <w:ind w:firstLine="610"/>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地    址：</w:t>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ab/>
      </w:r>
    </w:p>
    <w:p w14:paraId="236E006C">
      <w:pPr>
        <w:spacing w:line="800" w:lineRule="exact"/>
        <w:ind w:firstLine="610"/>
        <w:rPr>
          <w:rFonts w:cs="宋体" w:asciiTheme="majorEastAsia" w:hAnsiTheme="majorEastAsia" w:eastAsiaTheme="majorEastAsia"/>
          <w:highlight w:val="none"/>
        </w:rPr>
      </w:pPr>
      <w:r>
        <w:rPr>
          <w:rFonts w:hint="eastAsia" w:cs="宋体" w:asciiTheme="majorEastAsia" w:hAnsiTheme="majorEastAsia" w:eastAsiaTheme="majorEastAsia"/>
          <w:highlight w:val="none"/>
        </w:rPr>
        <w:t>成立时间：</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年</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月</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日</w:t>
      </w:r>
    </w:p>
    <w:p w14:paraId="43136F0E">
      <w:pPr>
        <w:spacing w:line="800" w:lineRule="exact"/>
        <w:ind w:firstLine="610"/>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经营期限：</w:t>
      </w:r>
      <w:r>
        <w:rPr>
          <w:rFonts w:hint="eastAsia" w:cs="宋体" w:asciiTheme="majorEastAsia" w:hAnsiTheme="majorEastAsia" w:eastAsiaTheme="majorEastAsia"/>
          <w:highlight w:val="none"/>
          <w:u w:val="single"/>
        </w:rPr>
        <w:tab/>
      </w:r>
      <w:r>
        <w:rPr>
          <w:rFonts w:hint="eastAsia" w:cs="宋体" w:asciiTheme="majorEastAsia" w:hAnsiTheme="majorEastAsia" w:eastAsiaTheme="majorEastAsia"/>
          <w:highlight w:val="none"/>
          <w:u w:val="single"/>
        </w:rPr>
        <w:t xml:space="preserve">                                                              </w:t>
      </w:r>
    </w:p>
    <w:p w14:paraId="0EC9E83A">
      <w:pPr>
        <w:spacing w:line="800" w:lineRule="exact"/>
        <w:ind w:firstLine="610"/>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姓    名：</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 xml:space="preserve"> 性别：</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年龄：</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 xml:space="preserve"> 职务：</w:t>
      </w:r>
      <w:r>
        <w:rPr>
          <w:rFonts w:hint="eastAsia" w:cs="宋体" w:asciiTheme="majorEastAsia" w:hAnsiTheme="majorEastAsia" w:eastAsiaTheme="majorEastAsia"/>
          <w:highlight w:val="none"/>
          <w:u w:val="single"/>
        </w:rPr>
        <w:t xml:space="preserve">            </w:t>
      </w:r>
    </w:p>
    <w:p w14:paraId="6D3E65BE">
      <w:pPr>
        <w:spacing w:line="800" w:lineRule="exact"/>
        <w:ind w:firstLine="610"/>
        <w:rPr>
          <w:rFonts w:cs="宋体" w:asciiTheme="majorEastAsia" w:hAnsiTheme="majorEastAsia" w:eastAsiaTheme="majorEastAsia"/>
          <w:highlight w:val="none"/>
        </w:rPr>
      </w:pPr>
      <w:r>
        <w:rPr>
          <w:rFonts w:hint="eastAsia" w:cs="宋体" w:asciiTheme="majorEastAsia" w:hAnsiTheme="majorEastAsia" w:eastAsiaTheme="majorEastAsia"/>
          <w:highlight w:val="none"/>
        </w:rPr>
        <w:t>系</w:t>
      </w:r>
      <w:r>
        <w:rPr>
          <w:rFonts w:hint="eastAsia" w:cs="宋体" w:asciiTheme="majorEastAsia" w:hAnsiTheme="majorEastAsia" w:eastAsiaTheme="majorEastAsia"/>
          <w:highlight w:val="none"/>
          <w:u w:val="single"/>
        </w:rPr>
        <w:t xml:space="preserve">          （投标人名称）         </w:t>
      </w:r>
      <w:r>
        <w:rPr>
          <w:rFonts w:hint="eastAsia" w:cs="宋体" w:asciiTheme="majorEastAsia" w:hAnsiTheme="majorEastAsia" w:eastAsiaTheme="majorEastAsia"/>
          <w:highlight w:val="none"/>
        </w:rPr>
        <w:t>的法定代表人。</w:t>
      </w:r>
    </w:p>
    <w:p w14:paraId="45D4C528">
      <w:pPr>
        <w:spacing w:line="800" w:lineRule="exact"/>
        <w:ind w:firstLine="610"/>
        <w:rPr>
          <w:rFonts w:cs="宋体" w:asciiTheme="majorEastAsia" w:hAnsiTheme="majorEastAsia" w:eastAsiaTheme="majorEastAsia"/>
          <w:highlight w:val="none"/>
        </w:rPr>
      </w:pPr>
      <w:r>
        <w:rPr>
          <w:rFonts w:hint="eastAsia" w:cs="宋体" w:asciiTheme="majorEastAsia" w:hAnsiTheme="majorEastAsia" w:eastAsiaTheme="majorEastAsia"/>
          <w:highlight w:val="none"/>
        </w:rPr>
        <w:t>特此证明！</w:t>
      </w:r>
    </w:p>
    <w:p w14:paraId="33589389">
      <w:pPr>
        <w:spacing w:line="300" w:lineRule="auto"/>
        <w:ind w:firstLine="610"/>
        <w:rPr>
          <w:rFonts w:cs="宋体" w:asciiTheme="majorEastAsia" w:hAnsiTheme="majorEastAsia" w:eastAsiaTheme="majorEastAsia"/>
          <w:highlight w:val="none"/>
        </w:rPr>
      </w:pPr>
    </w:p>
    <w:p w14:paraId="79D63D20">
      <w:pPr>
        <w:spacing w:line="300" w:lineRule="auto"/>
        <w:rPr>
          <w:rFonts w:cs="宋体" w:asciiTheme="majorEastAsia" w:hAnsiTheme="majorEastAsia" w:eastAsiaTheme="majorEastAsia"/>
          <w:highlight w:val="none"/>
        </w:rPr>
      </w:pPr>
      <w:r>
        <w:rPr>
          <w:rFonts w:hint="eastAsia" w:cs="宋体" w:asciiTheme="majorEastAsia" w:hAnsiTheme="majorEastAsia" w:eastAsiaTheme="majorEastAsia"/>
          <w:b/>
          <w:highlight w:val="none"/>
        </w:rPr>
        <w:t>附法定代表人身份证正、反面原件扫描件</w:t>
      </w:r>
    </w:p>
    <w:p w14:paraId="523B7202">
      <w:pPr>
        <w:spacing w:line="300" w:lineRule="auto"/>
        <w:ind w:firstLine="610"/>
        <w:rPr>
          <w:rFonts w:cs="宋体" w:asciiTheme="majorEastAsia" w:hAnsiTheme="majorEastAsia" w:eastAsiaTheme="majorEastAsia"/>
          <w:sz w:val="21"/>
          <w:szCs w:val="21"/>
          <w:highlight w:val="none"/>
        </w:rPr>
      </w:pPr>
    </w:p>
    <w:tbl>
      <w:tblPr>
        <w:tblStyle w:val="63"/>
        <w:tblW w:w="7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6"/>
      </w:tblGrid>
      <w:tr w14:paraId="725FA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7" w:hRule="atLeast"/>
          <w:jc w:val="center"/>
        </w:trPr>
        <w:tc>
          <w:tcPr>
            <w:tcW w:w="7156" w:type="dxa"/>
            <w:tcBorders>
              <w:right w:val="single" w:color="auto" w:sz="4" w:space="0"/>
            </w:tcBorders>
            <w:vAlign w:val="center"/>
          </w:tcPr>
          <w:p w14:paraId="76DC25BD">
            <w:pPr>
              <w:spacing w:line="48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法定代表人身份证原件扫描件正、反面</w:t>
            </w:r>
          </w:p>
        </w:tc>
      </w:tr>
    </w:tbl>
    <w:p w14:paraId="3ACAA0AD">
      <w:pPr>
        <w:spacing w:line="300" w:lineRule="auto"/>
        <w:ind w:firstLine="610"/>
        <w:rPr>
          <w:rFonts w:cs="宋体" w:asciiTheme="majorEastAsia" w:hAnsiTheme="majorEastAsia" w:eastAsiaTheme="majorEastAsia"/>
          <w:sz w:val="21"/>
          <w:szCs w:val="21"/>
          <w:highlight w:val="none"/>
        </w:rPr>
      </w:pPr>
    </w:p>
    <w:p w14:paraId="5FF857E2">
      <w:pPr>
        <w:spacing w:line="300" w:lineRule="auto"/>
        <w:ind w:firstLine="610"/>
        <w:rPr>
          <w:rFonts w:cs="宋体" w:asciiTheme="majorEastAsia" w:hAnsiTheme="majorEastAsia" w:eastAsiaTheme="majorEastAsia"/>
          <w:sz w:val="21"/>
          <w:szCs w:val="21"/>
          <w:highlight w:val="none"/>
        </w:rPr>
      </w:pPr>
    </w:p>
    <w:p w14:paraId="6EF3E25F">
      <w:pPr>
        <w:tabs>
          <w:tab w:val="left" w:pos="720"/>
          <w:tab w:val="left" w:pos="900"/>
        </w:tabs>
        <w:spacing w:line="300" w:lineRule="auto"/>
        <w:ind w:firstLine="5040" w:firstLineChars="2100"/>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投标人：</w:t>
      </w:r>
      <w:r>
        <w:rPr>
          <w:rFonts w:hint="eastAsia" w:cs="宋体" w:asciiTheme="majorEastAsia" w:hAnsiTheme="majorEastAsia" w:eastAsiaTheme="majorEastAsia"/>
          <w:highlight w:val="none"/>
          <w:u w:val="single"/>
        </w:rPr>
        <w:t xml:space="preserve">           （电子签章）</w:t>
      </w:r>
    </w:p>
    <w:p w14:paraId="2BF6936E">
      <w:pPr>
        <w:tabs>
          <w:tab w:val="left" w:pos="720"/>
          <w:tab w:val="left" w:pos="900"/>
        </w:tabs>
        <w:spacing w:line="300" w:lineRule="auto"/>
        <w:ind w:firstLine="5040" w:firstLineChars="2100"/>
        <w:rPr>
          <w:rFonts w:cs="宋体" w:asciiTheme="majorEastAsia" w:hAnsiTheme="majorEastAsia" w:eastAsiaTheme="majorEastAsia"/>
          <w:highlight w:val="none"/>
        </w:rPr>
      </w:pPr>
    </w:p>
    <w:p w14:paraId="4CFE7FA6">
      <w:pPr>
        <w:tabs>
          <w:tab w:val="left" w:pos="720"/>
          <w:tab w:val="left" w:pos="900"/>
        </w:tabs>
        <w:spacing w:line="300" w:lineRule="auto"/>
        <w:ind w:firstLine="5040" w:firstLineChars="21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日    期：</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年</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月</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日</w:t>
      </w:r>
    </w:p>
    <w:p w14:paraId="3897FA26">
      <w:pPr>
        <w:spacing w:line="300" w:lineRule="auto"/>
        <w:rPr>
          <w:rFonts w:cs="宋体" w:asciiTheme="majorEastAsia" w:hAnsiTheme="majorEastAsia" w:eastAsiaTheme="majorEastAsia"/>
          <w:b/>
          <w:sz w:val="21"/>
          <w:szCs w:val="21"/>
          <w:highlight w:val="none"/>
        </w:rPr>
      </w:pPr>
      <w:r>
        <w:rPr>
          <w:rFonts w:hint="eastAsia" w:cs="宋体" w:asciiTheme="majorEastAsia" w:hAnsiTheme="majorEastAsia" w:eastAsiaTheme="majorEastAsia"/>
          <w:b/>
          <w:sz w:val="21"/>
          <w:szCs w:val="21"/>
          <w:highlight w:val="none"/>
        </w:rPr>
        <w:t>注：若为联合体，联合体所有成员均需提供。</w:t>
      </w:r>
    </w:p>
    <w:p w14:paraId="2E7C07A9">
      <w:pPr>
        <w:rPr>
          <w:rStyle w:val="154"/>
          <w:rFonts w:cs="宋体" w:asciiTheme="majorEastAsia" w:hAnsiTheme="majorEastAsia" w:eastAsiaTheme="majorEastAsia"/>
          <w:b/>
          <w:sz w:val="32"/>
          <w:szCs w:val="32"/>
          <w:highlight w:val="none"/>
        </w:rPr>
      </w:pPr>
      <w:r>
        <w:rPr>
          <w:rStyle w:val="154"/>
          <w:rFonts w:hint="eastAsia" w:cs="宋体" w:asciiTheme="majorEastAsia" w:hAnsiTheme="majorEastAsia" w:eastAsiaTheme="majorEastAsia"/>
          <w:b/>
          <w:sz w:val="32"/>
          <w:szCs w:val="32"/>
          <w:highlight w:val="none"/>
        </w:rPr>
        <w:br w:type="page"/>
      </w:r>
    </w:p>
    <w:p w14:paraId="6874A8D1">
      <w:pPr>
        <w:rPr>
          <w:rStyle w:val="154"/>
          <w:rFonts w:cs="宋体" w:asciiTheme="majorEastAsia" w:hAnsiTheme="majorEastAsia" w:eastAsiaTheme="majorEastAsia"/>
          <w:sz w:val="32"/>
          <w:szCs w:val="32"/>
          <w:highlight w:val="none"/>
        </w:rPr>
      </w:pPr>
    </w:p>
    <w:p w14:paraId="4470B203">
      <w:pPr>
        <w:pStyle w:val="3"/>
        <w:spacing w:before="120" w:after="120" w:afterLines="50" w:line="700" w:lineRule="exact"/>
        <w:ind w:left="0" w:firstLine="0"/>
        <w:jc w:val="center"/>
        <w:rPr>
          <w:rStyle w:val="154"/>
          <w:rFonts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2"/>
          <w:szCs w:val="32"/>
          <w:highlight w:val="none"/>
        </w:rPr>
        <w:t>附件四：法定代表人授权委托书</w:t>
      </w:r>
    </w:p>
    <w:p w14:paraId="2FBB0747">
      <w:pPr>
        <w:spacing w:line="480" w:lineRule="auto"/>
        <w:ind w:firstLine="612"/>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本授权委托书声明：我</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 xml:space="preserve">（姓名）系 </w:t>
      </w:r>
      <w:r>
        <w:rPr>
          <w:rFonts w:hint="eastAsia" w:cs="宋体" w:asciiTheme="majorEastAsia" w:hAnsiTheme="majorEastAsia" w:eastAsiaTheme="majorEastAsia"/>
          <w:highlight w:val="none"/>
          <w:u w:val="single"/>
        </w:rPr>
        <w:t xml:space="preserve">   （投标人名称）   </w:t>
      </w:r>
      <w:r>
        <w:rPr>
          <w:rFonts w:hint="eastAsia" w:cs="宋体" w:asciiTheme="majorEastAsia" w:hAnsiTheme="majorEastAsia" w:eastAsiaTheme="majorEastAsia"/>
          <w:highlight w:val="none"/>
        </w:rPr>
        <w:t>的法定代表人，现授权委托</w:t>
      </w:r>
      <w:r>
        <w:rPr>
          <w:rFonts w:hint="eastAsia" w:cs="宋体" w:asciiTheme="majorEastAsia" w:hAnsiTheme="majorEastAsia" w:eastAsiaTheme="majorEastAsia"/>
          <w:highlight w:val="none"/>
          <w:u w:val="single"/>
        </w:rPr>
        <w:t xml:space="preserve">      （单位名称）     </w:t>
      </w:r>
      <w:r>
        <w:rPr>
          <w:rFonts w:hint="eastAsia" w:cs="宋体" w:asciiTheme="majorEastAsia" w:hAnsiTheme="majorEastAsia" w:eastAsiaTheme="majorEastAsia"/>
          <w:highlight w:val="none"/>
        </w:rPr>
        <w:t>的</w:t>
      </w:r>
      <w:r>
        <w:rPr>
          <w:rFonts w:hint="eastAsia" w:cs="宋体" w:asciiTheme="majorEastAsia" w:hAnsiTheme="majorEastAsia" w:eastAsiaTheme="majorEastAsia"/>
          <w:highlight w:val="none"/>
          <w:u w:val="single"/>
        </w:rPr>
        <w:t xml:space="preserve">    （姓名）    </w:t>
      </w:r>
      <w:r>
        <w:rPr>
          <w:rFonts w:hint="eastAsia" w:cs="宋体" w:asciiTheme="majorEastAsia" w:hAnsiTheme="majorEastAsia" w:eastAsiaTheme="majorEastAsia"/>
          <w:highlight w:val="none"/>
        </w:rPr>
        <w:t>为我公司就</w:t>
      </w:r>
      <w:r>
        <w:rPr>
          <w:rFonts w:hint="eastAsia" w:cs="宋体" w:asciiTheme="majorEastAsia" w:hAnsiTheme="majorEastAsia" w:eastAsiaTheme="majorEastAsia"/>
          <w:highlight w:val="none"/>
          <w:u w:val="single"/>
        </w:rPr>
        <w:t xml:space="preserve">    （招标工程项目名称）       </w:t>
      </w:r>
      <w:r>
        <w:rPr>
          <w:rFonts w:hint="eastAsia" w:cs="宋体" w:asciiTheme="majorEastAsia" w:hAnsiTheme="majorEastAsia" w:eastAsiaTheme="majorEastAsia"/>
          <w:highlight w:val="none"/>
        </w:rPr>
        <w:t>的投标事宜的法定代表人授权委托代理人，我承认代理人全权代表我处理</w:t>
      </w:r>
      <w:r>
        <w:rPr>
          <w:rFonts w:hint="eastAsia" w:cs="宋体" w:asciiTheme="majorEastAsia" w:hAnsiTheme="majorEastAsia" w:eastAsiaTheme="majorEastAsia"/>
          <w:highlight w:val="none"/>
          <w:u w:val="single"/>
        </w:rPr>
        <w:t xml:space="preserve"> （招标工程项目名称）</w:t>
      </w:r>
      <w:r>
        <w:rPr>
          <w:rFonts w:hint="eastAsia" w:cs="宋体" w:asciiTheme="majorEastAsia" w:hAnsiTheme="majorEastAsia" w:eastAsiaTheme="majorEastAsia"/>
          <w:highlight w:val="none"/>
        </w:rPr>
        <w:t>所有投标事宜。</w:t>
      </w:r>
    </w:p>
    <w:p w14:paraId="248597B2">
      <w:pPr>
        <w:spacing w:line="480" w:lineRule="auto"/>
        <w:ind w:firstLine="612"/>
        <w:jc w:val="both"/>
        <w:rPr>
          <w:rFonts w:hint="default" w:eastAsia="宋体" w:cs="宋体" w:asciiTheme="majorEastAsia" w:hAnsiTheme="majorEastAsia"/>
          <w:highlight w:val="none"/>
          <w:u w:val="single"/>
          <w:lang w:val="en-US" w:eastAsia="zh-CN"/>
        </w:rPr>
      </w:pPr>
      <w:r>
        <w:rPr>
          <w:rFonts w:hint="eastAsia" w:cs="宋体" w:asciiTheme="majorEastAsia" w:hAnsiTheme="majorEastAsia" w:eastAsiaTheme="majorEastAsia"/>
          <w:highlight w:val="none"/>
        </w:rPr>
        <w:t>委托期限：</w:t>
      </w:r>
      <w:r>
        <w:rPr>
          <w:rFonts w:hint="eastAsia"/>
          <w:highlight w:val="none"/>
          <w:lang w:val="en-US" w:eastAsia="zh-CN"/>
        </w:rPr>
        <w:t>自投标文件递交截止之日起90日历天内</w:t>
      </w:r>
    </w:p>
    <w:p w14:paraId="284C3C61">
      <w:pPr>
        <w:spacing w:line="480" w:lineRule="auto"/>
        <w:ind w:firstLine="612"/>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rPr>
        <w:t>代理人无转委托权，特此委托。</w:t>
      </w:r>
    </w:p>
    <w:p w14:paraId="53237F29">
      <w:pPr>
        <w:spacing w:line="300" w:lineRule="auto"/>
        <w:ind w:firstLine="723" w:firstLineChars="300"/>
        <w:rPr>
          <w:rFonts w:cs="宋体" w:asciiTheme="majorEastAsia" w:hAnsiTheme="majorEastAsia" w:eastAsiaTheme="majorEastAsia"/>
          <w:highlight w:val="none"/>
        </w:rPr>
      </w:pPr>
      <w:r>
        <w:rPr>
          <w:rFonts w:hint="eastAsia" w:cs="宋体" w:asciiTheme="majorEastAsia" w:hAnsiTheme="majorEastAsia" w:eastAsiaTheme="majorEastAsia"/>
          <w:b/>
          <w:highlight w:val="none"/>
        </w:rPr>
        <w:t>附委托代理人身份证扫描件</w:t>
      </w:r>
    </w:p>
    <w:tbl>
      <w:tblPr>
        <w:tblStyle w:val="63"/>
        <w:tblW w:w="7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6"/>
      </w:tblGrid>
      <w:tr w14:paraId="7DD57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7" w:hRule="atLeast"/>
          <w:jc w:val="center"/>
        </w:trPr>
        <w:tc>
          <w:tcPr>
            <w:tcW w:w="7156" w:type="dxa"/>
            <w:tcBorders>
              <w:right w:val="single" w:color="auto" w:sz="4" w:space="0"/>
            </w:tcBorders>
            <w:vAlign w:val="center"/>
          </w:tcPr>
          <w:p w14:paraId="725E91A2">
            <w:pPr>
              <w:spacing w:line="48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委托代理人身份证原件扫描件正、反面</w:t>
            </w:r>
          </w:p>
        </w:tc>
      </w:tr>
    </w:tbl>
    <w:p w14:paraId="6DFDE0E4">
      <w:pPr>
        <w:spacing w:line="700" w:lineRule="exact"/>
        <w:ind w:left="2699"/>
        <w:rPr>
          <w:rFonts w:cs="宋体" w:asciiTheme="majorEastAsia" w:hAnsiTheme="majorEastAsia" w:eastAsiaTheme="majorEastAsia"/>
          <w:highlight w:val="none"/>
        </w:rPr>
      </w:pPr>
    </w:p>
    <w:p w14:paraId="26703574">
      <w:pPr>
        <w:spacing w:line="700" w:lineRule="exact"/>
        <w:ind w:left="2699"/>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投标人：</w:t>
      </w:r>
      <w:r>
        <w:rPr>
          <w:rFonts w:hint="eastAsia" w:cs="宋体" w:asciiTheme="majorEastAsia" w:hAnsiTheme="majorEastAsia" w:eastAsiaTheme="majorEastAsia"/>
          <w:highlight w:val="none"/>
          <w:u w:val="single"/>
        </w:rPr>
        <w:t xml:space="preserve">                              （电子签章）</w:t>
      </w:r>
    </w:p>
    <w:p w14:paraId="141A5920">
      <w:pPr>
        <w:spacing w:line="700" w:lineRule="exact"/>
        <w:ind w:left="2699"/>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法定代表人：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szCs w:val="21"/>
          <w:highlight w:val="none"/>
          <w:u w:val="single"/>
        </w:rPr>
        <w:t>（电子签章）</w:t>
      </w:r>
    </w:p>
    <w:p w14:paraId="2ADCDDE6">
      <w:pPr>
        <w:spacing w:line="700" w:lineRule="exact"/>
        <w:ind w:left="2699"/>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身份证号码：</w:t>
      </w:r>
      <w:r>
        <w:rPr>
          <w:rFonts w:hint="eastAsia" w:cs="宋体" w:asciiTheme="majorEastAsia" w:hAnsiTheme="majorEastAsia" w:eastAsiaTheme="majorEastAsia"/>
          <w:highlight w:val="none"/>
          <w:u w:val="single"/>
        </w:rPr>
        <w:t xml:space="preserve">                                     </w:t>
      </w:r>
    </w:p>
    <w:p w14:paraId="26741FA0">
      <w:pPr>
        <w:spacing w:line="700" w:lineRule="exact"/>
        <w:ind w:left="2699"/>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委托代理人：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szCs w:val="21"/>
          <w:highlight w:val="none"/>
          <w:u w:val="single"/>
        </w:rPr>
        <w:t xml:space="preserve">              </w:t>
      </w:r>
      <w:r>
        <w:rPr>
          <w:rFonts w:hint="eastAsia" w:cs="宋体" w:asciiTheme="majorEastAsia" w:hAnsiTheme="majorEastAsia" w:eastAsiaTheme="majorEastAsia"/>
          <w:highlight w:val="none"/>
          <w:u w:val="single"/>
        </w:rPr>
        <w:t xml:space="preserve">  </w:t>
      </w:r>
    </w:p>
    <w:p w14:paraId="25C5BDF2">
      <w:pPr>
        <w:spacing w:line="700" w:lineRule="exact"/>
        <w:ind w:left="2699"/>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身份证号码：</w:t>
      </w:r>
      <w:r>
        <w:rPr>
          <w:rFonts w:hint="eastAsia" w:cs="宋体" w:asciiTheme="majorEastAsia" w:hAnsiTheme="majorEastAsia" w:eastAsiaTheme="majorEastAsia"/>
          <w:highlight w:val="none"/>
          <w:u w:val="single"/>
        </w:rPr>
        <w:t xml:space="preserve">                                     </w:t>
      </w:r>
    </w:p>
    <w:p w14:paraId="27AC8C91">
      <w:pPr>
        <w:spacing w:line="700" w:lineRule="exact"/>
        <w:ind w:left="2699"/>
        <w:rPr>
          <w:rFonts w:cs="宋体" w:asciiTheme="majorEastAsia" w:hAnsiTheme="majorEastAsia" w:eastAsiaTheme="majorEastAsia"/>
          <w:highlight w:val="none"/>
        </w:rPr>
      </w:pPr>
      <w:r>
        <w:rPr>
          <w:rFonts w:hint="eastAsia" w:cs="宋体" w:asciiTheme="majorEastAsia" w:hAnsiTheme="majorEastAsia" w:eastAsiaTheme="majorEastAsia"/>
          <w:highlight w:val="none"/>
        </w:rPr>
        <w:t>授权委托日期：</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年</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月</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日</w:t>
      </w:r>
    </w:p>
    <w:p w14:paraId="1E4E20C1">
      <w:pPr>
        <w:spacing w:line="300" w:lineRule="auto"/>
        <w:ind w:firstLine="2415" w:firstLineChars="1150"/>
        <w:rPr>
          <w:rFonts w:cs="宋体" w:asciiTheme="majorEastAsia" w:hAnsiTheme="majorEastAsia" w:eastAsiaTheme="majorEastAsia"/>
          <w:sz w:val="21"/>
          <w:szCs w:val="21"/>
          <w:highlight w:val="none"/>
        </w:rPr>
      </w:pPr>
    </w:p>
    <w:p w14:paraId="18456D85">
      <w:pPr>
        <w:spacing w:line="360" w:lineRule="auto"/>
        <w:ind w:firstLine="472" w:firstLineChars="224"/>
        <w:rPr>
          <w:rFonts w:cs="宋体" w:asciiTheme="majorEastAsia" w:hAnsiTheme="majorEastAsia" w:eastAsiaTheme="majorEastAsia"/>
          <w:b/>
          <w:sz w:val="21"/>
          <w:szCs w:val="21"/>
          <w:highlight w:val="none"/>
        </w:rPr>
      </w:pPr>
      <w:r>
        <w:rPr>
          <w:rFonts w:hint="eastAsia" w:cs="宋体" w:asciiTheme="majorEastAsia" w:hAnsiTheme="majorEastAsia" w:eastAsiaTheme="majorEastAsia"/>
          <w:b/>
          <w:sz w:val="21"/>
          <w:szCs w:val="21"/>
          <w:highlight w:val="none"/>
        </w:rPr>
        <w:t>注：1.如由法定代表人亲自签署投标文件并参与相关活动，则不需要办理授权。如由被授权的代理人签署上述文件，则必须按本格式规定填报并提交授权书。</w:t>
      </w:r>
    </w:p>
    <w:p w14:paraId="664C597B">
      <w:pPr>
        <w:spacing w:line="360" w:lineRule="auto"/>
        <w:ind w:firstLine="472" w:firstLineChars="224"/>
        <w:rPr>
          <w:rFonts w:cs="宋体" w:asciiTheme="majorEastAsia" w:hAnsiTheme="majorEastAsia" w:eastAsiaTheme="majorEastAsia"/>
          <w:b/>
          <w:sz w:val="21"/>
          <w:szCs w:val="21"/>
          <w:highlight w:val="none"/>
        </w:rPr>
      </w:pPr>
      <w:r>
        <w:rPr>
          <w:rFonts w:hint="eastAsia" w:cs="宋体" w:asciiTheme="majorEastAsia" w:hAnsiTheme="majorEastAsia" w:eastAsiaTheme="majorEastAsia"/>
          <w:b/>
          <w:sz w:val="21"/>
          <w:szCs w:val="21"/>
          <w:highlight w:val="none"/>
        </w:rPr>
        <w:t>2.若为联合体，</w:t>
      </w:r>
      <w:r>
        <w:rPr>
          <w:rFonts w:hint="eastAsia" w:cs="宋体" w:asciiTheme="majorEastAsia" w:hAnsiTheme="majorEastAsia" w:eastAsiaTheme="majorEastAsia"/>
          <w:b/>
          <w:sz w:val="21"/>
          <w:szCs w:val="21"/>
          <w:highlight w:val="none"/>
          <w:lang w:val="en-US" w:eastAsia="zh-CN"/>
        </w:rPr>
        <w:t>联合体牵头人提供</w:t>
      </w:r>
      <w:r>
        <w:rPr>
          <w:rFonts w:hint="eastAsia" w:cs="宋体" w:asciiTheme="majorEastAsia" w:hAnsiTheme="majorEastAsia" w:eastAsiaTheme="majorEastAsia"/>
          <w:b/>
          <w:sz w:val="21"/>
          <w:szCs w:val="21"/>
          <w:highlight w:val="none"/>
        </w:rPr>
        <w:t>。</w:t>
      </w:r>
    </w:p>
    <w:p w14:paraId="758EE9C6">
      <w:pPr>
        <w:pStyle w:val="3"/>
        <w:spacing w:before="120" w:after="120" w:afterLines="50" w:line="700" w:lineRule="exact"/>
        <w:ind w:left="0" w:firstLine="0"/>
        <w:jc w:val="center"/>
        <w:rPr>
          <w:rStyle w:val="154"/>
          <w:rFonts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0"/>
          <w:szCs w:val="30"/>
          <w:highlight w:val="none"/>
        </w:rPr>
        <w:br w:type="page"/>
      </w:r>
      <w:r>
        <w:rPr>
          <w:rStyle w:val="154"/>
          <w:rFonts w:hint="eastAsia" w:cs="宋体" w:asciiTheme="majorEastAsia" w:hAnsiTheme="majorEastAsia" w:eastAsiaTheme="majorEastAsia"/>
          <w:sz w:val="32"/>
          <w:szCs w:val="32"/>
          <w:highlight w:val="none"/>
        </w:rPr>
        <w:t>附件五：投标承诺书</w:t>
      </w:r>
      <w:bookmarkEnd w:id="1022"/>
      <w:bookmarkEnd w:id="1023"/>
      <w:bookmarkEnd w:id="1024"/>
    </w:p>
    <w:p w14:paraId="0B73FF0D">
      <w:pPr>
        <w:spacing w:line="500" w:lineRule="exact"/>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rPr>
        <w:t>致：</w:t>
      </w:r>
      <w:r>
        <w:rPr>
          <w:rFonts w:hint="eastAsia" w:cs="宋体" w:asciiTheme="majorEastAsia" w:hAnsiTheme="majorEastAsia" w:eastAsiaTheme="majorEastAsia"/>
          <w:highlight w:val="none"/>
          <w:lang w:eastAsia="zh-CN"/>
        </w:rPr>
        <w:t>墨江哈尼族自治县联珠镇人民政府</w:t>
      </w:r>
    </w:p>
    <w:p w14:paraId="1C18C52E">
      <w:pPr>
        <w:spacing w:line="50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我方认真阅读了</w:t>
      </w:r>
      <w:r>
        <w:rPr>
          <w:rFonts w:hint="eastAsia" w:cs="宋体" w:asciiTheme="majorEastAsia" w:hAnsiTheme="majorEastAsia" w:eastAsiaTheme="majorEastAsia"/>
          <w:highlight w:val="none"/>
          <w:u w:val="single"/>
        </w:rPr>
        <w:t xml:space="preserve">       （项目名称）       </w:t>
      </w:r>
      <w:r>
        <w:rPr>
          <w:rFonts w:hint="eastAsia" w:cs="宋体" w:asciiTheme="majorEastAsia" w:hAnsiTheme="majorEastAsia" w:eastAsiaTheme="majorEastAsia"/>
          <w:highlight w:val="none"/>
        </w:rPr>
        <w:t>招标文件，我方清楚知道在投标中必须按照法律法规和招标文件的规定参与投标，如违反将会导致投标文件无效、保证金不能退返还和其他违法后果。在此，我方郑重承诺，我方遵守招标投标法律法规的规定，愿意接受招标文件的所有条款规定参与上述项目的竞标，保证投标资料真实，不围标，不串通投标，如本公司违反法律法规和招标文件的规定，自愿承担一切法律和经济上的责任。</w:t>
      </w:r>
    </w:p>
    <w:p w14:paraId="49210865">
      <w:pPr>
        <w:spacing w:line="50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特此承诺！</w:t>
      </w:r>
    </w:p>
    <w:p w14:paraId="79928DE6">
      <w:pPr>
        <w:spacing w:line="500" w:lineRule="exact"/>
        <w:ind w:firstLine="480" w:firstLineChars="200"/>
        <w:rPr>
          <w:rFonts w:cs="宋体" w:asciiTheme="majorEastAsia" w:hAnsiTheme="majorEastAsia" w:eastAsiaTheme="majorEastAsia"/>
          <w:highlight w:val="none"/>
        </w:rPr>
      </w:pPr>
    </w:p>
    <w:p w14:paraId="79BA830E">
      <w:pPr>
        <w:spacing w:line="500" w:lineRule="exact"/>
        <w:ind w:firstLine="480" w:firstLineChars="200"/>
        <w:rPr>
          <w:rFonts w:cs="宋体" w:asciiTheme="majorEastAsia" w:hAnsiTheme="majorEastAsia" w:eastAsiaTheme="majorEastAsia"/>
          <w:highlight w:val="none"/>
        </w:rPr>
      </w:pPr>
    </w:p>
    <w:p w14:paraId="790BE920">
      <w:pPr>
        <w:spacing w:line="500" w:lineRule="exact"/>
        <w:ind w:firstLine="480" w:firstLineChars="200"/>
        <w:rPr>
          <w:rFonts w:cs="宋体" w:asciiTheme="majorEastAsia" w:hAnsiTheme="majorEastAsia" w:eastAsiaTheme="majorEastAsia"/>
          <w:highlight w:val="none"/>
        </w:rPr>
      </w:pPr>
    </w:p>
    <w:p w14:paraId="591708A9">
      <w:pPr>
        <w:spacing w:line="700" w:lineRule="exact"/>
        <w:ind w:left="4560" w:leftChars="1900" w:firstLine="794" w:firstLineChars="331"/>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投标人：</w:t>
      </w:r>
      <w:r>
        <w:rPr>
          <w:rFonts w:hint="eastAsia" w:cs="宋体" w:asciiTheme="majorEastAsia" w:hAnsiTheme="majorEastAsia" w:eastAsiaTheme="majorEastAsia"/>
          <w:highlight w:val="none"/>
          <w:u w:val="single"/>
        </w:rPr>
        <w:t xml:space="preserve">     （电子签章）   </w:t>
      </w:r>
      <w:r>
        <w:rPr>
          <w:rFonts w:hint="eastAsia" w:cs="宋体" w:asciiTheme="majorEastAsia" w:hAnsiTheme="majorEastAsia" w:eastAsiaTheme="majorEastAsia"/>
          <w:highlight w:val="none"/>
        </w:rPr>
        <w:t xml:space="preserve">                                                   法定代表人或委托代理人：</w:t>
      </w:r>
      <w:r>
        <w:rPr>
          <w:rFonts w:hint="eastAsia" w:cs="宋体" w:asciiTheme="majorEastAsia" w:hAnsiTheme="majorEastAsia" w:eastAsiaTheme="majorEastAsia"/>
          <w:szCs w:val="21"/>
          <w:highlight w:val="none"/>
          <w:u w:val="single"/>
        </w:rPr>
        <w:t>（电子签章）</w:t>
      </w:r>
    </w:p>
    <w:p w14:paraId="4435DE9F">
      <w:pPr>
        <w:spacing w:line="700" w:lineRule="exact"/>
        <w:ind w:firstLine="5354" w:firstLineChars="2231"/>
        <w:rPr>
          <w:rFonts w:cs="宋体" w:asciiTheme="majorEastAsia" w:hAnsiTheme="majorEastAsia" w:eastAsiaTheme="majorEastAsia"/>
          <w:highlight w:val="none"/>
        </w:rPr>
      </w:pPr>
      <w:r>
        <w:rPr>
          <w:rFonts w:hint="eastAsia" w:cs="宋体" w:asciiTheme="majorEastAsia" w:hAnsiTheme="majorEastAsia" w:eastAsiaTheme="majorEastAsia"/>
          <w:highlight w:val="none"/>
        </w:rPr>
        <w:t>日期：</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 xml:space="preserve">年 </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月</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日</w:t>
      </w:r>
    </w:p>
    <w:p w14:paraId="7ED10393">
      <w:pPr>
        <w:rPr>
          <w:rStyle w:val="154"/>
          <w:rFonts w:cs="宋体" w:asciiTheme="majorEastAsia" w:hAnsiTheme="majorEastAsia" w:eastAsiaTheme="majorEastAsia"/>
          <w:sz w:val="30"/>
          <w:szCs w:val="30"/>
          <w:highlight w:val="none"/>
        </w:rPr>
      </w:pPr>
      <w:r>
        <w:rPr>
          <w:rStyle w:val="154"/>
          <w:rFonts w:hint="eastAsia" w:cs="宋体" w:asciiTheme="majorEastAsia" w:hAnsiTheme="majorEastAsia" w:eastAsiaTheme="majorEastAsia"/>
          <w:sz w:val="30"/>
          <w:szCs w:val="30"/>
          <w:highlight w:val="none"/>
        </w:rPr>
        <w:br w:type="page"/>
      </w:r>
      <w:bookmarkStart w:id="1031" w:name="_Toc478646384"/>
    </w:p>
    <w:p w14:paraId="4A911310">
      <w:pPr>
        <w:rPr>
          <w:rStyle w:val="154"/>
          <w:rFonts w:cs="宋体" w:asciiTheme="majorEastAsia" w:hAnsiTheme="majorEastAsia" w:eastAsiaTheme="majorEastAsia"/>
          <w:sz w:val="32"/>
          <w:szCs w:val="32"/>
          <w:highlight w:val="none"/>
        </w:rPr>
      </w:pPr>
    </w:p>
    <w:p w14:paraId="51A154A6">
      <w:pPr>
        <w:pStyle w:val="3"/>
        <w:spacing w:before="120" w:after="120" w:afterLines="50" w:line="700" w:lineRule="exact"/>
        <w:ind w:left="0" w:firstLine="0"/>
        <w:jc w:val="center"/>
        <w:rPr>
          <w:rStyle w:val="154"/>
          <w:rFonts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2"/>
          <w:szCs w:val="32"/>
          <w:highlight w:val="none"/>
        </w:rPr>
        <w:t>附件六：投标人基本情况表</w:t>
      </w:r>
    </w:p>
    <w:tbl>
      <w:tblPr>
        <w:tblStyle w:val="63"/>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369"/>
        <w:gridCol w:w="1141"/>
        <w:gridCol w:w="852"/>
        <w:gridCol w:w="1445"/>
        <w:gridCol w:w="1673"/>
        <w:gridCol w:w="697"/>
        <w:gridCol w:w="578"/>
        <w:gridCol w:w="815"/>
      </w:tblGrid>
      <w:tr w14:paraId="1295EE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369" w:type="dxa"/>
            <w:tcBorders>
              <w:top w:val="single" w:color="auto" w:sz="4" w:space="0"/>
              <w:bottom w:val="single" w:color="auto" w:sz="4" w:space="0"/>
              <w:right w:val="single" w:color="auto" w:sz="4" w:space="0"/>
            </w:tcBorders>
            <w:vAlign w:val="center"/>
          </w:tcPr>
          <w:p w14:paraId="5741DAA9">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投标人名称</w:t>
            </w:r>
          </w:p>
        </w:tc>
        <w:tc>
          <w:tcPr>
            <w:tcW w:w="7201" w:type="dxa"/>
            <w:gridSpan w:val="7"/>
            <w:tcBorders>
              <w:top w:val="single" w:color="auto" w:sz="4" w:space="0"/>
              <w:left w:val="single" w:color="auto" w:sz="4" w:space="0"/>
              <w:bottom w:val="single" w:color="auto" w:sz="4" w:space="0"/>
            </w:tcBorders>
            <w:vAlign w:val="center"/>
          </w:tcPr>
          <w:p w14:paraId="444C337B">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r>
      <w:tr w14:paraId="4E1345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369" w:type="dxa"/>
            <w:tcBorders>
              <w:top w:val="single" w:color="auto" w:sz="4" w:space="0"/>
              <w:bottom w:val="single" w:color="auto" w:sz="4" w:space="0"/>
              <w:right w:val="single" w:color="auto" w:sz="4" w:space="0"/>
            </w:tcBorders>
            <w:vAlign w:val="center"/>
          </w:tcPr>
          <w:p w14:paraId="739E4101">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注册地址</w:t>
            </w:r>
          </w:p>
        </w:tc>
        <w:tc>
          <w:tcPr>
            <w:tcW w:w="3438" w:type="dxa"/>
            <w:gridSpan w:val="3"/>
            <w:tcBorders>
              <w:top w:val="single" w:color="auto" w:sz="4" w:space="0"/>
              <w:left w:val="single" w:color="auto" w:sz="4" w:space="0"/>
              <w:bottom w:val="single" w:color="auto" w:sz="4" w:space="0"/>
              <w:right w:val="single" w:color="auto" w:sz="4" w:space="0"/>
            </w:tcBorders>
            <w:vAlign w:val="center"/>
          </w:tcPr>
          <w:p w14:paraId="3DEA00FA">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2370" w:type="dxa"/>
            <w:gridSpan w:val="2"/>
            <w:tcBorders>
              <w:top w:val="single" w:color="auto" w:sz="4" w:space="0"/>
              <w:left w:val="single" w:color="auto" w:sz="4" w:space="0"/>
              <w:bottom w:val="single" w:color="auto" w:sz="4" w:space="0"/>
              <w:right w:val="single" w:color="auto" w:sz="4" w:space="0"/>
            </w:tcBorders>
            <w:vAlign w:val="center"/>
          </w:tcPr>
          <w:p w14:paraId="1A265182">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邮政编码</w:t>
            </w:r>
          </w:p>
        </w:tc>
        <w:tc>
          <w:tcPr>
            <w:tcW w:w="1393" w:type="dxa"/>
            <w:gridSpan w:val="2"/>
            <w:tcBorders>
              <w:top w:val="single" w:color="auto" w:sz="4" w:space="0"/>
              <w:left w:val="single" w:color="auto" w:sz="4" w:space="0"/>
              <w:bottom w:val="single" w:color="auto" w:sz="4" w:space="0"/>
            </w:tcBorders>
            <w:vAlign w:val="center"/>
          </w:tcPr>
          <w:p w14:paraId="1010A94D">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r>
      <w:tr w14:paraId="4124B4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369" w:type="dxa"/>
            <w:vMerge w:val="restart"/>
            <w:tcBorders>
              <w:top w:val="single" w:color="auto" w:sz="4" w:space="0"/>
              <w:bottom w:val="single" w:color="auto" w:sz="4" w:space="0"/>
              <w:right w:val="single" w:color="auto" w:sz="4" w:space="0"/>
            </w:tcBorders>
            <w:vAlign w:val="center"/>
          </w:tcPr>
          <w:p w14:paraId="16B88729">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联系方式</w:t>
            </w:r>
          </w:p>
        </w:tc>
        <w:tc>
          <w:tcPr>
            <w:tcW w:w="1141" w:type="dxa"/>
            <w:tcBorders>
              <w:top w:val="single" w:color="auto" w:sz="4" w:space="0"/>
              <w:left w:val="single" w:color="auto" w:sz="4" w:space="0"/>
              <w:bottom w:val="single" w:color="auto" w:sz="4" w:space="0"/>
              <w:right w:val="single" w:color="auto" w:sz="4" w:space="0"/>
            </w:tcBorders>
            <w:vAlign w:val="center"/>
          </w:tcPr>
          <w:p w14:paraId="625A5DE4">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联系人</w:t>
            </w:r>
          </w:p>
        </w:tc>
        <w:tc>
          <w:tcPr>
            <w:tcW w:w="2297" w:type="dxa"/>
            <w:gridSpan w:val="2"/>
            <w:tcBorders>
              <w:top w:val="single" w:color="auto" w:sz="4" w:space="0"/>
              <w:left w:val="single" w:color="auto" w:sz="4" w:space="0"/>
              <w:bottom w:val="single" w:color="auto" w:sz="4" w:space="0"/>
              <w:right w:val="single" w:color="auto" w:sz="4" w:space="0"/>
            </w:tcBorders>
            <w:vAlign w:val="center"/>
          </w:tcPr>
          <w:p w14:paraId="2B9C2C9A">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2370" w:type="dxa"/>
            <w:gridSpan w:val="2"/>
            <w:tcBorders>
              <w:top w:val="single" w:color="auto" w:sz="4" w:space="0"/>
              <w:left w:val="single" w:color="auto" w:sz="4" w:space="0"/>
              <w:bottom w:val="single" w:color="auto" w:sz="4" w:space="0"/>
              <w:right w:val="single" w:color="auto" w:sz="4" w:space="0"/>
            </w:tcBorders>
            <w:vAlign w:val="center"/>
          </w:tcPr>
          <w:p w14:paraId="427F608D">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电 话</w:t>
            </w:r>
          </w:p>
        </w:tc>
        <w:tc>
          <w:tcPr>
            <w:tcW w:w="1393" w:type="dxa"/>
            <w:gridSpan w:val="2"/>
            <w:tcBorders>
              <w:top w:val="single" w:color="auto" w:sz="4" w:space="0"/>
              <w:left w:val="single" w:color="auto" w:sz="4" w:space="0"/>
              <w:bottom w:val="single" w:color="auto" w:sz="4" w:space="0"/>
            </w:tcBorders>
            <w:vAlign w:val="center"/>
          </w:tcPr>
          <w:p w14:paraId="45964AE7">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r>
      <w:tr w14:paraId="715CBE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369" w:type="dxa"/>
            <w:vMerge w:val="continue"/>
            <w:tcBorders>
              <w:top w:val="single" w:color="auto" w:sz="4" w:space="0"/>
              <w:bottom w:val="single" w:color="auto" w:sz="4" w:space="0"/>
              <w:right w:val="single" w:color="auto" w:sz="4" w:space="0"/>
            </w:tcBorders>
            <w:vAlign w:val="center"/>
          </w:tcPr>
          <w:p w14:paraId="402B5CCD">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1141" w:type="dxa"/>
            <w:tcBorders>
              <w:top w:val="single" w:color="auto" w:sz="4" w:space="0"/>
              <w:left w:val="single" w:color="auto" w:sz="4" w:space="0"/>
              <w:bottom w:val="single" w:color="auto" w:sz="4" w:space="0"/>
              <w:right w:val="single" w:color="auto" w:sz="4" w:space="0"/>
            </w:tcBorders>
            <w:vAlign w:val="center"/>
          </w:tcPr>
          <w:p w14:paraId="537FB59A">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传  真</w:t>
            </w:r>
          </w:p>
        </w:tc>
        <w:tc>
          <w:tcPr>
            <w:tcW w:w="2297" w:type="dxa"/>
            <w:gridSpan w:val="2"/>
            <w:tcBorders>
              <w:top w:val="single" w:color="auto" w:sz="4" w:space="0"/>
              <w:left w:val="single" w:color="auto" w:sz="4" w:space="0"/>
              <w:bottom w:val="single" w:color="auto" w:sz="4" w:space="0"/>
              <w:right w:val="single" w:color="auto" w:sz="4" w:space="0"/>
            </w:tcBorders>
            <w:vAlign w:val="center"/>
          </w:tcPr>
          <w:p w14:paraId="56305571">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2370" w:type="dxa"/>
            <w:gridSpan w:val="2"/>
            <w:tcBorders>
              <w:top w:val="single" w:color="auto" w:sz="4" w:space="0"/>
              <w:left w:val="single" w:color="auto" w:sz="4" w:space="0"/>
              <w:bottom w:val="single" w:color="auto" w:sz="4" w:space="0"/>
              <w:right w:val="single" w:color="auto" w:sz="4" w:space="0"/>
            </w:tcBorders>
            <w:vAlign w:val="center"/>
          </w:tcPr>
          <w:p w14:paraId="511D7655">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网 址</w:t>
            </w:r>
          </w:p>
        </w:tc>
        <w:tc>
          <w:tcPr>
            <w:tcW w:w="1393" w:type="dxa"/>
            <w:gridSpan w:val="2"/>
            <w:tcBorders>
              <w:top w:val="single" w:color="auto" w:sz="4" w:space="0"/>
              <w:left w:val="single" w:color="auto" w:sz="4" w:space="0"/>
              <w:bottom w:val="single" w:color="auto" w:sz="4" w:space="0"/>
            </w:tcBorders>
            <w:vAlign w:val="center"/>
          </w:tcPr>
          <w:p w14:paraId="5B887395">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r>
      <w:tr w14:paraId="0FE9CF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369" w:type="dxa"/>
            <w:tcBorders>
              <w:top w:val="single" w:color="auto" w:sz="4" w:space="0"/>
              <w:bottom w:val="single" w:color="auto" w:sz="4" w:space="0"/>
              <w:right w:val="single" w:color="auto" w:sz="4" w:space="0"/>
            </w:tcBorders>
            <w:vAlign w:val="center"/>
          </w:tcPr>
          <w:p w14:paraId="0875E9CA">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组织结构</w:t>
            </w:r>
          </w:p>
        </w:tc>
        <w:tc>
          <w:tcPr>
            <w:tcW w:w="7201" w:type="dxa"/>
            <w:gridSpan w:val="7"/>
            <w:tcBorders>
              <w:top w:val="single" w:color="auto" w:sz="4" w:space="0"/>
              <w:left w:val="single" w:color="auto" w:sz="4" w:space="0"/>
              <w:bottom w:val="single" w:color="auto" w:sz="4" w:space="0"/>
            </w:tcBorders>
            <w:vAlign w:val="center"/>
          </w:tcPr>
          <w:p w14:paraId="58406732">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r>
      <w:tr w14:paraId="65B5DC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369" w:type="dxa"/>
            <w:tcBorders>
              <w:top w:val="single" w:color="auto" w:sz="4" w:space="0"/>
              <w:bottom w:val="single" w:color="auto" w:sz="4" w:space="0"/>
              <w:right w:val="single" w:color="auto" w:sz="4" w:space="0"/>
            </w:tcBorders>
            <w:vAlign w:val="center"/>
          </w:tcPr>
          <w:p w14:paraId="4849F2DC">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法定代表人</w:t>
            </w:r>
          </w:p>
        </w:tc>
        <w:tc>
          <w:tcPr>
            <w:tcW w:w="1141" w:type="dxa"/>
            <w:tcBorders>
              <w:top w:val="single" w:color="auto" w:sz="4" w:space="0"/>
              <w:left w:val="single" w:color="auto" w:sz="4" w:space="0"/>
              <w:bottom w:val="single" w:color="auto" w:sz="4" w:space="0"/>
              <w:right w:val="single" w:color="auto" w:sz="4" w:space="0"/>
            </w:tcBorders>
            <w:vAlign w:val="center"/>
          </w:tcPr>
          <w:p w14:paraId="4F94C455">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姓名</w:t>
            </w:r>
          </w:p>
        </w:tc>
        <w:tc>
          <w:tcPr>
            <w:tcW w:w="852" w:type="dxa"/>
            <w:tcBorders>
              <w:top w:val="single" w:color="auto" w:sz="4" w:space="0"/>
              <w:left w:val="single" w:color="auto" w:sz="4" w:space="0"/>
              <w:bottom w:val="single" w:color="auto" w:sz="4" w:space="0"/>
              <w:right w:val="single" w:color="auto" w:sz="4" w:space="0"/>
            </w:tcBorders>
            <w:vAlign w:val="center"/>
          </w:tcPr>
          <w:p w14:paraId="576FFF3D">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1445" w:type="dxa"/>
            <w:tcBorders>
              <w:top w:val="single" w:color="auto" w:sz="4" w:space="0"/>
              <w:left w:val="single" w:color="auto" w:sz="4" w:space="0"/>
              <w:bottom w:val="single" w:color="auto" w:sz="4" w:space="0"/>
              <w:right w:val="single" w:color="auto" w:sz="4" w:space="0"/>
            </w:tcBorders>
            <w:vAlign w:val="center"/>
          </w:tcPr>
          <w:p w14:paraId="7E562322">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技术职称</w:t>
            </w:r>
          </w:p>
        </w:tc>
        <w:tc>
          <w:tcPr>
            <w:tcW w:w="1673" w:type="dxa"/>
            <w:tcBorders>
              <w:top w:val="single" w:color="auto" w:sz="4" w:space="0"/>
              <w:left w:val="single" w:color="auto" w:sz="4" w:space="0"/>
              <w:bottom w:val="single" w:color="auto" w:sz="4" w:space="0"/>
              <w:right w:val="single" w:color="auto" w:sz="4" w:space="0"/>
            </w:tcBorders>
            <w:vAlign w:val="center"/>
          </w:tcPr>
          <w:p w14:paraId="6DF5DFCF">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1275" w:type="dxa"/>
            <w:gridSpan w:val="2"/>
            <w:tcBorders>
              <w:top w:val="single" w:color="auto" w:sz="4" w:space="0"/>
              <w:left w:val="single" w:color="auto" w:sz="4" w:space="0"/>
              <w:bottom w:val="single" w:color="auto" w:sz="4" w:space="0"/>
              <w:right w:val="single" w:color="auto" w:sz="4" w:space="0"/>
            </w:tcBorders>
            <w:vAlign w:val="center"/>
          </w:tcPr>
          <w:p w14:paraId="675EA039">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电话</w:t>
            </w:r>
          </w:p>
        </w:tc>
        <w:tc>
          <w:tcPr>
            <w:tcW w:w="815" w:type="dxa"/>
            <w:tcBorders>
              <w:top w:val="single" w:color="auto" w:sz="4" w:space="0"/>
              <w:left w:val="single" w:color="auto" w:sz="4" w:space="0"/>
              <w:bottom w:val="single" w:color="auto" w:sz="4" w:space="0"/>
            </w:tcBorders>
            <w:vAlign w:val="center"/>
          </w:tcPr>
          <w:p w14:paraId="44F6413E">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r>
      <w:tr w14:paraId="1B7471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369" w:type="dxa"/>
            <w:tcBorders>
              <w:top w:val="single" w:color="auto" w:sz="4" w:space="0"/>
              <w:bottom w:val="single" w:color="auto" w:sz="4" w:space="0"/>
              <w:right w:val="single" w:color="auto" w:sz="4" w:space="0"/>
            </w:tcBorders>
            <w:vAlign w:val="center"/>
          </w:tcPr>
          <w:p w14:paraId="24AF4EFB">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技术负责人</w:t>
            </w:r>
          </w:p>
        </w:tc>
        <w:tc>
          <w:tcPr>
            <w:tcW w:w="1141" w:type="dxa"/>
            <w:tcBorders>
              <w:top w:val="single" w:color="auto" w:sz="4" w:space="0"/>
              <w:left w:val="single" w:color="auto" w:sz="4" w:space="0"/>
              <w:bottom w:val="single" w:color="auto" w:sz="4" w:space="0"/>
              <w:right w:val="single" w:color="auto" w:sz="4" w:space="0"/>
            </w:tcBorders>
            <w:vAlign w:val="center"/>
          </w:tcPr>
          <w:p w14:paraId="27AC6115">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姓名</w:t>
            </w:r>
          </w:p>
        </w:tc>
        <w:tc>
          <w:tcPr>
            <w:tcW w:w="852" w:type="dxa"/>
            <w:tcBorders>
              <w:top w:val="single" w:color="auto" w:sz="4" w:space="0"/>
              <w:left w:val="single" w:color="auto" w:sz="4" w:space="0"/>
              <w:bottom w:val="single" w:color="auto" w:sz="4" w:space="0"/>
              <w:right w:val="single" w:color="auto" w:sz="4" w:space="0"/>
            </w:tcBorders>
            <w:vAlign w:val="center"/>
          </w:tcPr>
          <w:p w14:paraId="1D489775">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1445" w:type="dxa"/>
            <w:tcBorders>
              <w:top w:val="single" w:color="auto" w:sz="4" w:space="0"/>
              <w:left w:val="single" w:color="auto" w:sz="4" w:space="0"/>
              <w:bottom w:val="single" w:color="auto" w:sz="4" w:space="0"/>
              <w:right w:val="single" w:color="auto" w:sz="4" w:space="0"/>
            </w:tcBorders>
            <w:vAlign w:val="center"/>
          </w:tcPr>
          <w:p w14:paraId="77097E44">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技术职称</w:t>
            </w:r>
          </w:p>
        </w:tc>
        <w:tc>
          <w:tcPr>
            <w:tcW w:w="1673" w:type="dxa"/>
            <w:tcBorders>
              <w:top w:val="single" w:color="auto" w:sz="4" w:space="0"/>
              <w:left w:val="single" w:color="auto" w:sz="4" w:space="0"/>
              <w:bottom w:val="single" w:color="auto" w:sz="4" w:space="0"/>
              <w:right w:val="single" w:color="auto" w:sz="4" w:space="0"/>
            </w:tcBorders>
            <w:vAlign w:val="center"/>
          </w:tcPr>
          <w:p w14:paraId="45826826">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1275" w:type="dxa"/>
            <w:gridSpan w:val="2"/>
            <w:tcBorders>
              <w:top w:val="single" w:color="auto" w:sz="4" w:space="0"/>
              <w:left w:val="single" w:color="auto" w:sz="4" w:space="0"/>
              <w:bottom w:val="single" w:color="auto" w:sz="4" w:space="0"/>
              <w:right w:val="single" w:color="auto" w:sz="4" w:space="0"/>
            </w:tcBorders>
            <w:vAlign w:val="center"/>
          </w:tcPr>
          <w:p w14:paraId="2F27AA2D">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电话</w:t>
            </w:r>
          </w:p>
        </w:tc>
        <w:tc>
          <w:tcPr>
            <w:tcW w:w="815" w:type="dxa"/>
            <w:tcBorders>
              <w:top w:val="single" w:color="auto" w:sz="4" w:space="0"/>
              <w:left w:val="single" w:color="auto" w:sz="4" w:space="0"/>
              <w:bottom w:val="single" w:color="auto" w:sz="4" w:space="0"/>
            </w:tcBorders>
            <w:vAlign w:val="center"/>
          </w:tcPr>
          <w:p w14:paraId="0DB16D7E">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r>
      <w:tr w14:paraId="7F70C3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369" w:type="dxa"/>
            <w:tcBorders>
              <w:top w:val="single" w:color="auto" w:sz="4" w:space="0"/>
              <w:bottom w:val="single" w:color="auto" w:sz="4" w:space="0"/>
              <w:right w:val="single" w:color="auto" w:sz="4" w:space="0"/>
            </w:tcBorders>
            <w:vAlign w:val="center"/>
          </w:tcPr>
          <w:p w14:paraId="2158A9EF">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成立时间</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67A177BA">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5208" w:type="dxa"/>
            <w:gridSpan w:val="5"/>
            <w:tcBorders>
              <w:top w:val="single" w:color="auto" w:sz="4" w:space="0"/>
              <w:left w:val="single" w:color="auto" w:sz="4" w:space="0"/>
              <w:bottom w:val="single" w:color="auto" w:sz="4" w:space="0"/>
            </w:tcBorders>
            <w:vAlign w:val="center"/>
          </w:tcPr>
          <w:p w14:paraId="09DF2842">
            <w:pPr>
              <w:topLinePunct/>
              <w:spacing w:line="320" w:lineRule="exact"/>
              <w:ind w:firstLine="120" w:firstLineChars="50"/>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员工总人数</w:t>
            </w:r>
          </w:p>
        </w:tc>
      </w:tr>
      <w:tr w14:paraId="67F795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369" w:type="dxa"/>
            <w:tcBorders>
              <w:top w:val="single" w:color="auto" w:sz="4" w:space="0"/>
              <w:bottom w:val="single" w:color="auto" w:sz="4" w:space="0"/>
              <w:right w:val="single" w:color="auto" w:sz="4" w:space="0"/>
            </w:tcBorders>
            <w:vAlign w:val="center"/>
          </w:tcPr>
          <w:p w14:paraId="289CF01B">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企业资质等级</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06C9082C">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1445" w:type="dxa"/>
            <w:vMerge w:val="restart"/>
            <w:tcBorders>
              <w:top w:val="single" w:color="auto" w:sz="4" w:space="0"/>
              <w:left w:val="single" w:color="auto" w:sz="4" w:space="0"/>
              <w:bottom w:val="single" w:color="auto" w:sz="4" w:space="0"/>
              <w:right w:val="single" w:color="auto" w:sz="4" w:space="0"/>
            </w:tcBorders>
            <w:vAlign w:val="center"/>
          </w:tcPr>
          <w:p w14:paraId="1D18B022">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其中</w:t>
            </w:r>
          </w:p>
        </w:tc>
        <w:tc>
          <w:tcPr>
            <w:tcW w:w="2370" w:type="dxa"/>
            <w:gridSpan w:val="2"/>
            <w:tcBorders>
              <w:top w:val="single" w:color="auto" w:sz="4" w:space="0"/>
              <w:left w:val="single" w:color="auto" w:sz="4" w:space="0"/>
              <w:bottom w:val="single" w:color="auto" w:sz="4" w:space="0"/>
              <w:right w:val="single" w:color="auto" w:sz="4" w:space="0"/>
            </w:tcBorders>
            <w:vAlign w:val="center"/>
          </w:tcPr>
          <w:p w14:paraId="4F59CF64">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项目经理</w:t>
            </w:r>
          </w:p>
        </w:tc>
        <w:tc>
          <w:tcPr>
            <w:tcW w:w="1393" w:type="dxa"/>
            <w:gridSpan w:val="2"/>
            <w:tcBorders>
              <w:top w:val="single" w:color="auto" w:sz="4" w:space="0"/>
              <w:left w:val="single" w:color="auto" w:sz="4" w:space="0"/>
              <w:bottom w:val="single" w:color="auto" w:sz="4" w:space="0"/>
            </w:tcBorders>
            <w:vAlign w:val="center"/>
          </w:tcPr>
          <w:p w14:paraId="13C4FEF6">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r>
      <w:tr w14:paraId="470DC1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369" w:type="dxa"/>
            <w:tcBorders>
              <w:top w:val="single" w:color="auto" w:sz="4" w:space="0"/>
              <w:bottom w:val="single" w:color="auto" w:sz="4" w:space="0"/>
              <w:right w:val="single" w:color="auto" w:sz="4" w:space="0"/>
            </w:tcBorders>
            <w:vAlign w:val="center"/>
          </w:tcPr>
          <w:p w14:paraId="5C57203E">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营业执照号</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798EDC85">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1445" w:type="dxa"/>
            <w:vMerge w:val="continue"/>
            <w:tcBorders>
              <w:top w:val="single" w:color="auto" w:sz="4" w:space="0"/>
              <w:left w:val="single" w:color="auto" w:sz="4" w:space="0"/>
              <w:bottom w:val="single" w:color="auto" w:sz="4" w:space="0"/>
              <w:right w:val="single" w:color="auto" w:sz="4" w:space="0"/>
            </w:tcBorders>
            <w:vAlign w:val="center"/>
          </w:tcPr>
          <w:p w14:paraId="1B84F371">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2370" w:type="dxa"/>
            <w:gridSpan w:val="2"/>
            <w:tcBorders>
              <w:top w:val="single" w:color="auto" w:sz="4" w:space="0"/>
              <w:left w:val="single" w:color="auto" w:sz="4" w:space="0"/>
              <w:bottom w:val="single" w:color="auto" w:sz="4" w:space="0"/>
              <w:right w:val="single" w:color="auto" w:sz="4" w:space="0"/>
            </w:tcBorders>
            <w:vAlign w:val="center"/>
          </w:tcPr>
          <w:p w14:paraId="7C0726CC">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高级职称人员</w:t>
            </w:r>
          </w:p>
        </w:tc>
        <w:tc>
          <w:tcPr>
            <w:tcW w:w="1393" w:type="dxa"/>
            <w:gridSpan w:val="2"/>
            <w:tcBorders>
              <w:top w:val="single" w:color="auto" w:sz="4" w:space="0"/>
              <w:left w:val="single" w:color="auto" w:sz="4" w:space="0"/>
              <w:bottom w:val="single" w:color="auto" w:sz="4" w:space="0"/>
            </w:tcBorders>
            <w:vAlign w:val="center"/>
          </w:tcPr>
          <w:p w14:paraId="11D534B3">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r>
      <w:tr w14:paraId="2C77F3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369" w:type="dxa"/>
            <w:tcBorders>
              <w:top w:val="single" w:color="auto" w:sz="4" w:space="0"/>
              <w:bottom w:val="single" w:color="auto" w:sz="4" w:space="0"/>
              <w:right w:val="single" w:color="auto" w:sz="4" w:space="0"/>
            </w:tcBorders>
            <w:vAlign w:val="center"/>
          </w:tcPr>
          <w:p w14:paraId="2E231FBB">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注册资金</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0F0F037B">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1445" w:type="dxa"/>
            <w:vMerge w:val="continue"/>
            <w:tcBorders>
              <w:top w:val="single" w:color="auto" w:sz="4" w:space="0"/>
              <w:left w:val="single" w:color="auto" w:sz="4" w:space="0"/>
              <w:bottom w:val="single" w:color="auto" w:sz="4" w:space="0"/>
              <w:right w:val="single" w:color="auto" w:sz="4" w:space="0"/>
            </w:tcBorders>
            <w:vAlign w:val="center"/>
          </w:tcPr>
          <w:p w14:paraId="12A7B7AF">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2370" w:type="dxa"/>
            <w:gridSpan w:val="2"/>
            <w:tcBorders>
              <w:top w:val="single" w:color="auto" w:sz="4" w:space="0"/>
              <w:left w:val="single" w:color="auto" w:sz="4" w:space="0"/>
              <w:bottom w:val="single" w:color="auto" w:sz="4" w:space="0"/>
              <w:right w:val="single" w:color="auto" w:sz="4" w:space="0"/>
            </w:tcBorders>
            <w:vAlign w:val="center"/>
          </w:tcPr>
          <w:p w14:paraId="66BCC20D">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中级职称人员</w:t>
            </w:r>
          </w:p>
        </w:tc>
        <w:tc>
          <w:tcPr>
            <w:tcW w:w="1393" w:type="dxa"/>
            <w:gridSpan w:val="2"/>
            <w:tcBorders>
              <w:top w:val="single" w:color="auto" w:sz="4" w:space="0"/>
              <w:left w:val="single" w:color="auto" w:sz="4" w:space="0"/>
              <w:bottom w:val="single" w:color="auto" w:sz="4" w:space="0"/>
            </w:tcBorders>
            <w:vAlign w:val="center"/>
          </w:tcPr>
          <w:p w14:paraId="678BBC1E">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r>
      <w:tr w14:paraId="1C0848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369" w:type="dxa"/>
            <w:tcBorders>
              <w:top w:val="single" w:color="auto" w:sz="4" w:space="0"/>
              <w:bottom w:val="single" w:color="auto" w:sz="4" w:space="0"/>
              <w:right w:val="single" w:color="auto" w:sz="4" w:space="0"/>
            </w:tcBorders>
            <w:vAlign w:val="center"/>
          </w:tcPr>
          <w:p w14:paraId="206362EC">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开户银行</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01FC8AD5">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1445" w:type="dxa"/>
            <w:vMerge w:val="continue"/>
            <w:tcBorders>
              <w:top w:val="single" w:color="auto" w:sz="4" w:space="0"/>
              <w:left w:val="single" w:color="auto" w:sz="4" w:space="0"/>
              <w:bottom w:val="single" w:color="auto" w:sz="4" w:space="0"/>
              <w:right w:val="single" w:color="auto" w:sz="4" w:space="0"/>
            </w:tcBorders>
            <w:vAlign w:val="center"/>
          </w:tcPr>
          <w:p w14:paraId="23A5073C">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2370" w:type="dxa"/>
            <w:gridSpan w:val="2"/>
            <w:tcBorders>
              <w:top w:val="single" w:color="auto" w:sz="4" w:space="0"/>
              <w:left w:val="single" w:color="auto" w:sz="4" w:space="0"/>
              <w:bottom w:val="single" w:color="auto" w:sz="4" w:space="0"/>
              <w:right w:val="single" w:color="auto" w:sz="4" w:space="0"/>
            </w:tcBorders>
            <w:vAlign w:val="center"/>
          </w:tcPr>
          <w:p w14:paraId="3E7C3130">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初级职称人员</w:t>
            </w:r>
          </w:p>
        </w:tc>
        <w:tc>
          <w:tcPr>
            <w:tcW w:w="1393" w:type="dxa"/>
            <w:gridSpan w:val="2"/>
            <w:tcBorders>
              <w:top w:val="single" w:color="auto" w:sz="4" w:space="0"/>
              <w:left w:val="single" w:color="auto" w:sz="4" w:space="0"/>
              <w:bottom w:val="single" w:color="auto" w:sz="4" w:space="0"/>
            </w:tcBorders>
            <w:vAlign w:val="center"/>
          </w:tcPr>
          <w:p w14:paraId="59CA4595">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r>
      <w:tr w14:paraId="67D06C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369" w:type="dxa"/>
            <w:tcBorders>
              <w:top w:val="single" w:color="auto" w:sz="4" w:space="0"/>
              <w:bottom w:val="single" w:color="auto" w:sz="4" w:space="0"/>
              <w:right w:val="single" w:color="auto" w:sz="4" w:space="0"/>
            </w:tcBorders>
            <w:vAlign w:val="center"/>
          </w:tcPr>
          <w:p w14:paraId="2791EEAE">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账号</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7818E253">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1445" w:type="dxa"/>
            <w:vMerge w:val="continue"/>
            <w:tcBorders>
              <w:top w:val="single" w:color="auto" w:sz="4" w:space="0"/>
              <w:left w:val="single" w:color="auto" w:sz="4" w:space="0"/>
              <w:bottom w:val="single" w:color="auto" w:sz="4" w:space="0"/>
              <w:right w:val="single" w:color="auto" w:sz="4" w:space="0"/>
            </w:tcBorders>
            <w:vAlign w:val="center"/>
          </w:tcPr>
          <w:p w14:paraId="29FA4517">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c>
          <w:tcPr>
            <w:tcW w:w="2370" w:type="dxa"/>
            <w:gridSpan w:val="2"/>
            <w:tcBorders>
              <w:top w:val="single" w:color="auto" w:sz="4" w:space="0"/>
              <w:left w:val="single" w:color="auto" w:sz="4" w:space="0"/>
              <w:bottom w:val="single" w:color="auto" w:sz="4" w:space="0"/>
              <w:right w:val="single" w:color="auto" w:sz="4" w:space="0"/>
            </w:tcBorders>
            <w:vAlign w:val="center"/>
          </w:tcPr>
          <w:p w14:paraId="7206A3FD">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技工</w:t>
            </w:r>
          </w:p>
        </w:tc>
        <w:tc>
          <w:tcPr>
            <w:tcW w:w="1393" w:type="dxa"/>
            <w:gridSpan w:val="2"/>
            <w:tcBorders>
              <w:top w:val="single" w:color="auto" w:sz="4" w:space="0"/>
              <w:left w:val="single" w:color="auto" w:sz="4" w:space="0"/>
              <w:bottom w:val="single" w:color="auto" w:sz="4" w:space="0"/>
            </w:tcBorders>
            <w:vAlign w:val="center"/>
          </w:tcPr>
          <w:p w14:paraId="1FE12393">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r>
      <w:tr w14:paraId="312807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369" w:type="dxa"/>
            <w:tcBorders>
              <w:top w:val="single" w:color="auto" w:sz="4" w:space="0"/>
              <w:right w:val="single" w:color="auto" w:sz="4" w:space="0"/>
            </w:tcBorders>
            <w:vAlign w:val="center"/>
          </w:tcPr>
          <w:p w14:paraId="65BEA2AC">
            <w:pPr>
              <w:topLinePunct/>
              <w:spacing w:line="320" w:lineRule="exact"/>
              <w:ind w:firstLine="240" w:firstLineChars="100"/>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经营范围</w:t>
            </w:r>
          </w:p>
        </w:tc>
        <w:tc>
          <w:tcPr>
            <w:tcW w:w="7201" w:type="dxa"/>
            <w:gridSpan w:val="7"/>
            <w:tcBorders>
              <w:top w:val="single" w:color="auto" w:sz="4" w:space="0"/>
              <w:left w:val="single" w:color="auto" w:sz="4" w:space="0"/>
            </w:tcBorders>
            <w:vAlign w:val="center"/>
          </w:tcPr>
          <w:p w14:paraId="223FBC29">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r>
      <w:tr w14:paraId="146E9D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369" w:type="dxa"/>
            <w:tcBorders>
              <w:top w:val="single" w:color="auto" w:sz="4" w:space="0"/>
              <w:bottom w:val="single" w:color="auto" w:sz="4" w:space="0"/>
              <w:right w:val="single" w:color="auto" w:sz="4" w:space="0"/>
            </w:tcBorders>
            <w:vAlign w:val="center"/>
          </w:tcPr>
          <w:p w14:paraId="4224930A">
            <w:pPr>
              <w:topLinePunct/>
              <w:spacing w:line="3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备注</w:t>
            </w:r>
          </w:p>
        </w:tc>
        <w:tc>
          <w:tcPr>
            <w:tcW w:w="7201" w:type="dxa"/>
            <w:gridSpan w:val="7"/>
            <w:tcBorders>
              <w:top w:val="single" w:color="auto" w:sz="4" w:space="0"/>
              <w:left w:val="single" w:color="auto" w:sz="4" w:space="0"/>
              <w:bottom w:val="single" w:color="auto" w:sz="4" w:space="0"/>
            </w:tcBorders>
            <w:vAlign w:val="center"/>
          </w:tcPr>
          <w:p w14:paraId="5608B375">
            <w:pPr>
              <w:keepNext/>
              <w:keepLines/>
              <w:widowControl w:val="0"/>
              <w:topLinePunct/>
              <w:spacing w:line="320" w:lineRule="exact"/>
              <w:ind w:left="-735"/>
              <w:jc w:val="center"/>
              <w:outlineLvl w:val="0"/>
              <w:rPr>
                <w:rFonts w:cs="宋体" w:asciiTheme="majorEastAsia" w:hAnsiTheme="majorEastAsia" w:eastAsiaTheme="majorEastAsia"/>
                <w:b/>
                <w:kern w:val="44"/>
                <w:highlight w:val="none"/>
              </w:rPr>
            </w:pPr>
          </w:p>
        </w:tc>
      </w:tr>
    </w:tbl>
    <w:p w14:paraId="33F6647B">
      <w:pPr>
        <w:spacing w:line="300" w:lineRule="auto"/>
        <w:ind w:firstLine="490"/>
        <w:rPr>
          <w:rFonts w:cs="宋体" w:asciiTheme="majorEastAsia" w:hAnsiTheme="majorEastAsia" w:eastAsiaTheme="majorEastAsia"/>
          <w:b/>
          <w:sz w:val="21"/>
          <w:szCs w:val="21"/>
          <w:highlight w:val="none"/>
        </w:rPr>
      </w:pPr>
      <w:r>
        <w:rPr>
          <w:rFonts w:hint="eastAsia" w:cs="宋体" w:asciiTheme="majorEastAsia" w:hAnsiTheme="majorEastAsia" w:eastAsiaTheme="majorEastAsia"/>
          <w:b/>
          <w:sz w:val="21"/>
          <w:szCs w:val="21"/>
          <w:highlight w:val="none"/>
        </w:rPr>
        <w:t>注：投标人基本情况表应附营业执照、资质证书</w:t>
      </w:r>
      <w:r>
        <w:rPr>
          <w:rFonts w:hint="eastAsia" w:cs="宋体" w:asciiTheme="majorEastAsia" w:hAnsiTheme="majorEastAsia" w:eastAsiaTheme="majorEastAsia"/>
          <w:b/>
          <w:sz w:val="21"/>
          <w:szCs w:val="21"/>
          <w:highlight w:val="none"/>
          <w:lang w:eastAsia="zh-CN"/>
        </w:rPr>
        <w:t>（</w:t>
      </w:r>
      <w:r>
        <w:rPr>
          <w:rFonts w:hint="eastAsia" w:cs="宋体" w:asciiTheme="majorEastAsia" w:hAnsiTheme="majorEastAsia" w:eastAsiaTheme="majorEastAsia"/>
          <w:b/>
          <w:sz w:val="21"/>
          <w:szCs w:val="21"/>
          <w:highlight w:val="none"/>
          <w:lang w:val="en-US" w:eastAsia="zh-CN"/>
        </w:rPr>
        <w:t>运营方可不提供）</w:t>
      </w:r>
      <w:r>
        <w:rPr>
          <w:rFonts w:hint="eastAsia" w:cs="宋体" w:asciiTheme="majorEastAsia" w:hAnsiTheme="majorEastAsia" w:eastAsiaTheme="majorEastAsia"/>
          <w:b/>
          <w:sz w:val="21"/>
          <w:szCs w:val="21"/>
          <w:highlight w:val="none"/>
        </w:rPr>
        <w:t>、安全生产许可证（施工单位）扫描件，如为联合体的，联合体各方均须提供。</w:t>
      </w:r>
    </w:p>
    <w:p w14:paraId="6C75AA6E">
      <w:pPr>
        <w:spacing w:line="300" w:lineRule="auto"/>
        <w:ind w:firstLine="490"/>
        <w:rPr>
          <w:rFonts w:cs="宋体" w:asciiTheme="majorEastAsia" w:hAnsiTheme="majorEastAsia" w:eastAsiaTheme="majorEastAsia"/>
          <w:highlight w:val="none"/>
        </w:rPr>
      </w:pPr>
    </w:p>
    <w:p w14:paraId="10FD6F7F">
      <w:pPr>
        <w:spacing w:line="60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投 标 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（电子签章）</w:t>
      </w:r>
    </w:p>
    <w:p w14:paraId="22DF4759">
      <w:pPr>
        <w:spacing w:line="60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法定代表人或其委托代理人：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szCs w:val="21"/>
          <w:highlight w:val="none"/>
        </w:rPr>
        <w:t>（电子签章）</w:t>
      </w:r>
    </w:p>
    <w:p w14:paraId="4CF62168">
      <w:pPr>
        <w:spacing w:line="60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日   期：</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 xml:space="preserve">年 </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月</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日</w:t>
      </w:r>
    </w:p>
    <w:p w14:paraId="76DF4A5C">
      <w:pPr>
        <w:rPr>
          <w:rFonts w:cs="宋体" w:asciiTheme="majorEastAsia" w:hAnsiTheme="majorEastAsia" w:eastAsiaTheme="majorEastAsia"/>
          <w:b/>
          <w:sz w:val="21"/>
          <w:szCs w:val="21"/>
          <w:highlight w:val="none"/>
        </w:rPr>
      </w:pPr>
    </w:p>
    <w:p w14:paraId="093B660A">
      <w:pPr>
        <w:rPr>
          <w:rFonts w:cs="宋体" w:asciiTheme="majorEastAsia" w:hAnsiTheme="majorEastAsia" w:eastAsiaTheme="majorEastAsia"/>
          <w:highlight w:val="none"/>
        </w:rPr>
      </w:pPr>
      <w:r>
        <w:rPr>
          <w:rFonts w:hint="eastAsia" w:cs="宋体" w:asciiTheme="majorEastAsia" w:hAnsiTheme="majorEastAsia" w:eastAsiaTheme="majorEastAsia"/>
          <w:highlight w:val="none"/>
        </w:rPr>
        <w:br w:type="page"/>
      </w:r>
    </w:p>
    <w:p w14:paraId="25E8EAB0">
      <w:pPr>
        <w:rPr>
          <w:rStyle w:val="154"/>
          <w:rFonts w:cs="宋体" w:asciiTheme="majorEastAsia" w:hAnsiTheme="majorEastAsia" w:eastAsiaTheme="majorEastAsia"/>
          <w:sz w:val="30"/>
          <w:szCs w:val="30"/>
          <w:highlight w:val="none"/>
        </w:rPr>
      </w:pPr>
    </w:p>
    <w:p w14:paraId="4CC94B53">
      <w:pPr>
        <w:pStyle w:val="3"/>
        <w:spacing w:before="120" w:after="120" w:afterLines="50" w:line="700" w:lineRule="exact"/>
        <w:ind w:left="0" w:firstLine="0"/>
        <w:jc w:val="center"/>
        <w:rPr>
          <w:rStyle w:val="154"/>
          <w:rFonts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2"/>
          <w:szCs w:val="32"/>
          <w:highlight w:val="none"/>
        </w:rPr>
        <w:t>附件七：</w:t>
      </w:r>
      <w:r>
        <w:rPr>
          <w:rStyle w:val="154"/>
          <w:rFonts w:hint="eastAsia" w:cs="宋体" w:asciiTheme="majorEastAsia" w:hAnsiTheme="majorEastAsia" w:eastAsiaTheme="majorEastAsia"/>
          <w:sz w:val="32"/>
          <w:szCs w:val="32"/>
          <w:highlight w:val="none"/>
          <w:lang w:val="en-US" w:eastAsia="zh-CN"/>
        </w:rPr>
        <w:t>2022年至2024年</w:t>
      </w:r>
      <w:r>
        <w:rPr>
          <w:rStyle w:val="154"/>
          <w:rFonts w:hint="eastAsia" w:cs="宋体" w:asciiTheme="majorEastAsia" w:hAnsiTheme="majorEastAsia" w:eastAsiaTheme="majorEastAsia"/>
          <w:sz w:val="32"/>
          <w:szCs w:val="32"/>
          <w:highlight w:val="none"/>
        </w:rPr>
        <w:t>财务状况表</w:t>
      </w:r>
    </w:p>
    <w:tbl>
      <w:tblPr>
        <w:tblStyle w:val="63"/>
        <w:tblW w:w="988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7"/>
        <w:gridCol w:w="1455"/>
        <w:gridCol w:w="1705"/>
        <w:gridCol w:w="2049"/>
        <w:gridCol w:w="1941"/>
        <w:gridCol w:w="2045"/>
      </w:tblGrid>
      <w:tr w14:paraId="08CB95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87" w:type="dxa"/>
            <w:tcBorders>
              <w:top w:val="single" w:color="auto" w:sz="6" w:space="0"/>
              <w:left w:val="single" w:color="auto" w:sz="6" w:space="0"/>
              <w:bottom w:val="single" w:color="auto" w:sz="6" w:space="0"/>
              <w:right w:val="single" w:color="auto" w:sz="4" w:space="0"/>
            </w:tcBorders>
            <w:vAlign w:val="center"/>
          </w:tcPr>
          <w:p w14:paraId="561F4130">
            <w:pPr>
              <w:autoSpaceDE w:val="0"/>
              <w:autoSpaceDN w:val="0"/>
              <w:adjustRightInd w:val="0"/>
              <w:snapToGrid w:val="0"/>
              <w:jc w:val="center"/>
              <w:rPr>
                <w:rFonts w:cs="宋体" w:asciiTheme="majorEastAsia" w:hAnsiTheme="majorEastAsia" w:eastAsiaTheme="majorEastAsia"/>
                <w:b/>
                <w:bCs/>
                <w:szCs w:val="21"/>
                <w:highlight w:val="none"/>
              </w:rPr>
            </w:pPr>
            <w:r>
              <w:rPr>
                <w:rFonts w:hint="eastAsia" w:cs="宋体" w:asciiTheme="majorEastAsia" w:hAnsiTheme="majorEastAsia" w:eastAsiaTheme="majorEastAsia"/>
                <w:b/>
                <w:bCs/>
                <w:szCs w:val="21"/>
                <w:highlight w:val="none"/>
              </w:rPr>
              <w:t>序号</w:t>
            </w:r>
          </w:p>
        </w:tc>
        <w:tc>
          <w:tcPr>
            <w:tcW w:w="1455" w:type="dxa"/>
            <w:tcBorders>
              <w:top w:val="single" w:color="auto" w:sz="6" w:space="0"/>
              <w:left w:val="single" w:color="auto" w:sz="4" w:space="0"/>
              <w:bottom w:val="single" w:color="auto" w:sz="6" w:space="0"/>
              <w:right w:val="single" w:color="auto" w:sz="6" w:space="0"/>
            </w:tcBorders>
            <w:vAlign w:val="center"/>
          </w:tcPr>
          <w:p w14:paraId="16A59B5E">
            <w:pPr>
              <w:autoSpaceDE w:val="0"/>
              <w:autoSpaceDN w:val="0"/>
              <w:adjustRightInd w:val="0"/>
              <w:snapToGrid w:val="0"/>
              <w:jc w:val="center"/>
              <w:rPr>
                <w:rFonts w:cs="宋体" w:asciiTheme="majorEastAsia" w:hAnsiTheme="majorEastAsia" w:eastAsiaTheme="majorEastAsia"/>
                <w:b/>
                <w:bCs/>
                <w:szCs w:val="21"/>
                <w:highlight w:val="none"/>
                <w:lang w:val="zh-CN"/>
              </w:rPr>
            </w:pPr>
            <w:r>
              <w:rPr>
                <w:rFonts w:hint="eastAsia" w:cs="宋体" w:asciiTheme="majorEastAsia" w:hAnsiTheme="majorEastAsia" w:eastAsiaTheme="majorEastAsia"/>
                <w:b/>
                <w:bCs/>
                <w:szCs w:val="21"/>
                <w:highlight w:val="none"/>
                <w:lang w:val="zh-CN"/>
              </w:rPr>
              <w:t>名称</w:t>
            </w:r>
          </w:p>
        </w:tc>
        <w:tc>
          <w:tcPr>
            <w:tcW w:w="1705" w:type="dxa"/>
            <w:tcBorders>
              <w:top w:val="single" w:color="auto" w:sz="6" w:space="0"/>
              <w:left w:val="single" w:color="auto" w:sz="6" w:space="0"/>
              <w:bottom w:val="single" w:color="auto" w:sz="6" w:space="0"/>
              <w:right w:val="single" w:color="auto" w:sz="6" w:space="0"/>
            </w:tcBorders>
            <w:vAlign w:val="center"/>
          </w:tcPr>
          <w:p w14:paraId="16CAB25A">
            <w:pPr>
              <w:autoSpaceDE w:val="0"/>
              <w:autoSpaceDN w:val="0"/>
              <w:adjustRightInd w:val="0"/>
              <w:snapToGrid w:val="0"/>
              <w:jc w:val="center"/>
              <w:rPr>
                <w:rFonts w:cs="宋体" w:asciiTheme="majorEastAsia" w:hAnsiTheme="majorEastAsia" w:eastAsiaTheme="majorEastAsia"/>
                <w:b/>
                <w:bCs/>
                <w:szCs w:val="21"/>
                <w:highlight w:val="none"/>
                <w:lang w:val="zh-CN"/>
              </w:rPr>
            </w:pPr>
            <w:r>
              <w:rPr>
                <w:rFonts w:hint="eastAsia" w:cs="宋体" w:asciiTheme="majorEastAsia" w:hAnsiTheme="majorEastAsia" w:eastAsiaTheme="majorEastAsia"/>
                <w:b/>
                <w:bCs/>
                <w:szCs w:val="21"/>
                <w:highlight w:val="none"/>
                <w:lang w:val="zh-CN"/>
              </w:rPr>
              <w:t>单位</w:t>
            </w:r>
          </w:p>
        </w:tc>
        <w:tc>
          <w:tcPr>
            <w:tcW w:w="2049" w:type="dxa"/>
            <w:tcBorders>
              <w:top w:val="single" w:color="auto" w:sz="6" w:space="0"/>
              <w:left w:val="single" w:color="auto" w:sz="6" w:space="0"/>
              <w:bottom w:val="single" w:color="auto" w:sz="6" w:space="0"/>
              <w:right w:val="single" w:color="auto" w:sz="6" w:space="0"/>
            </w:tcBorders>
            <w:vAlign w:val="center"/>
          </w:tcPr>
          <w:p w14:paraId="302AD113">
            <w:pPr>
              <w:autoSpaceDE w:val="0"/>
              <w:autoSpaceDN w:val="0"/>
              <w:adjustRightInd w:val="0"/>
              <w:snapToGrid w:val="0"/>
              <w:jc w:val="center"/>
              <w:rPr>
                <w:rFonts w:hint="default" w:cs="宋体" w:asciiTheme="majorEastAsia" w:hAnsiTheme="majorEastAsia" w:eastAsiaTheme="majorEastAsia"/>
                <w:b/>
                <w:bCs/>
                <w:szCs w:val="21"/>
                <w:highlight w:val="none"/>
                <w:lang w:val="en-US" w:eastAsia="zh-CN"/>
              </w:rPr>
            </w:pPr>
            <w:r>
              <w:rPr>
                <w:rFonts w:hint="eastAsia" w:cs="宋体" w:asciiTheme="majorEastAsia" w:hAnsiTheme="majorEastAsia" w:eastAsiaTheme="majorEastAsia"/>
                <w:b/>
                <w:bCs/>
                <w:szCs w:val="21"/>
                <w:highlight w:val="none"/>
                <w:u w:val="single"/>
                <w:lang w:val="en-US" w:eastAsia="zh-CN"/>
              </w:rPr>
              <w:t>2022</w:t>
            </w:r>
            <w:r>
              <w:rPr>
                <w:rFonts w:hint="eastAsia" w:cs="宋体" w:asciiTheme="majorEastAsia" w:hAnsiTheme="majorEastAsia" w:eastAsiaTheme="majorEastAsia"/>
                <w:b/>
                <w:bCs/>
                <w:szCs w:val="21"/>
                <w:highlight w:val="none"/>
                <w:lang w:val="en-US" w:eastAsia="zh-CN"/>
              </w:rPr>
              <w:t>年</w:t>
            </w:r>
          </w:p>
        </w:tc>
        <w:tc>
          <w:tcPr>
            <w:tcW w:w="1941" w:type="dxa"/>
            <w:tcBorders>
              <w:top w:val="single" w:color="auto" w:sz="6" w:space="0"/>
              <w:left w:val="single" w:color="auto" w:sz="6" w:space="0"/>
              <w:bottom w:val="single" w:color="auto" w:sz="6" w:space="0"/>
              <w:right w:val="single" w:color="auto" w:sz="6" w:space="0"/>
            </w:tcBorders>
            <w:vAlign w:val="center"/>
          </w:tcPr>
          <w:p w14:paraId="6ACF7F10">
            <w:pPr>
              <w:autoSpaceDE w:val="0"/>
              <w:autoSpaceDN w:val="0"/>
              <w:adjustRightInd w:val="0"/>
              <w:snapToGrid w:val="0"/>
              <w:jc w:val="center"/>
              <w:rPr>
                <w:rFonts w:hint="default" w:cs="宋体" w:asciiTheme="majorEastAsia" w:hAnsiTheme="majorEastAsia" w:eastAsiaTheme="majorEastAsia"/>
                <w:b/>
                <w:bCs/>
                <w:szCs w:val="21"/>
                <w:highlight w:val="none"/>
                <w:lang w:val="en-US" w:eastAsia="zh-CN"/>
              </w:rPr>
            </w:pPr>
            <w:r>
              <w:rPr>
                <w:rFonts w:hint="eastAsia" w:cs="宋体" w:asciiTheme="majorEastAsia" w:hAnsiTheme="majorEastAsia" w:eastAsiaTheme="majorEastAsia"/>
                <w:b/>
                <w:bCs/>
                <w:szCs w:val="21"/>
                <w:highlight w:val="none"/>
                <w:u w:val="single"/>
                <w:lang w:val="en-US" w:eastAsia="zh-CN"/>
              </w:rPr>
              <w:t>2023</w:t>
            </w:r>
            <w:r>
              <w:rPr>
                <w:rFonts w:hint="eastAsia" w:cs="宋体" w:asciiTheme="majorEastAsia" w:hAnsiTheme="majorEastAsia" w:eastAsiaTheme="majorEastAsia"/>
                <w:b/>
                <w:bCs/>
                <w:szCs w:val="21"/>
                <w:highlight w:val="none"/>
                <w:lang w:val="en-US" w:eastAsia="zh-CN"/>
              </w:rPr>
              <w:t>年</w:t>
            </w:r>
          </w:p>
        </w:tc>
        <w:tc>
          <w:tcPr>
            <w:tcW w:w="2045" w:type="dxa"/>
            <w:tcBorders>
              <w:top w:val="single" w:color="auto" w:sz="6" w:space="0"/>
              <w:left w:val="single" w:color="auto" w:sz="6" w:space="0"/>
              <w:bottom w:val="single" w:color="auto" w:sz="6" w:space="0"/>
              <w:right w:val="single" w:color="auto" w:sz="6" w:space="0"/>
            </w:tcBorders>
            <w:vAlign w:val="center"/>
          </w:tcPr>
          <w:p w14:paraId="58A4B43C">
            <w:pPr>
              <w:autoSpaceDE w:val="0"/>
              <w:autoSpaceDN w:val="0"/>
              <w:adjustRightInd w:val="0"/>
              <w:snapToGrid w:val="0"/>
              <w:jc w:val="center"/>
              <w:rPr>
                <w:rFonts w:hint="default" w:cs="宋体" w:asciiTheme="majorEastAsia" w:hAnsiTheme="majorEastAsia" w:eastAsiaTheme="majorEastAsia"/>
                <w:b/>
                <w:bCs/>
                <w:szCs w:val="21"/>
                <w:highlight w:val="none"/>
                <w:lang w:val="en-US" w:eastAsia="zh-CN"/>
              </w:rPr>
            </w:pPr>
            <w:r>
              <w:rPr>
                <w:rFonts w:hint="eastAsia" w:cs="宋体" w:asciiTheme="majorEastAsia" w:hAnsiTheme="majorEastAsia" w:eastAsiaTheme="majorEastAsia"/>
                <w:b/>
                <w:bCs/>
                <w:szCs w:val="21"/>
                <w:highlight w:val="none"/>
                <w:u w:val="single"/>
                <w:lang w:val="en-US" w:eastAsia="zh-CN"/>
              </w:rPr>
              <w:t>2024</w:t>
            </w:r>
            <w:r>
              <w:rPr>
                <w:rFonts w:hint="eastAsia" w:cs="宋体" w:asciiTheme="majorEastAsia" w:hAnsiTheme="majorEastAsia" w:eastAsiaTheme="majorEastAsia"/>
                <w:b/>
                <w:bCs/>
                <w:szCs w:val="21"/>
                <w:highlight w:val="none"/>
                <w:lang w:val="en-US" w:eastAsia="zh-CN"/>
              </w:rPr>
              <w:t>年</w:t>
            </w:r>
          </w:p>
        </w:tc>
      </w:tr>
      <w:tr w14:paraId="40C691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87" w:type="dxa"/>
            <w:tcBorders>
              <w:top w:val="single" w:color="auto" w:sz="6" w:space="0"/>
              <w:left w:val="single" w:color="auto" w:sz="6" w:space="0"/>
              <w:bottom w:val="single" w:color="auto" w:sz="6" w:space="0"/>
              <w:right w:val="single" w:color="auto" w:sz="4" w:space="0"/>
            </w:tcBorders>
            <w:vAlign w:val="center"/>
          </w:tcPr>
          <w:p w14:paraId="088759D3">
            <w:pPr>
              <w:autoSpaceDE w:val="0"/>
              <w:autoSpaceDN w:val="0"/>
              <w:adjustRightInd w:val="0"/>
              <w:snapToGrid w:val="0"/>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1</w:t>
            </w:r>
          </w:p>
        </w:tc>
        <w:tc>
          <w:tcPr>
            <w:tcW w:w="1455" w:type="dxa"/>
            <w:tcBorders>
              <w:top w:val="single" w:color="auto" w:sz="6" w:space="0"/>
              <w:left w:val="single" w:color="auto" w:sz="4" w:space="0"/>
              <w:bottom w:val="single" w:color="auto" w:sz="6" w:space="0"/>
              <w:right w:val="single" w:color="auto" w:sz="6" w:space="0"/>
            </w:tcBorders>
            <w:vAlign w:val="center"/>
          </w:tcPr>
          <w:p w14:paraId="5C353578">
            <w:pPr>
              <w:autoSpaceDE w:val="0"/>
              <w:autoSpaceDN w:val="0"/>
              <w:adjustRightInd w:val="0"/>
              <w:snapToGrid w:val="0"/>
              <w:jc w:val="center"/>
              <w:rPr>
                <w:rFonts w:cs="宋体" w:asciiTheme="majorEastAsia" w:hAnsiTheme="majorEastAsia" w:eastAsiaTheme="majorEastAsia"/>
                <w:szCs w:val="21"/>
                <w:highlight w:val="none"/>
                <w:lang w:val="zh-CN"/>
              </w:rPr>
            </w:pPr>
            <w:r>
              <w:rPr>
                <w:rFonts w:hint="eastAsia" w:cs="宋体" w:asciiTheme="majorEastAsia" w:hAnsiTheme="majorEastAsia" w:eastAsiaTheme="majorEastAsia"/>
                <w:szCs w:val="21"/>
                <w:highlight w:val="none"/>
                <w:lang w:val="zh-CN"/>
              </w:rPr>
              <w:t>注册资金</w:t>
            </w:r>
          </w:p>
        </w:tc>
        <w:tc>
          <w:tcPr>
            <w:tcW w:w="1705" w:type="dxa"/>
            <w:tcBorders>
              <w:top w:val="single" w:color="auto" w:sz="6" w:space="0"/>
              <w:left w:val="single" w:color="auto" w:sz="6" w:space="0"/>
              <w:bottom w:val="single" w:color="auto" w:sz="6" w:space="0"/>
              <w:right w:val="single" w:color="auto" w:sz="6" w:space="0"/>
            </w:tcBorders>
            <w:vAlign w:val="center"/>
          </w:tcPr>
          <w:p w14:paraId="1EAA458F">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9" w:type="dxa"/>
            <w:tcBorders>
              <w:top w:val="single" w:color="auto" w:sz="6" w:space="0"/>
              <w:left w:val="single" w:color="auto" w:sz="6" w:space="0"/>
              <w:bottom w:val="single" w:color="auto" w:sz="6" w:space="0"/>
              <w:right w:val="single" w:color="auto" w:sz="6" w:space="0"/>
            </w:tcBorders>
            <w:vAlign w:val="center"/>
          </w:tcPr>
          <w:p w14:paraId="0E177E48">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1941" w:type="dxa"/>
            <w:tcBorders>
              <w:top w:val="single" w:color="auto" w:sz="6" w:space="0"/>
              <w:left w:val="single" w:color="auto" w:sz="6" w:space="0"/>
              <w:bottom w:val="single" w:color="auto" w:sz="6" w:space="0"/>
              <w:right w:val="single" w:color="auto" w:sz="6" w:space="0"/>
            </w:tcBorders>
            <w:vAlign w:val="center"/>
          </w:tcPr>
          <w:p w14:paraId="627F8692">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5" w:type="dxa"/>
            <w:tcBorders>
              <w:top w:val="single" w:color="auto" w:sz="6" w:space="0"/>
              <w:left w:val="single" w:color="auto" w:sz="6" w:space="0"/>
              <w:bottom w:val="single" w:color="auto" w:sz="6" w:space="0"/>
              <w:right w:val="single" w:color="auto" w:sz="6" w:space="0"/>
            </w:tcBorders>
            <w:vAlign w:val="center"/>
          </w:tcPr>
          <w:p w14:paraId="5D187CF8">
            <w:pPr>
              <w:autoSpaceDE w:val="0"/>
              <w:autoSpaceDN w:val="0"/>
              <w:adjustRightInd w:val="0"/>
              <w:snapToGrid w:val="0"/>
              <w:jc w:val="center"/>
              <w:rPr>
                <w:rFonts w:cs="宋体" w:asciiTheme="majorEastAsia" w:hAnsiTheme="majorEastAsia" w:eastAsiaTheme="majorEastAsia"/>
                <w:szCs w:val="21"/>
                <w:highlight w:val="none"/>
                <w:lang w:val="zh-CN"/>
              </w:rPr>
            </w:pPr>
          </w:p>
        </w:tc>
      </w:tr>
      <w:tr w14:paraId="20F53C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87" w:type="dxa"/>
            <w:tcBorders>
              <w:top w:val="single" w:color="auto" w:sz="6" w:space="0"/>
              <w:left w:val="single" w:color="auto" w:sz="6" w:space="0"/>
              <w:bottom w:val="single" w:color="auto" w:sz="6" w:space="0"/>
              <w:right w:val="single" w:color="auto" w:sz="4" w:space="0"/>
            </w:tcBorders>
            <w:vAlign w:val="center"/>
          </w:tcPr>
          <w:p w14:paraId="1F4AC706">
            <w:pPr>
              <w:autoSpaceDE w:val="0"/>
              <w:autoSpaceDN w:val="0"/>
              <w:adjustRightInd w:val="0"/>
              <w:snapToGrid w:val="0"/>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2</w:t>
            </w:r>
          </w:p>
        </w:tc>
        <w:tc>
          <w:tcPr>
            <w:tcW w:w="1455" w:type="dxa"/>
            <w:tcBorders>
              <w:top w:val="single" w:color="auto" w:sz="6" w:space="0"/>
              <w:left w:val="single" w:color="auto" w:sz="4" w:space="0"/>
              <w:bottom w:val="single" w:color="auto" w:sz="6" w:space="0"/>
              <w:right w:val="single" w:color="auto" w:sz="6" w:space="0"/>
            </w:tcBorders>
            <w:vAlign w:val="center"/>
          </w:tcPr>
          <w:p w14:paraId="10AF2C62">
            <w:pPr>
              <w:autoSpaceDE w:val="0"/>
              <w:autoSpaceDN w:val="0"/>
              <w:adjustRightInd w:val="0"/>
              <w:snapToGrid w:val="0"/>
              <w:jc w:val="center"/>
              <w:rPr>
                <w:rFonts w:cs="宋体" w:asciiTheme="majorEastAsia" w:hAnsiTheme="majorEastAsia" w:eastAsiaTheme="majorEastAsia"/>
                <w:szCs w:val="21"/>
                <w:highlight w:val="none"/>
                <w:lang w:val="zh-CN"/>
              </w:rPr>
            </w:pPr>
            <w:r>
              <w:rPr>
                <w:rFonts w:hint="eastAsia" w:cs="宋体" w:asciiTheme="majorEastAsia" w:hAnsiTheme="majorEastAsia" w:eastAsiaTheme="majorEastAsia"/>
                <w:szCs w:val="21"/>
                <w:highlight w:val="none"/>
                <w:lang w:val="zh-CN"/>
              </w:rPr>
              <w:t>净资产</w:t>
            </w:r>
          </w:p>
        </w:tc>
        <w:tc>
          <w:tcPr>
            <w:tcW w:w="1705" w:type="dxa"/>
            <w:tcBorders>
              <w:top w:val="single" w:color="auto" w:sz="6" w:space="0"/>
              <w:left w:val="single" w:color="auto" w:sz="6" w:space="0"/>
              <w:bottom w:val="single" w:color="auto" w:sz="6" w:space="0"/>
              <w:right w:val="single" w:color="auto" w:sz="6" w:space="0"/>
            </w:tcBorders>
            <w:vAlign w:val="center"/>
          </w:tcPr>
          <w:p w14:paraId="1F7266DB">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9" w:type="dxa"/>
            <w:tcBorders>
              <w:top w:val="single" w:color="auto" w:sz="6" w:space="0"/>
              <w:left w:val="single" w:color="auto" w:sz="6" w:space="0"/>
              <w:bottom w:val="single" w:color="auto" w:sz="6" w:space="0"/>
              <w:right w:val="single" w:color="auto" w:sz="6" w:space="0"/>
            </w:tcBorders>
            <w:vAlign w:val="center"/>
          </w:tcPr>
          <w:p w14:paraId="22F0426A">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1941" w:type="dxa"/>
            <w:tcBorders>
              <w:top w:val="single" w:color="auto" w:sz="6" w:space="0"/>
              <w:left w:val="single" w:color="auto" w:sz="6" w:space="0"/>
              <w:bottom w:val="single" w:color="auto" w:sz="6" w:space="0"/>
              <w:right w:val="single" w:color="auto" w:sz="6" w:space="0"/>
            </w:tcBorders>
            <w:vAlign w:val="center"/>
          </w:tcPr>
          <w:p w14:paraId="0D3D6108">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5" w:type="dxa"/>
            <w:tcBorders>
              <w:top w:val="single" w:color="auto" w:sz="6" w:space="0"/>
              <w:left w:val="single" w:color="auto" w:sz="6" w:space="0"/>
              <w:bottom w:val="single" w:color="auto" w:sz="6" w:space="0"/>
              <w:right w:val="single" w:color="auto" w:sz="6" w:space="0"/>
            </w:tcBorders>
            <w:vAlign w:val="center"/>
          </w:tcPr>
          <w:p w14:paraId="28FE792D">
            <w:pPr>
              <w:autoSpaceDE w:val="0"/>
              <w:autoSpaceDN w:val="0"/>
              <w:adjustRightInd w:val="0"/>
              <w:snapToGrid w:val="0"/>
              <w:jc w:val="center"/>
              <w:rPr>
                <w:rFonts w:cs="宋体" w:asciiTheme="majorEastAsia" w:hAnsiTheme="majorEastAsia" w:eastAsiaTheme="majorEastAsia"/>
                <w:szCs w:val="21"/>
                <w:highlight w:val="none"/>
                <w:lang w:val="zh-CN"/>
              </w:rPr>
            </w:pPr>
          </w:p>
        </w:tc>
      </w:tr>
      <w:tr w14:paraId="3F1A5F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87" w:type="dxa"/>
            <w:tcBorders>
              <w:top w:val="single" w:color="auto" w:sz="6" w:space="0"/>
              <w:left w:val="single" w:color="auto" w:sz="6" w:space="0"/>
              <w:bottom w:val="single" w:color="auto" w:sz="6" w:space="0"/>
              <w:right w:val="single" w:color="auto" w:sz="4" w:space="0"/>
            </w:tcBorders>
            <w:vAlign w:val="center"/>
          </w:tcPr>
          <w:p w14:paraId="381EEFB1">
            <w:pPr>
              <w:autoSpaceDE w:val="0"/>
              <w:autoSpaceDN w:val="0"/>
              <w:adjustRightInd w:val="0"/>
              <w:snapToGrid w:val="0"/>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3</w:t>
            </w:r>
          </w:p>
        </w:tc>
        <w:tc>
          <w:tcPr>
            <w:tcW w:w="1455" w:type="dxa"/>
            <w:tcBorders>
              <w:top w:val="single" w:color="auto" w:sz="6" w:space="0"/>
              <w:left w:val="single" w:color="auto" w:sz="4" w:space="0"/>
              <w:bottom w:val="single" w:color="auto" w:sz="6" w:space="0"/>
              <w:right w:val="single" w:color="auto" w:sz="6" w:space="0"/>
            </w:tcBorders>
            <w:vAlign w:val="center"/>
          </w:tcPr>
          <w:p w14:paraId="38FB71DF">
            <w:pPr>
              <w:autoSpaceDE w:val="0"/>
              <w:autoSpaceDN w:val="0"/>
              <w:adjustRightInd w:val="0"/>
              <w:snapToGrid w:val="0"/>
              <w:jc w:val="center"/>
              <w:rPr>
                <w:rFonts w:cs="宋体" w:asciiTheme="majorEastAsia" w:hAnsiTheme="majorEastAsia" w:eastAsiaTheme="majorEastAsia"/>
                <w:szCs w:val="21"/>
                <w:highlight w:val="none"/>
                <w:lang w:val="zh-CN"/>
              </w:rPr>
            </w:pPr>
            <w:r>
              <w:rPr>
                <w:rFonts w:hint="eastAsia" w:cs="宋体" w:asciiTheme="majorEastAsia" w:hAnsiTheme="majorEastAsia" w:eastAsiaTheme="majorEastAsia"/>
                <w:szCs w:val="21"/>
                <w:highlight w:val="none"/>
                <w:lang w:val="zh-CN"/>
              </w:rPr>
              <w:t>总资产</w:t>
            </w:r>
          </w:p>
        </w:tc>
        <w:tc>
          <w:tcPr>
            <w:tcW w:w="1705" w:type="dxa"/>
            <w:tcBorders>
              <w:top w:val="single" w:color="auto" w:sz="6" w:space="0"/>
              <w:left w:val="single" w:color="auto" w:sz="6" w:space="0"/>
              <w:bottom w:val="single" w:color="auto" w:sz="6" w:space="0"/>
              <w:right w:val="single" w:color="auto" w:sz="6" w:space="0"/>
            </w:tcBorders>
            <w:vAlign w:val="center"/>
          </w:tcPr>
          <w:p w14:paraId="0A793C00">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9" w:type="dxa"/>
            <w:tcBorders>
              <w:top w:val="single" w:color="auto" w:sz="6" w:space="0"/>
              <w:left w:val="single" w:color="auto" w:sz="6" w:space="0"/>
              <w:bottom w:val="single" w:color="auto" w:sz="6" w:space="0"/>
              <w:right w:val="single" w:color="auto" w:sz="6" w:space="0"/>
            </w:tcBorders>
            <w:vAlign w:val="center"/>
          </w:tcPr>
          <w:p w14:paraId="0E8F4D3B">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1941" w:type="dxa"/>
            <w:tcBorders>
              <w:top w:val="single" w:color="auto" w:sz="6" w:space="0"/>
              <w:left w:val="single" w:color="auto" w:sz="6" w:space="0"/>
              <w:bottom w:val="single" w:color="auto" w:sz="6" w:space="0"/>
              <w:right w:val="single" w:color="auto" w:sz="6" w:space="0"/>
            </w:tcBorders>
            <w:vAlign w:val="center"/>
          </w:tcPr>
          <w:p w14:paraId="288FA8D5">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5" w:type="dxa"/>
            <w:tcBorders>
              <w:top w:val="single" w:color="auto" w:sz="6" w:space="0"/>
              <w:left w:val="single" w:color="auto" w:sz="6" w:space="0"/>
              <w:bottom w:val="single" w:color="auto" w:sz="6" w:space="0"/>
              <w:right w:val="single" w:color="auto" w:sz="6" w:space="0"/>
            </w:tcBorders>
            <w:vAlign w:val="center"/>
          </w:tcPr>
          <w:p w14:paraId="2FF13A4D">
            <w:pPr>
              <w:autoSpaceDE w:val="0"/>
              <w:autoSpaceDN w:val="0"/>
              <w:adjustRightInd w:val="0"/>
              <w:snapToGrid w:val="0"/>
              <w:jc w:val="center"/>
              <w:rPr>
                <w:rFonts w:cs="宋体" w:asciiTheme="majorEastAsia" w:hAnsiTheme="majorEastAsia" w:eastAsiaTheme="majorEastAsia"/>
                <w:szCs w:val="21"/>
                <w:highlight w:val="none"/>
                <w:lang w:val="zh-CN"/>
              </w:rPr>
            </w:pPr>
          </w:p>
        </w:tc>
      </w:tr>
      <w:tr w14:paraId="39A782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87" w:type="dxa"/>
            <w:tcBorders>
              <w:top w:val="single" w:color="auto" w:sz="6" w:space="0"/>
              <w:left w:val="single" w:color="auto" w:sz="6" w:space="0"/>
              <w:bottom w:val="single" w:color="auto" w:sz="6" w:space="0"/>
              <w:right w:val="single" w:color="auto" w:sz="4" w:space="0"/>
            </w:tcBorders>
            <w:vAlign w:val="center"/>
          </w:tcPr>
          <w:p w14:paraId="3AF9C733">
            <w:pPr>
              <w:autoSpaceDE w:val="0"/>
              <w:autoSpaceDN w:val="0"/>
              <w:adjustRightInd w:val="0"/>
              <w:snapToGrid w:val="0"/>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4</w:t>
            </w:r>
          </w:p>
        </w:tc>
        <w:tc>
          <w:tcPr>
            <w:tcW w:w="1455" w:type="dxa"/>
            <w:tcBorders>
              <w:top w:val="single" w:color="auto" w:sz="6" w:space="0"/>
              <w:left w:val="single" w:color="auto" w:sz="4" w:space="0"/>
              <w:bottom w:val="single" w:color="auto" w:sz="6" w:space="0"/>
              <w:right w:val="single" w:color="auto" w:sz="6" w:space="0"/>
            </w:tcBorders>
            <w:vAlign w:val="center"/>
          </w:tcPr>
          <w:p w14:paraId="4D202B38">
            <w:pPr>
              <w:autoSpaceDE w:val="0"/>
              <w:autoSpaceDN w:val="0"/>
              <w:adjustRightInd w:val="0"/>
              <w:snapToGrid w:val="0"/>
              <w:jc w:val="center"/>
              <w:rPr>
                <w:rFonts w:cs="宋体" w:asciiTheme="majorEastAsia" w:hAnsiTheme="majorEastAsia" w:eastAsiaTheme="majorEastAsia"/>
                <w:szCs w:val="21"/>
                <w:highlight w:val="none"/>
                <w:lang w:val="zh-CN"/>
              </w:rPr>
            </w:pPr>
            <w:r>
              <w:rPr>
                <w:rFonts w:hint="eastAsia" w:cs="宋体" w:asciiTheme="majorEastAsia" w:hAnsiTheme="majorEastAsia" w:eastAsiaTheme="majorEastAsia"/>
                <w:szCs w:val="21"/>
                <w:highlight w:val="none"/>
                <w:lang w:val="zh-CN"/>
              </w:rPr>
              <w:t>固定资产</w:t>
            </w:r>
          </w:p>
        </w:tc>
        <w:tc>
          <w:tcPr>
            <w:tcW w:w="1705" w:type="dxa"/>
            <w:tcBorders>
              <w:top w:val="single" w:color="auto" w:sz="6" w:space="0"/>
              <w:left w:val="single" w:color="auto" w:sz="6" w:space="0"/>
              <w:bottom w:val="single" w:color="auto" w:sz="6" w:space="0"/>
              <w:right w:val="single" w:color="auto" w:sz="6" w:space="0"/>
            </w:tcBorders>
            <w:vAlign w:val="center"/>
          </w:tcPr>
          <w:p w14:paraId="710D4244">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9" w:type="dxa"/>
            <w:tcBorders>
              <w:top w:val="single" w:color="auto" w:sz="6" w:space="0"/>
              <w:left w:val="single" w:color="auto" w:sz="6" w:space="0"/>
              <w:bottom w:val="single" w:color="auto" w:sz="6" w:space="0"/>
              <w:right w:val="single" w:color="auto" w:sz="6" w:space="0"/>
            </w:tcBorders>
            <w:vAlign w:val="center"/>
          </w:tcPr>
          <w:p w14:paraId="087D9284">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1941" w:type="dxa"/>
            <w:tcBorders>
              <w:top w:val="single" w:color="auto" w:sz="6" w:space="0"/>
              <w:left w:val="single" w:color="auto" w:sz="6" w:space="0"/>
              <w:bottom w:val="single" w:color="auto" w:sz="6" w:space="0"/>
              <w:right w:val="single" w:color="auto" w:sz="6" w:space="0"/>
            </w:tcBorders>
            <w:vAlign w:val="center"/>
          </w:tcPr>
          <w:p w14:paraId="5F4BDFC6">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5" w:type="dxa"/>
            <w:tcBorders>
              <w:top w:val="single" w:color="auto" w:sz="6" w:space="0"/>
              <w:left w:val="single" w:color="auto" w:sz="6" w:space="0"/>
              <w:bottom w:val="single" w:color="auto" w:sz="6" w:space="0"/>
              <w:right w:val="single" w:color="auto" w:sz="6" w:space="0"/>
            </w:tcBorders>
            <w:vAlign w:val="center"/>
          </w:tcPr>
          <w:p w14:paraId="08A5E233">
            <w:pPr>
              <w:autoSpaceDE w:val="0"/>
              <w:autoSpaceDN w:val="0"/>
              <w:adjustRightInd w:val="0"/>
              <w:snapToGrid w:val="0"/>
              <w:jc w:val="center"/>
              <w:rPr>
                <w:rFonts w:cs="宋体" w:asciiTheme="majorEastAsia" w:hAnsiTheme="majorEastAsia" w:eastAsiaTheme="majorEastAsia"/>
                <w:szCs w:val="21"/>
                <w:highlight w:val="none"/>
                <w:lang w:val="zh-CN"/>
              </w:rPr>
            </w:pPr>
          </w:p>
        </w:tc>
      </w:tr>
      <w:tr w14:paraId="44F04A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87" w:type="dxa"/>
            <w:tcBorders>
              <w:top w:val="single" w:color="auto" w:sz="6" w:space="0"/>
              <w:left w:val="single" w:color="auto" w:sz="6" w:space="0"/>
              <w:bottom w:val="single" w:color="auto" w:sz="6" w:space="0"/>
              <w:right w:val="single" w:color="auto" w:sz="4" w:space="0"/>
            </w:tcBorders>
            <w:vAlign w:val="center"/>
          </w:tcPr>
          <w:p w14:paraId="6B555876">
            <w:pPr>
              <w:autoSpaceDE w:val="0"/>
              <w:autoSpaceDN w:val="0"/>
              <w:adjustRightInd w:val="0"/>
              <w:snapToGrid w:val="0"/>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5</w:t>
            </w:r>
          </w:p>
        </w:tc>
        <w:tc>
          <w:tcPr>
            <w:tcW w:w="1455" w:type="dxa"/>
            <w:tcBorders>
              <w:top w:val="single" w:color="auto" w:sz="6" w:space="0"/>
              <w:left w:val="single" w:color="auto" w:sz="4" w:space="0"/>
              <w:bottom w:val="single" w:color="auto" w:sz="6" w:space="0"/>
              <w:right w:val="single" w:color="auto" w:sz="6" w:space="0"/>
            </w:tcBorders>
            <w:vAlign w:val="center"/>
          </w:tcPr>
          <w:p w14:paraId="722A3DA9">
            <w:pPr>
              <w:autoSpaceDE w:val="0"/>
              <w:autoSpaceDN w:val="0"/>
              <w:adjustRightInd w:val="0"/>
              <w:snapToGrid w:val="0"/>
              <w:jc w:val="center"/>
              <w:rPr>
                <w:rFonts w:cs="宋体" w:asciiTheme="majorEastAsia" w:hAnsiTheme="majorEastAsia" w:eastAsiaTheme="majorEastAsia"/>
                <w:szCs w:val="21"/>
                <w:highlight w:val="none"/>
                <w:lang w:val="zh-CN"/>
              </w:rPr>
            </w:pPr>
            <w:r>
              <w:rPr>
                <w:rFonts w:hint="eastAsia" w:cs="宋体" w:asciiTheme="majorEastAsia" w:hAnsiTheme="majorEastAsia" w:eastAsiaTheme="majorEastAsia"/>
                <w:szCs w:val="21"/>
                <w:highlight w:val="none"/>
                <w:lang w:val="zh-CN"/>
              </w:rPr>
              <w:t>流动资产</w:t>
            </w:r>
          </w:p>
        </w:tc>
        <w:tc>
          <w:tcPr>
            <w:tcW w:w="1705" w:type="dxa"/>
            <w:tcBorders>
              <w:top w:val="single" w:color="auto" w:sz="6" w:space="0"/>
              <w:left w:val="single" w:color="auto" w:sz="6" w:space="0"/>
              <w:bottom w:val="single" w:color="auto" w:sz="6" w:space="0"/>
              <w:right w:val="single" w:color="auto" w:sz="6" w:space="0"/>
            </w:tcBorders>
            <w:vAlign w:val="center"/>
          </w:tcPr>
          <w:p w14:paraId="713B7C7D">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9" w:type="dxa"/>
            <w:tcBorders>
              <w:top w:val="single" w:color="auto" w:sz="6" w:space="0"/>
              <w:left w:val="single" w:color="auto" w:sz="6" w:space="0"/>
              <w:bottom w:val="single" w:color="auto" w:sz="6" w:space="0"/>
              <w:right w:val="single" w:color="auto" w:sz="6" w:space="0"/>
            </w:tcBorders>
            <w:vAlign w:val="center"/>
          </w:tcPr>
          <w:p w14:paraId="6AF6F8DD">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1941" w:type="dxa"/>
            <w:tcBorders>
              <w:top w:val="single" w:color="auto" w:sz="6" w:space="0"/>
              <w:left w:val="single" w:color="auto" w:sz="6" w:space="0"/>
              <w:bottom w:val="single" w:color="auto" w:sz="6" w:space="0"/>
              <w:right w:val="single" w:color="auto" w:sz="6" w:space="0"/>
            </w:tcBorders>
            <w:vAlign w:val="center"/>
          </w:tcPr>
          <w:p w14:paraId="7E8C4690">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5" w:type="dxa"/>
            <w:tcBorders>
              <w:top w:val="single" w:color="auto" w:sz="6" w:space="0"/>
              <w:left w:val="single" w:color="auto" w:sz="6" w:space="0"/>
              <w:bottom w:val="single" w:color="auto" w:sz="6" w:space="0"/>
              <w:right w:val="single" w:color="auto" w:sz="6" w:space="0"/>
            </w:tcBorders>
            <w:vAlign w:val="center"/>
          </w:tcPr>
          <w:p w14:paraId="44F710C7">
            <w:pPr>
              <w:autoSpaceDE w:val="0"/>
              <w:autoSpaceDN w:val="0"/>
              <w:adjustRightInd w:val="0"/>
              <w:snapToGrid w:val="0"/>
              <w:jc w:val="center"/>
              <w:rPr>
                <w:rFonts w:cs="宋体" w:asciiTheme="majorEastAsia" w:hAnsiTheme="majorEastAsia" w:eastAsiaTheme="majorEastAsia"/>
                <w:szCs w:val="21"/>
                <w:highlight w:val="none"/>
                <w:lang w:val="zh-CN"/>
              </w:rPr>
            </w:pPr>
          </w:p>
        </w:tc>
      </w:tr>
      <w:tr w14:paraId="74F3A2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87" w:type="dxa"/>
            <w:tcBorders>
              <w:top w:val="single" w:color="auto" w:sz="6" w:space="0"/>
              <w:left w:val="single" w:color="auto" w:sz="6" w:space="0"/>
              <w:bottom w:val="single" w:color="auto" w:sz="6" w:space="0"/>
              <w:right w:val="single" w:color="auto" w:sz="4" w:space="0"/>
            </w:tcBorders>
            <w:vAlign w:val="center"/>
          </w:tcPr>
          <w:p w14:paraId="0144E379">
            <w:pPr>
              <w:autoSpaceDE w:val="0"/>
              <w:autoSpaceDN w:val="0"/>
              <w:adjustRightInd w:val="0"/>
              <w:snapToGrid w:val="0"/>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6</w:t>
            </w:r>
          </w:p>
        </w:tc>
        <w:tc>
          <w:tcPr>
            <w:tcW w:w="1455" w:type="dxa"/>
            <w:tcBorders>
              <w:top w:val="single" w:color="auto" w:sz="6" w:space="0"/>
              <w:left w:val="single" w:color="auto" w:sz="4" w:space="0"/>
              <w:bottom w:val="single" w:color="auto" w:sz="6" w:space="0"/>
              <w:right w:val="single" w:color="auto" w:sz="6" w:space="0"/>
            </w:tcBorders>
            <w:vAlign w:val="center"/>
          </w:tcPr>
          <w:p w14:paraId="5AACE3AA">
            <w:pPr>
              <w:autoSpaceDE w:val="0"/>
              <w:autoSpaceDN w:val="0"/>
              <w:adjustRightInd w:val="0"/>
              <w:snapToGrid w:val="0"/>
              <w:jc w:val="center"/>
              <w:rPr>
                <w:rFonts w:cs="宋体" w:asciiTheme="majorEastAsia" w:hAnsiTheme="majorEastAsia" w:eastAsiaTheme="majorEastAsia"/>
                <w:szCs w:val="21"/>
                <w:highlight w:val="none"/>
                <w:lang w:val="zh-CN"/>
              </w:rPr>
            </w:pPr>
            <w:r>
              <w:rPr>
                <w:rFonts w:hint="eastAsia" w:cs="宋体" w:asciiTheme="majorEastAsia" w:hAnsiTheme="majorEastAsia" w:eastAsiaTheme="majorEastAsia"/>
                <w:szCs w:val="21"/>
                <w:highlight w:val="none"/>
                <w:lang w:val="zh-CN"/>
              </w:rPr>
              <w:t>流动负债</w:t>
            </w:r>
          </w:p>
        </w:tc>
        <w:tc>
          <w:tcPr>
            <w:tcW w:w="1705" w:type="dxa"/>
            <w:tcBorders>
              <w:top w:val="single" w:color="auto" w:sz="6" w:space="0"/>
              <w:left w:val="single" w:color="auto" w:sz="6" w:space="0"/>
              <w:bottom w:val="single" w:color="auto" w:sz="6" w:space="0"/>
              <w:right w:val="single" w:color="auto" w:sz="6" w:space="0"/>
            </w:tcBorders>
            <w:vAlign w:val="center"/>
          </w:tcPr>
          <w:p w14:paraId="3A408A4A">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9" w:type="dxa"/>
            <w:tcBorders>
              <w:top w:val="single" w:color="auto" w:sz="6" w:space="0"/>
              <w:left w:val="single" w:color="auto" w:sz="6" w:space="0"/>
              <w:bottom w:val="single" w:color="auto" w:sz="6" w:space="0"/>
              <w:right w:val="single" w:color="auto" w:sz="6" w:space="0"/>
            </w:tcBorders>
            <w:vAlign w:val="center"/>
          </w:tcPr>
          <w:p w14:paraId="16E7E580">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1941" w:type="dxa"/>
            <w:tcBorders>
              <w:top w:val="single" w:color="auto" w:sz="6" w:space="0"/>
              <w:left w:val="single" w:color="auto" w:sz="6" w:space="0"/>
              <w:bottom w:val="single" w:color="auto" w:sz="6" w:space="0"/>
              <w:right w:val="single" w:color="auto" w:sz="6" w:space="0"/>
            </w:tcBorders>
            <w:vAlign w:val="center"/>
          </w:tcPr>
          <w:p w14:paraId="184F0B76">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5" w:type="dxa"/>
            <w:tcBorders>
              <w:top w:val="single" w:color="auto" w:sz="6" w:space="0"/>
              <w:left w:val="single" w:color="auto" w:sz="6" w:space="0"/>
              <w:bottom w:val="single" w:color="auto" w:sz="6" w:space="0"/>
              <w:right w:val="single" w:color="auto" w:sz="6" w:space="0"/>
            </w:tcBorders>
            <w:vAlign w:val="center"/>
          </w:tcPr>
          <w:p w14:paraId="5BB7140B">
            <w:pPr>
              <w:autoSpaceDE w:val="0"/>
              <w:autoSpaceDN w:val="0"/>
              <w:adjustRightInd w:val="0"/>
              <w:snapToGrid w:val="0"/>
              <w:jc w:val="center"/>
              <w:rPr>
                <w:rFonts w:cs="宋体" w:asciiTheme="majorEastAsia" w:hAnsiTheme="majorEastAsia" w:eastAsiaTheme="majorEastAsia"/>
                <w:szCs w:val="21"/>
                <w:highlight w:val="none"/>
                <w:lang w:val="zh-CN"/>
              </w:rPr>
            </w:pPr>
          </w:p>
        </w:tc>
      </w:tr>
      <w:tr w14:paraId="33B94E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87" w:type="dxa"/>
            <w:tcBorders>
              <w:top w:val="single" w:color="auto" w:sz="6" w:space="0"/>
              <w:left w:val="single" w:color="auto" w:sz="6" w:space="0"/>
              <w:bottom w:val="single" w:color="auto" w:sz="6" w:space="0"/>
              <w:right w:val="single" w:color="auto" w:sz="4" w:space="0"/>
            </w:tcBorders>
            <w:vAlign w:val="center"/>
          </w:tcPr>
          <w:p w14:paraId="27967659">
            <w:pPr>
              <w:autoSpaceDE w:val="0"/>
              <w:autoSpaceDN w:val="0"/>
              <w:adjustRightInd w:val="0"/>
              <w:snapToGrid w:val="0"/>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7</w:t>
            </w:r>
          </w:p>
        </w:tc>
        <w:tc>
          <w:tcPr>
            <w:tcW w:w="1455" w:type="dxa"/>
            <w:tcBorders>
              <w:top w:val="single" w:color="auto" w:sz="6" w:space="0"/>
              <w:left w:val="single" w:color="auto" w:sz="4" w:space="0"/>
              <w:bottom w:val="single" w:color="auto" w:sz="6" w:space="0"/>
              <w:right w:val="single" w:color="auto" w:sz="6" w:space="0"/>
            </w:tcBorders>
            <w:vAlign w:val="center"/>
          </w:tcPr>
          <w:p w14:paraId="62544EAA">
            <w:pPr>
              <w:autoSpaceDE w:val="0"/>
              <w:autoSpaceDN w:val="0"/>
              <w:adjustRightInd w:val="0"/>
              <w:snapToGrid w:val="0"/>
              <w:jc w:val="center"/>
              <w:rPr>
                <w:rFonts w:cs="宋体" w:asciiTheme="majorEastAsia" w:hAnsiTheme="majorEastAsia" w:eastAsiaTheme="majorEastAsia"/>
                <w:szCs w:val="21"/>
                <w:highlight w:val="none"/>
                <w:lang w:val="zh-CN"/>
              </w:rPr>
            </w:pPr>
            <w:r>
              <w:rPr>
                <w:rFonts w:hint="eastAsia" w:cs="宋体" w:asciiTheme="majorEastAsia" w:hAnsiTheme="majorEastAsia" w:eastAsiaTheme="majorEastAsia"/>
                <w:szCs w:val="21"/>
                <w:highlight w:val="none"/>
                <w:lang w:val="zh-CN"/>
              </w:rPr>
              <w:t>负债合计</w:t>
            </w:r>
          </w:p>
        </w:tc>
        <w:tc>
          <w:tcPr>
            <w:tcW w:w="1705" w:type="dxa"/>
            <w:tcBorders>
              <w:top w:val="single" w:color="auto" w:sz="6" w:space="0"/>
              <w:left w:val="single" w:color="auto" w:sz="6" w:space="0"/>
              <w:bottom w:val="single" w:color="auto" w:sz="6" w:space="0"/>
              <w:right w:val="single" w:color="auto" w:sz="6" w:space="0"/>
            </w:tcBorders>
            <w:vAlign w:val="center"/>
          </w:tcPr>
          <w:p w14:paraId="6EF97648">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9" w:type="dxa"/>
            <w:tcBorders>
              <w:top w:val="single" w:color="auto" w:sz="6" w:space="0"/>
              <w:left w:val="single" w:color="auto" w:sz="6" w:space="0"/>
              <w:bottom w:val="single" w:color="auto" w:sz="6" w:space="0"/>
              <w:right w:val="single" w:color="auto" w:sz="6" w:space="0"/>
            </w:tcBorders>
            <w:vAlign w:val="center"/>
          </w:tcPr>
          <w:p w14:paraId="3017DB21">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1941" w:type="dxa"/>
            <w:tcBorders>
              <w:top w:val="single" w:color="auto" w:sz="6" w:space="0"/>
              <w:left w:val="single" w:color="auto" w:sz="6" w:space="0"/>
              <w:bottom w:val="single" w:color="auto" w:sz="6" w:space="0"/>
              <w:right w:val="single" w:color="auto" w:sz="6" w:space="0"/>
            </w:tcBorders>
            <w:vAlign w:val="center"/>
          </w:tcPr>
          <w:p w14:paraId="3ABAAEF8">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5" w:type="dxa"/>
            <w:tcBorders>
              <w:top w:val="single" w:color="auto" w:sz="6" w:space="0"/>
              <w:left w:val="single" w:color="auto" w:sz="6" w:space="0"/>
              <w:bottom w:val="single" w:color="auto" w:sz="6" w:space="0"/>
              <w:right w:val="single" w:color="auto" w:sz="6" w:space="0"/>
            </w:tcBorders>
            <w:vAlign w:val="center"/>
          </w:tcPr>
          <w:p w14:paraId="3D200C16">
            <w:pPr>
              <w:autoSpaceDE w:val="0"/>
              <w:autoSpaceDN w:val="0"/>
              <w:adjustRightInd w:val="0"/>
              <w:snapToGrid w:val="0"/>
              <w:jc w:val="center"/>
              <w:rPr>
                <w:rFonts w:cs="宋体" w:asciiTheme="majorEastAsia" w:hAnsiTheme="majorEastAsia" w:eastAsiaTheme="majorEastAsia"/>
                <w:szCs w:val="21"/>
                <w:highlight w:val="none"/>
                <w:lang w:val="zh-CN"/>
              </w:rPr>
            </w:pPr>
          </w:p>
        </w:tc>
      </w:tr>
      <w:tr w14:paraId="008A7A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87" w:type="dxa"/>
            <w:tcBorders>
              <w:top w:val="single" w:color="auto" w:sz="6" w:space="0"/>
              <w:left w:val="single" w:color="auto" w:sz="6" w:space="0"/>
              <w:bottom w:val="single" w:color="auto" w:sz="6" w:space="0"/>
              <w:right w:val="single" w:color="auto" w:sz="4" w:space="0"/>
            </w:tcBorders>
            <w:vAlign w:val="center"/>
          </w:tcPr>
          <w:p w14:paraId="1A691BBE">
            <w:pPr>
              <w:autoSpaceDE w:val="0"/>
              <w:autoSpaceDN w:val="0"/>
              <w:adjustRightInd w:val="0"/>
              <w:snapToGrid w:val="0"/>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8</w:t>
            </w:r>
          </w:p>
        </w:tc>
        <w:tc>
          <w:tcPr>
            <w:tcW w:w="1455" w:type="dxa"/>
            <w:tcBorders>
              <w:top w:val="single" w:color="auto" w:sz="6" w:space="0"/>
              <w:left w:val="single" w:color="auto" w:sz="4" w:space="0"/>
              <w:bottom w:val="single" w:color="auto" w:sz="6" w:space="0"/>
              <w:right w:val="single" w:color="auto" w:sz="6" w:space="0"/>
            </w:tcBorders>
            <w:vAlign w:val="center"/>
          </w:tcPr>
          <w:p w14:paraId="5445DB5B">
            <w:pPr>
              <w:autoSpaceDE w:val="0"/>
              <w:autoSpaceDN w:val="0"/>
              <w:adjustRightInd w:val="0"/>
              <w:snapToGrid w:val="0"/>
              <w:jc w:val="center"/>
              <w:rPr>
                <w:rFonts w:cs="宋体" w:asciiTheme="majorEastAsia" w:hAnsiTheme="majorEastAsia" w:eastAsiaTheme="majorEastAsia"/>
                <w:szCs w:val="21"/>
                <w:highlight w:val="none"/>
                <w:lang w:val="zh-CN"/>
              </w:rPr>
            </w:pPr>
            <w:r>
              <w:rPr>
                <w:rFonts w:hint="eastAsia" w:cs="宋体" w:asciiTheme="majorEastAsia" w:hAnsiTheme="majorEastAsia" w:eastAsiaTheme="majorEastAsia"/>
                <w:szCs w:val="21"/>
                <w:highlight w:val="none"/>
                <w:lang w:val="zh-CN"/>
              </w:rPr>
              <w:t>营业收人</w:t>
            </w:r>
          </w:p>
        </w:tc>
        <w:tc>
          <w:tcPr>
            <w:tcW w:w="1705" w:type="dxa"/>
            <w:tcBorders>
              <w:top w:val="single" w:color="auto" w:sz="6" w:space="0"/>
              <w:left w:val="single" w:color="auto" w:sz="6" w:space="0"/>
              <w:bottom w:val="single" w:color="auto" w:sz="6" w:space="0"/>
              <w:right w:val="single" w:color="auto" w:sz="6" w:space="0"/>
            </w:tcBorders>
            <w:vAlign w:val="center"/>
          </w:tcPr>
          <w:p w14:paraId="67D73949">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9" w:type="dxa"/>
            <w:tcBorders>
              <w:top w:val="single" w:color="auto" w:sz="6" w:space="0"/>
              <w:left w:val="single" w:color="auto" w:sz="6" w:space="0"/>
              <w:bottom w:val="single" w:color="auto" w:sz="6" w:space="0"/>
              <w:right w:val="single" w:color="auto" w:sz="6" w:space="0"/>
            </w:tcBorders>
            <w:vAlign w:val="center"/>
          </w:tcPr>
          <w:p w14:paraId="2C29CA71">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1941" w:type="dxa"/>
            <w:tcBorders>
              <w:top w:val="single" w:color="auto" w:sz="6" w:space="0"/>
              <w:left w:val="single" w:color="auto" w:sz="6" w:space="0"/>
              <w:bottom w:val="single" w:color="auto" w:sz="6" w:space="0"/>
              <w:right w:val="single" w:color="auto" w:sz="6" w:space="0"/>
            </w:tcBorders>
            <w:vAlign w:val="center"/>
          </w:tcPr>
          <w:p w14:paraId="69575D3D">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5" w:type="dxa"/>
            <w:tcBorders>
              <w:top w:val="single" w:color="auto" w:sz="6" w:space="0"/>
              <w:left w:val="single" w:color="auto" w:sz="6" w:space="0"/>
              <w:bottom w:val="single" w:color="auto" w:sz="6" w:space="0"/>
              <w:right w:val="single" w:color="auto" w:sz="6" w:space="0"/>
            </w:tcBorders>
            <w:vAlign w:val="center"/>
          </w:tcPr>
          <w:p w14:paraId="19EE6036">
            <w:pPr>
              <w:autoSpaceDE w:val="0"/>
              <w:autoSpaceDN w:val="0"/>
              <w:adjustRightInd w:val="0"/>
              <w:snapToGrid w:val="0"/>
              <w:jc w:val="center"/>
              <w:rPr>
                <w:rFonts w:cs="宋体" w:asciiTheme="majorEastAsia" w:hAnsiTheme="majorEastAsia" w:eastAsiaTheme="majorEastAsia"/>
                <w:szCs w:val="21"/>
                <w:highlight w:val="none"/>
                <w:lang w:val="zh-CN"/>
              </w:rPr>
            </w:pPr>
          </w:p>
        </w:tc>
      </w:tr>
      <w:tr w14:paraId="33921E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87" w:type="dxa"/>
            <w:tcBorders>
              <w:top w:val="single" w:color="auto" w:sz="6" w:space="0"/>
              <w:left w:val="single" w:color="auto" w:sz="6" w:space="0"/>
              <w:bottom w:val="single" w:color="auto" w:sz="6" w:space="0"/>
              <w:right w:val="single" w:color="auto" w:sz="4" w:space="0"/>
            </w:tcBorders>
            <w:vAlign w:val="center"/>
          </w:tcPr>
          <w:p w14:paraId="07792F79">
            <w:pPr>
              <w:autoSpaceDE w:val="0"/>
              <w:autoSpaceDN w:val="0"/>
              <w:adjustRightInd w:val="0"/>
              <w:snapToGrid w:val="0"/>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9</w:t>
            </w:r>
          </w:p>
        </w:tc>
        <w:tc>
          <w:tcPr>
            <w:tcW w:w="1455" w:type="dxa"/>
            <w:tcBorders>
              <w:top w:val="single" w:color="auto" w:sz="6" w:space="0"/>
              <w:left w:val="single" w:color="auto" w:sz="4" w:space="0"/>
              <w:bottom w:val="single" w:color="auto" w:sz="6" w:space="0"/>
              <w:right w:val="single" w:color="auto" w:sz="6" w:space="0"/>
            </w:tcBorders>
            <w:vAlign w:val="center"/>
          </w:tcPr>
          <w:p w14:paraId="02D3E7B5">
            <w:pPr>
              <w:autoSpaceDE w:val="0"/>
              <w:autoSpaceDN w:val="0"/>
              <w:adjustRightInd w:val="0"/>
              <w:snapToGrid w:val="0"/>
              <w:jc w:val="center"/>
              <w:rPr>
                <w:rFonts w:cs="宋体" w:asciiTheme="majorEastAsia" w:hAnsiTheme="majorEastAsia" w:eastAsiaTheme="majorEastAsia"/>
                <w:szCs w:val="21"/>
                <w:highlight w:val="none"/>
                <w:lang w:val="zh-CN"/>
              </w:rPr>
            </w:pPr>
            <w:r>
              <w:rPr>
                <w:rFonts w:hint="eastAsia" w:cs="宋体" w:asciiTheme="majorEastAsia" w:hAnsiTheme="majorEastAsia" w:eastAsiaTheme="majorEastAsia"/>
                <w:szCs w:val="21"/>
                <w:highlight w:val="none"/>
                <w:lang w:val="zh-CN"/>
              </w:rPr>
              <w:t>净利润</w:t>
            </w:r>
          </w:p>
        </w:tc>
        <w:tc>
          <w:tcPr>
            <w:tcW w:w="1705" w:type="dxa"/>
            <w:tcBorders>
              <w:top w:val="single" w:color="auto" w:sz="6" w:space="0"/>
              <w:left w:val="single" w:color="auto" w:sz="6" w:space="0"/>
              <w:bottom w:val="single" w:color="auto" w:sz="6" w:space="0"/>
              <w:right w:val="single" w:color="auto" w:sz="6" w:space="0"/>
            </w:tcBorders>
            <w:vAlign w:val="center"/>
          </w:tcPr>
          <w:p w14:paraId="00EDD986">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9" w:type="dxa"/>
            <w:tcBorders>
              <w:top w:val="single" w:color="auto" w:sz="6" w:space="0"/>
              <w:left w:val="single" w:color="auto" w:sz="6" w:space="0"/>
              <w:bottom w:val="single" w:color="auto" w:sz="6" w:space="0"/>
              <w:right w:val="single" w:color="auto" w:sz="6" w:space="0"/>
            </w:tcBorders>
            <w:vAlign w:val="center"/>
          </w:tcPr>
          <w:p w14:paraId="3D92204D">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1941" w:type="dxa"/>
            <w:tcBorders>
              <w:top w:val="single" w:color="auto" w:sz="6" w:space="0"/>
              <w:left w:val="single" w:color="auto" w:sz="6" w:space="0"/>
              <w:bottom w:val="single" w:color="auto" w:sz="6" w:space="0"/>
              <w:right w:val="single" w:color="auto" w:sz="6" w:space="0"/>
            </w:tcBorders>
            <w:vAlign w:val="center"/>
          </w:tcPr>
          <w:p w14:paraId="7A943E7E">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5" w:type="dxa"/>
            <w:tcBorders>
              <w:top w:val="single" w:color="auto" w:sz="6" w:space="0"/>
              <w:left w:val="single" w:color="auto" w:sz="6" w:space="0"/>
              <w:bottom w:val="single" w:color="auto" w:sz="6" w:space="0"/>
              <w:right w:val="single" w:color="auto" w:sz="6" w:space="0"/>
            </w:tcBorders>
            <w:vAlign w:val="center"/>
          </w:tcPr>
          <w:p w14:paraId="37BB4B90">
            <w:pPr>
              <w:autoSpaceDE w:val="0"/>
              <w:autoSpaceDN w:val="0"/>
              <w:adjustRightInd w:val="0"/>
              <w:snapToGrid w:val="0"/>
              <w:jc w:val="center"/>
              <w:rPr>
                <w:rFonts w:cs="宋体" w:asciiTheme="majorEastAsia" w:hAnsiTheme="majorEastAsia" w:eastAsiaTheme="majorEastAsia"/>
                <w:szCs w:val="21"/>
                <w:highlight w:val="none"/>
                <w:lang w:val="zh-CN"/>
              </w:rPr>
            </w:pPr>
          </w:p>
        </w:tc>
      </w:tr>
      <w:tr w14:paraId="5E9304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2" w:hRule="atLeast"/>
        </w:trPr>
        <w:tc>
          <w:tcPr>
            <w:tcW w:w="687" w:type="dxa"/>
            <w:vMerge w:val="restart"/>
            <w:tcBorders>
              <w:top w:val="single" w:color="auto" w:sz="6" w:space="0"/>
              <w:left w:val="single" w:color="auto" w:sz="6" w:space="0"/>
              <w:right w:val="single" w:color="auto" w:sz="4" w:space="0"/>
            </w:tcBorders>
            <w:vAlign w:val="center"/>
          </w:tcPr>
          <w:p w14:paraId="11FA57A0">
            <w:pPr>
              <w:autoSpaceDE w:val="0"/>
              <w:autoSpaceDN w:val="0"/>
              <w:adjustRightInd w:val="0"/>
              <w:snapToGrid w:val="0"/>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10</w:t>
            </w:r>
          </w:p>
        </w:tc>
        <w:tc>
          <w:tcPr>
            <w:tcW w:w="1455" w:type="dxa"/>
            <w:vMerge w:val="restart"/>
            <w:tcBorders>
              <w:top w:val="single" w:color="auto" w:sz="6" w:space="0"/>
              <w:left w:val="single" w:color="auto" w:sz="4" w:space="0"/>
              <w:right w:val="single" w:color="auto" w:sz="6" w:space="0"/>
            </w:tcBorders>
            <w:vAlign w:val="center"/>
          </w:tcPr>
          <w:p w14:paraId="04044B9C">
            <w:pPr>
              <w:autoSpaceDE w:val="0"/>
              <w:autoSpaceDN w:val="0"/>
              <w:adjustRightInd w:val="0"/>
              <w:snapToGrid w:val="0"/>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现金流量合计</w:t>
            </w:r>
          </w:p>
        </w:tc>
        <w:tc>
          <w:tcPr>
            <w:tcW w:w="1705" w:type="dxa"/>
            <w:vMerge w:val="restart"/>
            <w:tcBorders>
              <w:top w:val="single" w:color="auto" w:sz="6" w:space="0"/>
              <w:left w:val="single" w:color="auto" w:sz="6" w:space="0"/>
              <w:bottom w:val="single" w:color="auto" w:sz="4" w:space="0"/>
              <w:right w:val="single" w:color="auto" w:sz="4" w:space="0"/>
            </w:tcBorders>
            <w:vAlign w:val="center"/>
          </w:tcPr>
          <w:p w14:paraId="58015032">
            <w:pPr>
              <w:autoSpaceDE w:val="0"/>
              <w:autoSpaceDN w:val="0"/>
              <w:adjustRightInd w:val="0"/>
              <w:snapToGrid w:val="0"/>
              <w:jc w:val="center"/>
              <w:rPr>
                <w:rFonts w:cs="宋体" w:asciiTheme="majorEastAsia" w:hAnsiTheme="majorEastAsia" w:eastAsiaTheme="majorEastAsia"/>
                <w:szCs w:val="21"/>
                <w:highlight w:val="none"/>
              </w:rPr>
            </w:pPr>
          </w:p>
        </w:tc>
        <w:tc>
          <w:tcPr>
            <w:tcW w:w="2049" w:type="dxa"/>
            <w:tcBorders>
              <w:top w:val="single" w:color="auto" w:sz="6" w:space="0"/>
              <w:left w:val="single" w:color="auto" w:sz="4" w:space="0"/>
              <w:bottom w:val="single" w:color="auto" w:sz="4" w:space="0"/>
              <w:right w:val="single" w:color="auto" w:sz="4" w:space="0"/>
            </w:tcBorders>
            <w:vAlign w:val="center"/>
          </w:tcPr>
          <w:p w14:paraId="380F5CD3">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1941" w:type="dxa"/>
            <w:tcBorders>
              <w:top w:val="single" w:color="auto" w:sz="6" w:space="0"/>
              <w:left w:val="single" w:color="auto" w:sz="4" w:space="0"/>
              <w:bottom w:val="single" w:color="auto" w:sz="4" w:space="0"/>
              <w:right w:val="single" w:color="auto" w:sz="4" w:space="0"/>
            </w:tcBorders>
            <w:vAlign w:val="center"/>
          </w:tcPr>
          <w:p w14:paraId="2D1F8D44">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5" w:type="dxa"/>
            <w:tcBorders>
              <w:top w:val="single" w:color="auto" w:sz="6" w:space="0"/>
              <w:left w:val="single" w:color="auto" w:sz="4" w:space="0"/>
              <w:bottom w:val="single" w:color="auto" w:sz="4" w:space="0"/>
              <w:right w:val="single" w:color="auto" w:sz="6" w:space="0"/>
            </w:tcBorders>
            <w:vAlign w:val="center"/>
          </w:tcPr>
          <w:p w14:paraId="1B6179F5">
            <w:pPr>
              <w:autoSpaceDE w:val="0"/>
              <w:autoSpaceDN w:val="0"/>
              <w:adjustRightInd w:val="0"/>
              <w:snapToGrid w:val="0"/>
              <w:jc w:val="center"/>
              <w:rPr>
                <w:rFonts w:cs="宋体" w:asciiTheme="majorEastAsia" w:hAnsiTheme="majorEastAsia" w:eastAsiaTheme="majorEastAsia"/>
                <w:szCs w:val="21"/>
                <w:highlight w:val="none"/>
                <w:lang w:val="zh-CN"/>
              </w:rPr>
            </w:pPr>
          </w:p>
        </w:tc>
      </w:tr>
      <w:tr w14:paraId="335990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2" w:hRule="atLeast"/>
        </w:trPr>
        <w:tc>
          <w:tcPr>
            <w:tcW w:w="687" w:type="dxa"/>
            <w:vMerge w:val="continue"/>
            <w:tcBorders>
              <w:left w:val="single" w:color="auto" w:sz="6" w:space="0"/>
              <w:right w:val="single" w:color="auto" w:sz="4" w:space="0"/>
            </w:tcBorders>
            <w:vAlign w:val="center"/>
          </w:tcPr>
          <w:p w14:paraId="7F4616BA">
            <w:pPr>
              <w:autoSpaceDE w:val="0"/>
              <w:autoSpaceDN w:val="0"/>
              <w:adjustRightInd w:val="0"/>
              <w:snapToGrid w:val="0"/>
              <w:jc w:val="center"/>
              <w:rPr>
                <w:rFonts w:cs="宋体" w:asciiTheme="majorEastAsia" w:hAnsiTheme="majorEastAsia" w:eastAsiaTheme="majorEastAsia"/>
                <w:szCs w:val="21"/>
                <w:highlight w:val="none"/>
              </w:rPr>
            </w:pPr>
          </w:p>
        </w:tc>
        <w:tc>
          <w:tcPr>
            <w:tcW w:w="1455" w:type="dxa"/>
            <w:vMerge w:val="continue"/>
            <w:tcBorders>
              <w:left w:val="single" w:color="auto" w:sz="4" w:space="0"/>
              <w:right w:val="single" w:color="auto" w:sz="6" w:space="0"/>
            </w:tcBorders>
            <w:vAlign w:val="center"/>
          </w:tcPr>
          <w:p w14:paraId="38D18E20">
            <w:pPr>
              <w:autoSpaceDE w:val="0"/>
              <w:autoSpaceDN w:val="0"/>
              <w:adjustRightInd w:val="0"/>
              <w:snapToGrid w:val="0"/>
              <w:ind w:firstLine="210"/>
              <w:jc w:val="center"/>
              <w:rPr>
                <w:rFonts w:cs="宋体" w:asciiTheme="majorEastAsia" w:hAnsiTheme="majorEastAsia" w:eastAsiaTheme="majorEastAsia"/>
                <w:szCs w:val="21"/>
                <w:highlight w:val="none"/>
              </w:rPr>
            </w:pPr>
          </w:p>
        </w:tc>
        <w:tc>
          <w:tcPr>
            <w:tcW w:w="1705" w:type="dxa"/>
            <w:vMerge w:val="continue"/>
            <w:tcBorders>
              <w:left w:val="single" w:color="auto" w:sz="6" w:space="0"/>
              <w:right w:val="single" w:color="auto" w:sz="4" w:space="0"/>
            </w:tcBorders>
            <w:vAlign w:val="center"/>
          </w:tcPr>
          <w:p w14:paraId="7673B2FF">
            <w:pPr>
              <w:autoSpaceDE w:val="0"/>
              <w:autoSpaceDN w:val="0"/>
              <w:adjustRightInd w:val="0"/>
              <w:snapToGrid w:val="0"/>
              <w:jc w:val="center"/>
              <w:rPr>
                <w:rFonts w:cs="宋体" w:asciiTheme="majorEastAsia" w:hAnsiTheme="majorEastAsia" w:eastAsiaTheme="majorEastAsia"/>
                <w:szCs w:val="21"/>
                <w:highlight w:val="none"/>
              </w:rPr>
            </w:pPr>
          </w:p>
        </w:tc>
        <w:tc>
          <w:tcPr>
            <w:tcW w:w="6035" w:type="dxa"/>
            <w:gridSpan w:val="3"/>
            <w:tcBorders>
              <w:top w:val="single" w:color="auto" w:sz="6" w:space="0"/>
              <w:left w:val="single" w:color="auto" w:sz="4" w:space="0"/>
              <w:bottom w:val="single" w:color="auto" w:sz="4" w:space="0"/>
              <w:right w:val="single" w:color="auto" w:sz="6" w:space="0"/>
            </w:tcBorders>
            <w:vAlign w:val="center"/>
          </w:tcPr>
          <w:p w14:paraId="40DECA0A">
            <w:pPr>
              <w:autoSpaceDE w:val="0"/>
              <w:autoSpaceDN w:val="0"/>
              <w:adjustRightInd w:val="0"/>
              <w:snapToGrid w:val="0"/>
              <w:jc w:val="both"/>
              <w:rPr>
                <w:rFonts w:cs="宋体" w:asciiTheme="majorEastAsia" w:hAnsiTheme="majorEastAsia" w:eastAsiaTheme="majorEastAsia"/>
                <w:szCs w:val="21"/>
                <w:highlight w:val="none"/>
                <w:lang w:val="zh-CN"/>
              </w:rPr>
            </w:pPr>
            <w:r>
              <w:rPr>
                <w:rFonts w:hint="eastAsia" w:cs="宋体" w:asciiTheme="majorEastAsia" w:hAnsiTheme="majorEastAsia" w:eastAsiaTheme="majorEastAsia"/>
                <w:szCs w:val="21"/>
                <w:highlight w:val="none"/>
              </w:rPr>
              <w:t>合计：</w:t>
            </w:r>
          </w:p>
        </w:tc>
      </w:tr>
      <w:tr w14:paraId="1702BF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87" w:type="dxa"/>
            <w:vMerge w:val="restart"/>
            <w:tcBorders>
              <w:top w:val="single" w:color="auto" w:sz="6" w:space="0"/>
              <w:left w:val="single" w:color="auto" w:sz="6" w:space="0"/>
              <w:right w:val="single" w:color="auto" w:sz="4" w:space="0"/>
            </w:tcBorders>
            <w:vAlign w:val="center"/>
          </w:tcPr>
          <w:p w14:paraId="64744781">
            <w:pPr>
              <w:autoSpaceDE w:val="0"/>
              <w:autoSpaceDN w:val="0"/>
              <w:adjustRightInd w:val="0"/>
              <w:snapToGrid w:val="0"/>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11</w:t>
            </w:r>
          </w:p>
        </w:tc>
        <w:tc>
          <w:tcPr>
            <w:tcW w:w="1455" w:type="dxa"/>
            <w:vMerge w:val="restart"/>
            <w:tcBorders>
              <w:top w:val="single" w:color="auto" w:sz="6" w:space="0"/>
              <w:left w:val="single" w:color="auto" w:sz="4" w:space="0"/>
              <w:right w:val="single" w:color="auto" w:sz="6" w:space="0"/>
            </w:tcBorders>
            <w:vAlign w:val="center"/>
          </w:tcPr>
          <w:p w14:paraId="0137836A">
            <w:pPr>
              <w:autoSpaceDE w:val="0"/>
              <w:autoSpaceDN w:val="0"/>
              <w:adjustRightInd w:val="0"/>
              <w:snapToGrid w:val="0"/>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净利润合计</w:t>
            </w:r>
          </w:p>
        </w:tc>
        <w:tc>
          <w:tcPr>
            <w:tcW w:w="1705" w:type="dxa"/>
            <w:vMerge w:val="restart"/>
            <w:tcBorders>
              <w:top w:val="single" w:color="auto" w:sz="4" w:space="0"/>
              <w:left w:val="single" w:color="auto" w:sz="6" w:space="0"/>
              <w:bottom w:val="single" w:color="auto" w:sz="4" w:space="0"/>
              <w:right w:val="single" w:color="auto" w:sz="4" w:space="0"/>
            </w:tcBorders>
            <w:vAlign w:val="center"/>
          </w:tcPr>
          <w:p w14:paraId="617E4849">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9" w:type="dxa"/>
            <w:tcBorders>
              <w:top w:val="single" w:color="auto" w:sz="4" w:space="0"/>
              <w:left w:val="single" w:color="auto" w:sz="4" w:space="0"/>
              <w:bottom w:val="single" w:color="auto" w:sz="4" w:space="0"/>
              <w:right w:val="single" w:color="auto" w:sz="4" w:space="0"/>
            </w:tcBorders>
            <w:vAlign w:val="center"/>
          </w:tcPr>
          <w:p w14:paraId="3EBB524E">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1941" w:type="dxa"/>
            <w:tcBorders>
              <w:top w:val="single" w:color="auto" w:sz="4" w:space="0"/>
              <w:left w:val="single" w:color="auto" w:sz="4" w:space="0"/>
              <w:bottom w:val="single" w:color="auto" w:sz="4" w:space="0"/>
              <w:right w:val="single" w:color="auto" w:sz="4" w:space="0"/>
            </w:tcBorders>
            <w:vAlign w:val="center"/>
          </w:tcPr>
          <w:p w14:paraId="5CABE03D">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2045" w:type="dxa"/>
            <w:tcBorders>
              <w:top w:val="single" w:color="auto" w:sz="4" w:space="0"/>
              <w:left w:val="single" w:color="auto" w:sz="4" w:space="0"/>
              <w:bottom w:val="single" w:color="auto" w:sz="4" w:space="0"/>
              <w:right w:val="single" w:color="auto" w:sz="6" w:space="0"/>
            </w:tcBorders>
            <w:vAlign w:val="center"/>
          </w:tcPr>
          <w:p w14:paraId="3AEFCA3B">
            <w:pPr>
              <w:autoSpaceDE w:val="0"/>
              <w:autoSpaceDN w:val="0"/>
              <w:adjustRightInd w:val="0"/>
              <w:snapToGrid w:val="0"/>
              <w:jc w:val="center"/>
              <w:rPr>
                <w:rFonts w:cs="宋体" w:asciiTheme="majorEastAsia" w:hAnsiTheme="majorEastAsia" w:eastAsiaTheme="majorEastAsia"/>
                <w:szCs w:val="21"/>
                <w:highlight w:val="none"/>
                <w:lang w:val="zh-CN"/>
              </w:rPr>
            </w:pPr>
          </w:p>
        </w:tc>
      </w:tr>
      <w:tr w14:paraId="5176C9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87" w:type="dxa"/>
            <w:vMerge w:val="continue"/>
            <w:tcBorders>
              <w:left w:val="single" w:color="auto" w:sz="6" w:space="0"/>
              <w:bottom w:val="single" w:color="auto" w:sz="6" w:space="0"/>
              <w:right w:val="single" w:color="auto" w:sz="4" w:space="0"/>
            </w:tcBorders>
            <w:vAlign w:val="center"/>
          </w:tcPr>
          <w:p w14:paraId="25171F25">
            <w:pPr>
              <w:autoSpaceDE w:val="0"/>
              <w:autoSpaceDN w:val="0"/>
              <w:adjustRightInd w:val="0"/>
              <w:snapToGrid w:val="0"/>
              <w:ind w:firstLine="210"/>
              <w:rPr>
                <w:rFonts w:cs="宋体" w:asciiTheme="majorEastAsia" w:hAnsiTheme="majorEastAsia" w:eastAsiaTheme="majorEastAsia"/>
                <w:szCs w:val="21"/>
                <w:highlight w:val="none"/>
              </w:rPr>
            </w:pPr>
          </w:p>
        </w:tc>
        <w:tc>
          <w:tcPr>
            <w:tcW w:w="1455" w:type="dxa"/>
            <w:vMerge w:val="continue"/>
            <w:tcBorders>
              <w:left w:val="single" w:color="auto" w:sz="4" w:space="0"/>
              <w:bottom w:val="single" w:color="auto" w:sz="6" w:space="0"/>
              <w:right w:val="single" w:color="auto" w:sz="6" w:space="0"/>
            </w:tcBorders>
            <w:vAlign w:val="center"/>
          </w:tcPr>
          <w:p w14:paraId="5C0A0C52">
            <w:pPr>
              <w:autoSpaceDE w:val="0"/>
              <w:autoSpaceDN w:val="0"/>
              <w:adjustRightInd w:val="0"/>
              <w:snapToGrid w:val="0"/>
              <w:ind w:firstLine="210"/>
              <w:rPr>
                <w:rFonts w:cs="宋体" w:asciiTheme="majorEastAsia" w:hAnsiTheme="majorEastAsia" w:eastAsiaTheme="majorEastAsia"/>
                <w:szCs w:val="21"/>
                <w:highlight w:val="none"/>
              </w:rPr>
            </w:pPr>
          </w:p>
        </w:tc>
        <w:tc>
          <w:tcPr>
            <w:tcW w:w="1705" w:type="dxa"/>
            <w:vMerge w:val="continue"/>
            <w:tcBorders>
              <w:top w:val="single" w:color="auto" w:sz="4" w:space="0"/>
              <w:left w:val="single" w:color="auto" w:sz="6" w:space="0"/>
              <w:bottom w:val="single" w:color="auto" w:sz="6" w:space="0"/>
              <w:right w:val="single" w:color="auto" w:sz="4" w:space="0"/>
            </w:tcBorders>
            <w:vAlign w:val="center"/>
          </w:tcPr>
          <w:p w14:paraId="6BFD1899">
            <w:pPr>
              <w:autoSpaceDE w:val="0"/>
              <w:autoSpaceDN w:val="0"/>
              <w:adjustRightInd w:val="0"/>
              <w:snapToGrid w:val="0"/>
              <w:jc w:val="center"/>
              <w:rPr>
                <w:rFonts w:cs="宋体" w:asciiTheme="majorEastAsia" w:hAnsiTheme="majorEastAsia" w:eastAsiaTheme="majorEastAsia"/>
                <w:szCs w:val="21"/>
                <w:highlight w:val="none"/>
                <w:lang w:val="zh-CN"/>
              </w:rPr>
            </w:pPr>
          </w:p>
        </w:tc>
        <w:tc>
          <w:tcPr>
            <w:tcW w:w="6035" w:type="dxa"/>
            <w:gridSpan w:val="3"/>
            <w:tcBorders>
              <w:top w:val="single" w:color="auto" w:sz="4" w:space="0"/>
              <w:left w:val="single" w:color="auto" w:sz="4" w:space="0"/>
              <w:bottom w:val="single" w:color="auto" w:sz="6" w:space="0"/>
              <w:right w:val="single" w:color="auto" w:sz="6" w:space="0"/>
            </w:tcBorders>
            <w:vAlign w:val="center"/>
          </w:tcPr>
          <w:p w14:paraId="3A7523A0">
            <w:pPr>
              <w:autoSpaceDE w:val="0"/>
              <w:autoSpaceDN w:val="0"/>
              <w:adjustRightInd w:val="0"/>
              <w:snapToGrid w:val="0"/>
              <w:rPr>
                <w:rFonts w:cs="宋体" w:asciiTheme="majorEastAsia" w:hAnsiTheme="majorEastAsia" w:eastAsiaTheme="majorEastAsia"/>
                <w:szCs w:val="21"/>
                <w:highlight w:val="none"/>
                <w:lang w:val="zh-CN"/>
              </w:rPr>
            </w:pPr>
            <w:r>
              <w:rPr>
                <w:rFonts w:hint="eastAsia" w:cs="宋体" w:asciiTheme="majorEastAsia" w:hAnsiTheme="majorEastAsia" w:eastAsiaTheme="majorEastAsia"/>
                <w:szCs w:val="21"/>
                <w:highlight w:val="none"/>
              </w:rPr>
              <w:t>合计：</w:t>
            </w:r>
          </w:p>
        </w:tc>
      </w:tr>
    </w:tbl>
    <w:p w14:paraId="698BC722">
      <w:pPr>
        <w:adjustRightInd w:val="0"/>
        <w:snapToGrid w:val="0"/>
        <w:spacing w:line="420" w:lineRule="exact"/>
        <w:ind w:firstLine="413" w:firstLineChars="196"/>
        <w:jc w:val="both"/>
        <w:rPr>
          <w:rFonts w:cs="宋体" w:asciiTheme="majorEastAsia" w:hAnsiTheme="majorEastAsia" w:eastAsiaTheme="majorEastAsia"/>
          <w:b/>
          <w:sz w:val="21"/>
          <w:szCs w:val="21"/>
          <w:highlight w:val="none"/>
        </w:rPr>
      </w:pPr>
      <w:r>
        <w:rPr>
          <w:rFonts w:hint="eastAsia" w:cs="宋体" w:asciiTheme="majorEastAsia" w:hAnsiTheme="majorEastAsia" w:eastAsiaTheme="majorEastAsia"/>
          <w:b/>
          <w:sz w:val="21"/>
          <w:szCs w:val="21"/>
          <w:highlight w:val="none"/>
        </w:rPr>
        <w:t>注：附</w:t>
      </w:r>
      <w:r>
        <w:rPr>
          <w:rFonts w:hint="eastAsia" w:cs="宋体" w:asciiTheme="majorEastAsia" w:hAnsiTheme="majorEastAsia" w:eastAsiaTheme="majorEastAsia"/>
          <w:b/>
          <w:sz w:val="21"/>
          <w:szCs w:val="21"/>
          <w:highlight w:val="none"/>
          <w:lang w:val="en-US" w:eastAsia="zh-CN"/>
        </w:rPr>
        <w:t>2022年至2024年</w:t>
      </w:r>
      <w:r>
        <w:rPr>
          <w:rFonts w:hint="eastAsia" w:cs="宋体" w:asciiTheme="majorEastAsia" w:hAnsiTheme="majorEastAsia" w:eastAsiaTheme="majorEastAsia"/>
          <w:b/>
          <w:sz w:val="21"/>
          <w:szCs w:val="21"/>
          <w:highlight w:val="none"/>
        </w:rPr>
        <w:t>经第三方审计的审计报告</w:t>
      </w:r>
      <w:r>
        <w:rPr>
          <w:rFonts w:hint="eastAsia" w:cs="宋体" w:asciiTheme="majorEastAsia" w:hAnsiTheme="majorEastAsia" w:eastAsiaTheme="majorEastAsia"/>
          <w:b/>
          <w:sz w:val="21"/>
          <w:szCs w:val="21"/>
          <w:highlight w:val="none"/>
          <w:lang w:val="en-US" w:eastAsia="zh-CN"/>
        </w:rPr>
        <w:t>或</w:t>
      </w:r>
      <w:r>
        <w:rPr>
          <w:rFonts w:hint="eastAsia" w:cs="宋体" w:asciiTheme="majorEastAsia" w:hAnsiTheme="majorEastAsia" w:eastAsiaTheme="majorEastAsia"/>
          <w:b/>
          <w:sz w:val="21"/>
          <w:szCs w:val="21"/>
          <w:highlight w:val="none"/>
        </w:rPr>
        <w:t>财务报表（包括资产负债表、利润表、现金流量表），成立不满3年的，提供自成立至今经第三方审计的审计报告</w:t>
      </w:r>
      <w:r>
        <w:rPr>
          <w:rFonts w:hint="eastAsia" w:cs="宋体" w:asciiTheme="majorEastAsia" w:hAnsiTheme="majorEastAsia" w:eastAsiaTheme="majorEastAsia"/>
          <w:b/>
          <w:sz w:val="21"/>
          <w:szCs w:val="21"/>
          <w:highlight w:val="none"/>
          <w:lang w:val="en-US" w:eastAsia="zh-CN"/>
        </w:rPr>
        <w:t>或</w:t>
      </w:r>
      <w:r>
        <w:rPr>
          <w:rFonts w:hint="eastAsia" w:cs="宋体" w:asciiTheme="majorEastAsia" w:hAnsiTheme="majorEastAsia" w:eastAsiaTheme="majorEastAsia"/>
          <w:b/>
          <w:sz w:val="21"/>
          <w:szCs w:val="21"/>
          <w:highlight w:val="none"/>
        </w:rPr>
        <w:t>财务报表（包括资产负债表、利润表、现金流量表），成立不满1年的，提供自成立至今自行编制的财务报表（包括资产负债表、利润表、现金流量表），若为联合体投标的，联合体</w:t>
      </w:r>
      <w:r>
        <w:rPr>
          <w:rFonts w:hint="eastAsia" w:cs="宋体" w:asciiTheme="majorEastAsia" w:hAnsiTheme="majorEastAsia" w:eastAsiaTheme="majorEastAsia"/>
          <w:b/>
          <w:sz w:val="21"/>
          <w:szCs w:val="21"/>
          <w:highlight w:val="none"/>
          <w:lang w:val="en-US" w:eastAsia="zh-CN"/>
        </w:rPr>
        <w:t>牵头人</w:t>
      </w:r>
      <w:r>
        <w:rPr>
          <w:rFonts w:hint="eastAsia" w:cs="宋体" w:asciiTheme="majorEastAsia" w:hAnsiTheme="majorEastAsia" w:eastAsiaTheme="majorEastAsia"/>
          <w:b/>
          <w:sz w:val="21"/>
          <w:szCs w:val="21"/>
          <w:highlight w:val="none"/>
        </w:rPr>
        <w:t>提供。</w:t>
      </w:r>
    </w:p>
    <w:p w14:paraId="418C5B36">
      <w:pPr>
        <w:spacing w:line="60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投 标 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（电子签章）</w:t>
      </w:r>
    </w:p>
    <w:p w14:paraId="7642002F">
      <w:pPr>
        <w:spacing w:line="60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法定代表人或其委托代理人：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szCs w:val="21"/>
          <w:highlight w:val="none"/>
        </w:rPr>
        <w:t>（电子签章）</w:t>
      </w:r>
    </w:p>
    <w:p w14:paraId="7E879759">
      <w:pPr>
        <w:spacing w:line="60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日   期：</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 xml:space="preserve">年 </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月</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日</w:t>
      </w:r>
    </w:p>
    <w:p w14:paraId="5B805899">
      <w:pPr>
        <w:rPr>
          <w:rFonts w:cs="宋体" w:asciiTheme="majorEastAsia" w:hAnsiTheme="majorEastAsia" w:eastAsiaTheme="majorEastAsia"/>
          <w:highlight w:val="none"/>
        </w:rPr>
      </w:pPr>
      <w:r>
        <w:rPr>
          <w:rFonts w:hint="eastAsia" w:cs="宋体" w:asciiTheme="majorEastAsia" w:hAnsiTheme="majorEastAsia" w:eastAsiaTheme="majorEastAsia"/>
          <w:highlight w:val="none"/>
        </w:rPr>
        <w:br w:type="page"/>
      </w:r>
    </w:p>
    <w:p w14:paraId="1FC26950">
      <w:pPr>
        <w:pStyle w:val="3"/>
        <w:spacing w:before="120" w:after="120" w:afterLines="50" w:line="700" w:lineRule="exact"/>
        <w:ind w:left="0" w:firstLine="0"/>
        <w:jc w:val="center"/>
        <w:rPr>
          <w:rStyle w:val="154"/>
          <w:rFonts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2"/>
          <w:szCs w:val="32"/>
          <w:highlight w:val="none"/>
        </w:rPr>
        <w:t>附件</w:t>
      </w:r>
      <w:r>
        <w:rPr>
          <w:rStyle w:val="154"/>
          <w:rFonts w:hint="eastAsia" w:cs="宋体" w:asciiTheme="majorEastAsia" w:hAnsiTheme="majorEastAsia" w:eastAsiaTheme="majorEastAsia"/>
          <w:sz w:val="32"/>
          <w:szCs w:val="32"/>
          <w:highlight w:val="none"/>
          <w:lang w:val="en-US" w:eastAsia="zh-CN"/>
        </w:rPr>
        <w:t>八</w:t>
      </w:r>
      <w:r>
        <w:rPr>
          <w:rStyle w:val="154"/>
          <w:rFonts w:hint="eastAsia" w:cs="宋体" w:asciiTheme="majorEastAsia" w:hAnsiTheme="majorEastAsia" w:eastAsiaTheme="majorEastAsia"/>
          <w:sz w:val="32"/>
          <w:szCs w:val="32"/>
          <w:highlight w:val="none"/>
        </w:rPr>
        <w:t>：项目总负责人简历表</w:t>
      </w:r>
    </w:p>
    <w:tbl>
      <w:tblPr>
        <w:tblStyle w:val="63"/>
        <w:tblW w:w="974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50"/>
        <w:gridCol w:w="1346"/>
        <w:gridCol w:w="1210"/>
        <w:gridCol w:w="731"/>
        <w:gridCol w:w="641"/>
        <w:gridCol w:w="1381"/>
        <w:gridCol w:w="540"/>
        <w:gridCol w:w="2641"/>
      </w:tblGrid>
      <w:tr w14:paraId="347D3A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0" w:type="dxa"/>
            <w:vAlign w:val="center"/>
          </w:tcPr>
          <w:p w14:paraId="43728C27">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姓  名</w:t>
            </w:r>
          </w:p>
        </w:tc>
        <w:tc>
          <w:tcPr>
            <w:tcW w:w="1346" w:type="dxa"/>
            <w:vAlign w:val="center"/>
          </w:tcPr>
          <w:p w14:paraId="76CF37E6">
            <w:pPr>
              <w:spacing w:line="360" w:lineRule="exact"/>
              <w:jc w:val="center"/>
              <w:rPr>
                <w:rFonts w:cs="宋体" w:asciiTheme="majorEastAsia" w:hAnsiTheme="majorEastAsia" w:eastAsiaTheme="majorEastAsia"/>
                <w:szCs w:val="21"/>
                <w:highlight w:val="none"/>
              </w:rPr>
            </w:pPr>
          </w:p>
        </w:tc>
        <w:tc>
          <w:tcPr>
            <w:tcW w:w="1210" w:type="dxa"/>
            <w:vAlign w:val="center"/>
          </w:tcPr>
          <w:p w14:paraId="0E7DF2D0">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年  龄</w:t>
            </w:r>
          </w:p>
        </w:tc>
        <w:tc>
          <w:tcPr>
            <w:tcW w:w="1372" w:type="dxa"/>
            <w:gridSpan w:val="2"/>
            <w:vAlign w:val="center"/>
          </w:tcPr>
          <w:p w14:paraId="716EFE8E">
            <w:pPr>
              <w:spacing w:line="360" w:lineRule="exact"/>
              <w:jc w:val="center"/>
              <w:rPr>
                <w:rFonts w:cs="宋体" w:asciiTheme="majorEastAsia" w:hAnsiTheme="majorEastAsia" w:eastAsiaTheme="majorEastAsia"/>
                <w:szCs w:val="21"/>
                <w:highlight w:val="none"/>
              </w:rPr>
            </w:pPr>
          </w:p>
        </w:tc>
        <w:tc>
          <w:tcPr>
            <w:tcW w:w="1921" w:type="dxa"/>
            <w:gridSpan w:val="2"/>
            <w:vAlign w:val="center"/>
          </w:tcPr>
          <w:p w14:paraId="5E52BB10">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学  历</w:t>
            </w:r>
          </w:p>
        </w:tc>
        <w:tc>
          <w:tcPr>
            <w:tcW w:w="2641" w:type="dxa"/>
            <w:vAlign w:val="center"/>
          </w:tcPr>
          <w:p w14:paraId="589EBD67">
            <w:pPr>
              <w:spacing w:line="360" w:lineRule="exact"/>
              <w:jc w:val="center"/>
              <w:rPr>
                <w:rFonts w:cs="宋体" w:asciiTheme="majorEastAsia" w:hAnsiTheme="majorEastAsia" w:eastAsiaTheme="majorEastAsia"/>
                <w:szCs w:val="21"/>
                <w:highlight w:val="none"/>
              </w:rPr>
            </w:pPr>
          </w:p>
        </w:tc>
      </w:tr>
      <w:tr w14:paraId="560FEB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0" w:type="dxa"/>
            <w:vAlign w:val="center"/>
          </w:tcPr>
          <w:p w14:paraId="1CDA1CBF">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职  称</w:t>
            </w:r>
          </w:p>
        </w:tc>
        <w:tc>
          <w:tcPr>
            <w:tcW w:w="1346" w:type="dxa"/>
            <w:vAlign w:val="center"/>
          </w:tcPr>
          <w:p w14:paraId="6C6CCF72">
            <w:pPr>
              <w:spacing w:line="360" w:lineRule="exact"/>
              <w:jc w:val="center"/>
              <w:rPr>
                <w:rFonts w:cs="宋体" w:asciiTheme="majorEastAsia" w:hAnsiTheme="majorEastAsia" w:eastAsiaTheme="majorEastAsia"/>
                <w:szCs w:val="21"/>
                <w:highlight w:val="none"/>
              </w:rPr>
            </w:pPr>
          </w:p>
        </w:tc>
        <w:tc>
          <w:tcPr>
            <w:tcW w:w="1210" w:type="dxa"/>
            <w:vAlign w:val="center"/>
          </w:tcPr>
          <w:p w14:paraId="144F77F5">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职  务</w:t>
            </w:r>
          </w:p>
        </w:tc>
        <w:tc>
          <w:tcPr>
            <w:tcW w:w="1372" w:type="dxa"/>
            <w:gridSpan w:val="2"/>
            <w:vAlign w:val="center"/>
          </w:tcPr>
          <w:p w14:paraId="7ECC77C7">
            <w:pPr>
              <w:spacing w:line="360" w:lineRule="exact"/>
              <w:jc w:val="center"/>
              <w:rPr>
                <w:rFonts w:cs="宋体" w:asciiTheme="majorEastAsia" w:hAnsiTheme="majorEastAsia" w:eastAsiaTheme="majorEastAsia"/>
                <w:szCs w:val="21"/>
                <w:highlight w:val="none"/>
              </w:rPr>
            </w:pPr>
          </w:p>
        </w:tc>
        <w:tc>
          <w:tcPr>
            <w:tcW w:w="1921" w:type="dxa"/>
            <w:gridSpan w:val="2"/>
            <w:vAlign w:val="center"/>
          </w:tcPr>
          <w:p w14:paraId="3151D961">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拟在本工程任职</w:t>
            </w:r>
          </w:p>
        </w:tc>
        <w:tc>
          <w:tcPr>
            <w:tcW w:w="2641" w:type="dxa"/>
            <w:vAlign w:val="center"/>
          </w:tcPr>
          <w:p w14:paraId="04D82ED4">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项目总负责人</w:t>
            </w:r>
          </w:p>
          <w:p w14:paraId="619B59DE">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（施工负责人）</w:t>
            </w:r>
          </w:p>
        </w:tc>
      </w:tr>
      <w:tr w14:paraId="4E836F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06" w:type="dxa"/>
            <w:gridSpan w:val="3"/>
            <w:vAlign w:val="center"/>
          </w:tcPr>
          <w:p w14:paraId="03A016B6">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注册建造师资格等级</w:t>
            </w:r>
          </w:p>
        </w:tc>
        <w:tc>
          <w:tcPr>
            <w:tcW w:w="1372" w:type="dxa"/>
            <w:gridSpan w:val="2"/>
            <w:vAlign w:val="center"/>
          </w:tcPr>
          <w:p w14:paraId="087E3CB2">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 xml:space="preserve">       级</w:t>
            </w:r>
          </w:p>
        </w:tc>
        <w:tc>
          <w:tcPr>
            <w:tcW w:w="1921" w:type="dxa"/>
            <w:gridSpan w:val="2"/>
            <w:vAlign w:val="center"/>
          </w:tcPr>
          <w:p w14:paraId="77BD5739">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建造师专业</w:t>
            </w:r>
          </w:p>
        </w:tc>
        <w:tc>
          <w:tcPr>
            <w:tcW w:w="2641" w:type="dxa"/>
            <w:vAlign w:val="center"/>
          </w:tcPr>
          <w:p w14:paraId="447F23B2">
            <w:pPr>
              <w:spacing w:line="360" w:lineRule="exact"/>
              <w:jc w:val="center"/>
              <w:rPr>
                <w:rFonts w:cs="宋体" w:asciiTheme="majorEastAsia" w:hAnsiTheme="majorEastAsia" w:eastAsiaTheme="majorEastAsia"/>
                <w:szCs w:val="21"/>
                <w:highlight w:val="none"/>
              </w:rPr>
            </w:pPr>
          </w:p>
        </w:tc>
      </w:tr>
      <w:tr w14:paraId="6132DE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06" w:type="dxa"/>
            <w:gridSpan w:val="3"/>
            <w:vAlign w:val="center"/>
          </w:tcPr>
          <w:p w14:paraId="0682D670">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注册编号</w:t>
            </w:r>
          </w:p>
        </w:tc>
        <w:tc>
          <w:tcPr>
            <w:tcW w:w="5934" w:type="dxa"/>
            <w:gridSpan w:val="5"/>
            <w:vAlign w:val="center"/>
          </w:tcPr>
          <w:p w14:paraId="14ED9B00">
            <w:pPr>
              <w:spacing w:line="360" w:lineRule="exact"/>
              <w:rPr>
                <w:rFonts w:cs="宋体" w:asciiTheme="majorEastAsia" w:hAnsiTheme="majorEastAsia" w:eastAsiaTheme="majorEastAsia"/>
                <w:szCs w:val="21"/>
                <w:highlight w:val="none"/>
              </w:rPr>
            </w:pPr>
          </w:p>
        </w:tc>
      </w:tr>
      <w:tr w14:paraId="23A245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06" w:type="dxa"/>
            <w:gridSpan w:val="3"/>
            <w:vAlign w:val="center"/>
          </w:tcPr>
          <w:p w14:paraId="789EB2B0">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安全生产考核合格证书</w:t>
            </w:r>
          </w:p>
        </w:tc>
        <w:tc>
          <w:tcPr>
            <w:tcW w:w="5934" w:type="dxa"/>
            <w:gridSpan w:val="5"/>
            <w:vAlign w:val="center"/>
          </w:tcPr>
          <w:p w14:paraId="24EA221B">
            <w:pPr>
              <w:spacing w:line="360" w:lineRule="exact"/>
              <w:jc w:val="center"/>
              <w:rPr>
                <w:rFonts w:cs="宋体" w:asciiTheme="majorEastAsia" w:hAnsiTheme="majorEastAsia" w:eastAsiaTheme="majorEastAsia"/>
                <w:szCs w:val="21"/>
                <w:highlight w:val="none"/>
              </w:rPr>
            </w:pPr>
          </w:p>
        </w:tc>
      </w:tr>
      <w:tr w14:paraId="581D0A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06" w:type="dxa"/>
            <w:gridSpan w:val="3"/>
            <w:vAlign w:val="center"/>
          </w:tcPr>
          <w:p w14:paraId="646D9F14">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身份证号码</w:t>
            </w:r>
          </w:p>
        </w:tc>
        <w:tc>
          <w:tcPr>
            <w:tcW w:w="5934" w:type="dxa"/>
            <w:gridSpan w:val="5"/>
            <w:vAlign w:val="center"/>
          </w:tcPr>
          <w:p w14:paraId="0D180C33">
            <w:pPr>
              <w:spacing w:line="360" w:lineRule="exact"/>
              <w:jc w:val="center"/>
              <w:rPr>
                <w:rFonts w:cs="宋体" w:asciiTheme="majorEastAsia" w:hAnsiTheme="majorEastAsia" w:eastAsiaTheme="majorEastAsia"/>
                <w:szCs w:val="21"/>
                <w:highlight w:val="none"/>
              </w:rPr>
            </w:pPr>
          </w:p>
        </w:tc>
      </w:tr>
      <w:tr w14:paraId="61D0BC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0" w:type="dxa"/>
            <w:vAlign w:val="center"/>
          </w:tcPr>
          <w:p w14:paraId="41416CC5">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毕业</w:t>
            </w:r>
          </w:p>
          <w:p w14:paraId="241B0739">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学校</w:t>
            </w:r>
          </w:p>
        </w:tc>
        <w:tc>
          <w:tcPr>
            <w:tcW w:w="8490" w:type="dxa"/>
            <w:gridSpan w:val="7"/>
            <w:vAlign w:val="center"/>
          </w:tcPr>
          <w:p w14:paraId="6C7AE33C">
            <w:pPr>
              <w:spacing w:line="360" w:lineRule="exact"/>
              <w:ind w:firstLine="1200" w:firstLineChars="500"/>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年毕业于            学校               专业</w:t>
            </w:r>
          </w:p>
        </w:tc>
      </w:tr>
      <w:tr w14:paraId="3FB844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40" w:type="dxa"/>
            <w:gridSpan w:val="8"/>
            <w:vAlign w:val="center"/>
          </w:tcPr>
          <w:p w14:paraId="3E8B7DE7">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主要工作经历</w:t>
            </w:r>
          </w:p>
        </w:tc>
      </w:tr>
      <w:tr w14:paraId="3495ED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0" w:type="dxa"/>
            <w:vAlign w:val="center"/>
          </w:tcPr>
          <w:p w14:paraId="03F90026">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时  间</w:t>
            </w:r>
          </w:p>
        </w:tc>
        <w:tc>
          <w:tcPr>
            <w:tcW w:w="3287" w:type="dxa"/>
            <w:gridSpan w:val="3"/>
            <w:vAlign w:val="center"/>
          </w:tcPr>
          <w:p w14:paraId="2DEBDD77">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参加过的项目名称</w:t>
            </w:r>
          </w:p>
        </w:tc>
        <w:tc>
          <w:tcPr>
            <w:tcW w:w="2022" w:type="dxa"/>
            <w:gridSpan w:val="2"/>
            <w:vAlign w:val="center"/>
          </w:tcPr>
          <w:p w14:paraId="799A3A22">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工程概况说明</w:t>
            </w:r>
          </w:p>
        </w:tc>
        <w:tc>
          <w:tcPr>
            <w:tcW w:w="3181" w:type="dxa"/>
            <w:gridSpan w:val="2"/>
            <w:vAlign w:val="center"/>
          </w:tcPr>
          <w:p w14:paraId="4044CA03">
            <w:pPr>
              <w:spacing w:line="36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发包人及联系电话</w:t>
            </w:r>
          </w:p>
        </w:tc>
      </w:tr>
      <w:tr w14:paraId="23B021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0" w:type="dxa"/>
            <w:vAlign w:val="center"/>
          </w:tcPr>
          <w:p w14:paraId="37521662">
            <w:pPr>
              <w:spacing w:line="360" w:lineRule="exact"/>
              <w:jc w:val="center"/>
              <w:rPr>
                <w:rFonts w:cs="宋体" w:asciiTheme="majorEastAsia" w:hAnsiTheme="majorEastAsia" w:eastAsiaTheme="majorEastAsia"/>
                <w:szCs w:val="21"/>
                <w:highlight w:val="none"/>
              </w:rPr>
            </w:pPr>
          </w:p>
        </w:tc>
        <w:tc>
          <w:tcPr>
            <w:tcW w:w="3287" w:type="dxa"/>
            <w:gridSpan w:val="3"/>
            <w:vAlign w:val="center"/>
          </w:tcPr>
          <w:p w14:paraId="4F06D244">
            <w:pPr>
              <w:spacing w:line="360" w:lineRule="exact"/>
              <w:jc w:val="center"/>
              <w:rPr>
                <w:rFonts w:cs="宋体" w:asciiTheme="majorEastAsia" w:hAnsiTheme="majorEastAsia" w:eastAsiaTheme="majorEastAsia"/>
                <w:szCs w:val="21"/>
                <w:highlight w:val="none"/>
              </w:rPr>
            </w:pPr>
          </w:p>
        </w:tc>
        <w:tc>
          <w:tcPr>
            <w:tcW w:w="2022" w:type="dxa"/>
            <w:gridSpan w:val="2"/>
            <w:vAlign w:val="center"/>
          </w:tcPr>
          <w:p w14:paraId="33D2F4A3">
            <w:pPr>
              <w:spacing w:line="360" w:lineRule="exact"/>
              <w:jc w:val="center"/>
              <w:rPr>
                <w:rFonts w:cs="宋体" w:asciiTheme="majorEastAsia" w:hAnsiTheme="majorEastAsia" w:eastAsiaTheme="majorEastAsia"/>
                <w:szCs w:val="21"/>
                <w:highlight w:val="none"/>
              </w:rPr>
            </w:pPr>
          </w:p>
        </w:tc>
        <w:tc>
          <w:tcPr>
            <w:tcW w:w="3181" w:type="dxa"/>
            <w:gridSpan w:val="2"/>
            <w:vAlign w:val="center"/>
          </w:tcPr>
          <w:p w14:paraId="380F1E4B">
            <w:pPr>
              <w:spacing w:line="360" w:lineRule="exact"/>
              <w:jc w:val="center"/>
              <w:rPr>
                <w:rFonts w:cs="宋体" w:asciiTheme="majorEastAsia" w:hAnsiTheme="majorEastAsia" w:eastAsiaTheme="majorEastAsia"/>
                <w:szCs w:val="21"/>
                <w:highlight w:val="none"/>
              </w:rPr>
            </w:pPr>
          </w:p>
        </w:tc>
      </w:tr>
      <w:tr w14:paraId="377E5E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0" w:type="dxa"/>
            <w:vAlign w:val="center"/>
          </w:tcPr>
          <w:p w14:paraId="09A1AE0C">
            <w:pPr>
              <w:spacing w:line="360" w:lineRule="exact"/>
              <w:jc w:val="center"/>
              <w:rPr>
                <w:rFonts w:cs="宋体" w:asciiTheme="majorEastAsia" w:hAnsiTheme="majorEastAsia" w:eastAsiaTheme="majorEastAsia"/>
                <w:szCs w:val="21"/>
                <w:highlight w:val="none"/>
              </w:rPr>
            </w:pPr>
          </w:p>
        </w:tc>
        <w:tc>
          <w:tcPr>
            <w:tcW w:w="3287" w:type="dxa"/>
            <w:gridSpan w:val="3"/>
            <w:vAlign w:val="center"/>
          </w:tcPr>
          <w:p w14:paraId="73F92B96">
            <w:pPr>
              <w:spacing w:line="360" w:lineRule="exact"/>
              <w:jc w:val="center"/>
              <w:rPr>
                <w:rFonts w:cs="宋体" w:asciiTheme="majorEastAsia" w:hAnsiTheme="majorEastAsia" w:eastAsiaTheme="majorEastAsia"/>
                <w:szCs w:val="21"/>
                <w:highlight w:val="none"/>
              </w:rPr>
            </w:pPr>
          </w:p>
        </w:tc>
        <w:tc>
          <w:tcPr>
            <w:tcW w:w="2022" w:type="dxa"/>
            <w:gridSpan w:val="2"/>
            <w:vAlign w:val="center"/>
          </w:tcPr>
          <w:p w14:paraId="2562E650">
            <w:pPr>
              <w:spacing w:line="360" w:lineRule="exact"/>
              <w:jc w:val="center"/>
              <w:rPr>
                <w:rFonts w:cs="宋体" w:asciiTheme="majorEastAsia" w:hAnsiTheme="majorEastAsia" w:eastAsiaTheme="majorEastAsia"/>
                <w:szCs w:val="21"/>
                <w:highlight w:val="none"/>
              </w:rPr>
            </w:pPr>
          </w:p>
        </w:tc>
        <w:tc>
          <w:tcPr>
            <w:tcW w:w="3181" w:type="dxa"/>
            <w:gridSpan w:val="2"/>
            <w:vAlign w:val="center"/>
          </w:tcPr>
          <w:p w14:paraId="577F4AB6">
            <w:pPr>
              <w:spacing w:line="360" w:lineRule="exact"/>
              <w:jc w:val="center"/>
              <w:rPr>
                <w:rFonts w:cs="宋体" w:asciiTheme="majorEastAsia" w:hAnsiTheme="majorEastAsia" w:eastAsiaTheme="majorEastAsia"/>
                <w:szCs w:val="21"/>
                <w:highlight w:val="none"/>
              </w:rPr>
            </w:pPr>
          </w:p>
        </w:tc>
      </w:tr>
      <w:tr w14:paraId="7C1B5A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0" w:type="dxa"/>
            <w:vAlign w:val="center"/>
          </w:tcPr>
          <w:p w14:paraId="66033658">
            <w:pPr>
              <w:spacing w:line="360" w:lineRule="exact"/>
              <w:jc w:val="center"/>
              <w:rPr>
                <w:rFonts w:cs="宋体" w:asciiTheme="majorEastAsia" w:hAnsiTheme="majorEastAsia" w:eastAsiaTheme="majorEastAsia"/>
                <w:szCs w:val="21"/>
                <w:highlight w:val="none"/>
              </w:rPr>
            </w:pPr>
          </w:p>
        </w:tc>
        <w:tc>
          <w:tcPr>
            <w:tcW w:w="3287" w:type="dxa"/>
            <w:gridSpan w:val="3"/>
            <w:vAlign w:val="center"/>
          </w:tcPr>
          <w:p w14:paraId="3E8784E2">
            <w:pPr>
              <w:spacing w:line="360" w:lineRule="exact"/>
              <w:jc w:val="center"/>
              <w:rPr>
                <w:rFonts w:cs="宋体" w:asciiTheme="majorEastAsia" w:hAnsiTheme="majorEastAsia" w:eastAsiaTheme="majorEastAsia"/>
                <w:szCs w:val="21"/>
                <w:highlight w:val="none"/>
              </w:rPr>
            </w:pPr>
          </w:p>
        </w:tc>
        <w:tc>
          <w:tcPr>
            <w:tcW w:w="2022" w:type="dxa"/>
            <w:gridSpan w:val="2"/>
            <w:vAlign w:val="center"/>
          </w:tcPr>
          <w:p w14:paraId="6188DFCB">
            <w:pPr>
              <w:spacing w:line="360" w:lineRule="exact"/>
              <w:jc w:val="center"/>
              <w:rPr>
                <w:rFonts w:cs="宋体" w:asciiTheme="majorEastAsia" w:hAnsiTheme="majorEastAsia" w:eastAsiaTheme="majorEastAsia"/>
                <w:szCs w:val="21"/>
                <w:highlight w:val="none"/>
              </w:rPr>
            </w:pPr>
          </w:p>
        </w:tc>
        <w:tc>
          <w:tcPr>
            <w:tcW w:w="3181" w:type="dxa"/>
            <w:gridSpan w:val="2"/>
            <w:vAlign w:val="center"/>
          </w:tcPr>
          <w:p w14:paraId="04B41D41">
            <w:pPr>
              <w:spacing w:line="360" w:lineRule="exact"/>
              <w:jc w:val="center"/>
              <w:rPr>
                <w:rFonts w:cs="宋体" w:asciiTheme="majorEastAsia" w:hAnsiTheme="majorEastAsia" w:eastAsiaTheme="majorEastAsia"/>
                <w:szCs w:val="21"/>
                <w:highlight w:val="none"/>
              </w:rPr>
            </w:pPr>
          </w:p>
        </w:tc>
      </w:tr>
      <w:tr w14:paraId="044962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0" w:type="dxa"/>
            <w:vAlign w:val="center"/>
          </w:tcPr>
          <w:p w14:paraId="26398ACE">
            <w:pPr>
              <w:spacing w:line="360" w:lineRule="exact"/>
              <w:jc w:val="center"/>
              <w:rPr>
                <w:rFonts w:cs="宋体" w:asciiTheme="majorEastAsia" w:hAnsiTheme="majorEastAsia" w:eastAsiaTheme="majorEastAsia"/>
                <w:szCs w:val="21"/>
                <w:highlight w:val="none"/>
              </w:rPr>
            </w:pPr>
          </w:p>
        </w:tc>
        <w:tc>
          <w:tcPr>
            <w:tcW w:w="3287" w:type="dxa"/>
            <w:gridSpan w:val="3"/>
            <w:vAlign w:val="center"/>
          </w:tcPr>
          <w:p w14:paraId="40552B9C">
            <w:pPr>
              <w:spacing w:line="360" w:lineRule="exact"/>
              <w:jc w:val="center"/>
              <w:rPr>
                <w:rFonts w:cs="宋体" w:asciiTheme="majorEastAsia" w:hAnsiTheme="majorEastAsia" w:eastAsiaTheme="majorEastAsia"/>
                <w:szCs w:val="21"/>
                <w:highlight w:val="none"/>
              </w:rPr>
            </w:pPr>
          </w:p>
        </w:tc>
        <w:tc>
          <w:tcPr>
            <w:tcW w:w="2022" w:type="dxa"/>
            <w:gridSpan w:val="2"/>
            <w:vAlign w:val="center"/>
          </w:tcPr>
          <w:p w14:paraId="31FD135F">
            <w:pPr>
              <w:spacing w:line="360" w:lineRule="exact"/>
              <w:jc w:val="center"/>
              <w:rPr>
                <w:rFonts w:cs="宋体" w:asciiTheme="majorEastAsia" w:hAnsiTheme="majorEastAsia" w:eastAsiaTheme="majorEastAsia"/>
                <w:szCs w:val="21"/>
                <w:highlight w:val="none"/>
              </w:rPr>
            </w:pPr>
          </w:p>
        </w:tc>
        <w:tc>
          <w:tcPr>
            <w:tcW w:w="3181" w:type="dxa"/>
            <w:gridSpan w:val="2"/>
            <w:vAlign w:val="center"/>
          </w:tcPr>
          <w:p w14:paraId="3C411FC0">
            <w:pPr>
              <w:spacing w:line="360" w:lineRule="exact"/>
              <w:jc w:val="center"/>
              <w:rPr>
                <w:rFonts w:cs="宋体" w:asciiTheme="majorEastAsia" w:hAnsiTheme="majorEastAsia" w:eastAsiaTheme="majorEastAsia"/>
                <w:szCs w:val="21"/>
                <w:highlight w:val="none"/>
              </w:rPr>
            </w:pPr>
          </w:p>
        </w:tc>
      </w:tr>
      <w:tr w14:paraId="36350E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0" w:type="dxa"/>
            <w:vAlign w:val="center"/>
          </w:tcPr>
          <w:p w14:paraId="41EF3E5C">
            <w:pPr>
              <w:spacing w:line="360" w:lineRule="exact"/>
              <w:jc w:val="center"/>
              <w:rPr>
                <w:rFonts w:cs="宋体" w:asciiTheme="majorEastAsia" w:hAnsiTheme="majorEastAsia" w:eastAsiaTheme="majorEastAsia"/>
                <w:szCs w:val="21"/>
                <w:highlight w:val="none"/>
              </w:rPr>
            </w:pPr>
          </w:p>
        </w:tc>
        <w:tc>
          <w:tcPr>
            <w:tcW w:w="3287" w:type="dxa"/>
            <w:gridSpan w:val="3"/>
            <w:vAlign w:val="center"/>
          </w:tcPr>
          <w:p w14:paraId="0B2DE2A5">
            <w:pPr>
              <w:spacing w:line="360" w:lineRule="exact"/>
              <w:jc w:val="center"/>
              <w:rPr>
                <w:rFonts w:cs="宋体" w:asciiTheme="majorEastAsia" w:hAnsiTheme="majorEastAsia" w:eastAsiaTheme="majorEastAsia"/>
                <w:szCs w:val="21"/>
                <w:highlight w:val="none"/>
              </w:rPr>
            </w:pPr>
          </w:p>
        </w:tc>
        <w:tc>
          <w:tcPr>
            <w:tcW w:w="2022" w:type="dxa"/>
            <w:gridSpan w:val="2"/>
            <w:vAlign w:val="center"/>
          </w:tcPr>
          <w:p w14:paraId="4177304A">
            <w:pPr>
              <w:spacing w:line="360" w:lineRule="exact"/>
              <w:jc w:val="center"/>
              <w:rPr>
                <w:rFonts w:cs="宋体" w:asciiTheme="majorEastAsia" w:hAnsiTheme="majorEastAsia" w:eastAsiaTheme="majorEastAsia"/>
                <w:szCs w:val="21"/>
                <w:highlight w:val="none"/>
              </w:rPr>
            </w:pPr>
          </w:p>
        </w:tc>
        <w:tc>
          <w:tcPr>
            <w:tcW w:w="3181" w:type="dxa"/>
            <w:gridSpan w:val="2"/>
            <w:vAlign w:val="center"/>
          </w:tcPr>
          <w:p w14:paraId="4B6EA46C">
            <w:pPr>
              <w:spacing w:line="360" w:lineRule="exact"/>
              <w:jc w:val="center"/>
              <w:rPr>
                <w:rFonts w:cs="宋体" w:asciiTheme="majorEastAsia" w:hAnsiTheme="majorEastAsia" w:eastAsiaTheme="majorEastAsia"/>
                <w:szCs w:val="21"/>
                <w:highlight w:val="none"/>
              </w:rPr>
            </w:pPr>
          </w:p>
        </w:tc>
      </w:tr>
      <w:tr w14:paraId="29BC94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0" w:type="dxa"/>
            <w:vAlign w:val="center"/>
          </w:tcPr>
          <w:p w14:paraId="369C484B">
            <w:pPr>
              <w:spacing w:line="360" w:lineRule="exact"/>
              <w:jc w:val="center"/>
              <w:rPr>
                <w:rFonts w:cs="宋体" w:asciiTheme="majorEastAsia" w:hAnsiTheme="majorEastAsia" w:eastAsiaTheme="majorEastAsia"/>
                <w:szCs w:val="21"/>
                <w:highlight w:val="none"/>
              </w:rPr>
            </w:pPr>
          </w:p>
        </w:tc>
        <w:tc>
          <w:tcPr>
            <w:tcW w:w="3287" w:type="dxa"/>
            <w:gridSpan w:val="3"/>
            <w:vAlign w:val="center"/>
          </w:tcPr>
          <w:p w14:paraId="72E5A0FD">
            <w:pPr>
              <w:spacing w:line="360" w:lineRule="exact"/>
              <w:jc w:val="center"/>
              <w:rPr>
                <w:rFonts w:cs="宋体" w:asciiTheme="majorEastAsia" w:hAnsiTheme="majorEastAsia" w:eastAsiaTheme="majorEastAsia"/>
                <w:szCs w:val="21"/>
                <w:highlight w:val="none"/>
              </w:rPr>
            </w:pPr>
          </w:p>
        </w:tc>
        <w:tc>
          <w:tcPr>
            <w:tcW w:w="2022" w:type="dxa"/>
            <w:gridSpan w:val="2"/>
            <w:vAlign w:val="center"/>
          </w:tcPr>
          <w:p w14:paraId="05310EC4">
            <w:pPr>
              <w:spacing w:line="360" w:lineRule="exact"/>
              <w:jc w:val="center"/>
              <w:rPr>
                <w:rFonts w:cs="宋体" w:asciiTheme="majorEastAsia" w:hAnsiTheme="majorEastAsia" w:eastAsiaTheme="majorEastAsia"/>
                <w:szCs w:val="21"/>
                <w:highlight w:val="none"/>
              </w:rPr>
            </w:pPr>
          </w:p>
        </w:tc>
        <w:tc>
          <w:tcPr>
            <w:tcW w:w="3181" w:type="dxa"/>
            <w:gridSpan w:val="2"/>
            <w:vAlign w:val="center"/>
          </w:tcPr>
          <w:p w14:paraId="3F103C7F">
            <w:pPr>
              <w:spacing w:line="360" w:lineRule="exact"/>
              <w:jc w:val="center"/>
              <w:rPr>
                <w:rFonts w:cs="宋体" w:asciiTheme="majorEastAsia" w:hAnsiTheme="majorEastAsia" w:eastAsiaTheme="majorEastAsia"/>
                <w:szCs w:val="21"/>
                <w:highlight w:val="none"/>
              </w:rPr>
            </w:pPr>
          </w:p>
        </w:tc>
      </w:tr>
    </w:tbl>
    <w:p w14:paraId="06716AA6">
      <w:pPr>
        <w:spacing w:line="400" w:lineRule="exact"/>
        <w:rPr>
          <w:rFonts w:cs="宋体" w:asciiTheme="majorEastAsia" w:hAnsiTheme="majorEastAsia" w:eastAsiaTheme="majorEastAsia"/>
          <w:b/>
          <w:sz w:val="21"/>
          <w:szCs w:val="21"/>
          <w:highlight w:val="none"/>
        </w:rPr>
      </w:pPr>
      <w:r>
        <w:rPr>
          <w:rFonts w:hint="eastAsia" w:cs="宋体" w:asciiTheme="majorEastAsia" w:hAnsiTheme="majorEastAsia" w:eastAsiaTheme="majorEastAsia"/>
          <w:b/>
          <w:sz w:val="21"/>
          <w:szCs w:val="21"/>
          <w:highlight w:val="none"/>
        </w:rPr>
        <w:t>注：附拟派项目总负责人的注册证书、安全生产考核合格证、职称证书、身份证、社保证明原件扫描件；提供不得担任其他在建项目的项目负责人书面承诺（格式自拟）。</w:t>
      </w:r>
    </w:p>
    <w:p w14:paraId="1EB967FB">
      <w:pPr>
        <w:rPr>
          <w:rFonts w:cs="宋体" w:asciiTheme="majorEastAsia" w:hAnsiTheme="majorEastAsia" w:eastAsiaTheme="majorEastAsia"/>
          <w:highlight w:val="none"/>
        </w:rPr>
      </w:pPr>
    </w:p>
    <w:p w14:paraId="7D4B8952">
      <w:pPr>
        <w:spacing w:line="60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投 标 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（电子签章）</w:t>
      </w:r>
    </w:p>
    <w:p w14:paraId="0CF15D35">
      <w:pPr>
        <w:spacing w:line="60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法定代表人或其委托代理人：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szCs w:val="21"/>
          <w:highlight w:val="none"/>
        </w:rPr>
        <w:t>（电子签章）</w:t>
      </w:r>
    </w:p>
    <w:p w14:paraId="38DBB653">
      <w:pPr>
        <w:spacing w:line="60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日   期：</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 xml:space="preserve">年 </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月</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日</w:t>
      </w:r>
    </w:p>
    <w:p w14:paraId="7604D10F">
      <w:pPr>
        <w:rPr>
          <w:rFonts w:cs="宋体" w:asciiTheme="majorEastAsia" w:hAnsiTheme="majorEastAsia" w:eastAsiaTheme="majorEastAsia"/>
          <w:highlight w:val="none"/>
        </w:rPr>
      </w:pPr>
    </w:p>
    <w:p w14:paraId="100E84CD">
      <w:pPr>
        <w:rPr>
          <w:rFonts w:cs="宋体" w:asciiTheme="majorEastAsia" w:hAnsiTheme="majorEastAsia" w:eastAsiaTheme="majorEastAsia"/>
          <w:highlight w:val="none"/>
        </w:rPr>
      </w:pPr>
      <w:r>
        <w:rPr>
          <w:rFonts w:hint="eastAsia" w:cs="宋体" w:asciiTheme="majorEastAsia" w:hAnsiTheme="majorEastAsia" w:eastAsiaTheme="majorEastAsia"/>
          <w:highlight w:val="none"/>
        </w:rPr>
        <w:br w:type="page"/>
      </w:r>
    </w:p>
    <w:p w14:paraId="74016E35">
      <w:pPr>
        <w:pStyle w:val="3"/>
        <w:spacing w:before="120" w:after="120" w:afterLines="50" w:line="700" w:lineRule="exact"/>
        <w:ind w:left="0" w:firstLine="0"/>
        <w:jc w:val="center"/>
        <w:rPr>
          <w:rStyle w:val="154"/>
          <w:rFonts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2"/>
          <w:szCs w:val="32"/>
          <w:highlight w:val="none"/>
        </w:rPr>
        <w:t>附件</w:t>
      </w:r>
      <w:r>
        <w:rPr>
          <w:rStyle w:val="154"/>
          <w:rFonts w:hint="eastAsia" w:cs="宋体" w:asciiTheme="majorEastAsia" w:hAnsiTheme="majorEastAsia" w:eastAsiaTheme="majorEastAsia"/>
          <w:sz w:val="32"/>
          <w:szCs w:val="32"/>
          <w:highlight w:val="none"/>
          <w:lang w:val="en-US" w:eastAsia="zh-CN"/>
        </w:rPr>
        <w:t>九</w:t>
      </w:r>
      <w:r>
        <w:rPr>
          <w:rStyle w:val="154"/>
          <w:rFonts w:hint="eastAsia" w:cs="宋体" w:asciiTheme="majorEastAsia" w:hAnsiTheme="majorEastAsia" w:eastAsiaTheme="majorEastAsia"/>
          <w:sz w:val="32"/>
          <w:szCs w:val="32"/>
          <w:highlight w:val="none"/>
        </w:rPr>
        <w:t>：设计负责人简历表</w:t>
      </w:r>
    </w:p>
    <w:tbl>
      <w:tblPr>
        <w:tblStyle w:val="63"/>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2"/>
        <w:gridCol w:w="1076"/>
        <w:gridCol w:w="62"/>
        <w:gridCol w:w="930"/>
        <w:gridCol w:w="851"/>
        <w:gridCol w:w="973"/>
        <w:gridCol w:w="279"/>
        <w:gridCol w:w="1517"/>
        <w:gridCol w:w="700"/>
        <w:gridCol w:w="1910"/>
      </w:tblGrid>
      <w:tr w14:paraId="71FA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80" w:type="dxa"/>
            <w:gridSpan w:val="3"/>
            <w:vAlign w:val="center"/>
          </w:tcPr>
          <w:p w14:paraId="78E951D6">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姓名</w:t>
            </w:r>
          </w:p>
        </w:tc>
        <w:tc>
          <w:tcPr>
            <w:tcW w:w="930" w:type="dxa"/>
            <w:vAlign w:val="center"/>
          </w:tcPr>
          <w:p w14:paraId="419DA330">
            <w:pPr>
              <w:spacing w:line="320" w:lineRule="exact"/>
              <w:jc w:val="center"/>
              <w:rPr>
                <w:rFonts w:cs="宋体" w:asciiTheme="majorEastAsia" w:hAnsiTheme="majorEastAsia" w:eastAsiaTheme="majorEastAsia"/>
                <w:szCs w:val="21"/>
                <w:highlight w:val="none"/>
              </w:rPr>
            </w:pPr>
          </w:p>
        </w:tc>
        <w:tc>
          <w:tcPr>
            <w:tcW w:w="851" w:type="dxa"/>
            <w:vAlign w:val="center"/>
          </w:tcPr>
          <w:p w14:paraId="643BCB45">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性别</w:t>
            </w:r>
          </w:p>
        </w:tc>
        <w:tc>
          <w:tcPr>
            <w:tcW w:w="973" w:type="dxa"/>
            <w:vAlign w:val="center"/>
          </w:tcPr>
          <w:p w14:paraId="47070766">
            <w:pPr>
              <w:spacing w:line="320" w:lineRule="exact"/>
              <w:jc w:val="center"/>
              <w:rPr>
                <w:rFonts w:cs="宋体" w:asciiTheme="majorEastAsia" w:hAnsiTheme="majorEastAsia" w:eastAsiaTheme="majorEastAsia"/>
                <w:szCs w:val="21"/>
                <w:highlight w:val="none"/>
              </w:rPr>
            </w:pPr>
          </w:p>
        </w:tc>
        <w:tc>
          <w:tcPr>
            <w:tcW w:w="2496" w:type="dxa"/>
            <w:gridSpan w:val="3"/>
            <w:vAlign w:val="center"/>
          </w:tcPr>
          <w:p w14:paraId="53D42861">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出生日期</w:t>
            </w:r>
          </w:p>
        </w:tc>
        <w:tc>
          <w:tcPr>
            <w:tcW w:w="1910" w:type="dxa"/>
            <w:vAlign w:val="center"/>
          </w:tcPr>
          <w:p w14:paraId="3D6C9F97">
            <w:pPr>
              <w:spacing w:line="320" w:lineRule="exact"/>
              <w:jc w:val="center"/>
              <w:rPr>
                <w:rFonts w:cs="宋体" w:asciiTheme="majorEastAsia" w:hAnsiTheme="majorEastAsia" w:eastAsiaTheme="majorEastAsia"/>
                <w:szCs w:val="21"/>
                <w:highlight w:val="none"/>
              </w:rPr>
            </w:pPr>
          </w:p>
        </w:tc>
      </w:tr>
      <w:tr w14:paraId="21213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80" w:type="dxa"/>
            <w:gridSpan w:val="3"/>
            <w:vAlign w:val="center"/>
          </w:tcPr>
          <w:p w14:paraId="05C14B25">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毕业院校及专业</w:t>
            </w:r>
          </w:p>
        </w:tc>
        <w:tc>
          <w:tcPr>
            <w:tcW w:w="2754" w:type="dxa"/>
            <w:gridSpan w:val="3"/>
            <w:vAlign w:val="center"/>
          </w:tcPr>
          <w:p w14:paraId="7B26E1E9">
            <w:pPr>
              <w:spacing w:line="320" w:lineRule="exact"/>
              <w:jc w:val="center"/>
              <w:rPr>
                <w:rFonts w:cs="宋体" w:asciiTheme="majorEastAsia" w:hAnsiTheme="majorEastAsia" w:eastAsiaTheme="majorEastAsia"/>
                <w:szCs w:val="21"/>
                <w:highlight w:val="none"/>
              </w:rPr>
            </w:pPr>
          </w:p>
        </w:tc>
        <w:tc>
          <w:tcPr>
            <w:tcW w:w="2496" w:type="dxa"/>
            <w:gridSpan w:val="3"/>
            <w:vAlign w:val="center"/>
          </w:tcPr>
          <w:p w14:paraId="46F2788A">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毕业时间</w:t>
            </w:r>
          </w:p>
        </w:tc>
        <w:tc>
          <w:tcPr>
            <w:tcW w:w="1910" w:type="dxa"/>
            <w:vAlign w:val="center"/>
          </w:tcPr>
          <w:p w14:paraId="07561F50">
            <w:pPr>
              <w:spacing w:line="320" w:lineRule="exact"/>
              <w:jc w:val="center"/>
              <w:rPr>
                <w:rFonts w:cs="宋体" w:asciiTheme="majorEastAsia" w:hAnsiTheme="majorEastAsia" w:eastAsiaTheme="majorEastAsia"/>
                <w:szCs w:val="21"/>
                <w:highlight w:val="none"/>
              </w:rPr>
            </w:pPr>
          </w:p>
        </w:tc>
      </w:tr>
      <w:tr w14:paraId="76927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80" w:type="dxa"/>
            <w:gridSpan w:val="3"/>
            <w:vAlign w:val="center"/>
          </w:tcPr>
          <w:p w14:paraId="276D50DA">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从事本专业时间</w:t>
            </w:r>
          </w:p>
        </w:tc>
        <w:tc>
          <w:tcPr>
            <w:tcW w:w="2754" w:type="dxa"/>
            <w:gridSpan w:val="3"/>
            <w:vAlign w:val="center"/>
          </w:tcPr>
          <w:p w14:paraId="598F3FF4">
            <w:pPr>
              <w:spacing w:line="320" w:lineRule="exact"/>
              <w:jc w:val="center"/>
              <w:rPr>
                <w:rFonts w:cs="宋体" w:asciiTheme="majorEastAsia" w:hAnsiTheme="majorEastAsia" w:eastAsiaTheme="majorEastAsia"/>
                <w:szCs w:val="21"/>
                <w:highlight w:val="none"/>
              </w:rPr>
            </w:pPr>
          </w:p>
        </w:tc>
        <w:tc>
          <w:tcPr>
            <w:tcW w:w="2496" w:type="dxa"/>
            <w:gridSpan w:val="3"/>
            <w:vAlign w:val="center"/>
          </w:tcPr>
          <w:p w14:paraId="1F51E261">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主持设计的工作年限</w:t>
            </w:r>
          </w:p>
        </w:tc>
        <w:tc>
          <w:tcPr>
            <w:tcW w:w="1910" w:type="dxa"/>
            <w:vAlign w:val="center"/>
          </w:tcPr>
          <w:p w14:paraId="4D941151">
            <w:pPr>
              <w:spacing w:line="320" w:lineRule="exact"/>
              <w:jc w:val="center"/>
              <w:rPr>
                <w:rFonts w:cs="宋体" w:asciiTheme="majorEastAsia" w:hAnsiTheme="majorEastAsia" w:eastAsiaTheme="majorEastAsia"/>
                <w:szCs w:val="21"/>
                <w:highlight w:val="none"/>
              </w:rPr>
            </w:pPr>
          </w:p>
        </w:tc>
      </w:tr>
      <w:tr w14:paraId="6354C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80" w:type="dxa"/>
            <w:gridSpan w:val="3"/>
            <w:vAlign w:val="center"/>
          </w:tcPr>
          <w:p w14:paraId="5C0E8220">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执业注册</w:t>
            </w:r>
          </w:p>
        </w:tc>
        <w:tc>
          <w:tcPr>
            <w:tcW w:w="2754" w:type="dxa"/>
            <w:gridSpan w:val="3"/>
            <w:vAlign w:val="center"/>
          </w:tcPr>
          <w:p w14:paraId="4D1A71C3">
            <w:pPr>
              <w:spacing w:line="320" w:lineRule="exact"/>
              <w:jc w:val="center"/>
              <w:rPr>
                <w:rFonts w:cs="宋体" w:asciiTheme="majorEastAsia" w:hAnsiTheme="majorEastAsia" w:eastAsiaTheme="majorEastAsia"/>
                <w:szCs w:val="21"/>
                <w:highlight w:val="none"/>
              </w:rPr>
            </w:pPr>
          </w:p>
        </w:tc>
        <w:tc>
          <w:tcPr>
            <w:tcW w:w="2496" w:type="dxa"/>
            <w:gridSpan w:val="3"/>
            <w:vAlign w:val="center"/>
          </w:tcPr>
          <w:p w14:paraId="60186792">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职称</w:t>
            </w:r>
          </w:p>
        </w:tc>
        <w:tc>
          <w:tcPr>
            <w:tcW w:w="1910" w:type="dxa"/>
            <w:vAlign w:val="center"/>
          </w:tcPr>
          <w:p w14:paraId="20B80B36">
            <w:pPr>
              <w:spacing w:line="320" w:lineRule="exact"/>
              <w:jc w:val="center"/>
              <w:rPr>
                <w:rFonts w:cs="宋体" w:asciiTheme="majorEastAsia" w:hAnsiTheme="majorEastAsia" w:eastAsiaTheme="majorEastAsia"/>
                <w:szCs w:val="21"/>
                <w:highlight w:val="none"/>
              </w:rPr>
            </w:pPr>
          </w:p>
        </w:tc>
      </w:tr>
      <w:tr w14:paraId="4D8FD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0" w:type="dxa"/>
            <w:gridSpan w:val="10"/>
            <w:vAlign w:val="center"/>
          </w:tcPr>
          <w:p w14:paraId="570817E8">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主要工作经历</w:t>
            </w:r>
          </w:p>
        </w:tc>
      </w:tr>
      <w:tr w14:paraId="2791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42" w:type="dxa"/>
            <w:vMerge w:val="restart"/>
            <w:vAlign w:val="center"/>
          </w:tcPr>
          <w:p w14:paraId="14D65339">
            <w:pPr>
              <w:spacing w:line="320" w:lineRule="exact"/>
              <w:ind w:right="-199" w:rightChars="-83"/>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本</w:t>
            </w:r>
          </w:p>
          <w:p w14:paraId="1602E5F3">
            <w:pPr>
              <w:spacing w:line="320" w:lineRule="exact"/>
              <w:ind w:right="-199" w:rightChars="-83"/>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人</w:t>
            </w:r>
          </w:p>
          <w:p w14:paraId="24298DBE">
            <w:pPr>
              <w:spacing w:line="320" w:lineRule="exact"/>
              <w:ind w:right="-199" w:rightChars="-83"/>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主</w:t>
            </w:r>
          </w:p>
          <w:p w14:paraId="026D4FB4">
            <w:pPr>
              <w:spacing w:line="320" w:lineRule="exact"/>
              <w:ind w:right="-199" w:rightChars="-83"/>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要</w:t>
            </w:r>
          </w:p>
          <w:p w14:paraId="2122B3B6">
            <w:pPr>
              <w:spacing w:line="320" w:lineRule="exact"/>
              <w:ind w:right="-199" w:rightChars="-83"/>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设</w:t>
            </w:r>
          </w:p>
          <w:p w14:paraId="3DF97B85">
            <w:pPr>
              <w:spacing w:line="320" w:lineRule="exact"/>
              <w:ind w:right="-199" w:rightChars="-83"/>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计</w:t>
            </w:r>
          </w:p>
          <w:p w14:paraId="2C963CD4">
            <w:pPr>
              <w:spacing w:line="320" w:lineRule="exact"/>
              <w:ind w:right="-199" w:rightChars="-83"/>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成</w:t>
            </w:r>
          </w:p>
          <w:p w14:paraId="5694DC0F">
            <w:pPr>
              <w:spacing w:line="320" w:lineRule="exact"/>
              <w:ind w:right="-199" w:rightChars="-83"/>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果</w:t>
            </w:r>
          </w:p>
        </w:tc>
        <w:tc>
          <w:tcPr>
            <w:tcW w:w="4171" w:type="dxa"/>
            <w:gridSpan w:val="6"/>
            <w:vAlign w:val="center"/>
          </w:tcPr>
          <w:p w14:paraId="5FD42183">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工程名称及规模</w:t>
            </w:r>
          </w:p>
        </w:tc>
        <w:tc>
          <w:tcPr>
            <w:tcW w:w="1517" w:type="dxa"/>
            <w:vAlign w:val="center"/>
          </w:tcPr>
          <w:p w14:paraId="1F287CCD">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完成年月</w:t>
            </w:r>
          </w:p>
        </w:tc>
        <w:tc>
          <w:tcPr>
            <w:tcW w:w="2610" w:type="dxa"/>
            <w:gridSpan w:val="2"/>
            <w:vAlign w:val="center"/>
          </w:tcPr>
          <w:p w14:paraId="2363ABE6">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在该项目中任何职</w:t>
            </w:r>
          </w:p>
        </w:tc>
      </w:tr>
      <w:tr w14:paraId="16761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42" w:type="dxa"/>
            <w:vMerge w:val="continue"/>
            <w:vAlign w:val="center"/>
          </w:tcPr>
          <w:p w14:paraId="165C3E4A">
            <w:pPr>
              <w:spacing w:line="320" w:lineRule="exact"/>
              <w:ind w:right="-199" w:rightChars="-83"/>
              <w:jc w:val="center"/>
              <w:rPr>
                <w:rFonts w:cs="宋体" w:asciiTheme="majorEastAsia" w:hAnsiTheme="majorEastAsia" w:eastAsiaTheme="majorEastAsia"/>
                <w:szCs w:val="21"/>
                <w:highlight w:val="none"/>
              </w:rPr>
            </w:pPr>
          </w:p>
        </w:tc>
        <w:tc>
          <w:tcPr>
            <w:tcW w:w="1076" w:type="dxa"/>
            <w:vAlign w:val="center"/>
          </w:tcPr>
          <w:p w14:paraId="5BAE97E9">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1</w:t>
            </w:r>
          </w:p>
        </w:tc>
        <w:tc>
          <w:tcPr>
            <w:tcW w:w="3095" w:type="dxa"/>
            <w:gridSpan w:val="5"/>
            <w:vAlign w:val="center"/>
          </w:tcPr>
          <w:p w14:paraId="2A88D5B4">
            <w:pPr>
              <w:spacing w:line="320" w:lineRule="exact"/>
              <w:ind w:right="-199" w:rightChars="-83"/>
              <w:jc w:val="center"/>
              <w:rPr>
                <w:rFonts w:cs="宋体" w:asciiTheme="majorEastAsia" w:hAnsiTheme="majorEastAsia" w:eastAsiaTheme="majorEastAsia"/>
                <w:szCs w:val="21"/>
                <w:highlight w:val="none"/>
              </w:rPr>
            </w:pPr>
          </w:p>
        </w:tc>
        <w:tc>
          <w:tcPr>
            <w:tcW w:w="1517" w:type="dxa"/>
            <w:vAlign w:val="center"/>
          </w:tcPr>
          <w:p w14:paraId="4E87AAA0">
            <w:pPr>
              <w:spacing w:line="320" w:lineRule="exact"/>
              <w:ind w:right="-199" w:rightChars="-83"/>
              <w:jc w:val="center"/>
              <w:rPr>
                <w:rFonts w:cs="宋体" w:asciiTheme="majorEastAsia" w:hAnsiTheme="majorEastAsia" w:eastAsiaTheme="majorEastAsia"/>
                <w:szCs w:val="21"/>
                <w:highlight w:val="none"/>
              </w:rPr>
            </w:pPr>
          </w:p>
        </w:tc>
        <w:tc>
          <w:tcPr>
            <w:tcW w:w="2610" w:type="dxa"/>
            <w:gridSpan w:val="2"/>
            <w:vAlign w:val="center"/>
          </w:tcPr>
          <w:p w14:paraId="2E4D209E">
            <w:pPr>
              <w:spacing w:line="320" w:lineRule="exact"/>
              <w:ind w:right="-199" w:rightChars="-83"/>
              <w:jc w:val="center"/>
              <w:rPr>
                <w:rFonts w:cs="宋体" w:asciiTheme="majorEastAsia" w:hAnsiTheme="majorEastAsia" w:eastAsiaTheme="majorEastAsia"/>
                <w:szCs w:val="21"/>
                <w:highlight w:val="none"/>
              </w:rPr>
            </w:pPr>
          </w:p>
        </w:tc>
      </w:tr>
      <w:tr w14:paraId="086B6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42" w:type="dxa"/>
            <w:vMerge w:val="continue"/>
            <w:vAlign w:val="center"/>
          </w:tcPr>
          <w:p w14:paraId="2378E2BA">
            <w:pPr>
              <w:spacing w:line="320" w:lineRule="exact"/>
              <w:ind w:right="-199" w:rightChars="-83"/>
              <w:jc w:val="center"/>
              <w:rPr>
                <w:rFonts w:cs="宋体" w:asciiTheme="majorEastAsia" w:hAnsiTheme="majorEastAsia" w:eastAsiaTheme="majorEastAsia"/>
                <w:szCs w:val="21"/>
                <w:highlight w:val="none"/>
              </w:rPr>
            </w:pPr>
          </w:p>
        </w:tc>
        <w:tc>
          <w:tcPr>
            <w:tcW w:w="1076" w:type="dxa"/>
            <w:vAlign w:val="center"/>
          </w:tcPr>
          <w:p w14:paraId="43D9D687">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2</w:t>
            </w:r>
          </w:p>
        </w:tc>
        <w:tc>
          <w:tcPr>
            <w:tcW w:w="3095" w:type="dxa"/>
            <w:gridSpan w:val="5"/>
            <w:vAlign w:val="center"/>
          </w:tcPr>
          <w:p w14:paraId="318793C3">
            <w:pPr>
              <w:spacing w:line="320" w:lineRule="exact"/>
              <w:ind w:right="-199" w:rightChars="-83"/>
              <w:jc w:val="center"/>
              <w:rPr>
                <w:rFonts w:cs="宋体" w:asciiTheme="majorEastAsia" w:hAnsiTheme="majorEastAsia" w:eastAsiaTheme="majorEastAsia"/>
                <w:szCs w:val="21"/>
                <w:highlight w:val="none"/>
              </w:rPr>
            </w:pPr>
          </w:p>
        </w:tc>
        <w:tc>
          <w:tcPr>
            <w:tcW w:w="1517" w:type="dxa"/>
            <w:vAlign w:val="center"/>
          </w:tcPr>
          <w:p w14:paraId="46274773">
            <w:pPr>
              <w:spacing w:line="320" w:lineRule="exact"/>
              <w:ind w:right="-199" w:rightChars="-83"/>
              <w:jc w:val="center"/>
              <w:rPr>
                <w:rFonts w:cs="宋体" w:asciiTheme="majorEastAsia" w:hAnsiTheme="majorEastAsia" w:eastAsiaTheme="majorEastAsia"/>
                <w:szCs w:val="21"/>
                <w:highlight w:val="none"/>
              </w:rPr>
            </w:pPr>
          </w:p>
        </w:tc>
        <w:tc>
          <w:tcPr>
            <w:tcW w:w="2610" w:type="dxa"/>
            <w:gridSpan w:val="2"/>
            <w:vAlign w:val="center"/>
          </w:tcPr>
          <w:p w14:paraId="0E4C4831">
            <w:pPr>
              <w:spacing w:line="320" w:lineRule="exact"/>
              <w:ind w:right="-199" w:rightChars="-83"/>
              <w:jc w:val="center"/>
              <w:rPr>
                <w:rFonts w:cs="宋体" w:asciiTheme="majorEastAsia" w:hAnsiTheme="majorEastAsia" w:eastAsiaTheme="majorEastAsia"/>
                <w:szCs w:val="21"/>
                <w:highlight w:val="none"/>
              </w:rPr>
            </w:pPr>
          </w:p>
        </w:tc>
      </w:tr>
      <w:tr w14:paraId="67A79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42" w:type="dxa"/>
            <w:vMerge w:val="continue"/>
            <w:vAlign w:val="center"/>
          </w:tcPr>
          <w:p w14:paraId="07989169">
            <w:pPr>
              <w:spacing w:line="320" w:lineRule="exact"/>
              <w:ind w:right="-199" w:rightChars="-83"/>
              <w:jc w:val="center"/>
              <w:rPr>
                <w:rFonts w:cs="宋体" w:asciiTheme="majorEastAsia" w:hAnsiTheme="majorEastAsia" w:eastAsiaTheme="majorEastAsia"/>
                <w:szCs w:val="21"/>
                <w:highlight w:val="none"/>
              </w:rPr>
            </w:pPr>
          </w:p>
        </w:tc>
        <w:tc>
          <w:tcPr>
            <w:tcW w:w="1076" w:type="dxa"/>
            <w:vAlign w:val="center"/>
          </w:tcPr>
          <w:p w14:paraId="7D0BE7B5">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3</w:t>
            </w:r>
          </w:p>
        </w:tc>
        <w:tc>
          <w:tcPr>
            <w:tcW w:w="3095" w:type="dxa"/>
            <w:gridSpan w:val="5"/>
            <w:vAlign w:val="center"/>
          </w:tcPr>
          <w:p w14:paraId="7ACFF1E6">
            <w:pPr>
              <w:spacing w:line="320" w:lineRule="exact"/>
              <w:ind w:right="-199" w:rightChars="-83"/>
              <w:jc w:val="center"/>
              <w:rPr>
                <w:rFonts w:cs="宋体" w:asciiTheme="majorEastAsia" w:hAnsiTheme="majorEastAsia" w:eastAsiaTheme="majorEastAsia"/>
                <w:szCs w:val="21"/>
                <w:highlight w:val="none"/>
              </w:rPr>
            </w:pPr>
          </w:p>
        </w:tc>
        <w:tc>
          <w:tcPr>
            <w:tcW w:w="1517" w:type="dxa"/>
            <w:vAlign w:val="center"/>
          </w:tcPr>
          <w:p w14:paraId="10275E0D">
            <w:pPr>
              <w:spacing w:line="320" w:lineRule="exact"/>
              <w:ind w:right="-199" w:rightChars="-83"/>
              <w:jc w:val="center"/>
              <w:rPr>
                <w:rFonts w:cs="宋体" w:asciiTheme="majorEastAsia" w:hAnsiTheme="majorEastAsia" w:eastAsiaTheme="majorEastAsia"/>
                <w:szCs w:val="21"/>
                <w:highlight w:val="none"/>
              </w:rPr>
            </w:pPr>
          </w:p>
        </w:tc>
        <w:tc>
          <w:tcPr>
            <w:tcW w:w="2610" w:type="dxa"/>
            <w:gridSpan w:val="2"/>
            <w:vAlign w:val="center"/>
          </w:tcPr>
          <w:p w14:paraId="03FDD15C">
            <w:pPr>
              <w:spacing w:line="320" w:lineRule="exact"/>
              <w:ind w:right="-199" w:rightChars="-83"/>
              <w:jc w:val="center"/>
              <w:rPr>
                <w:rFonts w:cs="宋体" w:asciiTheme="majorEastAsia" w:hAnsiTheme="majorEastAsia" w:eastAsiaTheme="majorEastAsia"/>
                <w:szCs w:val="21"/>
                <w:highlight w:val="none"/>
              </w:rPr>
            </w:pPr>
          </w:p>
        </w:tc>
      </w:tr>
      <w:tr w14:paraId="6C9FF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42" w:type="dxa"/>
            <w:vMerge w:val="continue"/>
            <w:vAlign w:val="center"/>
          </w:tcPr>
          <w:p w14:paraId="38813D41">
            <w:pPr>
              <w:spacing w:line="320" w:lineRule="exact"/>
              <w:ind w:right="-199" w:rightChars="-83"/>
              <w:jc w:val="center"/>
              <w:rPr>
                <w:rFonts w:cs="宋体" w:asciiTheme="majorEastAsia" w:hAnsiTheme="majorEastAsia" w:eastAsiaTheme="majorEastAsia"/>
                <w:szCs w:val="21"/>
                <w:highlight w:val="none"/>
              </w:rPr>
            </w:pPr>
          </w:p>
        </w:tc>
        <w:tc>
          <w:tcPr>
            <w:tcW w:w="1076" w:type="dxa"/>
            <w:vAlign w:val="center"/>
          </w:tcPr>
          <w:p w14:paraId="251D4159">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4</w:t>
            </w:r>
          </w:p>
        </w:tc>
        <w:tc>
          <w:tcPr>
            <w:tcW w:w="3095" w:type="dxa"/>
            <w:gridSpan w:val="5"/>
            <w:vAlign w:val="center"/>
          </w:tcPr>
          <w:p w14:paraId="25488789">
            <w:pPr>
              <w:spacing w:line="320" w:lineRule="exact"/>
              <w:ind w:right="-199" w:rightChars="-83"/>
              <w:jc w:val="center"/>
              <w:rPr>
                <w:rFonts w:cs="宋体" w:asciiTheme="majorEastAsia" w:hAnsiTheme="majorEastAsia" w:eastAsiaTheme="majorEastAsia"/>
                <w:szCs w:val="21"/>
                <w:highlight w:val="none"/>
              </w:rPr>
            </w:pPr>
          </w:p>
          <w:p w14:paraId="64E28F7E">
            <w:pPr>
              <w:pStyle w:val="61"/>
              <w:ind w:firstLine="200"/>
              <w:rPr>
                <w:highlight w:val="none"/>
              </w:rPr>
            </w:pPr>
          </w:p>
        </w:tc>
        <w:tc>
          <w:tcPr>
            <w:tcW w:w="1517" w:type="dxa"/>
            <w:vAlign w:val="center"/>
          </w:tcPr>
          <w:p w14:paraId="421BA39B">
            <w:pPr>
              <w:spacing w:line="320" w:lineRule="exact"/>
              <w:ind w:right="-199" w:rightChars="-83"/>
              <w:jc w:val="center"/>
              <w:rPr>
                <w:rFonts w:cs="宋体" w:asciiTheme="majorEastAsia" w:hAnsiTheme="majorEastAsia" w:eastAsiaTheme="majorEastAsia"/>
                <w:szCs w:val="21"/>
                <w:highlight w:val="none"/>
              </w:rPr>
            </w:pPr>
          </w:p>
        </w:tc>
        <w:tc>
          <w:tcPr>
            <w:tcW w:w="2610" w:type="dxa"/>
            <w:gridSpan w:val="2"/>
            <w:vAlign w:val="center"/>
          </w:tcPr>
          <w:p w14:paraId="48829661">
            <w:pPr>
              <w:spacing w:line="320" w:lineRule="exact"/>
              <w:ind w:right="-199" w:rightChars="-83"/>
              <w:jc w:val="center"/>
              <w:rPr>
                <w:rFonts w:cs="宋体" w:asciiTheme="majorEastAsia" w:hAnsiTheme="majorEastAsia" w:eastAsiaTheme="majorEastAsia"/>
                <w:szCs w:val="21"/>
                <w:highlight w:val="none"/>
              </w:rPr>
            </w:pPr>
          </w:p>
        </w:tc>
      </w:tr>
      <w:tr w14:paraId="42B0C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42" w:type="dxa"/>
            <w:vMerge w:val="continue"/>
            <w:vAlign w:val="center"/>
          </w:tcPr>
          <w:p w14:paraId="10F57C5B">
            <w:pPr>
              <w:spacing w:line="320" w:lineRule="exact"/>
              <w:ind w:right="-199" w:rightChars="-83"/>
              <w:jc w:val="center"/>
              <w:rPr>
                <w:rFonts w:cs="宋体" w:asciiTheme="majorEastAsia" w:hAnsiTheme="majorEastAsia" w:eastAsiaTheme="majorEastAsia"/>
                <w:szCs w:val="21"/>
                <w:highlight w:val="none"/>
              </w:rPr>
            </w:pPr>
          </w:p>
        </w:tc>
        <w:tc>
          <w:tcPr>
            <w:tcW w:w="1076" w:type="dxa"/>
            <w:vAlign w:val="center"/>
          </w:tcPr>
          <w:p w14:paraId="41A94EB9">
            <w:pPr>
              <w:spacing w:line="320" w:lineRule="exact"/>
              <w:jc w:val="center"/>
              <w:rPr>
                <w:rFonts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w:t>
            </w:r>
          </w:p>
        </w:tc>
        <w:tc>
          <w:tcPr>
            <w:tcW w:w="3095" w:type="dxa"/>
            <w:gridSpan w:val="5"/>
            <w:vAlign w:val="center"/>
          </w:tcPr>
          <w:p w14:paraId="76CE9E20">
            <w:pPr>
              <w:spacing w:line="320" w:lineRule="exact"/>
              <w:ind w:right="-199" w:rightChars="-83"/>
              <w:jc w:val="center"/>
              <w:rPr>
                <w:rFonts w:cs="宋体" w:asciiTheme="majorEastAsia" w:hAnsiTheme="majorEastAsia" w:eastAsiaTheme="majorEastAsia"/>
                <w:szCs w:val="21"/>
                <w:highlight w:val="none"/>
              </w:rPr>
            </w:pPr>
          </w:p>
        </w:tc>
        <w:tc>
          <w:tcPr>
            <w:tcW w:w="1517" w:type="dxa"/>
            <w:vAlign w:val="center"/>
          </w:tcPr>
          <w:p w14:paraId="0FBCAA31">
            <w:pPr>
              <w:spacing w:line="320" w:lineRule="exact"/>
              <w:ind w:right="-199" w:rightChars="-83"/>
              <w:jc w:val="center"/>
              <w:rPr>
                <w:rFonts w:cs="宋体" w:asciiTheme="majorEastAsia" w:hAnsiTheme="majorEastAsia" w:eastAsiaTheme="majorEastAsia"/>
                <w:szCs w:val="21"/>
                <w:highlight w:val="none"/>
              </w:rPr>
            </w:pPr>
          </w:p>
        </w:tc>
        <w:tc>
          <w:tcPr>
            <w:tcW w:w="2610" w:type="dxa"/>
            <w:gridSpan w:val="2"/>
            <w:vAlign w:val="center"/>
          </w:tcPr>
          <w:p w14:paraId="46344BBB">
            <w:pPr>
              <w:spacing w:line="320" w:lineRule="exact"/>
              <w:ind w:right="-199" w:rightChars="-83"/>
              <w:jc w:val="center"/>
              <w:rPr>
                <w:rFonts w:cs="宋体" w:asciiTheme="majorEastAsia" w:hAnsiTheme="majorEastAsia" w:eastAsiaTheme="majorEastAsia"/>
                <w:szCs w:val="21"/>
                <w:highlight w:val="none"/>
              </w:rPr>
            </w:pPr>
          </w:p>
        </w:tc>
      </w:tr>
    </w:tbl>
    <w:p w14:paraId="325A4990">
      <w:pPr>
        <w:spacing w:line="520" w:lineRule="exact"/>
        <w:rPr>
          <w:rFonts w:cs="宋体" w:asciiTheme="majorEastAsia" w:hAnsiTheme="majorEastAsia" w:eastAsiaTheme="majorEastAsia"/>
          <w:b/>
          <w:sz w:val="21"/>
          <w:szCs w:val="21"/>
          <w:highlight w:val="none"/>
        </w:rPr>
      </w:pPr>
      <w:r>
        <w:rPr>
          <w:rFonts w:hint="eastAsia" w:cs="宋体" w:asciiTheme="majorEastAsia" w:hAnsiTheme="majorEastAsia" w:eastAsiaTheme="majorEastAsia"/>
          <w:b/>
          <w:sz w:val="21"/>
          <w:szCs w:val="21"/>
          <w:highlight w:val="none"/>
        </w:rPr>
        <w:t>注：附拟派设计负责人的注册证书、身份证、社保证明材料的原件扫描件。</w:t>
      </w:r>
    </w:p>
    <w:p w14:paraId="0CCFFAB6">
      <w:pPr>
        <w:spacing w:line="520" w:lineRule="exact"/>
        <w:ind w:firstLine="488"/>
        <w:rPr>
          <w:rFonts w:cs="宋体" w:asciiTheme="majorEastAsia" w:hAnsiTheme="majorEastAsia" w:eastAsiaTheme="majorEastAsia"/>
          <w:highlight w:val="none"/>
          <w:u w:val="single"/>
        </w:rPr>
      </w:pPr>
      <w:bookmarkStart w:id="1032" w:name="_Toc303958148"/>
      <w:bookmarkStart w:id="1033" w:name="_Toc324160140"/>
      <w:bookmarkStart w:id="1034" w:name="_Toc421187533"/>
      <w:bookmarkStart w:id="1035" w:name="_Toc302846297"/>
      <w:bookmarkStart w:id="1036" w:name="_Toc435472358"/>
      <w:r>
        <w:rPr>
          <w:rFonts w:hint="eastAsia" w:cs="宋体" w:asciiTheme="majorEastAsia" w:hAnsiTheme="majorEastAsia" w:eastAsiaTheme="majorEastAsia"/>
          <w:highlight w:val="none"/>
        </w:rPr>
        <w:t>投 标 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（电子签章）</w:t>
      </w:r>
    </w:p>
    <w:p w14:paraId="05C83EDB">
      <w:pPr>
        <w:spacing w:line="52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法定代表人或其委托代理人：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szCs w:val="21"/>
          <w:highlight w:val="none"/>
        </w:rPr>
        <w:t>（电子签章）</w:t>
      </w:r>
    </w:p>
    <w:p w14:paraId="6151BB63">
      <w:pPr>
        <w:spacing w:line="52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日   期：</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 xml:space="preserve">年 </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月</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日</w:t>
      </w:r>
    </w:p>
    <w:p w14:paraId="2E89EA5E">
      <w:pPr>
        <w:rPr>
          <w:rStyle w:val="154"/>
          <w:rFonts w:cs="宋体" w:asciiTheme="majorEastAsia" w:hAnsiTheme="majorEastAsia" w:eastAsiaTheme="majorEastAsia"/>
          <w:sz w:val="30"/>
          <w:szCs w:val="30"/>
          <w:highlight w:val="none"/>
        </w:rPr>
      </w:pPr>
      <w:r>
        <w:rPr>
          <w:rStyle w:val="154"/>
          <w:rFonts w:cs="宋体" w:asciiTheme="majorEastAsia" w:hAnsiTheme="majorEastAsia" w:eastAsiaTheme="majorEastAsia"/>
          <w:sz w:val="30"/>
          <w:szCs w:val="30"/>
          <w:highlight w:val="none"/>
        </w:rPr>
        <w:br w:type="page"/>
      </w:r>
    </w:p>
    <w:p w14:paraId="5DCED4A1">
      <w:pPr>
        <w:pStyle w:val="3"/>
        <w:spacing w:before="120" w:after="120" w:afterLines="50" w:line="700" w:lineRule="exact"/>
        <w:ind w:left="0" w:firstLine="0"/>
        <w:jc w:val="center"/>
        <w:rPr>
          <w:rStyle w:val="154"/>
          <w:rFonts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2"/>
          <w:szCs w:val="32"/>
          <w:highlight w:val="none"/>
        </w:rPr>
        <w:t>附件十：拟投入本项目人员汇总表</w:t>
      </w:r>
      <w:bookmarkEnd w:id="1032"/>
      <w:bookmarkEnd w:id="1033"/>
      <w:bookmarkEnd w:id="1034"/>
      <w:bookmarkEnd w:id="1035"/>
      <w:bookmarkEnd w:id="1036"/>
    </w:p>
    <w:p w14:paraId="1DAB78F3">
      <w:pPr>
        <w:rPr>
          <w:highlight w:val="none"/>
        </w:rPr>
      </w:pPr>
    </w:p>
    <w:p w14:paraId="1AAF5977">
      <w:pPr>
        <w:rPr>
          <w:b/>
          <w:bCs/>
          <w:highlight w:val="none"/>
        </w:rPr>
      </w:pPr>
      <w:r>
        <w:rPr>
          <w:rFonts w:hint="eastAsia"/>
          <w:b/>
          <w:bCs/>
          <w:highlight w:val="none"/>
          <w:lang w:val="en-US" w:eastAsia="zh-CN"/>
        </w:rPr>
        <w:t>一</w:t>
      </w:r>
      <w:r>
        <w:rPr>
          <w:rFonts w:hint="eastAsia"/>
          <w:b/>
          <w:bCs/>
          <w:highlight w:val="none"/>
        </w:rPr>
        <w:t>、设计部分：</w:t>
      </w:r>
    </w:p>
    <w:tbl>
      <w:tblPr>
        <w:tblStyle w:val="63"/>
        <w:tblW w:w="974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15"/>
        <w:gridCol w:w="783"/>
        <w:gridCol w:w="978"/>
        <w:gridCol w:w="1303"/>
        <w:gridCol w:w="851"/>
        <w:gridCol w:w="1369"/>
        <w:gridCol w:w="1761"/>
        <w:gridCol w:w="1880"/>
      </w:tblGrid>
      <w:tr w14:paraId="6F5D4A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5BDCD98C">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序号</w:t>
            </w:r>
          </w:p>
        </w:tc>
        <w:tc>
          <w:tcPr>
            <w:tcW w:w="783" w:type="dxa"/>
            <w:vAlign w:val="center"/>
          </w:tcPr>
          <w:p w14:paraId="72099057">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姓名</w:t>
            </w:r>
          </w:p>
        </w:tc>
        <w:tc>
          <w:tcPr>
            <w:tcW w:w="978" w:type="dxa"/>
            <w:vAlign w:val="center"/>
          </w:tcPr>
          <w:p w14:paraId="1D841E3F">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性别</w:t>
            </w:r>
          </w:p>
        </w:tc>
        <w:tc>
          <w:tcPr>
            <w:tcW w:w="1303" w:type="dxa"/>
            <w:vAlign w:val="center"/>
          </w:tcPr>
          <w:p w14:paraId="3AB48534">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出生日期</w:t>
            </w:r>
          </w:p>
        </w:tc>
        <w:tc>
          <w:tcPr>
            <w:tcW w:w="851" w:type="dxa"/>
            <w:vAlign w:val="center"/>
          </w:tcPr>
          <w:p w14:paraId="580298E1">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学历</w:t>
            </w:r>
          </w:p>
        </w:tc>
        <w:tc>
          <w:tcPr>
            <w:tcW w:w="1369" w:type="dxa"/>
            <w:vAlign w:val="center"/>
          </w:tcPr>
          <w:p w14:paraId="3532FDC4">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专业</w:t>
            </w:r>
          </w:p>
        </w:tc>
        <w:tc>
          <w:tcPr>
            <w:tcW w:w="1761" w:type="dxa"/>
            <w:vAlign w:val="center"/>
          </w:tcPr>
          <w:p w14:paraId="4D8D31D6">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技术职称</w:t>
            </w:r>
          </w:p>
        </w:tc>
        <w:tc>
          <w:tcPr>
            <w:tcW w:w="1880" w:type="dxa"/>
            <w:vAlign w:val="center"/>
          </w:tcPr>
          <w:p w14:paraId="088E138D">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在本项目中</w:t>
            </w:r>
          </w:p>
          <w:p w14:paraId="40F78C7F">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拟任职务</w:t>
            </w:r>
          </w:p>
        </w:tc>
      </w:tr>
      <w:tr w14:paraId="2659AD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05F82261">
            <w:pPr>
              <w:spacing w:line="360" w:lineRule="exact"/>
              <w:rPr>
                <w:rFonts w:cs="宋体" w:asciiTheme="majorEastAsia" w:hAnsiTheme="majorEastAsia" w:eastAsiaTheme="majorEastAsia"/>
                <w:highlight w:val="none"/>
              </w:rPr>
            </w:pPr>
          </w:p>
        </w:tc>
        <w:tc>
          <w:tcPr>
            <w:tcW w:w="783" w:type="dxa"/>
            <w:vAlign w:val="center"/>
          </w:tcPr>
          <w:p w14:paraId="7D3A4E75">
            <w:pPr>
              <w:spacing w:line="360" w:lineRule="exact"/>
              <w:rPr>
                <w:rFonts w:cs="宋体" w:asciiTheme="majorEastAsia" w:hAnsiTheme="majorEastAsia" w:eastAsiaTheme="majorEastAsia"/>
                <w:highlight w:val="none"/>
              </w:rPr>
            </w:pPr>
          </w:p>
        </w:tc>
        <w:tc>
          <w:tcPr>
            <w:tcW w:w="978" w:type="dxa"/>
            <w:vAlign w:val="center"/>
          </w:tcPr>
          <w:p w14:paraId="1EFB8464">
            <w:pPr>
              <w:spacing w:line="360" w:lineRule="exact"/>
              <w:rPr>
                <w:rFonts w:cs="宋体" w:asciiTheme="majorEastAsia" w:hAnsiTheme="majorEastAsia" w:eastAsiaTheme="majorEastAsia"/>
                <w:highlight w:val="none"/>
              </w:rPr>
            </w:pPr>
          </w:p>
        </w:tc>
        <w:tc>
          <w:tcPr>
            <w:tcW w:w="1303" w:type="dxa"/>
            <w:vAlign w:val="center"/>
          </w:tcPr>
          <w:p w14:paraId="5515A5DE">
            <w:pPr>
              <w:spacing w:line="360" w:lineRule="exact"/>
              <w:rPr>
                <w:rFonts w:cs="宋体" w:asciiTheme="majorEastAsia" w:hAnsiTheme="majorEastAsia" w:eastAsiaTheme="majorEastAsia"/>
                <w:highlight w:val="none"/>
              </w:rPr>
            </w:pPr>
          </w:p>
        </w:tc>
        <w:tc>
          <w:tcPr>
            <w:tcW w:w="851" w:type="dxa"/>
            <w:vAlign w:val="center"/>
          </w:tcPr>
          <w:p w14:paraId="0893EC47">
            <w:pPr>
              <w:spacing w:line="360" w:lineRule="exact"/>
              <w:rPr>
                <w:rFonts w:cs="宋体" w:asciiTheme="majorEastAsia" w:hAnsiTheme="majorEastAsia" w:eastAsiaTheme="majorEastAsia"/>
                <w:highlight w:val="none"/>
              </w:rPr>
            </w:pPr>
          </w:p>
        </w:tc>
        <w:tc>
          <w:tcPr>
            <w:tcW w:w="1369" w:type="dxa"/>
            <w:vAlign w:val="center"/>
          </w:tcPr>
          <w:p w14:paraId="5552FF69">
            <w:pPr>
              <w:spacing w:line="360" w:lineRule="exact"/>
              <w:rPr>
                <w:rFonts w:cs="宋体" w:asciiTheme="majorEastAsia" w:hAnsiTheme="majorEastAsia" w:eastAsiaTheme="majorEastAsia"/>
                <w:highlight w:val="none"/>
              </w:rPr>
            </w:pPr>
          </w:p>
        </w:tc>
        <w:tc>
          <w:tcPr>
            <w:tcW w:w="1761" w:type="dxa"/>
            <w:vAlign w:val="center"/>
          </w:tcPr>
          <w:p w14:paraId="36CA5AB1">
            <w:pPr>
              <w:spacing w:line="360" w:lineRule="exact"/>
              <w:rPr>
                <w:rFonts w:cs="宋体" w:asciiTheme="majorEastAsia" w:hAnsiTheme="majorEastAsia" w:eastAsiaTheme="majorEastAsia"/>
                <w:highlight w:val="none"/>
              </w:rPr>
            </w:pPr>
          </w:p>
        </w:tc>
        <w:tc>
          <w:tcPr>
            <w:tcW w:w="1880" w:type="dxa"/>
            <w:vAlign w:val="center"/>
          </w:tcPr>
          <w:p w14:paraId="0B680CB0">
            <w:pPr>
              <w:spacing w:line="360" w:lineRule="exact"/>
              <w:rPr>
                <w:rFonts w:cs="宋体" w:asciiTheme="majorEastAsia" w:hAnsiTheme="majorEastAsia" w:eastAsiaTheme="majorEastAsia"/>
                <w:highlight w:val="none"/>
              </w:rPr>
            </w:pPr>
          </w:p>
        </w:tc>
      </w:tr>
      <w:tr w14:paraId="77F75C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3953702B">
            <w:pPr>
              <w:spacing w:line="360" w:lineRule="exact"/>
              <w:rPr>
                <w:rFonts w:cs="宋体" w:asciiTheme="majorEastAsia" w:hAnsiTheme="majorEastAsia" w:eastAsiaTheme="majorEastAsia"/>
                <w:highlight w:val="none"/>
              </w:rPr>
            </w:pPr>
          </w:p>
        </w:tc>
        <w:tc>
          <w:tcPr>
            <w:tcW w:w="783" w:type="dxa"/>
            <w:vAlign w:val="center"/>
          </w:tcPr>
          <w:p w14:paraId="49845128">
            <w:pPr>
              <w:spacing w:line="360" w:lineRule="exact"/>
              <w:rPr>
                <w:rFonts w:cs="宋体" w:asciiTheme="majorEastAsia" w:hAnsiTheme="majorEastAsia" w:eastAsiaTheme="majorEastAsia"/>
                <w:highlight w:val="none"/>
              </w:rPr>
            </w:pPr>
          </w:p>
        </w:tc>
        <w:tc>
          <w:tcPr>
            <w:tcW w:w="978" w:type="dxa"/>
            <w:vAlign w:val="center"/>
          </w:tcPr>
          <w:p w14:paraId="1587639B">
            <w:pPr>
              <w:spacing w:line="360" w:lineRule="exact"/>
              <w:rPr>
                <w:rFonts w:cs="宋体" w:asciiTheme="majorEastAsia" w:hAnsiTheme="majorEastAsia" w:eastAsiaTheme="majorEastAsia"/>
                <w:highlight w:val="none"/>
              </w:rPr>
            </w:pPr>
          </w:p>
        </w:tc>
        <w:tc>
          <w:tcPr>
            <w:tcW w:w="1303" w:type="dxa"/>
            <w:vAlign w:val="center"/>
          </w:tcPr>
          <w:p w14:paraId="2FACED73">
            <w:pPr>
              <w:spacing w:line="360" w:lineRule="exact"/>
              <w:rPr>
                <w:rFonts w:cs="宋体" w:asciiTheme="majorEastAsia" w:hAnsiTheme="majorEastAsia" w:eastAsiaTheme="majorEastAsia"/>
                <w:highlight w:val="none"/>
              </w:rPr>
            </w:pPr>
          </w:p>
        </w:tc>
        <w:tc>
          <w:tcPr>
            <w:tcW w:w="851" w:type="dxa"/>
            <w:vAlign w:val="center"/>
          </w:tcPr>
          <w:p w14:paraId="3ED7C58A">
            <w:pPr>
              <w:spacing w:line="360" w:lineRule="exact"/>
              <w:rPr>
                <w:rFonts w:cs="宋体" w:asciiTheme="majorEastAsia" w:hAnsiTheme="majorEastAsia" w:eastAsiaTheme="majorEastAsia"/>
                <w:highlight w:val="none"/>
              </w:rPr>
            </w:pPr>
          </w:p>
        </w:tc>
        <w:tc>
          <w:tcPr>
            <w:tcW w:w="1369" w:type="dxa"/>
            <w:vAlign w:val="center"/>
          </w:tcPr>
          <w:p w14:paraId="39BB3264">
            <w:pPr>
              <w:spacing w:line="360" w:lineRule="exact"/>
              <w:rPr>
                <w:rFonts w:cs="宋体" w:asciiTheme="majorEastAsia" w:hAnsiTheme="majorEastAsia" w:eastAsiaTheme="majorEastAsia"/>
                <w:highlight w:val="none"/>
              </w:rPr>
            </w:pPr>
          </w:p>
        </w:tc>
        <w:tc>
          <w:tcPr>
            <w:tcW w:w="1761" w:type="dxa"/>
            <w:vAlign w:val="center"/>
          </w:tcPr>
          <w:p w14:paraId="560FCD2A">
            <w:pPr>
              <w:spacing w:line="360" w:lineRule="exact"/>
              <w:rPr>
                <w:rFonts w:cs="宋体" w:asciiTheme="majorEastAsia" w:hAnsiTheme="majorEastAsia" w:eastAsiaTheme="majorEastAsia"/>
                <w:highlight w:val="none"/>
              </w:rPr>
            </w:pPr>
          </w:p>
        </w:tc>
        <w:tc>
          <w:tcPr>
            <w:tcW w:w="1880" w:type="dxa"/>
            <w:vAlign w:val="center"/>
          </w:tcPr>
          <w:p w14:paraId="73D0E979">
            <w:pPr>
              <w:spacing w:line="360" w:lineRule="exact"/>
              <w:rPr>
                <w:rFonts w:cs="宋体" w:asciiTheme="majorEastAsia" w:hAnsiTheme="majorEastAsia" w:eastAsiaTheme="majorEastAsia"/>
                <w:highlight w:val="none"/>
              </w:rPr>
            </w:pPr>
          </w:p>
        </w:tc>
      </w:tr>
      <w:tr w14:paraId="03606C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55BBDB04">
            <w:pPr>
              <w:spacing w:line="360" w:lineRule="exact"/>
              <w:rPr>
                <w:rFonts w:cs="宋体" w:asciiTheme="majorEastAsia" w:hAnsiTheme="majorEastAsia" w:eastAsiaTheme="majorEastAsia"/>
                <w:highlight w:val="none"/>
              </w:rPr>
            </w:pPr>
          </w:p>
        </w:tc>
        <w:tc>
          <w:tcPr>
            <w:tcW w:w="783" w:type="dxa"/>
            <w:vAlign w:val="center"/>
          </w:tcPr>
          <w:p w14:paraId="793B50E6">
            <w:pPr>
              <w:spacing w:line="360" w:lineRule="exact"/>
              <w:rPr>
                <w:rFonts w:cs="宋体" w:asciiTheme="majorEastAsia" w:hAnsiTheme="majorEastAsia" w:eastAsiaTheme="majorEastAsia"/>
                <w:highlight w:val="none"/>
              </w:rPr>
            </w:pPr>
          </w:p>
        </w:tc>
        <w:tc>
          <w:tcPr>
            <w:tcW w:w="978" w:type="dxa"/>
            <w:vAlign w:val="center"/>
          </w:tcPr>
          <w:p w14:paraId="00363C21">
            <w:pPr>
              <w:spacing w:line="360" w:lineRule="exact"/>
              <w:rPr>
                <w:rFonts w:cs="宋体" w:asciiTheme="majorEastAsia" w:hAnsiTheme="majorEastAsia" w:eastAsiaTheme="majorEastAsia"/>
                <w:highlight w:val="none"/>
              </w:rPr>
            </w:pPr>
          </w:p>
        </w:tc>
        <w:tc>
          <w:tcPr>
            <w:tcW w:w="1303" w:type="dxa"/>
            <w:vAlign w:val="center"/>
          </w:tcPr>
          <w:p w14:paraId="1E339A40">
            <w:pPr>
              <w:spacing w:line="360" w:lineRule="exact"/>
              <w:rPr>
                <w:rFonts w:cs="宋体" w:asciiTheme="majorEastAsia" w:hAnsiTheme="majorEastAsia" w:eastAsiaTheme="majorEastAsia"/>
                <w:highlight w:val="none"/>
              </w:rPr>
            </w:pPr>
          </w:p>
        </w:tc>
        <w:tc>
          <w:tcPr>
            <w:tcW w:w="851" w:type="dxa"/>
            <w:vAlign w:val="center"/>
          </w:tcPr>
          <w:p w14:paraId="58AC90B3">
            <w:pPr>
              <w:spacing w:line="360" w:lineRule="exact"/>
              <w:rPr>
                <w:rFonts w:cs="宋体" w:asciiTheme="majorEastAsia" w:hAnsiTheme="majorEastAsia" w:eastAsiaTheme="majorEastAsia"/>
                <w:highlight w:val="none"/>
              </w:rPr>
            </w:pPr>
          </w:p>
        </w:tc>
        <w:tc>
          <w:tcPr>
            <w:tcW w:w="1369" w:type="dxa"/>
            <w:vAlign w:val="center"/>
          </w:tcPr>
          <w:p w14:paraId="7123FD2F">
            <w:pPr>
              <w:spacing w:line="360" w:lineRule="exact"/>
              <w:rPr>
                <w:rFonts w:cs="宋体" w:asciiTheme="majorEastAsia" w:hAnsiTheme="majorEastAsia" w:eastAsiaTheme="majorEastAsia"/>
                <w:highlight w:val="none"/>
              </w:rPr>
            </w:pPr>
          </w:p>
        </w:tc>
        <w:tc>
          <w:tcPr>
            <w:tcW w:w="1761" w:type="dxa"/>
            <w:vAlign w:val="center"/>
          </w:tcPr>
          <w:p w14:paraId="679BA5C3">
            <w:pPr>
              <w:spacing w:line="360" w:lineRule="exact"/>
              <w:rPr>
                <w:rFonts w:cs="宋体" w:asciiTheme="majorEastAsia" w:hAnsiTheme="majorEastAsia" w:eastAsiaTheme="majorEastAsia"/>
                <w:highlight w:val="none"/>
              </w:rPr>
            </w:pPr>
          </w:p>
        </w:tc>
        <w:tc>
          <w:tcPr>
            <w:tcW w:w="1880" w:type="dxa"/>
            <w:vAlign w:val="center"/>
          </w:tcPr>
          <w:p w14:paraId="47914C43">
            <w:pPr>
              <w:spacing w:line="360" w:lineRule="exact"/>
              <w:rPr>
                <w:rFonts w:cs="宋体" w:asciiTheme="majorEastAsia" w:hAnsiTheme="majorEastAsia" w:eastAsiaTheme="majorEastAsia"/>
                <w:highlight w:val="none"/>
              </w:rPr>
            </w:pPr>
          </w:p>
        </w:tc>
      </w:tr>
    </w:tbl>
    <w:p w14:paraId="5C89FAF3">
      <w:pPr>
        <w:spacing w:line="160" w:lineRule="atLeast"/>
        <w:rPr>
          <w:rStyle w:val="154"/>
          <w:rFonts w:cs="宋体" w:asciiTheme="majorEastAsia" w:hAnsiTheme="majorEastAsia" w:eastAsiaTheme="majorEastAsia"/>
          <w:sz w:val="32"/>
          <w:szCs w:val="32"/>
          <w:highlight w:val="none"/>
        </w:rPr>
      </w:pPr>
    </w:p>
    <w:p w14:paraId="69E2A1CB">
      <w:pPr>
        <w:rPr>
          <w:b/>
          <w:bCs/>
          <w:highlight w:val="none"/>
        </w:rPr>
      </w:pPr>
      <w:r>
        <w:rPr>
          <w:rFonts w:hint="eastAsia"/>
          <w:b/>
          <w:bCs/>
          <w:highlight w:val="none"/>
          <w:lang w:val="en-US" w:eastAsia="zh-CN"/>
        </w:rPr>
        <w:t>二</w:t>
      </w:r>
      <w:r>
        <w:rPr>
          <w:rFonts w:hint="eastAsia"/>
          <w:b/>
          <w:bCs/>
          <w:highlight w:val="none"/>
        </w:rPr>
        <w:t>、</w:t>
      </w:r>
      <w:r>
        <w:rPr>
          <w:rFonts w:hint="eastAsia"/>
          <w:b/>
          <w:bCs/>
          <w:highlight w:val="none"/>
          <w:lang w:val="en-US" w:eastAsia="zh-CN"/>
        </w:rPr>
        <w:t>施工</w:t>
      </w:r>
      <w:r>
        <w:rPr>
          <w:rFonts w:hint="eastAsia"/>
          <w:b/>
          <w:bCs/>
          <w:highlight w:val="none"/>
        </w:rPr>
        <w:t>部分：</w:t>
      </w:r>
    </w:p>
    <w:tbl>
      <w:tblPr>
        <w:tblStyle w:val="63"/>
        <w:tblW w:w="974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15"/>
        <w:gridCol w:w="783"/>
        <w:gridCol w:w="978"/>
        <w:gridCol w:w="1303"/>
        <w:gridCol w:w="851"/>
        <w:gridCol w:w="1369"/>
        <w:gridCol w:w="1761"/>
        <w:gridCol w:w="1880"/>
      </w:tblGrid>
      <w:tr w14:paraId="6E109C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73E8CF76">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序号</w:t>
            </w:r>
          </w:p>
        </w:tc>
        <w:tc>
          <w:tcPr>
            <w:tcW w:w="783" w:type="dxa"/>
            <w:vAlign w:val="center"/>
          </w:tcPr>
          <w:p w14:paraId="2887525B">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姓名</w:t>
            </w:r>
          </w:p>
        </w:tc>
        <w:tc>
          <w:tcPr>
            <w:tcW w:w="978" w:type="dxa"/>
            <w:vAlign w:val="center"/>
          </w:tcPr>
          <w:p w14:paraId="10A4C26A">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性别</w:t>
            </w:r>
          </w:p>
        </w:tc>
        <w:tc>
          <w:tcPr>
            <w:tcW w:w="1303" w:type="dxa"/>
            <w:vAlign w:val="center"/>
          </w:tcPr>
          <w:p w14:paraId="3CCC54CD">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出生日期</w:t>
            </w:r>
          </w:p>
        </w:tc>
        <w:tc>
          <w:tcPr>
            <w:tcW w:w="851" w:type="dxa"/>
            <w:vAlign w:val="center"/>
          </w:tcPr>
          <w:p w14:paraId="29B96746">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学历</w:t>
            </w:r>
          </w:p>
        </w:tc>
        <w:tc>
          <w:tcPr>
            <w:tcW w:w="1369" w:type="dxa"/>
            <w:vAlign w:val="center"/>
          </w:tcPr>
          <w:p w14:paraId="2A2B3345">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专业</w:t>
            </w:r>
          </w:p>
        </w:tc>
        <w:tc>
          <w:tcPr>
            <w:tcW w:w="1761" w:type="dxa"/>
            <w:vAlign w:val="center"/>
          </w:tcPr>
          <w:p w14:paraId="0C994E28">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技术职称</w:t>
            </w:r>
          </w:p>
        </w:tc>
        <w:tc>
          <w:tcPr>
            <w:tcW w:w="1880" w:type="dxa"/>
            <w:vAlign w:val="center"/>
          </w:tcPr>
          <w:p w14:paraId="121D4E98">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在本项目中</w:t>
            </w:r>
          </w:p>
          <w:p w14:paraId="09923BF8">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拟任职务</w:t>
            </w:r>
          </w:p>
        </w:tc>
      </w:tr>
      <w:tr w14:paraId="5D3F01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01C39225">
            <w:pPr>
              <w:spacing w:line="360" w:lineRule="exact"/>
              <w:rPr>
                <w:rFonts w:cs="宋体" w:asciiTheme="majorEastAsia" w:hAnsiTheme="majorEastAsia" w:eastAsiaTheme="majorEastAsia"/>
                <w:highlight w:val="none"/>
              </w:rPr>
            </w:pPr>
          </w:p>
        </w:tc>
        <w:tc>
          <w:tcPr>
            <w:tcW w:w="783" w:type="dxa"/>
            <w:vAlign w:val="center"/>
          </w:tcPr>
          <w:p w14:paraId="62CAAC04">
            <w:pPr>
              <w:spacing w:line="360" w:lineRule="exact"/>
              <w:rPr>
                <w:rFonts w:cs="宋体" w:asciiTheme="majorEastAsia" w:hAnsiTheme="majorEastAsia" w:eastAsiaTheme="majorEastAsia"/>
                <w:highlight w:val="none"/>
              </w:rPr>
            </w:pPr>
          </w:p>
        </w:tc>
        <w:tc>
          <w:tcPr>
            <w:tcW w:w="978" w:type="dxa"/>
            <w:vAlign w:val="center"/>
          </w:tcPr>
          <w:p w14:paraId="04B11352">
            <w:pPr>
              <w:spacing w:line="360" w:lineRule="exact"/>
              <w:rPr>
                <w:rFonts w:cs="宋体" w:asciiTheme="majorEastAsia" w:hAnsiTheme="majorEastAsia" w:eastAsiaTheme="majorEastAsia"/>
                <w:highlight w:val="none"/>
              </w:rPr>
            </w:pPr>
          </w:p>
        </w:tc>
        <w:tc>
          <w:tcPr>
            <w:tcW w:w="1303" w:type="dxa"/>
            <w:vAlign w:val="center"/>
          </w:tcPr>
          <w:p w14:paraId="30684B23">
            <w:pPr>
              <w:spacing w:line="360" w:lineRule="exact"/>
              <w:rPr>
                <w:rFonts w:cs="宋体" w:asciiTheme="majorEastAsia" w:hAnsiTheme="majorEastAsia" w:eastAsiaTheme="majorEastAsia"/>
                <w:highlight w:val="none"/>
              </w:rPr>
            </w:pPr>
          </w:p>
        </w:tc>
        <w:tc>
          <w:tcPr>
            <w:tcW w:w="851" w:type="dxa"/>
            <w:vAlign w:val="center"/>
          </w:tcPr>
          <w:p w14:paraId="4A4E0D8D">
            <w:pPr>
              <w:spacing w:line="360" w:lineRule="exact"/>
              <w:rPr>
                <w:rFonts w:cs="宋体" w:asciiTheme="majorEastAsia" w:hAnsiTheme="majorEastAsia" w:eastAsiaTheme="majorEastAsia"/>
                <w:highlight w:val="none"/>
              </w:rPr>
            </w:pPr>
          </w:p>
        </w:tc>
        <w:tc>
          <w:tcPr>
            <w:tcW w:w="1369" w:type="dxa"/>
            <w:vAlign w:val="center"/>
          </w:tcPr>
          <w:p w14:paraId="38B5DE71">
            <w:pPr>
              <w:spacing w:line="360" w:lineRule="exact"/>
              <w:rPr>
                <w:rFonts w:cs="宋体" w:asciiTheme="majorEastAsia" w:hAnsiTheme="majorEastAsia" w:eastAsiaTheme="majorEastAsia"/>
                <w:highlight w:val="none"/>
              </w:rPr>
            </w:pPr>
          </w:p>
        </w:tc>
        <w:tc>
          <w:tcPr>
            <w:tcW w:w="1761" w:type="dxa"/>
            <w:vAlign w:val="center"/>
          </w:tcPr>
          <w:p w14:paraId="0EDFA9DD">
            <w:pPr>
              <w:spacing w:line="360" w:lineRule="exact"/>
              <w:rPr>
                <w:rFonts w:cs="宋体" w:asciiTheme="majorEastAsia" w:hAnsiTheme="majorEastAsia" w:eastAsiaTheme="majorEastAsia"/>
                <w:highlight w:val="none"/>
              </w:rPr>
            </w:pPr>
          </w:p>
        </w:tc>
        <w:tc>
          <w:tcPr>
            <w:tcW w:w="1880" w:type="dxa"/>
            <w:vAlign w:val="center"/>
          </w:tcPr>
          <w:p w14:paraId="0ADED17B">
            <w:pPr>
              <w:spacing w:line="360" w:lineRule="exact"/>
              <w:rPr>
                <w:rFonts w:cs="宋体" w:asciiTheme="majorEastAsia" w:hAnsiTheme="majorEastAsia" w:eastAsiaTheme="majorEastAsia"/>
                <w:highlight w:val="none"/>
              </w:rPr>
            </w:pPr>
          </w:p>
        </w:tc>
      </w:tr>
      <w:tr w14:paraId="3195E6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6A4683F3">
            <w:pPr>
              <w:spacing w:line="360" w:lineRule="exact"/>
              <w:rPr>
                <w:rFonts w:cs="宋体" w:asciiTheme="majorEastAsia" w:hAnsiTheme="majorEastAsia" w:eastAsiaTheme="majorEastAsia"/>
                <w:highlight w:val="none"/>
              </w:rPr>
            </w:pPr>
          </w:p>
        </w:tc>
        <w:tc>
          <w:tcPr>
            <w:tcW w:w="783" w:type="dxa"/>
            <w:vAlign w:val="center"/>
          </w:tcPr>
          <w:p w14:paraId="38A8F5E8">
            <w:pPr>
              <w:spacing w:line="360" w:lineRule="exact"/>
              <w:rPr>
                <w:rFonts w:cs="宋体" w:asciiTheme="majorEastAsia" w:hAnsiTheme="majorEastAsia" w:eastAsiaTheme="majorEastAsia"/>
                <w:highlight w:val="none"/>
              </w:rPr>
            </w:pPr>
          </w:p>
        </w:tc>
        <w:tc>
          <w:tcPr>
            <w:tcW w:w="978" w:type="dxa"/>
            <w:vAlign w:val="center"/>
          </w:tcPr>
          <w:p w14:paraId="6CA86830">
            <w:pPr>
              <w:spacing w:line="360" w:lineRule="exact"/>
              <w:rPr>
                <w:rFonts w:cs="宋体" w:asciiTheme="majorEastAsia" w:hAnsiTheme="majorEastAsia" w:eastAsiaTheme="majorEastAsia"/>
                <w:highlight w:val="none"/>
              </w:rPr>
            </w:pPr>
          </w:p>
        </w:tc>
        <w:tc>
          <w:tcPr>
            <w:tcW w:w="1303" w:type="dxa"/>
            <w:vAlign w:val="center"/>
          </w:tcPr>
          <w:p w14:paraId="3DF086A6">
            <w:pPr>
              <w:spacing w:line="360" w:lineRule="exact"/>
              <w:rPr>
                <w:rFonts w:cs="宋体" w:asciiTheme="majorEastAsia" w:hAnsiTheme="majorEastAsia" w:eastAsiaTheme="majorEastAsia"/>
                <w:highlight w:val="none"/>
              </w:rPr>
            </w:pPr>
          </w:p>
        </w:tc>
        <w:tc>
          <w:tcPr>
            <w:tcW w:w="851" w:type="dxa"/>
            <w:vAlign w:val="center"/>
          </w:tcPr>
          <w:p w14:paraId="08724155">
            <w:pPr>
              <w:spacing w:line="360" w:lineRule="exact"/>
              <w:rPr>
                <w:rFonts w:cs="宋体" w:asciiTheme="majorEastAsia" w:hAnsiTheme="majorEastAsia" w:eastAsiaTheme="majorEastAsia"/>
                <w:highlight w:val="none"/>
              </w:rPr>
            </w:pPr>
          </w:p>
        </w:tc>
        <w:tc>
          <w:tcPr>
            <w:tcW w:w="1369" w:type="dxa"/>
            <w:vAlign w:val="center"/>
          </w:tcPr>
          <w:p w14:paraId="3EBF35EB">
            <w:pPr>
              <w:spacing w:line="360" w:lineRule="exact"/>
              <w:rPr>
                <w:rFonts w:cs="宋体" w:asciiTheme="majorEastAsia" w:hAnsiTheme="majorEastAsia" w:eastAsiaTheme="majorEastAsia"/>
                <w:highlight w:val="none"/>
              </w:rPr>
            </w:pPr>
          </w:p>
        </w:tc>
        <w:tc>
          <w:tcPr>
            <w:tcW w:w="1761" w:type="dxa"/>
            <w:vAlign w:val="center"/>
          </w:tcPr>
          <w:p w14:paraId="6F30E42B">
            <w:pPr>
              <w:spacing w:line="360" w:lineRule="exact"/>
              <w:rPr>
                <w:rFonts w:cs="宋体" w:asciiTheme="majorEastAsia" w:hAnsiTheme="majorEastAsia" w:eastAsiaTheme="majorEastAsia"/>
                <w:highlight w:val="none"/>
              </w:rPr>
            </w:pPr>
          </w:p>
        </w:tc>
        <w:tc>
          <w:tcPr>
            <w:tcW w:w="1880" w:type="dxa"/>
            <w:vAlign w:val="center"/>
          </w:tcPr>
          <w:p w14:paraId="33DEDFDD">
            <w:pPr>
              <w:spacing w:line="360" w:lineRule="exact"/>
              <w:rPr>
                <w:rFonts w:cs="宋体" w:asciiTheme="majorEastAsia" w:hAnsiTheme="majorEastAsia" w:eastAsiaTheme="majorEastAsia"/>
                <w:highlight w:val="none"/>
              </w:rPr>
            </w:pPr>
          </w:p>
        </w:tc>
      </w:tr>
      <w:tr w14:paraId="77F344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789CAFB6">
            <w:pPr>
              <w:spacing w:line="360" w:lineRule="exact"/>
              <w:rPr>
                <w:rFonts w:cs="宋体" w:asciiTheme="majorEastAsia" w:hAnsiTheme="majorEastAsia" w:eastAsiaTheme="majorEastAsia"/>
                <w:highlight w:val="none"/>
              </w:rPr>
            </w:pPr>
          </w:p>
        </w:tc>
        <w:tc>
          <w:tcPr>
            <w:tcW w:w="783" w:type="dxa"/>
            <w:vAlign w:val="center"/>
          </w:tcPr>
          <w:p w14:paraId="67C54068">
            <w:pPr>
              <w:spacing w:line="360" w:lineRule="exact"/>
              <w:rPr>
                <w:rFonts w:cs="宋体" w:asciiTheme="majorEastAsia" w:hAnsiTheme="majorEastAsia" w:eastAsiaTheme="majorEastAsia"/>
                <w:highlight w:val="none"/>
              </w:rPr>
            </w:pPr>
          </w:p>
        </w:tc>
        <w:tc>
          <w:tcPr>
            <w:tcW w:w="978" w:type="dxa"/>
            <w:vAlign w:val="center"/>
          </w:tcPr>
          <w:p w14:paraId="0E8DD92E">
            <w:pPr>
              <w:spacing w:line="360" w:lineRule="exact"/>
              <w:rPr>
                <w:rFonts w:cs="宋体" w:asciiTheme="majorEastAsia" w:hAnsiTheme="majorEastAsia" w:eastAsiaTheme="majorEastAsia"/>
                <w:highlight w:val="none"/>
              </w:rPr>
            </w:pPr>
          </w:p>
        </w:tc>
        <w:tc>
          <w:tcPr>
            <w:tcW w:w="1303" w:type="dxa"/>
            <w:vAlign w:val="center"/>
          </w:tcPr>
          <w:p w14:paraId="0C2A7915">
            <w:pPr>
              <w:spacing w:line="360" w:lineRule="exact"/>
              <w:rPr>
                <w:rFonts w:cs="宋体" w:asciiTheme="majorEastAsia" w:hAnsiTheme="majorEastAsia" w:eastAsiaTheme="majorEastAsia"/>
                <w:highlight w:val="none"/>
              </w:rPr>
            </w:pPr>
          </w:p>
        </w:tc>
        <w:tc>
          <w:tcPr>
            <w:tcW w:w="851" w:type="dxa"/>
            <w:vAlign w:val="center"/>
          </w:tcPr>
          <w:p w14:paraId="3DDF727C">
            <w:pPr>
              <w:spacing w:line="360" w:lineRule="exact"/>
              <w:rPr>
                <w:rFonts w:cs="宋体" w:asciiTheme="majorEastAsia" w:hAnsiTheme="majorEastAsia" w:eastAsiaTheme="majorEastAsia"/>
                <w:highlight w:val="none"/>
              </w:rPr>
            </w:pPr>
          </w:p>
        </w:tc>
        <w:tc>
          <w:tcPr>
            <w:tcW w:w="1369" w:type="dxa"/>
            <w:vAlign w:val="center"/>
          </w:tcPr>
          <w:p w14:paraId="555F48B9">
            <w:pPr>
              <w:spacing w:line="360" w:lineRule="exact"/>
              <w:rPr>
                <w:rFonts w:cs="宋体" w:asciiTheme="majorEastAsia" w:hAnsiTheme="majorEastAsia" w:eastAsiaTheme="majorEastAsia"/>
                <w:highlight w:val="none"/>
              </w:rPr>
            </w:pPr>
          </w:p>
        </w:tc>
        <w:tc>
          <w:tcPr>
            <w:tcW w:w="1761" w:type="dxa"/>
            <w:vAlign w:val="center"/>
          </w:tcPr>
          <w:p w14:paraId="792D4673">
            <w:pPr>
              <w:spacing w:line="360" w:lineRule="exact"/>
              <w:rPr>
                <w:rFonts w:cs="宋体" w:asciiTheme="majorEastAsia" w:hAnsiTheme="majorEastAsia" w:eastAsiaTheme="majorEastAsia"/>
                <w:highlight w:val="none"/>
              </w:rPr>
            </w:pPr>
          </w:p>
        </w:tc>
        <w:tc>
          <w:tcPr>
            <w:tcW w:w="1880" w:type="dxa"/>
            <w:vAlign w:val="center"/>
          </w:tcPr>
          <w:p w14:paraId="03A03A21">
            <w:pPr>
              <w:spacing w:line="360" w:lineRule="exact"/>
              <w:rPr>
                <w:rFonts w:cs="宋体" w:asciiTheme="majorEastAsia" w:hAnsiTheme="majorEastAsia" w:eastAsiaTheme="majorEastAsia"/>
                <w:highlight w:val="none"/>
              </w:rPr>
            </w:pPr>
          </w:p>
        </w:tc>
      </w:tr>
    </w:tbl>
    <w:p w14:paraId="2C27F539">
      <w:pPr>
        <w:rPr>
          <w:rFonts w:hint="eastAsia"/>
          <w:b/>
          <w:bCs/>
          <w:highlight w:val="none"/>
          <w:lang w:val="en-US" w:eastAsia="zh-CN"/>
        </w:rPr>
      </w:pPr>
    </w:p>
    <w:p w14:paraId="76A744E3">
      <w:pPr>
        <w:rPr>
          <w:b/>
          <w:bCs/>
          <w:highlight w:val="none"/>
        </w:rPr>
      </w:pPr>
      <w:r>
        <w:rPr>
          <w:rFonts w:hint="eastAsia"/>
          <w:b/>
          <w:bCs/>
          <w:highlight w:val="none"/>
          <w:lang w:val="en-US" w:eastAsia="zh-CN"/>
        </w:rPr>
        <w:t>三</w:t>
      </w:r>
      <w:r>
        <w:rPr>
          <w:rFonts w:hint="eastAsia"/>
          <w:b/>
          <w:bCs/>
          <w:highlight w:val="none"/>
        </w:rPr>
        <w:t>、</w:t>
      </w:r>
      <w:r>
        <w:rPr>
          <w:rFonts w:hint="eastAsia"/>
          <w:b/>
          <w:bCs/>
          <w:highlight w:val="none"/>
          <w:lang w:val="en-US" w:eastAsia="zh-CN"/>
        </w:rPr>
        <w:t>运营</w:t>
      </w:r>
      <w:r>
        <w:rPr>
          <w:rFonts w:hint="eastAsia"/>
          <w:b/>
          <w:bCs/>
          <w:highlight w:val="none"/>
        </w:rPr>
        <w:t>部分：</w:t>
      </w:r>
    </w:p>
    <w:tbl>
      <w:tblPr>
        <w:tblStyle w:val="63"/>
        <w:tblW w:w="974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15"/>
        <w:gridCol w:w="783"/>
        <w:gridCol w:w="978"/>
        <w:gridCol w:w="1303"/>
        <w:gridCol w:w="851"/>
        <w:gridCol w:w="1369"/>
        <w:gridCol w:w="1761"/>
        <w:gridCol w:w="1880"/>
      </w:tblGrid>
      <w:tr w14:paraId="09BC71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264A24D5">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序号</w:t>
            </w:r>
          </w:p>
        </w:tc>
        <w:tc>
          <w:tcPr>
            <w:tcW w:w="783" w:type="dxa"/>
            <w:vAlign w:val="center"/>
          </w:tcPr>
          <w:p w14:paraId="3D0A2187">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姓名</w:t>
            </w:r>
          </w:p>
        </w:tc>
        <w:tc>
          <w:tcPr>
            <w:tcW w:w="978" w:type="dxa"/>
            <w:vAlign w:val="center"/>
          </w:tcPr>
          <w:p w14:paraId="4B649C5F">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性别</w:t>
            </w:r>
          </w:p>
        </w:tc>
        <w:tc>
          <w:tcPr>
            <w:tcW w:w="1303" w:type="dxa"/>
            <w:vAlign w:val="center"/>
          </w:tcPr>
          <w:p w14:paraId="508B42EF">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出生日期</w:t>
            </w:r>
          </w:p>
        </w:tc>
        <w:tc>
          <w:tcPr>
            <w:tcW w:w="851" w:type="dxa"/>
            <w:vAlign w:val="center"/>
          </w:tcPr>
          <w:p w14:paraId="09100DFF">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学历</w:t>
            </w:r>
          </w:p>
        </w:tc>
        <w:tc>
          <w:tcPr>
            <w:tcW w:w="1369" w:type="dxa"/>
            <w:vAlign w:val="center"/>
          </w:tcPr>
          <w:p w14:paraId="325E545D">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专业</w:t>
            </w:r>
          </w:p>
        </w:tc>
        <w:tc>
          <w:tcPr>
            <w:tcW w:w="1761" w:type="dxa"/>
            <w:vAlign w:val="center"/>
          </w:tcPr>
          <w:p w14:paraId="27D891DC">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技术职称</w:t>
            </w:r>
          </w:p>
        </w:tc>
        <w:tc>
          <w:tcPr>
            <w:tcW w:w="1880" w:type="dxa"/>
            <w:vAlign w:val="center"/>
          </w:tcPr>
          <w:p w14:paraId="3BDDFD8B">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在本项目中</w:t>
            </w:r>
          </w:p>
          <w:p w14:paraId="689C6465">
            <w:pPr>
              <w:spacing w:line="360" w:lineRule="exact"/>
              <w:jc w:val="center"/>
              <w:rPr>
                <w:rFonts w:cs="宋体" w:asciiTheme="majorEastAsia" w:hAnsiTheme="majorEastAsia" w:eastAsiaTheme="majorEastAsia"/>
                <w:b/>
                <w:bCs/>
                <w:highlight w:val="none"/>
              </w:rPr>
            </w:pPr>
            <w:r>
              <w:rPr>
                <w:rFonts w:hint="eastAsia" w:cs="宋体" w:asciiTheme="majorEastAsia" w:hAnsiTheme="majorEastAsia" w:eastAsiaTheme="majorEastAsia"/>
                <w:b/>
                <w:bCs/>
                <w:highlight w:val="none"/>
              </w:rPr>
              <w:t>拟任职务</w:t>
            </w:r>
          </w:p>
        </w:tc>
      </w:tr>
      <w:tr w14:paraId="5A67B1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21B8A010">
            <w:pPr>
              <w:spacing w:line="360" w:lineRule="exact"/>
              <w:rPr>
                <w:rFonts w:cs="宋体" w:asciiTheme="majorEastAsia" w:hAnsiTheme="majorEastAsia" w:eastAsiaTheme="majorEastAsia"/>
                <w:highlight w:val="none"/>
              </w:rPr>
            </w:pPr>
          </w:p>
        </w:tc>
        <w:tc>
          <w:tcPr>
            <w:tcW w:w="783" w:type="dxa"/>
            <w:vAlign w:val="center"/>
          </w:tcPr>
          <w:p w14:paraId="37BF777E">
            <w:pPr>
              <w:spacing w:line="360" w:lineRule="exact"/>
              <w:rPr>
                <w:rFonts w:cs="宋体" w:asciiTheme="majorEastAsia" w:hAnsiTheme="majorEastAsia" w:eastAsiaTheme="majorEastAsia"/>
                <w:highlight w:val="none"/>
              </w:rPr>
            </w:pPr>
          </w:p>
        </w:tc>
        <w:tc>
          <w:tcPr>
            <w:tcW w:w="978" w:type="dxa"/>
            <w:vAlign w:val="center"/>
          </w:tcPr>
          <w:p w14:paraId="5EC7BA78">
            <w:pPr>
              <w:spacing w:line="360" w:lineRule="exact"/>
              <w:rPr>
                <w:rFonts w:cs="宋体" w:asciiTheme="majorEastAsia" w:hAnsiTheme="majorEastAsia" w:eastAsiaTheme="majorEastAsia"/>
                <w:highlight w:val="none"/>
              </w:rPr>
            </w:pPr>
          </w:p>
        </w:tc>
        <w:tc>
          <w:tcPr>
            <w:tcW w:w="1303" w:type="dxa"/>
            <w:vAlign w:val="center"/>
          </w:tcPr>
          <w:p w14:paraId="524C5446">
            <w:pPr>
              <w:spacing w:line="360" w:lineRule="exact"/>
              <w:rPr>
                <w:rFonts w:cs="宋体" w:asciiTheme="majorEastAsia" w:hAnsiTheme="majorEastAsia" w:eastAsiaTheme="majorEastAsia"/>
                <w:highlight w:val="none"/>
              </w:rPr>
            </w:pPr>
          </w:p>
        </w:tc>
        <w:tc>
          <w:tcPr>
            <w:tcW w:w="851" w:type="dxa"/>
            <w:vAlign w:val="center"/>
          </w:tcPr>
          <w:p w14:paraId="675125E4">
            <w:pPr>
              <w:spacing w:line="360" w:lineRule="exact"/>
              <w:rPr>
                <w:rFonts w:cs="宋体" w:asciiTheme="majorEastAsia" w:hAnsiTheme="majorEastAsia" w:eastAsiaTheme="majorEastAsia"/>
                <w:highlight w:val="none"/>
              </w:rPr>
            </w:pPr>
          </w:p>
        </w:tc>
        <w:tc>
          <w:tcPr>
            <w:tcW w:w="1369" w:type="dxa"/>
            <w:vAlign w:val="center"/>
          </w:tcPr>
          <w:p w14:paraId="771C29B2">
            <w:pPr>
              <w:spacing w:line="360" w:lineRule="exact"/>
              <w:rPr>
                <w:rFonts w:cs="宋体" w:asciiTheme="majorEastAsia" w:hAnsiTheme="majorEastAsia" w:eastAsiaTheme="majorEastAsia"/>
                <w:highlight w:val="none"/>
              </w:rPr>
            </w:pPr>
          </w:p>
        </w:tc>
        <w:tc>
          <w:tcPr>
            <w:tcW w:w="1761" w:type="dxa"/>
            <w:vAlign w:val="center"/>
          </w:tcPr>
          <w:p w14:paraId="4F1B11EF">
            <w:pPr>
              <w:spacing w:line="360" w:lineRule="exact"/>
              <w:rPr>
                <w:rFonts w:cs="宋体" w:asciiTheme="majorEastAsia" w:hAnsiTheme="majorEastAsia" w:eastAsiaTheme="majorEastAsia"/>
                <w:highlight w:val="none"/>
              </w:rPr>
            </w:pPr>
          </w:p>
        </w:tc>
        <w:tc>
          <w:tcPr>
            <w:tcW w:w="1880" w:type="dxa"/>
            <w:vAlign w:val="center"/>
          </w:tcPr>
          <w:p w14:paraId="44497C15">
            <w:pPr>
              <w:spacing w:line="360" w:lineRule="exact"/>
              <w:rPr>
                <w:rFonts w:cs="宋体" w:asciiTheme="majorEastAsia" w:hAnsiTheme="majorEastAsia" w:eastAsiaTheme="majorEastAsia"/>
                <w:highlight w:val="none"/>
              </w:rPr>
            </w:pPr>
          </w:p>
        </w:tc>
      </w:tr>
      <w:tr w14:paraId="012C37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7FD9FCFC">
            <w:pPr>
              <w:spacing w:line="360" w:lineRule="exact"/>
              <w:rPr>
                <w:rFonts w:cs="宋体" w:asciiTheme="majorEastAsia" w:hAnsiTheme="majorEastAsia" w:eastAsiaTheme="majorEastAsia"/>
                <w:highlight w:val="none"/>
              </w:rPr>
            </w:pPr>
          </w:p>
        </w:tc>
        <w:tc>
          <w:tcPr>
            <w:tcW w:w="783" w:type="dxa"/>
            <w:vAlign w:val="center"/>
          </w:tcPr>
          <w:p w14:paraId="61B24B22">
            <w:pPr>
              <w:spacing w:line="360" w:lineRule="exact"/>
              <w:rPr>
                <w:rFonts w:cs="宋体" w:asciiTheme="majorEastAsia" w:hAnsiTheme="majorEastAsia" w:eastAsiaTheme="majorEastAsia"/>
                <w:highlight w:val="none"/>
              </w:rPr>
            </w:pPr>
          </w:p>
        </w:tc>
        <w:tc>
          <w:tcPr>
            <w:tcW w:w="978" w:type="dxa"/>
            <w:vAlign w:val="center"/>
          </w:tcPr>
          <w:p w14:paraId="1DA989B9">
            <w:pPr>
              <w:spacing w:line="360" w:lineRule="exact"/>
              <w:rPr>
                <w:rFonts w:cs="宋体" w:asciiTheme="majorEastAsia" w:hAnsiTheme="majorEastAsia" w:eastAsiaTheme="majorEastAsia"/>
                <w:highlight w:val="none"/>
              </w:rPr>
            </w:pPr>
          </w:p>
        </w:tc>
        <w:tc>
          <w:tcPr>
            <w:tcW w:w="1303" w:type="dxa"/>
            <w:vAlign w:val="center"/>
          </w:tcPr>
          <w:p w14:paraId="4DA27663">
            <w:pPr>
              <w:spacing w:line="360" w:lineRule="exact"/>
              <w:rPr>
                <w:rFonts w:cs="宋体" w:asciiTheme="majorEastAsia" w:hAnsiTheme="majorEastAsia" w:eastAsiaTheme="majorEastAsia"/>
                <w:highlight w:val="none"/>
              </w:rPr>
            </w:pPr>
          </w:p>
        </w:tc>
        <w:tc>
          <w:tcPr>
            <w:tcW w:w="851" w:type="dxa"/>
            <w:vAlign w:val="center"/>
          </w:tcPr>
          <w:p w14:paraId="282643CD">
            <w:pPr>
              <w:spacing w:line="360" w:lineRule="exact"/>
              <w:rPr>
                <w:rFonts w:cs="宋体" w:asciiTheme="majorEastAsia" w:hAnsiTheme="majorEastAsia" w:eastAsiaTheme="majorEastAsia"/>
                <w:highlight w:val="none"/>
              </w:rPr>
            </w:pPr>
          </w:p>
        </w:tc>
        <w:tc>
          <w:tcPr>
            <w:tcW w:w="1369" w:type="dxa"/>
            <w:vAlign w:val="center"/>
          </w:tcPr>
          <w:p w14:paraId="69F253B0">
            <w:pPr>
              <w:spacing w:line="360" w:lineRule="exact"/>
              <w:rPr>
                <w:rFonts w:cs="宋体" w:asciiTheme="majorEastAsia" w:hAnsiTheme="majorEastAsia" w:eastAsiaTheme="majorEastAsia"/>
                <w:highlight w:val="none"/>
              </w:rPr>
            </w:pPr>
          </w:p>
        </w:tc>
        <w:tc>
          <w:tcPr>
            <w:tcW w:w="1761" w:type="dxa"/>
            <w:vAlign w:val="center"/>
          </w:tcPr>
          <w:p w14:paraId="3AB8ABCB">
            <w:pPr>
              <w:spacing w:line="360" w:lineRule="exact"/>
              <w:rPr>
                <w:rFonts w:cs="宋体" w:asciiTheme="majorEastAsia" w:hAnsiTheme="majorEastAsia" w:eastAsiaTheme="majorEastAsia"/>
                <w:highlight w:val="none"/>
              </w:rPr>
            </w:pPr>
          </w:p>
        </w:tc>
        <w:tc>
          <w:tcPr>
            <w:tcW w:w="1880" w:type="dxa"/>
            <w:vAlign w:val="center"/>
          </w:tcPr>
          <w:p w14:paraId="20CE5ED7">
            <w:pPr>
              <w:spacing w:line="360" w:lineRule="exact"/>
              <w:rPr>
                <w:rFonts w:cs="宋体" w:asciiTheme="majorEastAsia" w:hAnsiTheme="majorEastAsia" w:eastAsiaTheme="majorEastAsia"/>
                <w:highlight w:val="none"/>
              </w:rPr>
            </w:pPr>
          </w:p>
        </w:tc>
      </w:tr>
      <w:tr w14:paraId="184355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6C6220CC">
            <w:pPr>
              <w:spacing w:line="360" w:lineRule="exact"/>
              <w:rPr>
                <w:rFonts w:cs="宋体" w:asciiTheme="majorEastAsia" w:hAnsiTheme="majorEastAsia" w:eastAsiaTheme="majorEastAsia"/>
                <w:highlight w:val="none"/>
              </w:rPr>
            </w:pPr>
          </w:p>
        </w:tc>
        <w:tc>
          <w:tcPr>
            <w:tcW w:w="783" w:type="dxa"/>
            <w:vAlign w:val="center"/>
          </w:tcPr>
          <w:p w14:paraId="1E5B34F0">
            <w:pPr>
              <w:spacing w:line="360" w:lineRule="exact"/>
              <w:rPr>
                <w:rFonts w:cs="宋体" w:asciiTheme="majorEastAsia" w:hAnsiTheme="majorEastAsia" w:eastAsiaTheme="majorEastAsia"/>
                <w:highlight w:val="none"/>
              </w:rPr>
            </w:pPr>
          </w:p>
        </w:tc>
        <w:tc>
          <w:tcPr>
            <w:tcW w:w="978" w:type="dxa"/>
            <w:vAlign w:val="center"/>
          </w:tcPr>
          <w:p w14:paraId="530DEBF2">
            <w:pPr>
              <w:spacing w:line="360" w:lineRule="exact"/>
              <w:rPr>
                <w:rFonts w:cs="宋体" w:asciiTheme="majorEastAsia" w:hAnsiTheme="majorEastAsia" w:eastAsiaTheme="majorEastAsia"/>
                <w:highlight w:val="none"/>
              </w:rPr>
            </w:pPr>
          </w:p>
        </w:tc>
        <w:tc>
          <w:tcPr>
            <w:tcW w:w="1303" w:type="dxa"/>
            <w:vAlign w:val="center"/>
          </w:tcPr>
          <w:p w14:paraId="756B0CB3">
            <w:pPr>
              <w:spacing w:line="360" w:lineRule="exact"/>
              <w:rPr>
                <w:rFonts w:cs="宋体" w:asciiTheme="majorEastAsia" w:hAnsiTheme="majorEastAsia" w:eastAsiaTheme="majorEastAsia"/>
                <w:highlight w:val="none"/>
              </w:rPr>
            </w:pPr>
          </w:p>
        </w:tc>
        <w:tc>
          <w:tcPr>
            <w:tcW w:w="851" w:type="dxa"/>
            <w:vAlign w:val="center"/>
          </w:tcPr>
          <w:p w14:paraId="0A25FCA3">
            <w:pPr>
              <w:spacing w:line="360" w:lineRule="exact"/>
              <w:rPr>
                <w:rFonts w:cs="宋体" w:asciiTheme="majorEastAsia" w:hAnsiTheme="majorEastAsia" w:eastAsiaTheme="majorEastAsia"/>
                <w:highlight w:val="none"/>
              </w:rPr>
            </w:pPr>
          </w:p>
        </w:tc>
        <w:tc>
          <w:tcPr>
            <w:tcW w:w="1369" w:type="dxa"/>
            <w:vAlign w:val="center"/>
          </w:tcPr>
          <w:p w14:paraId="7AC80210">
            <w:pPr>
              <w:spacing w:line="360" w:lineRule="exact"/>
              <w:rPr>
                <w:rFonts w:cs="宋体" w:asciiTheme="majorEastAsia" w:hAnsiTheme="majorEastAsia" w:eastAsiaTheme="majorEastAsia"/>
                <w:highlight w:val="none"/>
              </w:rPr>
            </w:pPr>
          </w:p>
        </w:tc>
        <w:tc>
          <w:tcPr>
            <w:tcW w:w="1761" w:type="dxa"/>
            <w:vAlign w:val="center"/>
          </w:tcPr>
          <w:p w14:paraId="4F4C9D11">
            <w:pPr>
              <w:spacing w:line="360" w:lineRule="exact"/>
              <w:rPr>
                <w:rFonts w:cs="宋体" w:asciiTheme="majorEastAsia" w:hAnsiTheme="majorEastAsia" w:eastAsiaTheme="majorEastAsia"/>
                <w:highlight w:val="none"/>
              </w:rPr>
            </w:pPr>
          </w:p>
        </w:tc>
        <w:tc>
          <w:tcPr>
            <w:tcW w:w="1880" w:type="dxa"/>
            <w:vAlign w:val="center"/>
          </w:tcPr>
          <w:p w14:paraId="0A827A0D">
            <w:pPr>
              <w:spacing w:line="360" w:lineRule="exact"/>
              <w:rPr>
                <w:rFonts w:cs="宋体" w:asciiTheme="majorEastAsia" w:hAnsiTheme="majorEastAsia" w:eastAsiaTheme="majorEastAsia"/>
                <w:highlight w:val="none"/>
              </w:rPr>
            </w:pPr>
          </w:p>
        </w:tc>
      </w:tr>
    </w:tbl>
    <w:p w14:paraId="292F2D04">
      <w:pPr>
        <w:spacing w:line="560" w:lineRule="exact"/>
        <w:rPr>
          <w:rFonts w:cs="宋体" w:asciiTheme="majorEastAsia" w:hAnsiTheme="majorEastAsia" w:eastAsiaTheme="majorEastAsia"/>
          <w:b/>
          <w:sz w:val="21"/>
          <w:szCs w:val="21"/>
          <w:highlight w:val="none"/>
        </w:rPr>
      </w:pPr>
      <w:r>
        <w:rPr>
          <w:rFonts w:hint="eastAsia" w:cs="宋体" w:asciiTheme="majorEastAsia" w:hAnsiTheme="majorEastAsia" w:eastAsiaTheme="majorEastAsia"/>
          <w:b/>
          <w:sz w:val="21"/>
          <w:szCs w:val="21"/>
          <w:highlight w:val="none"/>
        </w:rPr>
        <w:t>注：此表须按设计、施工</w:t>
      </w:r>
      <w:r>
        <w:rPr>
          <w:rFonts w:hint="eastAsia" w:cs="宋体" w:asciiTheme="majorEastAsia" w:hAnsiTheme="majorEastAsia" w:eastAsiaTheme="majorEastAsia"/>
          <w:b/>
          <w:sz w:val="21"/>
          <w:szCs w:val="21"/>
          <w:highlight w:val="none"/>
          <w:lang w:eastAsia="zh-CN"/>
        </w:rPr>
        <w:t>、</w:t>
      </w:r>
      <w:r>
        <w:rPr>
          <w:rFonts w:hint="eastAsia" w:cs="宋体" w:asciiTheme="majorEastAsia" w:hAnsiTheme="majorEastAsia" w:eastAsiaTheme="majorEastAsia"/>
          <w:b/>
          <w:sz w:val="21"/>
          <w:szCs w:val="21"/>
          <w:highlight w:val="none"/>
          <w:lang w:val="en-US" w:eastAsia="zh-CN"/>
        </w:rPr>
        <w:t>运营、</w:t>
      </w:r>
      <w:r>
        <w:rPr>
          <w:rFonts w:hint="eastAsia" w:cs="宋体" w:asciiTheme="majorEastAsia" w:hAnsiTheme="majorEastAsia" w:eastAsiaTheme="majorEastAsia"/>
          <w:b/>
          <w:sz w:val="21"/>
          <w:szCs w:val="21"/>
          <w:highlight w:val="none"/>
        </w:rPr>
        <w:t>分别填写。附身份证、资格证书（如有）、职称证</w:t>
      </w:r>
      <w:r>
        <w:rPr>
          <w:rFonts w:hint="eastAsia" w:cs="宋体" w:asciiTheme="majorEastAsia" w:hAnsiTheme="majorEastAsia" w:eastAsiaTheme="majorEastAsia"/>
          <w:b/>
          <w:sz w:val="21"/>
          <w:szCs w:val="21"/>
          <w:highlight w:val="none"/>
          <w:lang w:eastAsia="zh-CN"/>
        </w:rPr>
        <w:t>（</w:t>
      </w:r>
      <w:r>
        <w:rPr>
          <w:rFonts w:hint="eastAsia" w:cs="宋体" w:asciiTheme="majorEastAsia" w:hAnsiTheme="majorEastAsia" w:eastAsiaTheme="majorEastAsia"/>
          <w:b/>
          <w:sz w:val="21"/>
          <w:szCs w:val="21"/>
          <w:highlight w:val="none"/>
          <w:lang w:val="en-US" w:eastAsia="zh-CN"/>
        </w:rPr>
        <w:t>如有</w:t>
      </w:r>
      <w:r>
        <w:rPr>
          <w:rFonts w:hint="eastAsia" w:cs="宋体" w:asciiTheme="majorEastAsia" w:hAnsiTheme="majorEastAsia" w:eastAsiaTheme="majorEastAsia"/>
          <w:b/>
          <w:sz w:val="21"/>
          <w:szCs w:val="21"/>
          <w:highlight w:val="none"/>
          <w:lang w:eastAsia="zh-CN"/>
        </w:rPr>
        <w:t>）</w:t>
      </w:r>
      <w:r>
        <w:rPr>
          <w:rFonts w:hint="eastAsia" w:cs="宋体" w:asciiTheme="majorEastAsia" w:hAnsiTheme="majorEastAsia" w:eastAsiaTheme="majorEastAsia"/>
          <w:b/>
          <w:sz w:val="21"/>
          <w:szCs w:val="21"/>
          <w:highlight w:val="none"/>
        </w:rPr>
        <w:t>等材料扫描件。</w:t>
      </w:r>
    </w:p>
    <w:p w14:paraId="11D0BBC8">
      <w:pPr>
        <w:rPr>
          <w:rFonts w:cs="宋体" w:asciiTheme="majorEastAsia" w:hAnsiTheme="majorEastAsia" w:eastAsiaTheme="majorEastAsia"/>
          <w:highlight w:val="none"/>
        </w:rPr>
      </w:pPr>
    </w:p>
    <w:p w14:paraId="64F49438">
      <w:pPr>
        <w:spacing w:line="60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投 标 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（电子签章）</w:t>
      </w:r>
    </w:p>
    <w:p w14:paraId="48FFFC80">
      <w:pPr>
        <w:spacing w:line="60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法定代表人或其委托代理人：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szCs w:val="21"/>
          <w:highlight w:val="none"/>
        </w:rPr>
        <w:t>（电子签章）</w:t>
      </w:r>
    </w:p>
    <w:p w14:paraId="22D9D9A9">
      <w:pPr>
        <w:spacing w:line="60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日   期：</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 xml:space="preserve">年 </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月</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日</w:t>
      </w:r>
    </w:p>
    <w:p w14:paraId="6514CC35">
      <w:pPr>
        <w:spacing w:line="560" w:lineRule="exact"/>
        <w:rPr>
          <w:rFonts w:cs="宋体" w:asciiTheme="majorEastAsia" w:hAnsiTheme="majorEastAsia" w:eastAsiaTheme="majorEastAsia"/>
          <w:highlight w:val="none"/>
        </w:rPr>
      </w:pPr>
    </w:p>
    <w:p w14:paraId="328D9E2D">
      <w:pPr>
        <w:rPr>
          <w:rStyle w:val="154"/>
          <w:rFonts w:cs="宋体" w:asciiTheme="majorEastAsia" w:hAnsiTheme="majorEastAsia" w:eastAsiaTheme="majorEastAsia"/>
          <w:sz w:val="30"/>
          <w:szCs w:val="30"/>
          <w:highlight w:val="none"/>
        </w:rPr>
      </w:pPr>
      <w:r>
        <w:rPr>
          <w:rStyle w:val="154"/>
          <w:rFonts w:hint="eastAsia" w:cs="宋体" w:asciiTheme="majorEastAsia" w:hAnsiTheme="majorEastAsia" w:eastAsiaTheme="majorEastAsia"/>
          <w:sz w:val="30"/>
          <w:szCs w:val="30"/>
          <w:highlight w:val="none"/>
        </w:rPr>
        <w:br w:type="page"/>
      </w:r>
    </w:p>
    <w:p w14:paraId="2F35CF75">
      <w:pPr>
        <w:pStyle w:val="3"/>
        <w:spacing w:before="120" w:after="120" w:afterLines="50" w:line="700" w:lineRule="exact"/>
        <w:ind w:left="0" w:firstLine="0"/>
        <w:jc w:val="center"/>
        <w:rPr>
          <w:rStyle w:val="154"/>
          <w:rFonts w:hint="eastAsia" w:cs="宋体" w:asciiTheme="majorEastAsia" w:hAnsiTheme="majorEastAsia" w:eastAsiaTheme="majorEastAsia"/>
          <w:sz w:val="32"/>
          <w:szCs w:val="32"/>
          <w:highlight w:val="none"/>
          <w:lang w:val="en-US" w:eastAsia="zh-CN"/>
        </w:rPr>
      </w:pPr>
      <w:r>
        <w:rPr>
          <w:rStyle w:val="154"/>
          <w:rFonts w:hint="eastAsia" w:cs="宋体" w:asciiTheme="majorEastAsia" w:hAnsiTheme="majorEastAsia" w:eastAsiaTheme="majorEastAsia"/>
          <w:sz w:val="32"/>
          <w:szCs w:val="32"/>
          <w:highlight w:val="none"/>
        </w:rPr>
        <w:t>附件十</w:t>
      </w:r>
      <w:r>
        <w:rPr>
          <w:rStyle w:val="154"/>
          <w:rFonts w:hint="eastAsia" w:cs="宋体" w:asciiTheme="majorEastAsia" w:hAnsiTheme="majorEastAsia" w:eastAsiaTheme="majorEastAsia"/>
          <w:sz w:val="32"/>
          <w:szCs w:val="32"/>
          <w:highlight w:val="none"/>
          <w:lang w:val="en-US" w:eastAsia="zh-CN"/>
        </w:rPr>
        <w:t>一</w:t>
      </w:r>
      <w:r>
        <w:rPr>
          <w:rStyle w:val="154"/>
          <w:rFonts w:hint="eastAsia" w:cs="宋体" w:asciiTheme="majorEastAsia" w:hAnsiTheme="majorEastAsia" w:eastAsiaTheme="majorEastAsia"/>
          <w:sz w:val="32"/>
          <w:szCs w:val="32"/>
          <w:highlight w:val="none"/>
        </w:rPr>
        <w:t>：</w:t>
      </w:r>
      <w:r>
        <w:rPr>
          <w:rStyle w:val="154"/>
          <w:rFonts w:hint="eastAsia" w:cs="宋体" w:asciiTheme="majorEastAsia" w:hAnsiTheme="majorEastAsia" w:eastAsiaTheme="majorEastAsia"/>
          <w:sz w:val="32"/>
          <w:szCs w:val="32"/>
          <w:highlight w:val="none"/>
          <w:lang w:val="en-US" w:eastAsia="zh-CN"/>
        </w:rPr>
        <w:t>信誉要求</w:t>
      </w:r>
    </w:p>
    <w:p w14:paraId="502A1FF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154"/>
          <w:rFonts w:hint="eastAsia" w:cs="宋体" w:asciiTheme="majorEastAsia" w:hAnsiTheme="majorEastAsia" w:eastAsiaTheme="majorEastAsia"/>
          <w:sz w:val="32"/>
          <w:szCs w:val="32"/>
          <w:highlight w:val="none"/>
          <w:lang w:val="en-US" w:eastAsia="zh-CN"/>
        </w:rPr>
      </w:pPr>
      <w:r>
        <w:rPr>
          <w:rFonts w:hint="eastAsia" w:cs="宋体" w:asciiTheme="majorEastAsia" w:hAnsiTheme="majorEastAsia" w:eastAsiaTheme="majorEastAsia"/>
          <w:highlight w:val="none"/>
          <w:lang w:val="en-US" w:eastAsia="zh-CN"/>
        </w:rPr>
        <w:t>（1）投标人最近三年（2023年1月1日至今）没有处于被责令停业，投标资格被取消，财产被接管、冻结，破产状态；没有骗取中标和严重违约及重大质量问题。投标人信誉良好，投标人当前未因不良行为记录被建设行政主管部门禁止投标，在递交投标文件截止之日前未被纳入“信用中国”网站的“失信被执行人名单”（投标人提供相关承诺，成立不满三年的，提供成立至今的承诺；联合体投标的，联合体各方均须提供）；（2）投标人最近三年（2023年1月1日至今）在经营活动中未出现违法、违规经营行为，主要管理人员没有行贿犯罪记录，投标企业应出具无行贿犯罪行为情况承诺书（投标人提供相关承诺，成立不满三年的，提供成立至今的承诺；联合体投标的，联合体各方均须提供）；（3）投标人最近三年（2023年1月1日至今）无拖欠农民工工资行为、未因拖欠农民工工资被评为不良信用单位或不良评级施工企业承诺，提供虚假承诺的，取消中标资格（投标人提供相关承诺，成立不满三年的，提供成立至今的承诺；联合体投标的，由联合体牵头人提供）。</w:t>
      </w:r>
    </w:p>
    <w:p w14:paraId="0E06BA63">
      <w:pPr>
        <w:rPr>
          <w:rStyle w:val="154"/>
          <w:rFonts w:hint="eastAsia"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2"/>
          <w:szCs w:val="32"/>
          <w:highlight w:val="none"/>
        </w:rPr>
        <w:br w:type="page"/>
      </w:r>
    </w:p>
    <w:p w14:paraId="1A59505F">
      <w:pPr>
        <w:rPr>
          <w:rStyle w:val="154"/>
          <w:rFonts w:hint="eastAsia" w:cs="宋体" w:asciiTheme="majorEastAsia" w:hAnsiTheme="majorEastAsia" w:eastAsiaTheme="majorEastAsia"/>
          <w:sz w:val="32"/>
          <w:szCs w:val="32"/>
          <w:highlight w:val="none"/>
        </w:rPr>
      </w:pPr>
    </w:p>
    <w:p w14:paraId="1E020D00">
      <w:pPr>
        <w:pStyle w:val="3"/>
        <w:spacing w:before="120" w:after="120" w:afterLines="50" w:line="700" w:lineRule="exact"/>
        <w:ind w:left="0" w:firstLine="0"/>
        <w:jc w:val="center"/>
        <w:rPr>
          <w:rStyle w:val="154"/>
          <w:rFonts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2"/>
          <w:szCs w:val="32"/>
          <w:highlight w:val="none"/>
        </w:rPr>
        <w:t>附件十</w:t>
      </w:r>
      <w:r>
        <w:rPr>
          <w:rStyle w:val="154"/>
          <w:rFonts w:hint="eastAsia" w:cs="宋体" w:asciiTheme="majorEastAsia" w:hAnsiTheme="majorEastAsia" w:eastAsiaTheme="majorEastAsia"/>
          <w:sz w:val="32"/>
          <w:szCs w:val="32"/>
          <w:highlight w:val="none"/>
          <w:lang w:val="en-US" w:eastAsia="zh-CN"/>
        </w:rPr>
        <w:t>二</w:t>
      </w:r>
      <w:r>
        <w:rPr>
          <w:rStyle w:val="154"/>
          <w:rFonts w:hint="eastAsia" w:cs="宋体" w:asciiTheme="majorEastAsia" w:hAnsiTheme="majorEastAsia" w:eastAsiaTheme="majorEastAsia"/>
          <w:sz w:val="32"/>
          <w:szCs w:val="32"/>
          <w:highlight w:val="none"/>
        </w:rPr>
        <w:t>：联合体协议书</w:t>
      </w:r>
    </w:p>
    <w:p w14:paraId="2BA174B7">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（所有成员单位名称）自愿组成</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（联合体名称）联合体，共同参加</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（项目名称）</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投标。现就联合体投标事宜订立如下协议。</w:t>
      </w:r>
    </w:p>
    <w:p w14:paraId="66D0E629">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1、</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（某成员单位名称）为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（联合体名称）牵头人。</w:t>
      </w:r>
    </w:p>
    <w:p w14:paraId="28F9E60D">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2、联合体牵头人合法代表联合体各成员负责本招标项目投标文件编制和投标活动，并代表联合体提交和接收相关的资料、信息及指示，并处理与之有关的一切事务，负责合同实施阶段的主办、组织和协调工作。</w:t>
      </w:r>
    </w:p>
    <w:p w14:paraId="5BD57231">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3、联合体将严格按照招标文件的各项要求，递交投标文件，履行合同，并对外承担连带责任。</w:t>
      </w:r>
    </w:p>
    <w:p w14:paraId="00B49A09">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4、联合体各成员单位内部的职责分工如下：</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w:t>
      </w:r>
      <w:r>
        <w:rPr>
          <w:rFonts w:hint="eastAsia" w:cs="宋体" w:asciiTheme="majorEastAsia" w:hAnsiTheme="majorEastAsia" w:eastAsiaTheme="majorEastAsia"/>
          <w:b/>
          <w:highlight w:val="none"/>
        </w:rPr>
        <w:t>就联合体各方拟承担的工作和责任作出清楚、完整而又详细的说明</w:t>
      </w:r>
      <w:r>
        <w:rPr>
          <w:rFonts w:hint="eastAsia" w:cs="宋体" w:asciiTheme="majorEastAsia" w:hAnsiTheme="majorEastAsia" w:eastAsiaTheme="majorEastAsia"/>
          <w:highlight w:val="none"/>
        </w:rPr>
        <w:t>）。</w:t>
      </w:r>
    </w:p>
    <w:p w14:paraId="5E880F4F">
      <w:pPr>
        <w:spacing w:line="520" w:lineRule="exact"/>
        <w:ind w:firstLine="480" w:firstLineChars="200"/>
        <w:rPr>
          <w:rFonts w:cs="宋体" w:asciiTheme="majorEastAsia" w:hAnsiTheme="majorEastAsia" w:eastAsiaTheme="majorEastAsia"/>
          <w:highlight w:val="none"/>
        </w:rPr>
      </w:pPr>
      <w:r>
        <w:rPr>
          <w:rFonts w:hint="eastAsia" w:cs="宋体" w:asciiTheme="majorEastAsia" w:hAnsiTheme="majorEastAsia" w:eastAsiaTheme="majorEastAsia"/>
          <w:highlight w:val="none"/>
        </w:rPr>
        <w:t xml:space="preserve">5、本协议书自签署之日起生效，合同履行完毕后自动失效。 </w:t>
      </w:r>
    </w:p>
    <w:p w14:paraId="43E476CF">
      <w:pPr>
        <w:spacing w:line="360" w:lineRule="auto"/>
        <w:ind w:firstLine="480" w:firstLineChars="200"/>
        <w:rPr>
          <w:rFonts w:cs="宋体" w:asciiTheme="majorEastAsia" w:hAnsiTheme="majorEastAsia" w:eastAsiaTheme="majorEastAsia"/>
          <w:highlight w:val="none"/>
        </w:rPr>
      </w:pPr>
    </w:p>
    <w:p w14:paraId="61F4522E">
      <w:pPr>
        <w:wordWrap w:val="0"/>
        <w:spacing w:line="700" w:lineRule="exact"/>
        <w:ind w:firstLine="480" w:firstLineChars="200"/>
        <w:jc w:val="right"/>
        <w:rPr>
          <w:rFonts w:cs="宋体" w:asciiTheme="majorEastAsia" w:hAnsiTheme="majorEastAsia" w:eastAsiaTheme="majorEastAsia"/>
          <w:highlight w:val="none"/>
        </w:rPr>
      </w:pPr>
      <w:r>
        <w:rPr>
          <w:rFonts w:hint="eastAsia" w:cs="宋体" w:asciiTheme="majorEastAsia" w:hAnsiTheme="majorEastAsia" w:eastAsiaTheme="majorEastAsia"/>
          <w:highlight w:val="none"/>
        </w:rPr>
        <w:t>牵头人名称：</w:t>
      </w:r>
      <w:r>
        <w:rPr>
          <w:rFonts w:hint="eastAsia" w:cs="宋体" w:asciiTheme="majorEastAsia" w:hAnsiTheme="majorEastAsia" w:eastAsiaTheme="majorEastAsia"/>
          <w:highlight w:val="none"/>
          <w:u w:val="single"/>
        </w:rPr>
        <w:t xml:space="preserve">                   （单位全称、加盖公章）</w:t>
      </w:r>
    </w:p>
    <w:p w14:paraId="732647EC">
      <w:pPr>
        <w:wordWrap w:val="0"/>
        <w:spacing w:line="700" w:lineRule="exact"/>
        <w:ind w:firstLine="480" w:firstLineChars="200"/>
        <w:jc w:val="right"/>
        <w:rPr>
          <w:rFonts w:cs="宋体" w:asciiTheme="majorEastAsia" w:hAnsiTheme="majorEastAsia" w:eastAsiaTheme="majorEastAsia"/>
          <w:highlight w:val="none"/>
        </w:rPr>
      </w:pPr>
      <w:r>
        <w:rPr>
          <w:rFonts w:hint="eastAsia" w:cs="宋体" w:asciiTheme="majorEastAsia" w:hAnsiTheme="majorEastAsia" w:eastAsiaTheme="majorEastAsia"/>
          <w:highlight w:val="none"/>
        </w:rPr>
        <w:t>法定代表人：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szCs w:val="21"/>
          <w:highlight w:val="none"/>
          <w:u w:val="single"/>
        </w:rPr>
        <w:t>（签章或签字）</w:t>
      </w:r>
    </w:p>
    <w:p w14:paraId="622A5135">
      <w:pPr>
        <w:wordWrap w:val="0"/>
        <w:spacing w:line="700" w:lineRule="exact"/>
        <w:ind w:firstLine="584" w:firstLineChars="200"/>
        <w:jc w:val="right"/>
        <w:rPr>
          <w:rFonts w:cs="宋体" w:asciiTheme="majorEastAsia" w:hAnsiTheme="majorEastAsia" w:eastAsiaTheme="majorEastAsia"/>
          <w:highlight w:val="none"/>
        </w:rPr>
      </w:pPr>
      <w:r>
        <w:rPr>
          <w:rFonts w:hint="eastAsia" w:cs="宋体" w:asciiTheme="majorEastAsia" w:hAnsiTheme="majorEastAsia" w:eastAsiaTheme="majorEastAsia"/>
          <w:spacing w:val="26"/>
          <w:highlight w:val="none"/>
        </w:rPr>
        <w:t>成员一名称</w:t>
      </w:r>
      <w:r>
        <w:rPr>
          <w:rFonts w:hint="eastAsia" w:cs="宋体" w:asciiTheme="majorEastAsia" w:hAnsiTheme="majorEastAsia" w:eastAsiaTheme="majorEastAsia"/>
          <w:highlight w:val="none"/>
        </w:rPr>
        <w:t>：</w:t>
      </w:r>
      <w:r>
        <w:rPr>
          <w:rFonts w:hint="eastAsia" w:cs="宋体" w:asciiTheme="majorEastAsia" w:hAnsiTheme="majorEastAsia" w:eastAsiaTheme="majorEastAsia"/>
          <w:highlight w:val="none"/>
          <w:u w:val="single"/>
        </w:rPr>
        <w:t xml:space="preserve">                   （单位全称、加盖公章）</w:t>
      </w:r>
    </w:p>
    <w:p w14:paraId="41C0CFB6">
      <w:pPr>
        <w:wordWrap w:val="0"/>
        <w:spacing w:line="700" w:lineRule="exact"/>
        <w:ind w:firstLine="480" w:firstLineChars="200"/>
        <w:jc w:val="right"/>
        <w:rPr>
          <w:rFonts w:cs="宋体" w:asciiTheme="majorEastAsia" w:hAnsiTheme="majorEastAsia" w:eastAsiaTheme="majorEastAsia"/>
          <w:highlight w:val="none"/>
        </w:rPr>
      </w:pPr>
      <w:r>
        <w:rPr>
          <w:rFonts w:hint="eastAsia" w:cs="宋体" w:asciiTheme="majorEastAsia" w:hAnsiTheme="majorEastAsia" w:eastAsiaTheme="majorEastAsia"/>
          <w:highlight w:val="none"/>
        </w:rPr>
        <w:t>法定代表人：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szCs w:val="21"/>
          <w:highlight w:val="none"/>
          <w:u w:val="single"/>
        </w:rPr>
        <w:t>（签章或签字）</w:t>
      </w:r>
    </w:p>
    <w:p w14:paraId="35564F5A">
      <w:pPr>
        <w:wordWrap w:val="0"/>
        <w:spacing w:line="600" w:lineRule="exact"/>
        <w:ind w:firstLine="584" w:firstLineChars="200"/>
        <w:jc w:val="right"/>
        <w:rPr>
          <w:rFonts w:hint="eastAsia" w:cs="宋体" w:asciiTheme="majorEastAsia" w:hAnsiTheme="majorEastAsia" w:eastAsiaTheme="majorEastAsia"/>
          <w:spacing w:val="26"/>
          <w:highlight w:val="none"/>
        </w:rPr>
      </w:pPr>
      <w:r>
        <w:rPr>
          <w:rFonts w:hint="eastAsia" w:cs="宋体" w:asciiTheme="majorEastAsia" w:hAnsiTheme="majorEastAsia" w:eastAsiaTheme="majorEastAsia"/>
          <w:spacing w:val="26"/>
          <w:highlight w:val="none"/>
          <w:u w:val="single"/>
        </w:rPr>
        <w:t xml:space="preserve">      </w:t>
      </w:r>
      <w:r>
        <w:rPr>
          <w:rFonts w:hint="eastAsia" w:cs="宋体" w:asciiTheme="majorEastAsia" w:hAnsiTheme="majorEastAsia" w:eastAsiaTheme="majorEastAsia"/>
          <w:spacing w:val="26"/>
          <w:highlight w:val="none"/>
        </w:rPr>
        <w:t>年</w:t>
      </w:r>
      <w:r>
        <w:rPr>
          <w:rFonts w:hint="eastAsia" w:cs="宋体" w:asciiTheme="majorEastAsia" w:hAnsiTheme="majorEastAsia" w:eastAsiaTheme="majorEastAsia"/>
          <w:spacing w:val="26"/>
          <w:highlight w:val="none"/>
          <w:u w:val="single"/>
        </w:rPr>
        <w:t xml:space="preserve">      </w:t>
      </w:r>
      <w:r>
        <w:rPr>
          <w:rFonts w:hint="eastAsia" w:cs="宋体" w:asciiTheme="majorEastAsia" w:hAnsiTheme="majorEastAsia" w:eastAsiaTheme="majorEastAsia"/>
          <w:spacing w:val="26"/>
          <w:highlight w:val="none"/>
        </w:rPr>
        <w:t>月</w:t>
      </w:r>
      <w:r>
        <w:rPr>
          <w:rFonts w:hint="eastAsia" w:cs="宋体" w:asciiTheme="majorEastAsia" w:hAnsiTheme="majorEastAsia" w:eastAsiaTheme="majorEastAsia"/>
          <w:spacing w:val="26"/>
          <w:highlight w:val="none"/>
          <w:u w:val="single"/>
        </w:rPr>
        <w:t xml:space="preserve">      </w:t>
      </w:r>
      <w:r>
        <w:rPr>
          <w:rFonts w:hint="eastAsia" w:cs="宋体" w:asciiTheme="majorEastAsia" w:hAnsiTheme="majorEastAsia" w:eastAsiaTheme="majorEastAsia"/>
          <w:spacing w:val="26"/>
          <w:highlight w:val="none"/>
        </w:rPr>
        <w:t>日</w:t>
      </w:r>
    </w:p>
    <w:p w14:paraId="75475D6B">
      <w:pPr>
        <w:spacing w:line="520" w:lineRule="exact"/>
        <w:jc w:val="center"/>
        <w:rPr>
          <w:rFonts w:cs="宋体" w:asciiTheme="majorEastAsia" w:hAnsiTheme="majorEastAsia" w:eastAsiaTheme="majorEastAsia"/>
          <w:spacing w:val="26"/>
          <w:sz w:val="21"/>
          <w:szCs w:val="21"/>
          <w:highlight w:val="none"/>
        </w:rPr>
      </w:pPr>
      <w:r>
        <w:rPr>
          <w:rFonts w:hint="eastAsia" w:cs="宋体" w:asciiTheme="majorEastAsia" w:hAnsiTheme="majorEastAsia" w:eastAsiaTheme="majorEastAsia"/>
          <w:b/>
          <w:sz w:val="21"/>
          <w:szCs w:val="21"/>
          <w:highlight w:val="none"/>
        </w:rPr>
        <w:t>注：本协议书由所有联合体成员单位法定代表人签署。</w:t>
      </w:r>
    </w:p>
    <w:p w14:paraId="309FB1A7">
      <w:pPr>
        <w:spacing w:line="520" w:lineRule="exact"/>
        <w:jc w:val="center"/>
        <w:rPr>
          <w:rFonts w:cs="宋体" w:asciiTheme="majorEastAsia" w:hAnsiTheme="majorEastAsia" w:eastAsiaTheme="majorEastAsia"/>
          <w:sz w:val="21"/>
          <w:szCs w:val="21"/>
          <w:highlight w:val="none"/>
        </w:rPr>
        <w:sectPr>
          <w:headerReference r:id="rId23" w:type="first"/>
          <w:footerReference r:id="rId25" w:type="first"/>
          <w:headerReference r:id="rId22" w:type="even"/>
          <w:footerReference r:id="rId24" w:type="even"/>
          <w:pgSz w:w="11906" w:h="16840"/>
          <w:pgMar w:top="1191" w:right="1191" w:bottom="1191" w:left="1191" w:header="720" w:footer="765" w:gutter="0"/>
          <w:cols w:space="0" w:num="1"/>
          <w:docGrid w:linePitch="312" w:charSpace="0"/>
        </w:sectPr>
      </w:pPr>
    </w:p>
    <w:p w14:paraId="4159E85E">
      <w:pPr>
        <w:pStyle w:val="3"/>
        <w:spacing w:before="120" w:after="120" w:afterLines="50" w:line="700" w:lineRule="exact"/>
        <w:ind w:left="0" w:firstLine="0"/>
        <w:jc w:val="center"/>
        <w:rPr>
          <w:rStyle w:val="154"/>
          <w:rFonts w:hint="eastAsia" w:cs="宋体" w:asciiTheme="majorEastAsia" w:hAnsiTheme="majorEastAsia" w:eastAsiaTheme="majorEastAsia"/>
          <w:sz w:val="32"/>
          <w:szCs w:val="32"/>
          <w:highlight w:val="none"/>
          <w:lang w:val="en-US" w:eastAsia="zh-CN"/>
        </w:rPr>
      </w:pPr>
      <w:r>
        <w:rPr>
          <w:rStyle w:val="154"/>
          <w:rFonts w:hint="eastAsia" w:cs="宋体" w:asciiTheme="majorEastAsia" w:hAnsiTheme="majorEastAsia" w:eastAsiaTheme="majorEastAsia"/>
          <w:sz w:val="32"/>
          <w:szCs w:val="32"/>
          <w:highlight w:val="none"/>
        </w:rPr>
        <w:t>附件十</w:t>
      </w:r>
      <w:r>
        <w:rPr>
          <w:rStyle w:val="154"/>
          <w:rFonts w:hint="eastAsia" w:cs="宋体" w:asciiTheme="majorEastAsia" w:hAnsiTheme="majorEastAsia" w:eastAsiaTheme="majorEastAsia"/>
          <w:sz w:val="32"/>
          <w:szCs w:val="32"/>
          <w:highlight w:val="none"/>
          <w:lang w:val="en-US" w:eastAsia="zh-CN"/>
        </w:rPr>
        <w:t>三</w:t>
      </w:r>
      <w:r>
        <w:rPr>
          <w:rStyle w:val="154"/>
          <w:rFonts w:hint="eastAsia" w:cs="宋体" w:asciiTheme="majorEastAsia" w:hAnsiTheme="majorEastAsia" w:eastAsiaTheme="majorEastAsia"/>
          <w:sz w:val="32"/>
          <w:szCs w:val="32"/>
          <w:highlight w:val="none"/>
        </w:rPr>
        <w:t>：招标文件要求及投标人认为需要提交的其他资料</w:t>
      </w:r>
    </w:p>
    <w:p w14:paraId="6B67342E">
      <w:pPr>
        <w:rPr>
          <w:rFonts w:cs="宋体" w:asciiTheme="majorEastAsia" w:hAnsiTheme="majorEastAsia" w:eastAsiaTheme="majorEastAsia"/>
          <w:highlight w:val="none"/>
        </w:rPr>
      </w:pPr>
      <w:r>
        <w:rPr>
          <w:rFonts w:cs="宋体" w:asciiTheme="majorEastAsia" w:hAnsiTheme="majorEastAsia" w:eastAsiaTheme="majorEastAsia"/>
          <w:highlight w:val="none"/>
        </w:rPr>
        <w:br w:type="page"/>
      </w:r>
    </w:p>
    <w:p w14:paraId="487B5527">
      <w:pPr>
        <w:rPr>
          <w:rFonts w:cs="宋体" w:asciiTheme="majorEastAsia" w:hAnsiTheme="majorEastAsia" w:eastAsiaTheme="majorEastAsia"/>
          <w:highlight w:val="none"/>
        </w:rPr>
      </w:pPr>
    </w:p>
    <w:p w14:paraId="70036632">
      <w:pPr>
        <w:rPr>
          <w:rFonts w:cs="宋体" w:asciiTheme="majorEastAsia" w:hAnsiTheme="majorEastAsia" w:eastAsiaTheme="majorEastAsia"/>
          <w:highlight w:val="none"/>
        </w:rPr>
      </w:pPr>
    </w:p>
    <w:p w14:paraId="6DE72AE0">
      <w:pPr>
        <w:rPr>
          <w:rFonts w:cs="宋体" w:asciiTheme="majorEastAsia" w:hAnsiTheme="majorEastAsia" w:eastAsiaTheme="majorEastAsia"/>
          <w:highlight w:val="none"/>
        </w:rPr>
      </w:pPr>
    </w:p>
    <w:p w14:paraId="4D9B342F">
      <w:pPr>
        <w:rPr>
          <w:rFonts w:cs="宋体" w:asciiTheme="majorEastAsia" w:hAnsiTheme="majorEastAsia" w:eastAsiaTheme="majorEastAsia"/>
          <w:highlight w:val="none"/>
        </w:rPr>
      </w:pPr>
    </w:p>
    <w:p w14:paraId="4F8A8C7F">
      <w:pPr>
        <w:rPr>
          <w:rFonts w:cs="宋体" w:asciiTheme="majorEastAsia" w:hAnsiTheme="majorEastAsia" w:eastAsiaTheme="majorEastAsia"/>
          <w:highlight w:val="none"/>
        </w:rPr>
      </w:pPr>
    </w:p>
    <w:p w14:paraId="4616DB1F">
      <w:pPr>
        <w:rPr>
          <w:rFonts w:cs="宋体" w:asciiTheme="majorEastAsia" w:hAnsiTheme="majorEastAsia" w:eastAsiaTheme="majorEastAsia"/>
          <w:highlight w:val="none"/>
        </w:rPr>
      </w:pPr>
    </w:p>
    <w:p w14:paraId="3A913D33">
      <w:pPr>
        <w:rPr>
          <w:rFonts w:cs="宋体" w:asciiTheme="majorEastAsia" w:hAnsiTheme="majorEastAsia" w:eastAsiaTheme="majorEastAsia"/>
          <w:highlight w:val="none"/>
        </w:rPr>
      </w:pPr>
    </w:p>
    <w:p w14:paraId="30308612">
      <w:pPr>
        <w:rPr>
          <w:rFonts w:cs="宋体" w:asciiTheme="majorEastAsia" w:hAnsiTheme="majorEastAsia" w:eastAsiaTheme="majorEastAsia"/>
          <w:highlight w:val="none"/>
        </w:rPr>
      </w:pPr>
    </w:p>
    <w:p w14:paraId="2668E35F">
      <w:pPr>
        <w:rPr>
          <w:rFonts w:cs="宋体" w:asciiTheme="majorEastAsia" w:hAnsiTheme="majorEastAsia" w:eastAsiaTheme="majorEastAsia"/>
          <w:highlight w:val="none"/>
        </w:rPr>
      </w:pPr>
    </w:p>
    <w:p w14:paraId="6B869793">
      <w:pPr>
        <w:rPr>
          <w:rFonts w:cs="宋体" w:asciiTheme="majorEastAsia" w:hAnsiTheme="majorEastAsia" w:eastAsiaTheme="majorEastAsia"/>
          <w:highlight w:val="none"/>
        </w:rPr>
      </w:pPr>
    </w:p>
    <w:p w14:paraId="457EEDE5">
      <w:pPr>
        <w:rPr>
          <w:rFonts w:cs="宋体" w:asciiTheme="majorEastAsia" w:hAnsiTheme="majorEastAsia" w:eastAsiaTheme="majorEastAsia"/>
          <w:highlight w:val="none"/>
        </w:rPr>
      </w:pPr>
    </w:p>
    <w:p w14:paraId="53460F3B">
      <w:pPr>
        <w:rPr>
          <w:rFonts w:cs="宋体" w:asciiTheme="majorEastAsia" w:hAnsiTheme="majorEastAsia" w:eastAsiaTheme="majorEastAsia"/>
          <w:highlight w:val="none"/>
        </w:rPr>
      </w:pPr>
    </w:p>
    <w:p w14:paraId="4F247202">
      <w:pPr>
        <w:rPr>
          <w:rFonts w:cs="宋体" w:asciiTheme="majorEastAsia" w:hAnsiTheme="majorEastAsia" w:eastAsiaTheme="majorEastAsia"/>
          <w:highlight w:val="none"/>
        </w:rPr>
      </w:pPr>
    </w:p>
    <w:p w14:paraId="21B4E2F4">
      <w:pPr>
        <w:rPr>
          <w:rFonts w:cs="宋体" w:asciiTheme="majorEastAsia" w:hAnsiTheme="majorEastAsia" w:eastAsiaTheme="majorEastAsia"/>
          <w:highlight w:val="none"/>
        </w:rPr>
      </w:pPr>
    </w:p>
    <w:p w14:paraId="29C6055A">
      <w:pPr>
        <w:rPr>
          <w:rFonts w:cs="宋体" w:asciiTheme="majorEastAsia" w:hAnsiTheme="majorEastAsia" w:eastAsiaTheme="majorEastAsia"/>
          <w:highlight w:val="none"/>
        </w:rPr>
      </w:pPr>
    </w:p>
    <w:p w14:paraId="5372205A">
      <w:pPr>
        <w:rPr>
          <w:rFonts w:cs="宋体" w:asciiTheme="majorEastAsia" w:hAnsiTheme="majorEastAsia" w:eastAsiaTheme="majorEastAsia"/>
          <w:highlight w:val="none"/>
        </w:rPr>
      </w:pPr>
    </w:p>
    <w:p w14:paraId="5FA49305">
      <w:pPr>
        <w:rPr>
          <w:rFonts w:cs="宋体" w:asciiTheme="majorEastAsia" w:hAnsiTheme="majorEastAsia" w:eastAsiaTheme="majorEastAsia"/>
          <w:highlight w:val="none"/>
        </w:rPr>
      </w:pPr>
    </w:p>
    <w:p w14:paraId="4566F51A">
      <w:pPr>
        <w:rPr>
          <w:rFonts w:cs="宋体" w:asciiTheme="majorEastAsia" w:hAnsiTheme="majorEastAsia" w:eastAsiaTheme="majorEastAsia"/>
          <w:highlight w:val="none"/>
        </w:rPr>
      </w:pPr>
    </w:p>
    <w:p w14:paraId="1AF498C3">
      <w:pPr>
        <w:rPr>
          <w:rFonts w:cs="宋体" w:asciiTheme="majorEastAsia" w:hAnsiTheme="majorEastAsia" w:eastAsiaTheme="majorEastAsia"/>
          <w:highlight w:val="none"/>
        </w:rPr>
      </w:pPr>
    </w:p>
    <w:p w14:paraId="5E8D6A9D">
      <w:pPr>
        <w:rPr>
          <w:rFonts w:cs="宋体" w:asciiTheme="majorEastAsia" w:hAnsiTheme="majorEastAsia" w:eastAsiaTheme="majorEastAsia"/>
          <w:highlight w:val="none"/>
        </w:rPr>
      </w:pPr>
    </w:p>
    <w:p w14:paraId="41C4D3DC">
      <w:pPr>
        <w:rPr>
          <w:rFonts w:cs="宋体" w:asciiTheme="majorEastAsia" w:hAnsiTheme="majorEastAsia" w:eastAsiaTheme="majorEastAsia"/>
          <w:highlight w:val="none"/>
        </w:rPr>
      </w:pPr>
    </w:p>
    <w:p w14:paraId="1937CD71">
      <w:pPr>
        <w:pStyle w:val="346"/>
        <w:spacing w:before="120" w:after="120"/>
        <w:rPr>
          <w:rFonts w:cs="宋体" w:asciiTheme="majorEastAsia" w:hAnsiTheme="majorEastAsia" w:eastAsiaTheme="majorEastAsia"/>
          <w:b/>
          <w:sz w:val="48"/>
          <w:szCs w:val="48"/>
          <w:highlight w:val="none"/>
        </w:rPr>
      </w:pPr>
      <w:bookmarkStart w:id="1037" w:name="_Toc17600"/>
      <w:r>
        <w:rPr>
          <w:rFonts w:hint="eastAsia" w:cs="宋体" w:asciiTheme="majorEastAsia" w:hAnsiTheme="majorEastAsia" w:eastAsiaTheme="majorEastAsia"/>
          <w:b/>
          <w:sz w:val="48"/>
          <w:szCs w:val="48"/>
          <w:highlight w:val="none"/>
        </w:rPr>
        <w:t>第二部分  商务部分格式</w:t>
      </w:r>
      <w:bookmarkEnd w:id="1037"/>
    </w:p>
    <w:p w14:paraId="4EDC2228">
      <w:pPr>
        <w:rPr>
          <w:rFonts w:cs="宋体" w:asciiTheme="majorEastAsia" w:hAnsiTheme="majorEastAsia" w:eastAsiaTheme="majorEastAsia"/>
          <w:highlight w:val="none"/>
        </w:rPr>
      </w:pPr>
      <w:r>
        <w:rPr>
          <w:rFonts w:hint="eastAsia" w:cs="宋体" w:asciiTheme="majorEastAsia" w:hAnsiTheme="majorEastAsia" w:eastAsiaTheme="majorEastAsia"/>
          <w:highlight w:val="none"/>
        </w:rPr>
        <w:br w:type="page"/>
      </w:r>
    </w:p>
    <w:p w14:paraId="56972A45">
      <w:pPr>
        <w:rPr>
          <w:rFonts w:asciiTheme="majorEastAsia" w:hAnsiTheme="majorEastAsia" w:eastAsiaTheme="majorEastAsia"/>
          <w:highlight w:val="none"/>
        </w:rPr>
      </w:pPr>
    </w:p>
    <w:p w14:paraId="6D2F3130">
      <w:pPr>
        <w:spacing w:before="120" w:beforeLines="50" w:after="120" w:afterLines="50" w:line="700" w:lineRule="exact"/>
        <w:jc w:val="center"/>
        <w:rPr>
          <w:rFonts w:cs="宋体" w:asciiTheme="majorEastAsia" w:hAnsiTheme="majorEastAsia" w:eastAsiaTheme="majorEastAsia"/>
          <w:b/>
          <w:bCs/>
          <w:sz w:val="44"/>
          <w:szCs w:val="44"/>
          <w:highlight w:val="none"/>
        </w:rPr>
      </w:pPr>
      <w:r>
        <w:rPr>
          <w:rFonts w:hint="eastAsia" w:cs="宋体" w:asciiTheme="majorEastAsia" w:hAnsiTheme="majorEastAsia" w:eastAsiaTheme="majorEastAsia"/>
          <w:b/>
          <w:bCs/>
          <w:sz w:val="44"/>
          <w:szCs w:val="44"/>
          <w:highlight w:val="none"/>
        </w:rPr>
        <w:t>一、商务部分封面</w:t>
      </w:r>
    </w:p>
    <w:p w14:paraId="10E588E4">
      <w:pPr>
        <w:spacing w:before="120" w:beforeLines="50" w:after="120" w:afterLines="50" w:line="700" w:lineRule="exact"/>
        <w:ind w:right="323"/>
        <w:jc w:val="right"/>
        <w:rPr>
          <w:rFonts w:hint="eastAsia" w:cs="宋体" w:asciiTheme="majorEastAsia" w:hAnsiTheme="majorEastAsia" w:eastAsiaTheme="majorEastAsia"/>
          <w:b/>
          <w:bCs/>
          <w:sz w:val="28"/>
          <w:szCs w:val="28"/>
          <w:highlight w:val="none"/>
          <w:u w:val="single"/>
          <w:lang w:eastAsia="zh-CN"/>
        </w:rPr>
      </w:pPr>
      <w:r>
        <w:rPr>
          <w:rFonts w:hint="eastAsia" w:cs="宋体" w:asciiTheme="majorEastAsia" w:hAnsiTheme="majorEastAsia" w:eastAsiaTheme="majorEastAsia"/>
          <w:b/>
          <w:bCs/>
          <w:sz w:val="28"/>
          <w:szCs w:val="28"/>
          <w:highlight w:val="none"/>
        </w:rPr>
        <w:t>招标编号：</w:t>
      </w:r>
      <w:r>
        <w:rPr>
          <w:rFonts w:hint="eastAsia" w:cs="宋体" w:asciiTheme="majorEastAsia" w:hAnsiTheme="majorEastAsia" w:eastAsiaTheme="majorEastAsia"/>
          <w:b/>
          <w:bCs/>
          <w:sz w:val="28"/>
          <w:szCs w:val="28"/>
          <w:highlight w:val="none"/>
          <w:lang w:eastAsia="zh-CN"/>
        </w:rPr>
        <w:t>DZZG20260008</w:t>
      </w:r>
    </w:p>
    <w:p w14:paraId="66F2E4B8">
      <w:pPr>
        <w:spacing w:before="120" w:beforeLines="50" w:after="120" w:afterLines="50" w:line="900" w:lineRule="exact"/>
        <w:jc w:val="center"/>
        <w:rPr>
          <w:rFonts w:hint="eastAsia" w:cs="宋体" w:asciiTheme="majorEastAsia" w:hAnsiTheme="majorEastAsia" w:eastAsiaTheme="majorEastAsia"/>
          <w:b/>
          <w:bCs/>
          <w:sz w:val="36"/>
          <w:szCs w:val="36"/>
          <w:highlight w:val="none"/>
          <w:lang w:eastAsia="zh-CN"/>
        </w:rPr>
      </w:pPr>
      <w:r>
        <w:rPr>
          <w:rFonts w:hint="eastAsia" w:cs="宋体" w:asciiTheme="majorEastAsia" w:hAnsiTheme="majorEastAsia" w:eastAsiaTheme="majorEastAsia"/>
          <w:b/>
          <w:bCs/>
          <w:sz w:val="36"/>
          <w:szCs w:val="36"/>
          <w:highlight w:val="none"/>
          <w:lang w:eastAsia="zh-CN"/>
        </w:rPr>
        <w:t>联珠镇癸能村花卉产业农文旅融合发展配套设施项目EPC+O</w:t>
      </w:r>
    </w:p>
    <w:p w14:paraId="22A0FA5D">
      <w:pPr>
        <w:jc w:val="center"/>
        <w:rPr>
          <w:rFonts w:cs="宋体" w:asciiTheme="majorEastAsia" w:hAnsiTheme="majorEastAsia" w:eastAsiaTheme="majorEastAsia"/>
          <w:b/>
          <w:sz w:val="30"/>
          <w:szCs w:val="30"/>
          <w:highlight w:val="none"/>
        </w:rPr>
      </w:pPr>
    </w:p>
    <w:p w14:paraId="70C34EF1">
      <w:pPr>
        <w:rPr>
          <w:rFonts w:cs="宋体" w:asciiTheme="majorEastAsia" w:hAnsiTheme="majorEastAsia" w:eastAsiaTheme="majorEastAsia"/>
          <w:b/>
          <w:sz w:val="30"/>
          <w:szCs w:val="30"/>
          <w:highlight w:val="none"/>
        </w:rPr>
      </w:pPr>
    </w:p>
    <w:p w14:paraId="44D1BD5E">
      <w:pPr>
        <w:rPr>
          <w:rFonts w:cs="宋体" w:asciiTheme="majorEastAsia" w:hAnsiTheme="majorEastAsia" w:eastAsiaTheme="majorEastAsia"/>
          <w:b/>
          <w:sz w:val="30"/>
          <w:szCs w:val="30"/>
          <w:highlight w:val="none"/>
        </w:rPr>
      </w:pPr>
    </w:p>
    <w:p w14:paraId="206FD508">
      <w:pPr>
        <w:rPr>
          <w:rFonts w:cs="宋体" w:asciiTheme="majorEastAsia" w:hAnsiTheme="majorEastAsia" w:eastAsiaTheme="majorEastAsia"/>
          <w:b/>
          <w:sz w:val="30"/>
          <w:szCs w:val="30"/>
          <w:highlight w:val="none"/>
        </w:rPr>
      </w:pPr>
    </w:p>
    <w:p w14:paraId="46EE573F">
      <w:pPr>
        <w:rPr>
          <w:rFonts w:cs="宋体" w:asciiTheme="majorEastAsia" w:hAnsiTheme="majorEastAsia" w:eastAsiaTheme="majorEastAsia"/>
          <w:b/>
          <w:sz w:val="30"/>
          <w:szCs w:val="30"/>
          <w:highlight w:val="none"/>
        </w:rPr>
      </w:pPr>
    </w:p>
    <w:p w14:paraId="2E199CD8">
      <w:pPr>
        <w:rPr>
          <w:rFonts w:cs="宋体" w:asciiTheme="majorEastAsia" w:hAnsiTheme="majorEastAsia" w:eastAsiaTheme="majorEastAsia"/>
          <w:b/>
          <w:sz w:val="30"/>
          <w:szCs w:val="30"/>
          <w:highlight w:val="none"/>
        </w:rPr>
      </w:pPr>
    </w:p>
    <w:p w14:paraId="3D52619A">
      <w:pPr>
        <w:rPr>
          <w:rFonts w:cs="宋体" w:asciiTheme="majorEastAsia" w:hAnsiTheme="majorEastAsia" w:eastAsiaTheme="majorEastAsia"/>
          <w:b/>
          <w:sz w:val="30"/>
          <w:szCs w:val="30"/>
          <w:highlight w:val="none"/>
        </w:rPr>
      </w:pPr>
    </w:p>
    <w:p w14:paraId="7EA21E35">
      <w:pPr>
        <w:rPr>
          <w:rFonts w:cs="宋体" w:asciiTheme="majorEastAsia" w:hAnsiTheme="majorEastAsia" w:eastAsiaTheme="majorEastAsia"/>
          <w:b/>
          <w:sz w:val="30"/>
          <w:szCs w:val="30"/>
          <w:highlight w:val="none"/>
        </w:rPr>
      </w:pPr>
    </w:p>
    <w:p w14:paraId="070F66B3">
      <w:pPr>
        <w:jc w:val="center"/>
        <w:rPr>
          <w:rFonts w:cs="宋体" w:asciiTheme="majorEastAsia" w:hAnsiTheme="majorEastAsia" w:eastAsiaTheme="majorEastAsia"/>
          <w:b/>
          <w:sz w:val="72"/>
          <w:szCs w:val="72"/>
          <w:highlight w:val="none"/>
        </w:rPr>
      </w:pPr>
      <w:r>
        <w:rPr>
          <w:rFonts w:hint="eastAsia" w:cs="宋体" w:asciiTheme="majorEastAsia" w:hAnsiTheme="majorEastAsia" w:eastAsiaTheme="majorEastAsia"/>
          <w:b/>
          <w:sz w:val="72"/>
          <w:szCs w:val="72"/>
          <w:highlight w:val="none"/>
        </w:rPr>
        <w:t>投 标 文 件</w:t>
      </w:r>
    </w:p>
    <w:p w14:paraId="344F7993">
      <w:pPr>
        <w:rPr>
          <w:rFonts w:cs="宋体" w:asciiTheme="majorEastAsia" w:hAnsiTheme="majorEastAsia" w:eastAsiaTheme="majorEastAsia"/>
          <w:b/>
          <w:sz w:val="30"/>
          <w:szCs w:val="30"/>
          <w:highlight w:val="none"/>
        </w:rPr>
      </w:pPr>
    </w:p>
    <w:p w14:paraId="15298BBC">
      <w:pPr>
        <w:rPr>
          <w:rFonts w:cs="宋体" w:asciiTheme="majorEastAsia" w:hAnsiTheme="majorEastAsia" w:eastAsiaTheme="majorEastAsia"/>
          <w:b/>
          <w:sz w:val="30"/>
          <w:szCs w:val="30"/>
          <w:highlight w:val="none"/>
        </w:rPr>
      </w:pPr>
    </w:p>
    <w:p w14:paraId="13229DC0">
      <w:pPr>
        <w:rPr>
          <w:rFonts w:cs="宋体" w:asciiTheme="majorEastAsia" w:hAnsiTheme="majorEastAsia" w:eastAsiaTheme="majorEastAsia"/>
          <w:b/>
          <w:sz w:val="30"/>
          <w:szCs w:val="30"/>
          <w:highlight w:val="none"/>
        </w:rPr>
      </w:pPr>
    </w:p>
    <w:p w14:paraId="0973ED6D">
      <w:pPr>
        <w:rPr>
          <w:rFonts w:cs="宋体" w:asciiTheme="majorEastAsia" w:hAnsiTheme="majorEastAsia" w:eastAsiaTheme="majorEastAsia"/>
          <w:b/>
          <w:sz w:val="30"/>
          <w:szCs w:val="30"/>
          <w:highlight w:val="none"/>
        </w:rPr>
      </w:pPr>
    </w:p>
    <w:p w14:paraId="42E5849C">
      <w:pPr>
        <w:rPr>
          <w:rFonts w:cs="宋体" w:asciiTheme="majorEastAsia" w:hAnsiTheme="majorEastAsia" w:eastAsiaTheme="majorEastAsia"/>
          <w:b/>
          <w:sz w:val="30"/>
          <w:szCs w:val="30"/>
          <w:highlight w:val="none"/>
        </w:rPr>
      </w:pPr>
    </w:p>
    <w:p w14:paraId="24FBF003">
      <w:pPr>
        <w:rPr>
          <w:rFonts w:cs="宋体" w:asciiTheme="majorEastAsia" w:hAnsiTheme="majorEastAsia" w:eastAsiaTheme="majorEastAsia"/>
          <w:b/>
          <w:sz w:val="30"/>
          <w:szCs w:val="30"/>
          <w:highlight w:val="none"/>
        </w:rPr>
      </w:pPr>
    </w:p>
    <w:p w14:paraId="2D456D2E">
      <w:pPr>
        <w:rPr>
          <w:rFonts w:cs="宋体" w:asciiTheme="majorEastAsia" w:hAnsiTheme="majorEastAsia" w:eastAsiaTheme="majorEastAsia"/>
          <w:b/>
          <w:sz w:val="30"/>
          <w:szCs w:val="30"/>
          <w:highlight w:val="none"/>
        </w:rPr>
      </w:pPr>
    </w:p>
    <w:p w14:paraId="0AE7DFCA">
      <w:pPr>
        <w:snapToGrid w:val="0"/>
        <w:spacing w:before="480" w:beforeLines="200" w:after="480" w:afterLines="200"/>
        <w:ind w:left="360" w:leftChars="150"/>
        <w:rPr>
          <w:rFonts w:cs="宋体" w:asciiTheme="majorEastAsia" w:hAnsiTheme="majorEastAsia" w:eastAsiaTheme="majorEastAsia"/>
          <w:b/>
          <w:highlight w:val="none"/>
          <w:u w:val="single"/>
        </w:rPr>
      </w:pPr>
      <w:r>
        <w:rPr>
          <w:rFonts w:hint="eastAsia" w:cs="宋体" w:asciiTheme="majorEastAsia" w:hAnsiTheme="majorEastAsia" w:eastAsiaTheme="majorEastAsia"/>
          <w:b/>
          <w:highlight w:val="none"/>
        </w:rPr>
        <w:t>投标人（电子签章）：</w:t>
      </w:r>
      <w:r>
        <w:rPr>
          <w:rFonts w:hint="eastAsia" w:cs="宋体" w:asciiTheme="majorEastAsia" w:hAnsiTheme="majorEastAsia" w:eastAsiaTheme="majorEastAsia"/>
          <w:b/>
          <w:highlight w:val="none"/>
          <w:u w:val="single"/>
        </w:rPr>
        <w:t xml:space="preserve">            </w:t>
      </w:r>
    </w:p>
    <w:p w14:paraId="084D9803">
      <w:pPr>
        <w:snapToGrid w:val="0"/>
        <w:spacing w:before="480" w:beforeLines="200" w:after="480" w:afterLines="200"/>
        <w:ind w:left="360" w:leftChars="150"/>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文件内容：</w:t>
      </w:r>
      <w:r>
        <w:rPr>
          <w:rFonts w:hint="eastAsia" w:cs="宋体" w:asciiTheme="majorEastAsia" w:hAnsiTheme="majorEastAsia" w:eastAsiaTheme="majorEastAsia"/>
          <w:b/>
          <w:highlight w:val="none"/>
          <w:u w:val="single"/>
        </w:rPr>
        <w:t xml:space="preserve">             投标文件商务部分        </w:t>
      </w:r>
    </w:p>
    <w:p w14:paraId="22ABB9C3">
      <w:pPr>
        <w:snapToGrid w:val="0"/>
        <w:spacing w:before="480" w:beforeLines="200" w:after="480" w:afterLines="200"/>
        <w:ind w:left="360" w:leftChars="150"/>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法定代表人或其委托代理人（电子签章）：</w:t>
      </w:r>
      <w:r>
        <w:rPr>
          <w:rFonts w:hint="eastAsia" w:cs="宋体" w:asciiTheme="majorEastAsia" w:hAnsiTheme="majorEastAsia" w:eastAsiaTheme="majorEastAsia"/>
          <w:b/>
          <w:highlight w:val="none"/>
          <w:u w:val="single"/>
        </w:rPr>
        <w:t xml:space="preserve">              </w:t>
      </w:r>
    </w:p>
    <w:p w14:paraId="1431DC5D">
      <w:pPr>
        <w:spacing w:line="300" w:lineRule="auto"/>
        <w:ind w:firstLine="407" w:firstLineChars="169"/>
        <w:rPr>
          <w:rFonts w:cs="宋体" w:asciiTheme="majorEastAsia" w:hAnsiTheme="majorEastAsia" w:eastAsiaTheme="majorEastAsia"/>
          <w:bCs/>
          <w:highlight w:val="none"/>
        </w:rPr>
        <w:sectPr>
          <w:pgSz w:w="11906" w:h="16840"/>
          <w:pgMar w:top="1191" w:right="1191" w:bottom="1191" w:left="1191" w:header="720" w:footer="765" w:gutter="0"/>
          <w:cols w:space="0" w:num="1"/>
          <w:docGrid w:linePitch="312" w:charSpace="0"/>
        </w:sectPr>
      </w:pPr>
      <w:r>
        <w:rPr>
          <w:rFonts w:hint="eastAsia" w:cs="宋体" w:asciiTheme="majorEastAsia" w:hAnsiTheme="majorEastAsia" w:eastAsiaTheme="majorEastAsia"/>
          <w:b/>
          <w:highlight w:val="none"/>
        </w:rPr>
        <w:t>日  期：</w:t>
      </w:r>
      <w:r>
        <w:rPr>
          <w:rFonts w:hint="eastAsia" w:cs="宋体" w:asciiTheme="majorEastAsia" w:hAnsiTheme="majorEastAsia" w:eastAsiaTheme="majorEastAsia"/>
          <w:b/>
          <w:highlight w:val="none"/>
          <w:u w:val="single"/>
        </w:rPr>
        <w:t xml:space="preserve">      </w:t>
      </w:r>
      <w:r>
        <w:rPr>
          <w:rFonts w:hint="eastAsia" w:cs="宋体" w:asciiTheme="majorEastAsia" w:hAnsiTheme="majorEastAsia" w:eastAsiaTheme="majorEastAsia"/>
          <w:b/>
          <w:highlight w:val="none"/>
        </w:rPr>
        <w:t xml:space="preserve"> 年</w:t>
      </w:r>
      <w:r>
        <w:rPr>
          <w:rFonts w:hint="eastAsia" w:cs="宋体" w:asciiTheme="majorEastAsia" w:hAnsiTheme="majorEastAsia" w:eastAsiaTheme="majorEastAsia"/>
          <w:b/>
          <w:highlight w:val="none"/>
          <w:u w:val="single"/>
        </w:rPr>
        <w:t xml:space="preserve">     </w:t>
      </w:r>
      <w:r>
        <w:rPr>
          <w:rFonts w:hint="eastAsia" w:cs="宋体" w:asciiTheme="majorEastAsia" w:hAnsiTheme="majorEastAsia" w:eastAsiaTheme="majorEastAsia"/>
          <w:b/>
          <w:highlight w:val="none"/>
        </w:rPr>
        <w:t xml:space="preserve"> 月</w:t>
      </w:r>
      <w:r>
        <w:rPr>
          <w:rFonts w:hint="eastAsia" w:cs="宋体" w:asciiTheme="majorEastAsia" w:hAnsiTheme="majorEastAsia" w:eastAsiaTheme="majorEastAsia"/>
          <w:b/>
          <w:highlight w:val="none"/>
          <w:u w:val="single"/>
        </w:rPr>
        <w:t xml:space="preserve">     </w:t>
      </w:r>
      <w:r>
        <w:rPr>
          <w:rFonts w:hint="eastAsia" w:cs="宋体" w:asciiTheme="majorEastAsia" w:hAnsiTheme="majorEastAsia" w:eastAsiaTheme="majorEastAsia"/>
          <w:b/>
          <w:highlight w:val="none"/>
        </w:rPr>
        <w:t>日</w:t>
      </w:r>
    </w:p>
    <w:p w14:paraId="13321724">
      <w:pPr>
        <w:rPr>
          <w:rStyle w:val="154"/>
          <w:rFonts w:cs="宋体" w:asciiTheme="majorEastAsia" w:hAnsiTheme="majorEastAsia" w:eastAsiaTheme="majorEastAsia"/>
          <w:sz w:val="30"/>
          <w:szCs w:val="30"/>
          <w:highlight w:val="none"/>
        </w:rPr>
      </w:pPr>
    </w:p>
    <w:p w14:paraId="0A896357">
      <w:pPr>
        <w:pStyle w:val="3"/>
        <w:spacing w:before="120" w:after="120" w:afterLines="50" w:line="700" w:lineRule="exact"/>
        <w:ind w:left="0" w:firstLine="0"/>
        <w:jc w:val="center"/>
        <w:rPr>
          <w:rStyle w:val="154"/>
          <w:rFonts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2"/>
          <w:szCs w:val="32"/>
          <w:highlight w:val="none"/>
        </w:rPr>
        <w:t>附件一：投标报价（唱标）一览表</w:t>
      </w:r>
    </w:p>
    <w:bookmarkEnd w:id="1025"/>
    <w:bookmarkEnd w:id="1026"/>
    <w:bookmarkEnd w:id="1027"/>
    <w:bookmarkEnd w:id="1028"/>
    <w:bookmarkEnd w:id="1029"/>
    <w:bookmarkEnd w:id="1030"/>
    <w:bookmarkEnd w:id="1031"/>
    <w:tbl>
      <w:tblPr>
        <w:tblStyle w:val="63"/>
        <w:tblW w:w="9479" w:type="dxa"/>
        <w:jc w:val="center"/>
        <w:tblLayout w:type="fixed"/>
        <w:tblCellMar>
          <w:top w:w="0" w:type="dxa"/>
          <w:left w:w="0" w:type="dxa"/>
          <w:bottom w:w="0" w:type="dxa"/>
          <w:right w:w="0" w:type="dxa"/>
        </w:tblCellMar>
      </w:tblPr>
      <w:tblGrid>
        <w:gridCol w:w="1056"/>
        <w:gridCol w:w="8423"/>
      </w:tblGrid>
      <w:tr w14:paraId="0F142B0F">
        <w:tblPrEx>
          <w:tblCellMar>
            <w:top w:w="0" w:type="dxa"/>
            <w:left w:w="0" w:type="dxa"/>
            <w:bottom w:w="0" w:type="dxa"/>
            <w:right w:w="0" w:type="dxa"/>
          </w:tblCellMar>
        </w:tblPrEx>
        <w:trPr>
          <w:trHeight w:val="630" w:hRule="atLeast"/>
          <w:jc w:val="center"/>
        </w:trPr>
        <w:tc>
          <w:tcPr>
            <w:tcW w:w="1056" w:type="dxa"/>
            <w:tcBorders>
              <w:top w:val="single" w:color="auto" w:sz="8" w:space="0"/>
              <w:left w:val="single" w:color="auto" w:sz="8" w:space="0"/>
              <w:bottom w:val="single" w:color="auto" w:sz="8" w:space="0"/>
              <w:right w:val="single" w:color="auto" w:sz="8" w:space="0"/>
            </w:tcBorders>
            <w:vAlign w:val="center"/>
          </w:tcPr>
          <w:p w14:paraId="6386157E">
            <w:pPr>
              <w:spacing w:line="400" w:lineRule="exact"/>
              <w:jc w:val="center"/>
              <w:rPr>
                <w:rFonts w:cs="宋体" w:asciiTheme="majorEastAsia" w:hAnsiTheme="majorEastAsia" w:eastAsiaTheme="majorEastAsia"/>
                <w:highlight w:val="none"/>
              </w:rPr>
            </w:pPr>
            <w:bookmarkStart w:id="1038" w:name="_Toc145014842"/>
            <w:bookmarkStart w:id="1039" w:name="_Toc102161176"/>
            <w:bookmarkStart w:id="1040" w:name="_Toc259924769"/>
            <w:bookmarkStart w:id="1041" w:name="_Toc79575069"/>
            <w:bookmarkStart w:id="1042" w:name="_Toc145001541"/>
            <w:r>
              <w:rPr>
                <w:rFonts w:hint="eastAsia" w:cs="宋体" w:asciiTheme="majorEastAsia" w:hAnsiTheme="majorEastAsia" w:eastAsiaTheme="majorEastAsia"/>
                <w:highlight w:val="none"/>
              </w:rPr>
              <w:t>项目名称</w:t>
            </w:r>
          </w:p>
        </w:tc>
        <w:tc>
          <w:tcPr>
            <w:tcW w:w="8423" w:type="dxa"/>
            <w:tcBorders>
              <w:top w:val="single" w:color="auto" w:sz="8" w:space="0"/>
              <w:left w:val="single" w:color="auto" w:sz="8" w:space="0"/>
              <w:bottom w:val="single" w:color="auto" w:sz="8" w:space="0"/>
              <w:right w:val="single" w:color="auto" w:sz="8" w:space="0"/>
            </w:tcBorders>
            <w:vAlign w:val="center"/>
          </w:tcPr>
          <w:p w14:paraId="5C96DA4C">
            <w:pPr>
              <w:jc w:val="both"/>
              <w:rPr>
                <w:rFonts w:hint="eastAsia" w:cs="宋体" w:asciiTheme="majorEastAsia" w:hAnsiTheme="majorEastAsia" w:eastAsiaTheme="majorEastAsia"/>
                <w:highlight w:val="none"/>
                <w:lang w:eastAsia="zh-CN"/>
              </w:rPr>
            </w:pPr>
            <w:r>
              <w:rPr>
                <w:rFonts w:hint="eastAsia" w:cs="宋体" w:asciiTheme="majorEastAsia" w:hAnsiTheme="majorEastAsia" w:eastAsiaTheme="majorEastAsia"/>
                <w:highlight w:val="none"/>
                <w:lang w:eastAsia="zh-CN"/>
              </w:rPr>
              <w:t>联珠镇癸能村花卉产业农文旅融合发展配套设施项目EPC+O</w:t>
            </w:r>
          </w:p>
        </w:tc>
      </w:tr>
      <w:tr w14:paraId="1A85F29F">
        <w:tblPrEx>
          <w:tblCellMar>
            <w:top w:w="0" w:type="dxa"/>
            <w:left w:w="0" w:type="dxa"/>
            <w:bottom w:w="0" w:type="dxa"/>
            <w:right w:w="0" w:type="dxa"/>
          </w:tblCellMar>
        </w:tblPrEx>
        <w:trPr>
          <w:trHeight w:val="553" w:hRule="atLeast"/>
          <w:jc w:val="center"/>
        </w:trPr>
        <w:tc>
          <w:tcPr>
            <w:tcW w:w="1056" w:type="dxa"/>
            <w:tcBorders>
              <w:top w:val="single" w:color="auto" w:sz="8" w:space="0"/>
              <w:left w:val="single" w:color="auto" w:sz="8" w:space="0"/>
              <w:bottom w:val="single" w:color="auto" w:sz="8" w:space="0"/>
              <w:right w:val="single" w:color="auto" w:sz="8" w:space="0"/>
            </w:tcBorders>
            <w:vAlign w:val="center"/>
          </w:tcPr>
          <w:p w14:paraId="07D090F7">
            <w:pPr>
              <w:spacing w:line="4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投标人或联合体名称</w:t>
            </w:r>
          </w:p>
        </w:tc>
        <w:tc>
          <w:tcPr>
            <w:tcW w:w="8423" w:type="dxa"/>
            <w:tcBorders>
              <w:top w:val="single" w:color="auto" w:sz="8" w:space="0"/>
              <w:left w:val="single" w:color="auto" w:sz="8" w:space="0"/>
              <w:bottom w:val="single" w:color="auto" w:sz="8" w:space="0"/>
              <w:right w:val="single" w:color="auto" w:sz="8" w:space="0"/>
            </w:tcBorders>
            <w:vAlign w:val="center"/>
          </w:tcPr>
          <w:p w14:paraId="2ECF5174">
            <w:pPr>
              <w:rPr>
                <w:rFonts w:cs="宋体" w:asciiTheme="majorEastAsia" w:hAnsiTheme="majorEastAsia" w:eastAsiaTheme="majorEastAsia"/>
                <w:highlight w:val="none"/>
              </w:rPr>
            </w:pPr>
          </w:p>
        </w:tc>
      </w:tr>
      <w:tr w14:paraId="72DE1CD9">
        <w:tblPrEx>
          <w:tblCellMar>
            <w:top w:w="0" w:type="dxa"/>
            <w:left w:w="0" w:type="dxa"/>
            <w:bottom w:w="0" w:type="dxa"/>
            <w:right w:w="0" w:type="dxa"/>
          </w:tblCellMar>
        </w:tblPrEx>
        <w:trPr>
          <w:trHeight w:val="579" w:hRule="atLeast"/>
          <w:jc w:val="center"/>
        </w:trPr>
        <w:tc>
          <w:tcPr>
            <w:tcW w:w="1056" w:type="dxa"/>
            <w:tcBorders>
              <w:top w:val="single" w:color="auto" w:sz="8" w:space="0"/>
              <w:left w:val="single" w:color="auto" w:sz="8" w:space="0"/>
              <w:right w:val="single" w:color="auto" w:sz="8" w:space="0"/>
            </w:tcBorders>
            <w:vAlign w:val="center"/>
          </w:tcPr>
          <w:p w14:paraId="56F4050F">
            <w:pPr>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投标报价</w:t>
            </w:r>
          </w:p>
        </w:tc>
        <w:tc>
          <w:tcPr>
            <w:tcW w:w="8423" w:type="dxa"/>
            <w:tcBorders>
              <w:top w:val="single" w:color="auto" w:sz="8" w:space="0"/>
              <w:left w:val="single" w:color="auto" w:sz="8" w:space="0"/>
              <w:right w:val="single" w:color="auto" w:sz="8" w:space="0"/>
            </w:tcBorders>
            <w:vAlign w:val="center"/>
          </w:tcPr>
          <w:p w14:paraId="099132C6">
            <w:pPr>
              <w:spacing w:line="400" w:lineRule="exact"/>
              <w:jc w:val="both"/>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lang w:val="en-US" w:eastAsia="zh-CN"/>
              </w:rPr>
              <w:t>建安工程费</w:t>
            </w:r>
            <w:r>
              <w:rPr>
                <w:rFonts w:hint="eastAsia" w:cs="宋体" w:asciiTheme="majorEastAsia" w:hAnsiTheme="majorEastAsia" w:eastAsiaTheme="majorEastAsia"/>
                <w:highlight w:val="none"/>
              </w:rPr>
              <w:t>：按下浮率</w:t>
            </w:r>
            <w:r>
              <w:rPr>
                <w:rFonts w:hint="eastAsia" w:cs="宋体" w:asciiTheme="majorEastAsia" w:hAnsiTheme="majorEastAsia" w:eastAsiaTheme="majorEastAsia"/>
                <w:highlight w:val="none"/>
                <w:u w:val="single"/>
                <w:lang w:val="en-US" w:eastAsia="zh-CN"/>
              </w:rPr>
              <w:t xml:space="preserve">     </w:t>
            </w:r>
            <w:r>
              <w:rPr>
                <w:rFonts w:hint="eastAsia" w:cs="宋体" w:asciiTheme="majorEastAsia" w:hAnsiTheme="majorEastAsia" w:eastAsiaTheme="majorEastAsia"/>
                <w:highlight w:val="none"/>
              </w:rPr>
              <w:t>（%）进行报价</w:t>
            </w:r>
          </w:p>
          <w:p w14:paraId="1FD1C8D1">
            <w:pPr>
              <w:spacing w:line="400" w:lineRule="exact"/>
              <w:jc w:val="both"/>
              <w:rPr>
                <w:rFonts w:hint="eastAsia" w:cs="宋体" w:asciiTheme="majorEastAsia" w:hAnsiTheme="majorEastAsia" w:eastAsiaTheme="majorEastAsia"/>
                <w:highlight w:val="none"/>
                <w:lang w:val="en-US" w:eastAsia="zh-CN"/>
              </w:rPr>
            </w:pPr>
            <w:r>
              <w:rPr>
                <w:rFonts w:hint="eastAsia" w:cs="宋体" w:asciiTheme="majorEastAsia" w:hAnsiTheme="majorEastAsia" w:eastAsiaTheme="majorEastAsia"/>
                <w:highlight w:val="none"/>
                <w:lang w:val="en-US" w:eastAsia="zh-CN"/>
              </w:rPr>
              <w:t>设计费：</w:t>
            </w:r>
            <w:r>
              <w:rPr>
                <w:rFonts w:hint="eastAsia" w:cs="宋体" w:asciiTheme="majorEastAsia" w:hAnsiTheme="majorEastAsia" w:eastAsiaTheme="majorEastAsia"/>
                <w:highlight w:val="none"/>
              </w:rPr>
              <w:t>按下浮率</w:t>
            </w:r>
            <w:r>
              <w:rPr>
                <w:rFonts w:hint="eastAsia" w:cs="宋体" w:asciiTheme="majorEastAsia" w:hAnsiTheme="majorEastAsia" w:eastAsiaTheme="majorEastAsia"/>
                <w:highlight w:val="none"/>
                <w:u w:val="single"/>
                <w:lang w:val="en-US" w:eastAsia="zh-CN"/>
              </w:rPr>
              <w:t xml:space="preserve">     </w:t>
            </w:r>
            <w:r>
              <w:rPr>
                <w:rFonts w:hint="eastAsia" w:cs="宋体" w:asciiTheme="majorEastAsia" w:hAnsiTheme="majorEastAsia" w:eastAsiaTheme="majorEastAsia"/>
                <w:highlight w:val="none"/>
              </w:rPr>
              <w:t>（%）进行报价</w:t>
            </w:r>
          </w:p>
        </w:tc>
      </w:tr>
      <w:tr w14:paraId="094E8F5C">
        <w:tblPrEx>
          <w:tblCellMar>
            <w:top w:w="0" w:type="dxa"/>
            <w:left w:w="0" w:type="dxa"/>
            <w:bottom w:w="0" w:type="dxa"/>
            <w:right w:w="0" w:type="dxa"/>
          </w:tblCellMar>
        </w:tblPrEx>
        <w:trPr>
          <w:trHeight w:val="417" w:hRule="atLeast"/>
          <w:jc w:val="center"/>
        </w:trPr>
        <w:tc>
          <w:tcPr>
            <w:tcW w:w="1056" w:type="dxa"/>
            <w:tcBorders>
              <w:top w:val="single" w:color="auto" w:sz="8" w:space="0"/>
              <w:left w:val="single" w:color="auto" w:sz="8" w:space="0"/>
              <w:right w:val="single" w:color="auto" w:sz="8" w:space="0"/>
            </w:tcBorders>
            <w:vAlign w:val="center"/>
          </w:tcPr>
          <w:p w14:paraId="08CB606D">
            <w:pPr>
              <w:spacing w:line="3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计划工期</w:t>
            </w:r>
          </w:p>
        </w:tc>
        <w:tc>
          <w:tcPr>
            <w:tcW w:w="8423" w:type="dxa"/>
            <w:tcBorders>
              <w:top w:val="single" w:color="auto" w:sz="8" w:space="0"/>
              <w:left w:val="single" w:color="auto" w:sz="8" w:space="0"/>
              <w:right w:val="single" w:color="auto" w:sz="8" w:space="0"/>
            </w:tcBorders>
            <w:vAlign w:val="center"/>
          </w:tcPr>
          <w:p w14:paraId="3366711F">
            <w:pPr>
              <w:spacing w:line="460" w:lineRule="exact"/>
              <w:jc w:val="both"/>
              <w:rPr>
                <w:rFonts w:cs="宋体" w:asciiTheme="majorEastAsia" w:hAnsiTheme="majorEastAsia" w:eastAsiaTheme="majorEastAsia"/>
                <w:highlight w:val="none"/>
              </w:rPr>
            </w:pPr>
          </w:p>
        </w:tc>
      </w:tr>
      <w:tr w14:paraId="7BC4BFF5">
        <w:tblPrEx>
          <w:tblCellMar>
            <w:top w:w="0" w:type="dxa"/>
            <w:left w:w="0" w:type="dxa"/>
            <w:bottom w:w="0" w:type="dxa"/>
            <w:right w:w="0" w:type="dxa"/>
          </w:tblCellMar>
        </w:tblPrEx>
        <w:trPr>
          <w:trHeight w:val="467" w:hRule="atLeast"/>
          <w:jc w:val="center"/>
        </w:trPr>
        <w:tc>
          <w:tcPr>
            <w:tcW w:w="1056" w:type="dxa"/>
            <w:tcBorders>
              <w:top w:val="single" w:color="auto" w:sz="8" w:space="0"/>
              <w:left w:val="single" w:color="auto" w:sz="8" w:space="0"/>
              <w:bottom w:val="single" w:color="auto" w:sz="8" w:space="0"/>
              <w:right w:val="single" w:color="auto" w:sz="8" w:space="0"/>
            </w:tcBorders>
            <w:vAlign w:val="center"/>
          </w:tcPr>
          <w:p w14:paraId="75902DA8">
            <w:pPr>
              <w:spacing w:line="3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负责人</w:t>
            </w:r>
          </w:p>
        </w:tc>
        <w:tc>
          <w:tcPr>
            <w:tcW w:w="8423" w:type="dxa"/>
            <w:tcBorders>
              <w:top w:val="single" w:color="auto" w:sz="8" w:space="0"/>
              <w:left w:val="single" w:color="auto" w:sz="8" w:space="0"/>
              <w:bottom w:val="single" w:color="auto" w:sz="8" w:space="0"/>
              <w:right w:val="single" w:color="auto" w:sz="8" w:space="0"/>
            </w:tcBorders>
            <w:vAlign w:val="center"/>
          </w:tcPr>
          <w:p w14:paraId="6A66EF47">
            <w:pPr>
              <w:rPr>
                <w:rFonts w:hint="eastAsia" w:cs="宋体" w:asciiTheme="majorEastAsia" w:hAnsiTheme="majorEastAsia" w:eastAsiaTheme="majorEastAsia"/>
                <w:highlight w:val="none"/>
              </w:rPr>
            </w:pPr>
            <w:r>
              <w:rPr>
                <w:rFonts w:hint="eastAsia" w:cs="宋体" w:asciiTheme="majorEastAsia" w:hAnsiTheme="majorEastAsia" w:eastAsiaTheme="majorEastAsia"/>
                <w:highlight w:val="none"/>
              </w:rPr>
              <w:t>项目总负责人：</w:t>
            </w:r>
            <w:r>
              <w:rPr>
                <w:rFonts w:hint="eastAsia" w:cs="宋体" w:asciiTheme="majorEastAsia" w:hAnsiTheme="majorEastAsia" w:eastAsiaTheme="majorEastAsia"/>
                <w:highlight w:val="none"/>
                <w:u w:val="single"/>
              </w:rPr>
              <w:t xml:space="preserve">       </w:t>
            </w:r>
          </w:p>
          <w:p w14:paraId="0DD55C87">
            <w:pPr>
              <w:rPr>
                <w:rFonts w:hint="eastAsia" w:cs="宋体" w:asciiTheme="majorEastAsia" w:hAnsiTheme="majorEastAsia" w:eastAsiaTheme="majorEastAsia"/>
                <w:highlight w:val="none"/>
                <w:u w:val="single"/>
              </w:rPr>
            </w:pPr>
            <w:r>
              <w:rPr>
                <w:rFonts w:hint="eastAsia" w:cs="宋体" w:asciiTheme="majorEastAsia" w:hAnsiTheme="majorEastAsia" w:eastAsiaTheme="majorEastAsia"/>
                <w:highlight w:val="none"/>
              </w:rPr>
              <w:t>设计负责人：</w:t>
            </w:r>
            <w:r>
              <w:rPr>
                <w:rFonts w:hint="eastAsia" w:cs="宋体" w:asciiTheme="majorEastAsia" w:hAnsiTheme="majorEastAsia" w:eastAsiaTheme="majorEastAsia"/>
                <w:highlight w:val="none"/>
                <w:u w:val="single"/>
              </w:rPr>
              <w:t xml:space="preserve">       </w:t>
            </w:r>
          </w:p>
        </w:tc>
      </w:tr>
      <w:tr w14:paraId="3F307DD8">
        <w:tblPrEx>
          <w:tblCellMar>
            <w:top w:w="0" w:type="dxa"/>
            <w:left w:w="0" w:type="dxa"/>
            <w:bottom w:w="0" w:type="dxa"/>
            <w:right w:w="0" w:type="dxa"/>
          </w:tblCellMar>
        </w:tblPrEx>
        <w:trPr>
          <w:trHeight w:val="447" w:hRule="atLeast"/>
          <w:jc w:val="center"/>
        </w:trPr>
        <w:tc>
          <w:tcPr>
            <w:tcW w:w="1056" w:type="dxa"/>
            <w:tcBorders>
              <w:top w:val="single" w:color="auto" w:sz="8" w:space="0"/>
              <w:left w:val="single" w:color="auto" w:sz="8" w:space="0"/>
              <w:bottom w:val="single" w:color="auto" w:sz="8" w:space="0"/>
              <w:right w:val="single" w:color="auto" w:sz="8" w:space="0"/>
            </w:tcBorders>
            <w:vAlign w:val="center"/>
          </w:tcPr>
          <w:p w14:paraId="667242AF">
            <w:pPr>
              <w:spacing w:line="30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质量要求</w:t>
            </w:r>
          </w:p>
        </w:tc>
        <w:tc>
          <w:tcPr>
            <w:tcW w:w="8423" w:type="dxa"/>
            <w:tcBorders>
              <w:top w:val="single" w:color="auto" w:sz="8" w:space="0"/>
              <w:left w:val="single" w:color="auto" w:sz="8" w:space="0"/>
              <w:bottom w:val="single" w:color="auto" w:sz="8" w:space="0"/>
              <w:right w:val="single" w:color="auto" w:sz="8" w:space="0"/>
            </w:tcBorders>
            <w:vAlign w:val="center"/>
          </w:tcPr>
          <w:p w14:paraId="591FFF0B">
            <w:pPr>
              <w:rPr>
                <w:rFonts w:cs="宋体" w:asciiTheme="majorEastAsia" w:hAnsiTheme="majorEastAsia" w:eastAsiaTheme="majorEastAsia"/>
                <w:highlight w:val="none"/>
              </w:rPr>
            </w:pPr>
          </w:p>
        </w:tc>
      </w:tr>
      <w:tr w14:paraId="4A94CD57">
        <w:tblPrEx>
          <w:tblCellMar>
            <w:top w:w="0" w:type="dxa"/>
            <w:left w:w="0" w:type="dxa"/>
            <w:bottom w:w="0" w:type="dxa"/>
            <w:right w:w="0" w:type="dxa"/>
          </w:tblCellMar>
        </w:tblPrEx>
        <w:trPr>
          <w:trHeight w:val="122" w:hRule="atLeast"/>
          <w:jc w:val="center"/>
        </w:trPr>
        <w:tc>
          <w:tcPr>
            <w:tcW w:w="1056" w:type="dxa"/>
            <w:tcBorders>
              <w:top w:val="single" w:color="auto" w:sz="8" w:space="0"/>
              <w:left w:val="single" w:color="auto" w:sz="8" w:space="0"/>
              <w:bottom w:val="single" w:color="auto" w:sz="8" w:space="0"/>
              <w:right w:val="single" w:color="auto" w:sz="8" w:space="0"/>
            </w:tcBorders>
            <w:vAlign w:val="center"/>
          </w:tcPr>
          <w:p w14:paraId="1C9F61C6">
            <w:pPr>
              <w:spacing w:line="420" w:lineRule="exact"/>
              <w:jc w:val="center"/>
              <w:rPr>
                <w:rFonts w:cs="宋体" w:asciiTheme="majorEastAsia" w:hAnsiTheme="majorEastAsia" w:eastAsiaTheme="majorEastAsia"/>
                <w:highlight w:val="none"/>
              </w:rPr>
            </w:pPr>
            <w:r>
              <w:rPr>
                <w:rFonts w:hint="eastAsia" w:cs="宋体" w:asciiTheme="majorEastAsia" w:hAnsiTheme="majorEastAsia" w:eastAsiaTheme="majorEastAsia"/>
                <w:highlight w:val="none"/>
              </w:rPr>
              <w:t>备注</w:t>
            </w:r>
          </w:p>
        </w:tc>
        <w:tc>
          <w:tcPr>
            <w:tcW w:w="8423" w:type="dxa"/>
            <w:tcBorders>
              <w:top w:val="single" w:color="auto" w:sz="8" w:space="0"/>
              <w:left w:val="single" w:color="auto" w:sz="8" w:space="0"/>
              <w:bottom w:val="single" w:color="auto" w:sz="8" w:space="0"/>
              <w:right w:val="single" w:color="auto" w:sz="8" w:space="0"/>
            </w:tcBorders>
            <w:vAlign w:val="center"/>
          </w:tcPr>
          <w:p w14:paraId="50466B04">
            <w:pPr>
              <w:rPr>
                <w:rFonts w:cs="宋体" w:asciiTheme="majorEastAsia" w:hAnsiTheme="majorEastAsia" w:eastAsiaTheme="majorEastAsia"/>
                <w:highlight w:val="none"/>
              </w:rPr>
            </w:pPr>
          </w:p>
        </w:tc>
      </w:tr>
    </w:tbl>
    <w:p w14:paraId="63129705">
      <w:pPr>
        <w:spacing w:line="300" w:lineRule="auto"/>
        <w:rPr>
          <w:rFonts w:cs="宋体" w:asciiTheme="majorEastAsia" w:hAnsiTheme="majorEastAsia" w:eastAsiaTheme="majorEastAsia"/>
          <w:highlight w:val="none"/>
        </w:rPr>
      </w:pPr>
    </w:p>
    <w:p w14:paraId="7A5271FE">
      <w:pPr>
        <w:spacing w:line="60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投 标 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（电子签章）</w:t>
      </w:r>
    </w:p>
    <w:p w14:paraId="6DF2DCCC">
      <w:pPr>
        <w:spacing w:line="60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法定代表人或其委托代理人：</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szCs w:val="21"/>
          <w:highlight w:val="none"/>
        </w:rPr>
        <w:t>（电子签章）</w:t>
      </w:r>
    </w:p>
    <w:p w14:paraId="7465AB8A">
      <w:pPr>
        <w:spacing w:line="600" w:lineRule="exact"/>
        <w:ind w:firstLine="488"/>
        <w:rPr>
          <w:rFonts w:cs="宋体" w:asciiTheme="majorEastAsia" w:hAnsiTheme="majorEastAsia" w:eastAsiaTheme="majorEastAsia"/>
          <w:highlight w:val="none"/>
          <w:u w:val="single"/>
        </w:rPr>
      </w:pPr>
      <w:r>
        <w:rPr>
          <w:rFonts w:hint="eastAsia" w:cs="宋体" w:asciiTheme="majorEastAsia" w:hAnsiTheme="majorEastAsia" w:eastAsiaTheme="majorEastAsia"/>
          <w:highlight w:val="none"/>
        </w:rPr>
        <w:t>日   期：</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 xml:space="preserve">年 </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月</w:t>
      </w:r>
      <w:r>
        <w:rPr>
          <w:rFonts w:hint="eastAsia" w:cs="宋体" w:asciiTheme="majorEastAsia" w:hAnsiTheme="majorEastAsia" w:eastAsiaTheme="majorEastAsia"/>
          <w:highlight w:val="none"/>
          <w:u w:val="single"/>
        </w:rPr>
        <w:t xml:space="preserve">     </w:t>
      </w:r>
      <w:r>
        <w:rPr>
          <w:rFonts w:hint="eastAsia" w:cs="宋体" w:asciiTheme="majorEastAsia" w:hAnsiTheme="majorEastAsia" w:eastAsiaTheme="majorEastAsia"/>
          <w:highlight w:val="none"/>
        </w:rPr>
        <w:t>日</w:t>
      </w:r>
    </w:p>
    <w:p w14:paraId="5EA9201A">
      <w:pPr>
        <w:spacing w:line="300" w:lineRule="auto"/>
        <w:rPr>
          <w:rFonts w:cs="宋体" w:asciiTheme="majorEastAsia" w:hAnsiTheme="majorEastAsia" w:eastAsiaTheme="majorEastAsia"/>
          <w:highlight w:val="none"/>
        </w:rPr>
      </w:pPr>
    </w:p>
    <w:p w14:paraId="56642857">
      <w:pPr>
        <w:spacing w:line="300" w:lineRule="auto"/>
        <w:rPr>
          <w:rFonts w:cs="宋体" w:asciiTheme="majorEastAsia" w:hAnsiTheme="majorEastAsia" w:eastAsiaTheme="majorEastAsia"/>
          <w:bCs/>
          <w:sz w:val="21"/>
          <w:szCs w:val="21"/>
          <w:highlight w:val="none"/>
        </w:rPr>
      </w:pPr>
      <w:r>
        <w:rPr>
          <w:rFonts w:hint="eastAsia" w:cs="宋体" w:asciiTheme="majorEastAsia" w:hAnsiTheme="majorEastAsia" w:eastAsiaTheme="majorEastAsia"/>
          <w:b/>
          <w:sz w:val="21"/>
          <w:szCs w:val="21"/>
          <w:highlight w:val="none"/>
        </w:rPr>
        <w:t>注：</w:t>
      </w:r>
      <w:r>
        <w:rPr>
          <w:rFonts w:hint="eastAsia" w:cs="宋体" w:asciiTheme="majorEastAsia" w:hAnsiTheme="majorEastAsia" w:eastAsiaTheme="majorEastAsia"/>
          <w:bCs/>
          <w:sz w:val="21"/>
          <w:szCs w:val="21"/>
          <w:highlight w:val="none"/>
        </w:rPr>
        <w:t>此投标报价（唱标）一览表，应放在投标文件商务部分封面后第一页。</w:t>
      </w:r>
    </w:p>
    <w:p w14:paraId="78269748">
      <w:pPr>
        <w:pStyle w:val="19"/>
        <w:rPr>
          <w:rFonts w:asciiTheme="majorEastAsia" w:hAnsiTheme="majorEastAsia" w:eastAsiaTheme="majorEastAsia"/>
          <w:highlight w:val="none"/>
        </w:rPr>
      </w:pPr>
      <w:bookmarkStart w:id="1043" w:name="_Toc478646385"/>
      <w:bookmarkStart w:id="1044" w:name="_Toc437684810"/>
      <w:r>
        <w:rPr>
          <w:rStyle w:val="154"/>
          <w:rFonts w:hint="eastAsia" w:cs="宋体" w:asciiTheme="majorEastAsia" w:hAnsiTheme="majorEastAsia" w:eastAsiaTheme="majorEastAsia"/>
          <w:b/>
          <w:sz w:val="30"/>
          <w:szCs w:val="30"/>
          <w:highlight w:val="none"/>
        </w:rPr>
        <w:br w:type="page"/>
      </w:r>
      <w:bookmarkStart w:id="1045" w:name="_Toc482878121"/>
    </w:p>
    <w:p w14:paraId="116D5CDF">
      <w:pPr>
        <w:rPr>
          <w:rStyle w:val="154"/>
          <w:rFonts w:cs="宋体" w:asciiTheme="majorEastAsia" w:hAnsiTheme="majorEastAsia" w:eastAsiaTheme="majorEastAsia"/>
          <w:sz w:val="30"/>
          <w:szCs w:val="30"/>
          <w:highlight w:val="none"/>
        </w:rPr>
      </w:pPr>
    </w:p>
    <w:p w14:paraId="2345DCBA">
      <w:pPr>
        <w:pStyle w:val="3"/>
        <w:spacing w:before="120" w:after="120" w:afterLines="50" w:line="700" w:lineRule="exact"/>
        <w:ind w:left="0" w:firstLine="0"/>
        <w:jc w:val="center"/>
        <w:rPr>
          <w:rStyle w:val="154"/>
          <w:rFonts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2"/>
          <w:szCs w:val="32"/>
          <w:highlight w:val="none"/>
        </w:rPr>
        <w:t>附件二：投标报价说明</w:t>
      </w:r>
      <w:bookmarkEnd w:id="1045"/>
    </w:p>
    <w:p w14:paraId="6C3C46CB">
      <w:pPr>
        <w:tabs>
          <w:tab w:val="left" w:pos="2160"/>
          <w:tab w:val="left" w:pos="3255"/>
          <w:tab w:val="left" w:pos="4830"/>
        </w:tabs>
        <w:spacing w:line="520" w:lineRule="exact"/>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（格式自拟）</w:t>
      </w:r>
    </w:p>
    <w:p w14:paraId="4D17246E">
      <w:pPr>
        <w:tabs>
          <w:tab w:val="left" w:pos="2160"/>
          <w:tab w:val="left" w:pos="3255"/>
          <w:tab w:val="left" w:pos="4830"/>
        </w:tabs>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1、报价依据本工程投标人须知和招标文件的有关条款进行编制。</w:t>
      </w:r>
    </w:p>
    <w:p w14:paraId="361434AA">
      <w:pPr>
        <w:tabs>
          <w:tab w:val="left" w:pos="2160"/>
          <w:tab w:val="left" w:pos="3255"/>
          <w:tab w:val="left" w:pos="4830"/>
        </w:tabs>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2、本报价的币种为人民币。</w:t>
      </w:r>
    </w:p>
    <w:p w14:paraId="73E59C31">
      <w:pPr>
        <w:tabs>
          <w:tab w:val="left" w:pos="2160"/>
          <w:tab w:val="left" w:pos="3255"/>
          <w:tab w:val="left" w:pos="4830"/>
        </w:tabs>
        <w:spacing w:line="520" w:lineRule="exact"/>
        <w:ind w:firstLine="480" w:firstLineChars="200"/>
        <w:rPr>
          <w:rFonts w:cs="宋体" w:asciiTheme="majorEastAsia" w:hAnsiTheme="majorEastAsia" w:eastAsiaTheme="majorEastAsia"/>
          <w:bCs/>
          <w:highlight w:val="none"/>
        </w:rPr>
      </w:pPr>
      <w:r>
        <w:rPr>
          <w:rFonts w:hint="eastAsia" w:cs="宋体" w:asciiTheme="majorEastAsia" w:hAnsiTheme="majorEastAsia" w:eastAsiaTheme="majorEastAsia"/>
          <w:bCs/>
          <w:highlight w:val="none"/>
        </w:rPr>
        <w:t>3、投标人应将投标报价需要说明的其他事项，用文字书写与投标报价表一并报送。</w:t>
      </w:r>
    </w:p>
    <w:bookmarkEnd w:id="1038"/>
    <w:bookmarkEnd w:id="1039"/>
    <w:bookmarkEnd w:id="1040"/>
    <w:bookmarkEnd w:id="1041"/>
    <w:bookmarkEnd w:id="1042"/>
    <w:bookmarkEnd w:id="1043"/>
    <w:bookmarkEnd w:id="1044"/>
    <w:p w14:paraId="4E4CAF85">
      <w:pPr>
        <w:rPr>
          <w:rFonts w:cs="宋体" w:asciiTheme="majorEastAsia" w:hAnsiTheme="majorEastAsia" w:eastAsiaTheme="majorEastAsia"/>
          <w:highlight w:val="none"/>
        </w:rPr>
      </w:pPr>
      <w:r>
        <w:rPr>
          <w:rStyle w:val="154"/>
          <w:rFonts w:hint="eastAsia" w:cs="宋体" w:asciiTheme="majorEastAsia" w:hAnsiTheme="majorEastAsia" w:eastAsiaTheme="majorEastAsia"/>
          <w:b/>
          <w:sz w:val="30"/>
          <w:szCs w:val="30"/>
          <w:highlight w:val="none"/>
        </w:rPr>
        <w:br w:type="page"/>
      </w:r>
    </w:p>
    <w:p w14:paraId="77CE9AE6">
      <w:pPr>
        <w:rPr>
          <w:rFonts w:cs="宋体" w:asciiTheme="majorEastAsia" w:hAnsiTheme="majorEastAsia" w:eastAsiaTheme="majorEastAsia"/>
          <w:highlight w:val="none"/>
        </w:rPr>
      </w:pPr>
    </w:p>
    <w:p w14:paraId="6583BB4B">
      <w:pPr>
        <w:rPr>
          <w:rFonts w:cs="宋体" w:asciiTheme="majorEastAsia" w:hAnsiTheme="majorEastAsia" w:eastAsiaTheme="majorEastAsia"/>
          <w:highlight w:val="none"/>
        </w:rPr>
      </w:pPr>
    </w:p>
    <w:p w14:paraId="25DAF639">
      <w:pPr>
        <w:rPr>
          <w:rFonts w:cs="宋体" w:asciiTheme="majorEastAsia" w:hAnsiTheme="majorEastAsia" w:eastAsiaTheme="majorEastAsia"/>
          <w:highlight w:val="none"/>
        </w:rPr>
      </w:pPr>
    </w:p>
    <w:p w14:paraId="79BD2EFE">
      <w:pPr>
        <w:rPr>
          <w:rFonts w:cs="宋体" w:asciiTheme="majorEastAsia" w:hAnsiTheme="majorEastAsia" w:eastAsiaTheme="majorEastAsia"/>
          <w:highlight w:val="none"/>
        </w:rPr>
      </w:pPr>
    </w:p>
    <w:p w14:paraId="73930BEF">
      <w:pPr>
        <w:rPr>
          <w:rFonts w:cs="宋体" w:asciiTheme="majorEastAsia" w:hAnsiTheme="majorEastAsia" w:eastAsiaTheme="majorEastAsia"/>
          <w:highlight w:val="none"/>
        </w:rPr>
      </w:pPr>
    </w:p>
    <w:p w14:paraId="655BD89E">
      <w:pPr>
        <w:rPr>
          <w:rFonts w:cs="宋体" w:asciiTheme="majorEastAsia" w:hAnsiTheme="majorEastAsia" w:eastAsiaTheme="majorEastAsia"/>
          <w:highlight w:val="none"/>
        </w:rPr>
      </w:pPr>
    </w:p>
    <w:p w14:paraId="3CACFC46">
      <w:pPr>
        <w:rPr>
          <w:rFonts w:cs="宋体" w:asciiTheme="majorEastAsia" w:hAnsiTheme="majorEastAsia" w:eastAsiaTheme="majorEastAsia"/>
          <w:highlight w:val="none"/>
        </w:rPr>
      </w:pPr>
    </w:p>
    <w:p w14:paraId="233A7D49">
      <w:pPr>
        <w:rPr>
          <w:rFonts w:cs="宋体" w:asciiTheme="majorEastAsia" w:hAnsiTheme="majorEastAsia" w:eastAsiaTheme="majorEastAsia"/>
          <w:highlight w:val="none"/>
        </w:rPr>
      </w:pPr>
    </w:p>
    <w:p w14:paraId="46B09AD2">
      <w:pPr>
        <w:rPr>
          <w:rFonts w:cs="宋体" w:asciiTheme="majorEastAsia" w:hAnsiTheme="majorEastAsia" w:eastAsiaTheme="majorEastAsia"/>
          <w:highlight w:val="none"/>
        </w:rPr>
      </w:pPr>
    </w:p>
    <w:p w14:paraId="2AE65490">
      <w:pPr>
        <w:rPr>
          <w:rFonts w:cs="宋体" w:asciiTheme="majorEastAsia" w:hAnsiTheme="majorEastAsia" w:eastAsiaTheme="majorEastAsia"/>
          <w:highlight w:val="none"/>
        </w:rPr>
      </w:pPr>
    </w:p>
    <w:p w14:paraId="1C1E49B5">
      <w:pPr>
        <w:rPr>
          <w:rFonts w:cs="宋体" w:asciiTheme="majorEastAsia" w:hAnsiTheme="majorEastAsia" w:eastAsiaTheme="majorEastAsia"/>
          <w:highlight w:val="none"/>
        </w:rPr>
      </w:pPr>
    </w:p>
    <w:p w14:paraId="48250BAF">
      <w:pPr>
        <w:rPr>
          <w:rFonts w:cs="宋体" w:asciiTheme="majorEastAsia" w:hAnsiTheme="majorEastAsia" w:eastAsiaTheme="majorEastAsia"/>
          <w:highlight w:val="none"/>
        </w:rPr>
      </w:pPr>
    </w:p>
    <w:p w14:paraId="19AC49D1">
      <w:pPr>
        <w:rPr>
          <w:rFonts w:cs="宋体" w:asciiTheme="majorEastAsia" w:hAnsiTheme="majorEastAsia" w:eastAsiaTheme="majorEastAsia"/>
          <w:highlight w:val="none"/>
        </w:rPr>
      </w:pPr>
    </w:p>
    <w:p w14:paraId="5B3ABCB5">
      <w:pPr>
        <w:rPr>
          <w:rFonts w:cs="宋体" w:asciiTheme="majorEastAsia" w:hAnsiTheme="majorEastAsia" w:eastAsiaTheme="majorEastAsia"/>
          <w:highlight w:val="none"/>
        </w:rPr>
      </w:pPr>
    </w:p>
    <w:p w14:paraId="72486C37">
      <w:pPr>
        <w:rPr>
          <w:rFonts w:cs="宋体" w:asciiTheme="majorEastAsia" w:hAnsiTheme="majorEastAsia" w:eastAsiaTheme="majorEastAsia"/>
          <w:highlight w:val="none"/>
        </w:rPr>
      </w:pPr>
    </w:p>
    <w:p w14:paraId="1D779A65">
      <w:pPr>
        <w:rPr>
          <w:rFonts w:cs="宋体" w:asciiTheme="majorEastAsia" w:hAnsiTheme="majorEastAsia" w:eastAsiaTheme="majorEastAsia"/>
          <w:highlight w:val="none"/>
        </w:rPr>
      </w:pPr>
    </w:p>
    <w:p w14:paraId="56C15751">
      <w:pPr>
        <w:rPr>
          <w:rFonts w:cs="宋体" w:asciiTheme="majorEastAsia" w:hAnsiTheme="majorEastAsia" w:eastAsiaTheme="majorEastAsia"/>
          <w:highlight w:val="none"/>
        </w:rPr>
      </w:pPr>
    </w:p>
    <w:p w14:paraId="0670E3AD">
      <w:pPr>
        <w:rPr>
          <w:rFonts w:cs="宋体" w:asciiTheme="majorEastAsia" w:hAnsiTheme="majorEastAsia" w:eastAsiaTheme="majorEastAsia"/>
          <w:highlight w:val="none"/>
        </w:rPr>
      </w:pPr>
    </w:p>
    <w:p w14:paraId="458ACCD5">
      <w:pPr>
        <w:rPr>
          <w:rFonts w:cs="宋体" w:asciiTheme="majorEastAsia" w:hAnsiTheme="majorEastAsia" w:eastAsiaTheme="majorEastAsia"/>
          <w:highlight w:val="none"/>
        </w:rPr>
      </w:pPr>
    </w:p>
    <w:p w14:paraId="27061C2C">
      <w:pPr>
        <w:pStyle w:val="346"/>
        <w:spacing w:before="120" w:after="120"/>
        <w:rPr>
          <w:rFonts w:cs="宋体" w:asciiTheme="majorEastAsia" w:hAnsiTheme="majorEastAsia" w:eastAsiaTheme="majorEastAsia"/>
          <w:b/>
          <w:sz w:val="48"/>
          <w:szCs w:val="48"/>
          <w:highlight w:val="none"/>
        </w:rPr>
      </w:pPr>
      <w:bookmarkStart w:id="1046" w:name="_Toc4597"/>
      <w:r>
        <w:rPr>
          <w:rFonts w:hint="eastAsia" w:cs="宋体" w:asciiTheme="majorEastAsia" w:hAnsiTheme="majorEastAsia" w:eastAsiaTheme="majorEastAsia"/>
          <w:b/>
          <w:sz w:val="48"/>
          <w:szCs w:val="48"/>
          <w:highlight w:val="none"/>
        </w:rPr>
        <w:t>第三部分  技术部分格式</w:t>
      </w:r>
      <w:bookmarkEnd w:id="1046"/>
    </w:p>
    <w:p w14:paraId="47CCD1E3">
      <w:pPr>
        <w:rPr>
          <w:rFonts w:cs="宋体" w:asciiTheme="majorEastAsia" w:hAnsiTheme="majorEastAsia" w:eastAsiaTheme="majorEastAsia"/>
          <w:highlight w:val="none"/>
        </w:rPr>
      </w:pPr>
      <w:r>
        <w:rPr>
          <w:rFonts w:hint="eastAsia" w:cs="宋体" w:asciiTheme="majorEastAsia" w:hAnsiTheme="majorEastAsia" w:eastAsiaTheme="majorEastAsia"/>
          <w:highlight w:val="none"/>
        </w:rPr>
        <w:br w:type="page"/>
      </w:r>
    </w:p>
    <w:p w14:paraId="1FDB5B0D">
      <w:pPr>
        <w:rPr>
          <w:rFonts w:asciiTheme="majorEastAsia" w:hAnsiTheme="majorEastAsia" w:eastAsiaTheme="majorEastAsia"/>
          <w:highlight w:val="none"/>
        </w:rPr>
      </w:pPr>
    </w:p>
    <w:p w14:paraId="0391EC12">
      <w:pPr>
        <w:spacing w:before="120" w:beforeLines="50" w:after="120" w:afterLines="50" w:line="700" w:lineRule="exact"/>
        <w:jc w:val="center"/>
        <w:rPr>
          <w:rFonts w:cs="宋体" w:asciiTheme="majorEastAsia" w:hAnsiTheme="majorEastAsia" w:eastAsiaTheme="majorEastAsia"/>
          <w:sz w:val="44"/>
          <w:szCs w:val="44"/>
          <w:highlight w:val="none"/>
        </w:rPr>
      </w:pPr>
      <w:r>
        <w:rPr>
          <w:rFonts w:hint="eastAsia" w:cs="宋体" w:asciiTheme="majorEastAsia" w:hAnsiTheme="majorEastAsia" w:eastAsiaTheme="majorEastAsia"/>
          <w:b/>
          <w:bCs/>
          <w:sz w:val="44"/>
          <w:szCs w:val="44"/>
          <w:highlight w:val="none"/>
        </w:rPr>
        <w:t>一、技术部分封面</w:t>
      </w:r>
    </w:p>
    <w:p w14:paraId="2998350D">
      <w:pPr>
        <w:spacing w:before="120" w:beforeLines="50" w:after="120" w:afterLines="50" w:line="700" w:lineRule="exact"/>
        <w:ind w:right="204"/>
        <w:jc w:val="right"/>
        <w:rPr>
          <w:rFonts w:hint="eastAsia" w:cs="宋体" w:asciiTheme="majorEastAsia" w:hAnsiTheme="majorEastAsia" w:eastAsiaTheme="majorEastAsia"/>
          <w:b/>
          <w:bCs/>
          <w:sz w:val="28"/>
          <w:szCs w:val="28"/>
          <w:highlight w:val="none"/>
          <w:u w:val="single"/>
          <w:lang w:eastAsia="zh-CN"/>
        </w:rPr>
      </w:pPr>
      <w:r>
        <w:rPr>
          <w:rFonts w:hint="eastAsia" w:cs="宋体" w:asciiTheme="majorEastAsia" w:hAnsiTheme="majorEastAsia" w:eastAsiaTheme="majorEastAsia"/>
          <w:b/>
          <w:bCs/>
          <w:sz w:val="28"/>
          <w:szCs w:val="28"/>
          <w:highlight w:val="none"/>
        </w:rPr>
        <w:t>招标编号：</w:t>
      </w:r>
      <w:r>
        <w:rPr>
          <w:rFonts w:hint="eastAsia" w:cs="宋体" w:asciiTheme="majorEastAsia" w:hAnsiTheme="majorEastAsia" w:eastAsiaTheme="majorEastAsia"/>
          <w:b/>
          <w:bCs/>
          <w:sz w:val="28"/>
          <w:szCs w:val="28"/>
          <w:highlight w:val="none"/>
          <w:lang w:eastAsia="zh-CN"/>
        </w:rPr>
        <w:t>DZZG20260008</w:t>
      </w:r>
    </w:p>
    <w:p w14:paraId="7371B4EC">
      <w:pPr>
        <w:spacing w:before="240" w:beforeLines="100" w:after="240" w:afterLines="100" w:line="800" w:lineRule="exact"/>
        <w:jc w:val="center"/>
        <w:rPr>
          <w:rFonts w:hint="eastAsia" w:cs="宋体" w:asciiTheme="majorEastAsia" w:hAnsiTheme="majorEastAsia" w:eastAsiaTheme="majorEastAsia"/>
          <w:b/>
          <w:bCs/>
          <w:sz w:val="36"/>
          <w:szCs w:val="36"/>
          <w:highlight w:val="none"/>
          <w:lang w:eastAsia="zh-CN"/>
        </w:rPr>
      </w:pPr>
      <w:r>
        <w:rPr>
          <w:rFonts w:hint="eastAsia" w:cs="宋体" w:asciiTheme="majorEastAsia" w:hAnsiTheme="majorEastAsia" w:eastAsiaTheme="majorEastAsia"/>
          <w:b/>
          <w:bCs/>
          <w:sz w:val="32"/>
          <w:szCs w:val="32"/>
          <w:highlight w:val="none"/>
        </w:rPr>
        <w:t>云南省</w:t>
      </w:r>
      <w:r>
        <w:rPr>
          <w:rFonts w:hint="eastAsia" w:cs="宋体" w:asciiTheme="majorEastAsia" w:hAnsiTheme="majorEastAsia" w:eastAsiaTheme="majorEastAsia"/>
          <w:b/>
          <w:bCs/>
          <w:sz w:val="32"/>
          <w:szCs w:val="32"/>
          <w:highlight w:val="none"/>
          <w:lang w:eastAsia="zh-CN"/>
        </w:rPr>
        <w:t>联珠镇癸能村花卉产业农文旅融合发展配套设施项目EPC+O</w:t>
      </w:r>
    </w:p>
    <w:p w14:paraId="5927D0E2">
      <w:pPr>
        <w:rPr>
          <w:rFonts w:asciiTheme="majorEastAsia" w:hAnsiTheme="majorEastAsia" w:eastAsiaTheme="majorEastAsia"/>
          <w:highlight w:val="none"/>
        </w:rPr>
      </w:pPr>
    </w:p>
    <w:p w14:paraId="14E8E053">
      <w:pPr>
        <w:rPr>
          <w:rFonts w:cs="宋体" w:asciiTheme="majorEastAsia" w:hAnsiTheme="majorEastAsia" w:eastAsiaTheme="majorEastAsia"/>
          <w:b/>
          <w:sz w:val="30"/>
          <w:szCs w:val="30"/>
          <w:highlight w:val="none"/>
        </w:rPr>
      </w:pPr>
    </w:p>
    <w:p w14:paraId="05587C54">
      <w:pPr>
        <w:rPr>
          <w:rFonts w:cs="宋体" w:asciiTheme="majorEastAsia" w:hAnsiTheme="majorEastAsia" w:eastAsiaTheme="majorEastAsia"/>
          <w:b/>
          <w:sz w:val="30"/>
          <w:szCs w:val="30"/>
          <w:highlight w:val="none"/>
        </w:rPr>
      </w:pPr>
    </w:p>
    <w:p w14:paraId="27C0A722">
      <w:pPr>
        <w:rPr>
          <w:rFonts w:cs="宋体" w:asciiTheme="majorEastAsia" w:hAnsiTheme="majorEastAsia" w:eastAsiaTheme="majorEastAsia"/>
          <w:b/>
          <w:sz w:val="30"/>
          <w:szCs w:val="30"/>
          <w:highlight w:val="none"/>
        </w:rPr>
      </w:pPr>
    </w:p>
    <w:p w14:paraId="1044DAA7">
      <w:pPr>
        <w:rPr>
          <w:rFonts w:cs="宋体" w:asciiTheme="majorEastAsia" w:hAnsiTheme="majorEastAsia" w:eastAsiaTheme="majorEastAsia"/>
          <w:b/>
          <w:sz w:val="30"/>
          <w:szCs w:val="30"/>
          <w:highlight w:val="none"/>
        </w:rPr>
      </w:pPr>
    </w:p>
    <w:p w14:paraId="4D27640B">
      <w:pPr>
        <w:rPr>
          <w:rFonts w:cs="宋体" w:asciiTheme="majorEastAsia" w:hAnsiTheme="majorEastAsia" w:eastAsiaTheme="majorEastAsia"/>
          <w:b/>
          <w:sz w:val="30"/>
          <w:szCs w:val="30"/>
          <w:highlight w:val="none"/>
        </w:rPr>
      </w:pPr>
    </w:p>
    <w:p w14:paraId="6721676B">
      <w:pPr>
        <w:rPr>
          <w:rFonts w:cs="宋体" w:asciiTheme="majorEastAsia" w:hAnsiTheme="majorEastAsia" w:eastAsiaTheme="majorEastAsia"/>
          <w:b/>
          <w:sz w:val="30"/>
          <w:szCs w:val="30"/>
          <w:highlight w:val="none"/>
        </w:rPr>
      </w:pPr>
    </w:p>
    <w:p w14:paraId="4913E7C7">
      <w:pPr>
        <w:rPr>
          <w:rFonts w:cs="宋体" w:asciiTheme="majorEastAsia" w:hAnsiTheme="majorEastAsia" w:eastAsiaTheme="majorEastAsia"/>
          <w:b/>
          <w:sz w:val="30"/>
          <w:szCs w:val="30"/>
          <w:highlight w:val="none"/>
        </w:rPr>
      </w:pPr>
    </w:p>
    <w:p w14:paraId="5917C844">
      <w:pPr>
        <w:jc w:val="center"/>
        <w:rPr>
          <w:rFonts w:cs="宋体" w:asciiTheme="majorEastAsia" w:hAnsiTheme="majorEastAsia" w:eastAsiaTheme="majorEastAsia"/>
          <w:b/>
          <w:sz w:val="84"/>
          <w:szCs w:val="84"/>
          <w:highlight w:val="none"/>
        </w:rPr>
      </w:pPr>
      <w:r>
        <w:rPr>
          <w:rFonts w:hint="eastAsia" w:cs="宋体" w:asciiTheme="majorEastAsia" w:hAnsiTheme="majorEastAsia" w:eastAsiaTheme="majorEastAsia"/>
          <w:b/>
          <w:sz w:val="84"/>
          <w:szCs w:val="84"/>
          <w:highlight w:val="none"/>
        </w:rPr>
        <w:t>投 标 文 件</w:t>
      </w:r>
    </w:p>
    <w:p w14:paraId="171BDD38">
      <w:pPr>
        <w:rPr>
          <w:rFonts w:cs="宋体" w:asciiTheme="majorEastAsia" w:hAnsiTheme="majorEastAsia" w:eastAsiaTheme="majorEastAsia"/>
          <w:b/>
          <w:sz w:val="30"/>
          <w:szCs w:val="30"/>
          <w:highlight w:val="none"/>
        </w:rPr>
      </w:pPr>
    </w:p>
    <w:p w14:paraId="700D0863">
      <w:pPr>
        <w:rPr>
          <w:rFonts w:cs="宋体" w:asciiTheme="majorEastAsia" w:hAnsiTheme="majorEastAsia" w:eastAsiaTheme="majorEastAsia"/>
          <w:b/>
          <w:sz w:val="30"/>
          <w:szCs w:val="30"/>
          <w:highlight w:val="none"/>
        </w:rPr>
      </w:pPr>
    </w:p>
    <w:p w14:paraId="1274515B">
      <w:pPr>
        <w:rPr>
          <w:rFonts w:cs="宋体" w:asciiTheme="majorEastAsia" w:hAnsiTheme="majorEastAsia" w:eastAsiaTheme="majorEastAsia"/>
          <w:b/>
          <w:sz w:val="30"/>
          <w:szCs w:val="30"/>
          <w:highlight w:val="none"/>
        </w:rPr>
      </w:pPr>
    </w:p>
    <w:p w14:paraId="603D743A">
      <w:pPr>
        <w:rPr>
          <w:rFonts w:cs="宋体" w:asciiTheme="majorEastAsia" w:hAnsiTheme="majorEastAsia" w:eastAsiaTheme="majorEastAsia"/>
          <w:b/>
          <w:sz w:val="30"/>
          <w:szCs w:val="30"/>
          <w:highlight w:val="none"/>
        </w:rPr>
      </w:pPr>
    </w:p>
    <w:p w14:paraId="27C6F9BA">
      <w:pPr>
        <w:rPr>
          <w:rFonts w:cs="宋体" w:asciiTheme="majorEastAsia" w:hAnsiTheme="majorEastAsia" w:eastAsiaTheme="majorEastAsia"/>
          <w:b/>
          <w:sz w:val="30"/>
          <w:szCs w:val="30"/>
          <w:highlight w:val="none"/>
        </w:rPr>
      </w:pPr>
    </w:p>
    <w:p w14:paraId="27482A30">
      <w:pPr>
        <w:rPr>
          <w:rFonts w:cs="宋体" w:asciiTheme="majorEastAsia" w:hAnsiTheme="majorEastAsia" w:eastAsiaTheme="majorEastAsia"/>
          <w:b/>
          <w:sz w:val="30"/>
          <w:szCs w:val="30"/>
          <w:highlight w:val="none"/>
        </w:rPr>
      </w:pPr>
    </w:p>
    <w:p w14:paraId="29609C33">
      <w:pPr>
        <w:rPr>
          <w:rFonts w:cs="宋体" w:asciiTheme="majorEastAsia" w:hAnsiTheme="majorEastAsia" w:eastAsiaTheme="majorEastAsia"/>
          <w:b/>
          <w:sz w:val="30"/>
          <w:szCs w:val="30"/>
          <w:highlight w:val="none"/>
        </w:rPr>
      </w:pPr>
    </w:p>
    <w:p w14:paraId="07AE5C25">
      <w:pPr>
        <w:snapToGrid w:val="0"/>
        <w:spacing w:before="480" w:beforeLines="200" w:after="480" w:afterLines="200"/>
        <w:ind w:left="360" w:leftChars="150"/>
        <w:rPr>
          <w:rFonts w:cs="宋体" w:asciiTheme="majorEastAsia" w:hAnsiTheme="majorEastAsia" w:eastAsiaTheme="majorEastAsia"/>
          <w:b/>
          <w:highlight w:val="none"/>
          <w:u w:val="single"/>
        </w:rPr>
      </w:pPr>
      <w:r>
        <w:rPr>
          <w:rFonts w:hint="eastAsia" w:cs="宋体" w:asciiTheme="majorEastAsia" w:hAnsiTheme="majorEastAsia" w:eastAsiaTheme="majorEastAsia"/>
          <w:b/>
          <w:highlight w:val="none"/>
        </w:rPr>
        <w:t>投标人（电子签章）：</w:t>
      </w:r>
      <w:r>
        <w:rPr>
          <w:rFonts w:hint="eastAsia" w:cs="宋体" w:asciiTheme="majorEastAsia" w:hAnsiTheme="majorEastAsia" w:eastAsiaTheme="majorEastAsia"/>
          <w:b/>
          <w:highlight w:val="none"/>
          <w:u w:val="single"/>
        </w:rPr>
        <w:t xml:space="preserve">            </w:t>
      </w:r>
    </w:p>
    <w:p w14:paraId="3C940BB5">
      <w:pPr>
        <w:snapToGrid w:val="0"/>
        <w:spacing w:before="480" w:beforeLines="200" w:after="480" w:afterLines="200"/>
        <w:ind w:left="360" w:leftChars="150"/>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文件内容：</w:t>
      </w:r>
      <w:r>
        <w:rPr>
          <w:rFonts w:hint="eastAsia" w:cs="宋体" w:asciiTheme="majorEastAsia" w:hAnsiTheme="majorEastAsia" w:eastAsiaTheme="majorEastAsia"/>
          <w:b/>
          <w:highlight w:val="none"/>
          <w:u w:val="single"/>
        </w:rPr>
        <w:t xml:space="preserve">             投标文件技术部分        </w:t>
      </w:r>
    </w:p>
    <w:p w14:paraId="5D427753">
      <w:pPr>
        <w:snapToGrid w:val="0"/>
        <w:spacing w:before="480" w:beforeLines="200" w:after="480" w:afterLines="200"/>
        <w:ind w:left="360" w:leftChars="150"/>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法定代表人或其委托代理人（电子签章）：</w:t>
      </w:r>
      <w:r>
        <w:rPr>
          <w:rFonts w:hint="eastAsia" w:cs="宋体" w:asciiTheme="majorEastAsia" w:hAnsiTheme="majorEastAsia" w:eastAsiaTheme="majorEastAsia"/>
          <w:b/>
          <w:highlight w:val="none"/>
          <w:u w:val="single"/>
        </w:rPr>
        <w:t xml:space="preserve">              </w:t>
      </w:r>
    </w:p>
    <w:p w14:paraId="419DC0BD">
      <w:pPr>
        <w:spacing w:line="300" w:lineRule="auto"/>
        <w:ind w:firstLine="407" w:firstLineChars="169"/>
        <w:rPr>
          <w:rFonts w:cs="宋体" w:asciiTheme="majorEastAsia" w:hAnsiTheme="majorEastAsia" w:eastAsiaTheme="majorEastAsia"/>
          <w:b/>
          <w:highlight w:val="none"/>
        </w:rPr>
      </w:pPr>
      <w:r>
        <w:rPr>
          <w:rFonts w:hint="eastAsia" w:cs="宋体" w:asciiTheme="majorEastAsia" w:hAnsiTheme="majorEastAsia" w:eastAsiaTheme="majorEastAsia"/>
          <w:b/>
          <w:highlight w:val="none"/>
        </w:rPr>
        <w:t>日  期：</w:t>
      </w:r>
      <w:r>
        <w:rPr>
          <w:rFonts w:hint="eastAsia" w:cs="宋体" w:asciiTheme="majorEastAsia" w:hAnsiTheme="majorEastAsia" w:eastAsiaTheme="majorEastAsia"/>
          <w:b/>
          <w:highlight w:val="none"/>
          <w:u w:val="single"/>
        </w:rPr>
        <w:t xml:space="preserve">      </w:t>
      </w:r>
      <w:r>
        <w:rPr>
          <w:rFonts w:hint="eastAsia" w:cs="宋体" w:asciiTheme="majorEastAsia" w:hAnsiTheme="majorEastAsia" w:eastAsiaTheme="majorEastAsia"/>
          <w:b/>
          <w:highlight w:val="none"/>
        </w:rPr>
        <w:t xml:space="preserve"> 年</w:t>
      </w:r>
      <w:r>
        <w:rPr>
          <w:rFonts w:hint="eastAsia" w:cs="宋体" w:asciiTheme="majorEastAsia" w:hAnsiTheme="majorEastAsia" w:eastAsiaTheme="majorEastAsia"/>
          <w:b/>
          <w:highlight w:val="none"/>
          <w:u w:val="single"/>
        </w:rPr>
        <w:t xml:space="preserve">     </w:t>
      </w:r>
      <w:r>
        <w:rPr>
          <w:rFonts w:hint="eastAsia" w:cs="宋体" w:asciiTheme="majorEastAsia" w:hAnsiTheme="majorEastAsia" w:eastAsiaTheme="majorEastAsia"/>
          <w:b/>
          <w:highlight w:val="none"/>
        </w:rPr>
        <w:t xml:space="preserve"> 月</w:t>
      </w:r>
      <w:r>
        <w:rPr>
          <w:rFonts w:hint="eastAsia" w:cs="宋体" w:asciiTheme="majorEastAsia" w:hAnsiTheme="majorEastAsia" w:eastAsiaTheme="majorEastAsia"/>
          <w:b/>
          <w:highlight w:val="none"/>
          <w:u w:val="single"/>
        </w:rPr>
        <w:t xml:space="preserve">     </w:t>
      </w:r>
      <w:r>
        <w:rPr>
          <w:rFonts w:hint="eastAsia" w:cs="宋体" w:asciiTheme="majorEastAsia" w:hAnsiTheme="majorEastAsia" w:eastAsiaTheme="majorEastAsia"/>
          <w:b/>
          <w:highlight w:val="none"/>
        </w:rPr>
        <w:t>日</w:t>
      </w:r>
    </w:p>
    <w:p w14:paraId="44357D6A">
      <w:pPr>
        <w:spacing w:line="300" w:lineRule="auto"/>
        <w:ind w:firstLine="289" w:firstLineChars="120"/>
        <w:rPr>
          <w:rFonts w:cs="宋体" w:asciiTheme="majorEastAsia" w:hAnsiTheme="majorEastAsia" w:eastAsiaTheme="majorEastAsia"/>
          <w:b/>
          <w:bCs/>
          <w:highlight w:val="none"/>
        </w:rPr>
        <w:sectPr>
          <w:pgSz w:w="11906" w:h="16840"/>
          <w:pgMar w:top="1191" w:right="1191" w:bottom="1191" w:left="1191" w:header="720" w:footer="765" w:gutter="0"/>
          <w:cols w:space="0" w:num="1"/>
          <w:docGrid w:linePitch="312" w:charSpace="0"/>
        </w:sectPr>
      </w:pPr>
    </w:p>
    <w:p w14:paraId="04011301">
      <w:pPr>
        <w:rPr>
          <w:rFonts w:asciiTheme="majorEastAsia" w:hAnsiTheme="majorEastAsia" w:eastAsiaTheme="majorEastAsia"/>
          <w:highlight w:val="none"/>
        </w:rPr>
      </w:pPr>
    </w:p>
    <w:p w14:paraId="613B903C">
      <w:pPr>
        <w:pStyle w:val="3"/>
        <w:spacing w:before="120" w:after="120" w:afterLines="50" w:line="700" w:lineRule="exact"/>
        <w:ind w:left="0" w:firstLine="0"/>
        <w:jc w:val="center"/>
        <w:rPr>
          <w:rStyle w:val="154"/>
          <w:rFonts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2"/>
          <w:szCs w:val="32"/>
          <w:highlight w:val="none"/>
        </w:rPr>
        <w:t>附件一：设计部分</w:t>
      </w:r>
    </w:p>
    <w:p w14:paraId="2CAEB12D">
      <w:pPr>
        <w:spacing w:line="600" w:lineRule="exact"/>
        <w:rPr>
          <w:rFonts w:cs="宋体" w:asciiTheme="majorEastAsia" w:hAnsiTheme="majorEastAsia" w:eastAsiaTheme="majorEastAsia"/>
          <w:b/>
          <w:sz w:val="28"/>
          <w:szCs w:val="28"/>
          <w:highlight w:val="none"/>
        </w:rPr>
      </w:pPr>
      <w:r>
        <w:rPr>
          <w:rFonts w:hint="eastAsia" w:cs="宋体" w:asciiTheme="majorEastAsia" w:hAnsiTheme="majorEastAsia" w:eastAsiaTheme="majorEastAsia"/>
          <w:b/>
          <w:sz w:val="28"/>
          <w:szCs w:val="28"/>
          <w:highlight w:val="none"/>
        </w:rPr>
        <w:t>投标人根据招标文件要求，自行编制投标文件，包含但不限于以下内容：</w:t>
      </w:r>
    </w:p>
    <w:p w14:paraId="77A2EC2F">
      <w:pPr>
        <w:spacing w:line="600" w:lineRule="exact"/>
        <w:ind w:firstLine="708" w:firstLineChars="253"/>
        <w:rPr>
          <w:rFonts w:hint="eastAsia" w:cs="宋体" w:asciiTheme="majorEastAsia" w:hAnsiTheme="majorEastAsia" w:eastAsiaTheme="majorEastAsia"/>
          <w:sz w:val="28"/>
          <w:szCs w:val="28"/>
          <w:highlight w:val="none"/>
          <w:lang w:eastAsia="zh-CN"/>
        </w:rPr>
      </w:pPr>
      <w:r>
        <w:rPr>
          <w:rFonts w:hint="eastAsia" w:cs="宋体" w:asciiTheme="majorEastAsia" w:hAnsiTheme="majorEastAsia" w:eastAsiaTheme="majorEastAsia"/>
          <w:sz w:val="28"/>
          <w:szCs w:val="28"/>
          <w:highlight w:val="none"/>
        </w:rPr>
        <w:t>1、</w:t>
      </w:r>
      <w:r>
        <w:rPr>
          <w:rFonts w:hint="eastAsia" w:cs="宋体" w:asciiTheme="majorEastAsia" w:hAnsiTheme="majorEastAsia" w:eastAsiaTheme="majorEastAsia"/>
          <w:sz w:val="28"/>
          <w:szCs w:val="28"/>
          <w:highlight w:val="none"/>
          <w:lang w:val="en-US" w:eastAsia="zh-CN"/>
        </w:rPr>
        <w:t>设计图（由投标人自行排版、编制）</w:t>
      </w:r>
    </w:p>
    <w:p w14:paraId="74D1F180">
      <w:pPr>
        <w:spacing w:line="600" w:lineRule="exact"/>
        <w:ind w:firstLine="708" w:firstLineChars="253"/>
        <w:rPr>
          <w:rFonts w:hint="eastAsia" w:cs="宋体" w:asciiTheme="majorEastAsia" w:hAnsiTheme="majorEastAsia" w:eastAsiaTheme="majorEastAsia"/>
          <w:sz w:val="28"/>
          <w:szCs w:val="28"/>
          <w:highlight w:val="none"/>
          <w:lang w:val="en-US" w:eastAsia="zh-CN"/>
        </w:rPr>
      </w:pPr>
      <w:r>
        <w:rPr>
          <w:rFonts w:hint="eastAsia" w:cs="宋体" w:asciiTheme="majorEastAsia" w:hAnsiTheme="majorEastAsia" w:eastAsiaTheme="majorEastAsia"/>
          <w:sz w:val="28"/>
          <w:szCs w:val="28"/>
          <w:highlight w:val="none"/>
        </w:rPr>
        <w:t>2、设计方案</w:t>
      </w:r>
      <w:r>
        <w:rPr>
          <w:rFonts w:hint="eastAsia" w:cs="宋体" w:asciiTheme="majorEastAsia" w:hAnsiTheme="majorEastAsia" w:eastAsiaTheme="majorEastAsia"/>
          <w:sz w:val="28"/>
          <w:szCs w:val="28"/>
          <w:highlight w:val="none"/>
          <w:lang w:val="en-US" w:eastAsia="zh-CN"/>
        </w:rPr>
        <w:t>（由投标人自行排版、编制）</w:t>
      </w:r>
    </w:p>
    <w:p w14:paraId="044A7DF0">
      <w:pPr>
        <w:spacing w:line="600" w:lineRule="exact"/>
        <w:ind w:firstLine="708" w:firstLineChars="253"/>
        <w:rPr>
          <w:rFonts w:hint="eastAsia"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lang w:val="en-US" w:eastAsia="zh-CN"/>
        </w:rPr>
        <w:t>3</w:t>
      </w:r>
      <w:r>
        <w:rPr>
          <w:rFonts w:hint="eastAsia" w:cs="宋体" w:asciiTheme="majorEastAsia" w:hAnsiTheme="majorEastAsia" w:eastAsiaTheme="majorEastAsia"/>
          <w:sz w:val="28"/>
          <w:szCs w:val="28"/>
          <w:highlight w:val="none"/>
        </w:rPr>
        <w:t>、设计目标控制</w:t>
      </w:r>
      <w:r>
        <w:rPr>
          <w:rFonts w:hint="eastAsia" w:cs="宋体" w:asciiTheme="majorEastAsia" w:hAnsiTheme="majorEastAsia" w:eastAsiaTheme="majorEastAsia"/>
          <w:sz w:val="28"/>
          <w:szCs w:val="28"/>
          <w:highlight w:val="none"/>
          <w:lang w:val="en-US" w:eastAsia="zh-CN"/>
        </w:rPr>
        <w:t>（由投标人自行排版、编制）</w:t>
      </w:r>
    </w:p>
    <w:p w14:paraId="341260A0">
      <w:pPr>
        <w:spacing w:line="600" w:lineRule="exact"/>
        <w:ind w:firstLine="708" w:firstLineChars="253"/>
        <w:rPr>
          <w:rFonts w:cs="宋体" w:asciiTheme="majorEastAsia" w:hAnsiTheme="majorEastAsia" w:eastAsiaTheme="majorEastAsia"/>
          <w:sz w:val="28"/>
          <w:szCs w:val="28"/>
          <w:highlight w:val="none"/>
        </w:rPr>
      </w:pPr>
    </w:p>
    <w:p w14:paraId="205331BF">
      <w:pPr>
        <w:pStyle w:val="3"/>
        <w:spacing w:before="120" w:after="120" w:afterLines="50" w:line="700" w:lineRule="exact"/>
        <w:ind w:left="0" w:firstLine="0"/>
        <w:jc w:val="center"/>
        <w:rPr>
          <w:rStyle w:val="154"/>
          <w:rFonts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2"/>
          <w:szCs w:val="32"/>
          <w:highlight w:val="none"/>
        </w:rPr>
        <w:t>附件</w:t>
      </w:r>
      <w:r>
        <w:rPr>
          <w:rStyle w:val="154"/>
          <w:rFonts w:hint="eastAsia" w:cs="宋体" w:asciiTheme="majorEastAsia" w:hAnsiTheme="majorEastAsia" w:eastAsiaTheme="majorEastAsia"/>
          <w:sz w:val="32"/>
          <w:szCs w:val="32"/>
          <w:highlight w:val="none"/>
          <w:lang w:val="en-US" w:eastAsia="zh-CN"/>
        </w:rPr>
        <w:t>二</w:t>
      </w:r>
      <w:r>
        <w:rPr>
          <w:rStyle w:val="154"/>
          <w:rFonts w:hint="eastAsia" w:cs="宋体" w:asciiTheme="majorEastAsia" w:hAnsiTheme="majorEastAsia" w:eastAsiaTheme="majorEastAsia"/>
          <w:sz w:val="32"/>
          <w:szCs w:val="32"/>
          <w:highlight w:val="none"/>
        </w:rPr>
        <w:t>：施工部分</w:t>
      </w:r>
    </w:p>
    <w:bookmarkEnd w:id="1021"/>
    <w:p w14:paraId="74B309D7">
      <w:pPr>
        <w:spacing w:line="600" w:lineRule="exact"/>
        <w:rPr>
          <w:rFonts w:cs="宋体" w:asciiTheme="majorEastAsia" w:hAnsiTheme="majorEastAsia" w:eastAsiaTheme="majorEastAsia"/>
          <w:b/>
          <w:sz w:val="28"/>
          <w:szCs w:val="28"/>
          <w:highlight w:val="none"/>
        </w:rPr>
      </w:pPr>
      <w:r>
        <w:rPr>
          <w:rFonts w:hint="eastAsia" w:cs="宋体" w:asciiTheme="majorEastAsia" w:hAnsiTheme="majorEastAsia" w:eastAsiaTheme="majorEastAsia"/>
          <w:b/>
          <w:sz w:val="28"/>
          <w:szCs w:val="28"/>
          <w:highlight w:val="none"/>
        </w:rPr>
        <w:t>投标人根据招标文件要求，自行编制投标文件，包含但不限于以下内容：</w:t>
      </w:r>
    </w:p>
    <w:p w14:paraId="600F93C2">
      <w:pPr>
        <w:spacing w:line="600" w:lineRule="exact"/>
        <w:ind w:firstLine="708" w:firstLineChars="253"/>
        <w:rPr>
          <w:rFonts w:hint="eastAsia" w:cs="宋体" w:asciiTheme="majorEastAsia" w:hAnsiTheme="majorEastAsia" w:eastAsiaTheme="majorEastAsia"/>
          <w:sz w:val="28"/>
          <w:szCs w:val="28"/>
          <w:highlight w:val="none"/>
          <w:lang w:val="en-US" w:eastAsia="zh-CN"/>
        </w:rPr>
      </w:pPr>
      <w:r>
        <w:rPr>
          <w:rFonts w:hint="eastAsia" w:cs="宋体" w:asciiTheme="majorEastAsia" w:hAnsiTheme="majorEastAsia" w:eastAsiaTheme="majorEastAsia"/>
          <w:sz w:val="28"/>
          <w:szCs w:val="28"/>
          <w:highlight w:val="none"/>
        </w:rPr>
        <w:t>1、施工技术方案</w:t>
      </w:r>
      <w:r>
        <w:rPr>
          <w:rFonts w:hint="eastAsia" w:cs="宋体" w:asciiTheme="majorEastAsia" w:hAnsiTheme="majorEastAsia" w:eastAsiaTheme="majorEastAsia"/>
          <w:sz w:val="28"/>
          <w:szCs w:val="28"/>
          <w:highlight w:val="none"/>
          <w:lang w:val="en-US" w:eastAsia="zh-CN"/>
        </w:rPr>
        <w:t>（由投标人自行排版、编制）</w:t>
      </w:r>
    </w:p>
    <w:p w14:paraId="3921991C">
      <w:pPr>
        <w:spacing w:line="600" w:lineRule="exact"/>
        <w:ind w:firstLine="708" w:firstLineChars="253"/>
        <w:rPr>
          <w:rFonts w:hint="eastAsia" w:cs="宋体" w:asciiTheme="majorEastAsia" w:hAnsiTheme="majorEastAsia" w:eastAsiaTheme="majorEastAsia"/>
          <w:sz w:val="28"/>
          <w:szCs w:val="28"/>
          <w:highlight w:val="none"/>
          <w:lang w:val="en-US" w:eastAsia="zh-CN"/>
        </w:rPr>
      </w:pPr>
      <w:r>
        <w:rPr>
          <w:rFonts w:hint="eastAsia" w:cs="宋体" w:asciiTheme="majorEastAsia" w:hAnsiTheme="majorEastAsia" w:eastAsiaTheme="majorEastAsia"/>
          <w:sz w:val="28"/>
          <w:szCs w:val="28"/>
          <w:highlight w:val="none"/>
          <w:lang w:val="en-US" w:eastAsia="zh-CN"/>
        </w:rPr>
        <w:t>2</w:t>
      </w:r>
      <w:r>
        <w:rPr>
          <w:rFonts w:hint="eastAsia" w:cs="宋体" w:asciiTheme="majorEastAsia" w:hAnsiTheme="majorEastAsia" w:eastAsiaTheme="majorEastAsia"/>
          <w:sz w:val="28"/>
          <w:szCs w:val="28"/>
          <w:highlight w:val="none"/>
        </w:rPr>
        <w:t>、项目管理人员配置</w:t>
      </w:r>
    </w:p>
    <w:p w14:paraId="281372D9">
      <w:pPr>
        <w:spacing w:line="600" w:lineRule="exact"/>
        <w:ind w:firstLine="708" w:firstLineChars="253"/>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lang w:val="en-US" w:eastAsia="zh-CN"/>
        </w:rPr>
        <w:t>3</w:t>
      </w:r>
      <w:r>
        <w:rPr>
          <w:rFonts w:hint="eastAsia" w:cs="宋体" w:asciiTheme="majorEastAsia" w:hAnsiTheme="majorEastAsia" w:eastAsiaTheme="majorEastAsia"/>
          <w:sz w:val="28"/>
          <w:szCs w:val="28"/>
          <w:highlight w:val="none"/>
        </w:rPr>
        <w:t>、工期承诺及保证措施</w:t>
      </w:r>
      <w:r>
        <w:rPr>
          <w:rFonts w:hint="eastAsia" w:cs="宋体" w:asciiTheme="majorEastAsia" w:hAnsiTheme="majorEastAsia" w:eastAsiaTheme="majorEastAsia"/>
          <w:sz w:val="28"/>
          <w:szCs w:val="28"/>
          <w:highlight w:val="none"/>
          <w:lang w:val="en-US" w:eastAsia="zh-CN"/>
        </w:rPr>
        <w:t>（由投标人自行排版、编制）</w:t>
      </w:r>
    </w:p>
    <w:p w14:paraId="7AAAB62C">
      <w:pPr>
        <w:spacing w:line="600" w:lineRule="exact"/>
        <w:ind w:firstLine="708" w:firstLineChars="253"/>
        <w:rPr>
          <w:rFonts w:cs="宋体" w:asciiTheme="majorEastAsia" w:hAnsiTheme="majorEastAsia" w:eastAsiaTheme="majorEastAsia"/>
          <w:sz w:val="28"/>
          <w:szCs w:val="28"/>
          <w:highlight w:val="none"/>
        </w:rPr>
      </w:pPr>
      <w:r>
        <w:rPr>
          <w:rFonts w:hint="eastAsia" w:cs="宋体" w:asciiTheme="majorEastAsia" w:hAnsiTheme="majorEastAsia" w:eastAsiaTheme="majorEastAsia"/>
          <w:sz w:val="28"/>
          <w:szCs w:val="28"/>
          <w:highlight w:val="none"/>
          <w:lang w:val="en-US" w:eastAsia="zh-CN"/>
        </w:rPr>
        <w:t>4</w:t>
      </w:r>
      <w:r>
        <w:rPr>
          <w:rFonts w:hint="eastAsia" w:cs="宋体" w:asciiTheme="majorEastAsia" w:hAnsiTheme="majorEastAsia" w:eastAsiaTheme="majorEastAsia"/>
          <w:sz w:val="28"/>
          <w:szCs w:val="28"/>
          <w:highlight w:val="none"/>
        </w:rPr>
        <w:t>、施工机械</w:t>
      </w:r>
      <w:r>
        <w:rPr>
          <w:rFonts w:hint="eastAsia" w:cs="宋体" w:asciiTheme="majorEastAsia" w:hAnsiTheme="majorEastAsia" w:eastAsiaTheme="majorEastAsia"/>
          <w:sz w:val="28"/>
          <w:szCs w:val="28"/>
          <w:highlight w:val="none"/>
          <w:lang w:val="en-US" w:eastAsia="zh-CN"/>
        </w:rPr>
        <w:t>（由投标人自行排版、编制）</w:t>
      </w:r>
    </w:p>
    <w:p w14:paraId="5EE82809">
      <w:pPr>
        <w:pStyle w:val="3"/>
        <w:spacing w:before="120" w:after="120" w:afterLines="50" w:line="700" w:lineRule="exact"/>
        <w:ind w:left="0" w:firstLine="0"/>
        <w:jc w:val="center"/>
        <w:rPr>
          <w:rStyle w:val="154"/>
          <w:rFonts w:cs="宋体" w:asciiTheme="majorEastAsia" w:hAnsiTheme="majorEastAsia" w:eastAsiaTheme="majorEastAsia"/>
          <w:sz w:val="32"/>
          <w:szCs w:val="32"/>
          <w:highlight w:val="none"/>
        </w:rPr>
      </w:pPr>
      <w:r>
        <w:rPr>
          <w:rStyle w:val="154"/>
          <w:rFonts w:hint="eastAsia" w:cs="宋体" w:asciiTheme="majorEastAsia" w:hAnsiTheme="majorEastAsia" w:eastAsiaTheme="majorEastAsia"/>
          <w:sz w:val="32"/>
          <w:szCs w:val="32"/>
          <w:highlight w:val="none"/>
        </w:rPr>
        <w:t>附件</w:t>
      </w:r>
      <w:r>
        <w:rPr>
          <w:rStyle w:val="154"/>
          <w:rFonts w:hint="eastAsia" w:cs="宋体" w:asciiTheme="majorEastAsia" w:hAnsiTheme="majorEastAsia" w:eastAsiaTheme="majorEastAsia"/>
          <w:sz w:val="32"/>
          <w:szCs w:val="32"/>
          <w:highlight w:val="none"/>
          <w:lang w:val="en-US" w:eastAsia="zh-CN"/>
        </w:rPr>
        <w:t>三</w:t>
      </w:r>
      <w:r>
        <w:rPr>
          <w:rStyle w:val="154"/>
          <w:rFonts w:hint="eastAsia" w:cs="宋体" w:asciiTheme="majorEastAsia" w:hAnsiTheme="majorEastAsia" w:eastAsiaTheme="majorEastAsia"/>
          <w:sz w:val="32"/>
          <w:szCs w:val="32"/>
          <w:highlight w:val="none"/>
        </w:rPr>
        <w:t>：</w:t>
      </w:r>
      <w:r>
        <w:rPr>
          <w:rStyle w:val="154"/>
          <w:rFonts w:hint="eastAsia" w:cs="宋体" w:asciiTheme="majorEastAsia" w:hAnsiTheme="majorEastAsia" w:eastAsiaTheme="majorEastAsia"/>
          <w:sz w:val="32"/>
          <w:szCs w:val="32"/>
          <w:highlight w:val="none"/>
          <w:lang w:val="en-US" w:eastAsia="zh-CN"/>
        </w:rPr>
        <w:t>运营</w:t>
      </w:r>
      <w:r>
        <w:rPr>
          <w:rStyle w:val="154"/>
          <w:rFonts w:hint="eastAsia" w:cs="宋体" w:asciiTheme="majorEastAsia" w:hAnsiTheme="majorEastAsia" w:eastAsiaTheme="majorEastAsia"/>
          <w:sz w:val="32"/>
          <w:szCs w:val="32"/>
          <w:highlight w:val="none"/>
        </w:rPr>
        <w:t>部分</w:t>
      </w:r>
    </w:p>
    <w:p w14:paraId="1614CE75">
      <w:pPr>
        <w:spacing w:line="600" w:lineRule="exact"/>
        <w:rPr>
          <w:rFonts w:cs="宋体" w:asciiTheme="majorEastAsia" w:hAnsiTheme="majorEastAsia" w:eastAsiaTheme="majorEastAsia"/>
          <w:b/>
          <w:sz w:val="28"/>
          <w:szCs w:val="28"/>
          <w:highlight w:val="none"/>
        </w:rPr>
      </w:pPr>
      <w:r>
        <w:rPr>
          <w:rFonts w:hint="eastAsia" w:cs="宋体" w:asciiTheme="majorEastAsia" w:hAnsiTheme="majorEastAsia" w:eastAsiaTheme="majorEastAsia"/>
          <w:b/>
          <w:sz w:val="28"/>
          <w:szCs w:val="28"/>
          <w:highlight w:val="none"/>
        </w:rPr>
        <w:t>投标人根据招标文件要求，自行编制投标文件，包含但不限于以下内容：</w:t>
      </w:r>
    </w:p>
    <w:p w14:paraId="679F737C">
      <w:pPr>
        <w:spacing w:line="600" w:lineRule="exact"/>
        <w:ind w:firstLine="708" w:firstLineChars="253"/>
        <w:rPr>
          <w:rFonts w:hint="eastAsia" w:cs="宋体" w:asciiTheme="majorEastAsia" w:hAnsiTheme="majorEastAsia" w:eastAsiaTheme="majorEastAsia"/>
          <w:sz w:val="28"/>
          <w:szCs w:val="28"/>
          <w:highlight w:val="none"/>
          <w:lang w:eastAsia="zh-CN"/>
        </w:rPr>
      </w:pPr>
      <w:r>
        <w:rPr>
          <w:rFonts w:hint="eastAsia" w:cs="宋体" w:asciiTheme="majorEastAsia" w:hAnsiTheme="majorEastAsia" w:eastAsiaTheme="majorEastAsia"/>
          <w:sz w:val="28"/>
          <w:szCs w:val="28"/>
          <w:highlight w:val="none"/>
          <w:lang w:val="en-US" w:eastAsia="zh-CN"/>
        </w:rPr>
        <w:t>运营方案（由投标人自行排版、编制）</w:t>
      </w:r>
    </w:p>
    <w:sectPr>
      <w:headerReference r:id="rId27" w:type="first"/>
      <w:footerReference r:id="rId29" w:type="first"/>
      <w:headerReference r:id="rId26" w:type="even"/>
      <w:footerReference r:id="rId28" w:type="even"/>
      <w:pgSz w:w="11906" w:h="16840"/>
      <w:pgMar w:top="1191" w:right="1191" w:bottom="1191" w:left="1191" w:header="720" w:footer="765"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8BE1C48-FDAC-4B8C-85AD-B97CFA2629E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Sans Serif">
    <w:altName w:val="Arial"/>
    <w:panose1 w:val="020B0500000000000000"/>
    <w:charset w:val="00"/>
    <w:family w:val="swiss"/>
    <w:pitch w:val="default"/>
    <w:sig w:usb0="00000000" w:usb1="00000000" w:usb2="00000000" w:usb3="00000000" w:csb0="00000001" w:csb1="00000000"/>
  </w:font>
  <w:font w:name="Garamond">
    <w:panose1 w:val="02020404030301010803"/>
    <w:charset w:val="00"/>
    <w:family w:val="roman"/>
    <w:pitch w:val="default"/>
    <w:sig w:usb0="00000287" w:usb1="00000000" w:usb2="00000000" w:usb3="00000000" w:csb0="0000009F" w:csb1="DFD7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00" w:usb3="00000000" w:csb0="00040000" w:csb1="00000000"/>
    <w:embedRegular r:id="rId2" w:fontKey="{7565F159-AFD2-4B9F-A52F-3F64AFF0B973}"/>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方正书宋简体">
    <w:panose1 w:val="02000000000000000000"/>
    <w:charset w:val="86"/>
    <w:family w:val="auto"/>
    <w:pitch w:val="default"/>
    <w:sig w:usb0="A00002BF" w:usb1="184F6CFA" w:usb2="00000012" w:usb3="00000000" w:csb0="00040001" w:csb1="0000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7FFAEFF" w:usb1="F9DFFFFF" w:usb2="0000007F" w:usb3="00000000" w:csb0="203F01FF" w:csb1="DFFF0000"/>
  </w:font>
  <w:font w:name="Times">
    <w:altName w:val="Times New Roman"/>
    <w:panose1 w:val="02020603050405020304"/>
    <w:charset w:val="00"/>
    <w:family w:val="roman"/>
    <w:pitch w:val="default"/>
    <w:sig w:usb0="00000000" w:usb1="00000000" w:usb2="00000009" w:usb3="00000000" w:csb0="000001FF" w:csb1="00000000"/>
  </w:font>
  <w:font w:name="隶书">
    <w:panose1 w:val="02010509060101010101"/>
    <w:charset w:val="86"/>
    <w:family w:val="modern"/>
    <w:pitch w:val="default"/>
    <w:sig w:usb0="00000001" w:usb1="080E0000" w:usb2="00000000" w:usb3="00000000" w:csb0="00040000" w:csb1="00000000"/>
  </w:font>
  <w:font w:name="方正仿宋_GBK">
    <w:panose1 w:val="02000000000000000000"/>
    <w:charset w:val="86"/>
    <w:family w:val="script"/>
    <w:pitch w:val="default"/>
    <w:sig w:usb0="A00002BF" w:usb1="38CF7CFA" w:usb2="00082016" w:usb3="00000000" w:csb0="00040001" w:csb1="00000000"/>
  </w:font>
  <w:font w:name="方正小标宋简体">
    <w:panose1 w:val="02000000000000000000"/>
    <w:charset w:val="86"/>
    <w:family w:val="script"/>
    <w:pitch w:val="default"/>
    <w:sig w:usb0="00000001" w:usb1="08000000" w:usb2="00000000" w:usb3="00000000" w:csb0="00040000" w:csb1="00000000"/>
    <w:embedRegular r:id="rId3" w:fontKey="{046AF98C-496F-4D6C-86C8-EF24FBD22317}"/>
  </w:font>
  <w:font w:name="Cambria Math">
    <w:panose1 w:val="02040503050406030204"/>
    <w:charset w:val="00"/>
    <w:family w:val="roman"/>
    <w:pitch w:val="default"/>
    <w:sig w:usb0="E00006FF" w:usb1="420024FF" w:usb2="02000000" w:usb3="00000000" w:csb0="2000019F" w:csb1="00000000"/>
    <w:embedRegular r:id="rId4" w:fontKey="{40D27D43-CD9D-42A3-8169-1FD18EF848AC}"/>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5D540">
    <w:pPr>
      <w:pStyle w:val="38"/>
      <w:jc w:val="center"/>
    </w:pPr>
  </w:p>
  <w:p w14:paraId="2560C134">
    <w:pPr>
      <w:pStyle w:val="38"/>
      <w:jc w:val="right"/>
      <w:rPr>
        <w:sz w:val="1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4A52F">
    <w:pPr>
      <w:pStyle w:val="38"/>
      <w:pBdr>
        <w:top w:val="single" w:color="auto" w:sz="18" w:space="1"/>
      </w:pBdr>
      <w:ind w:left="1300" w:hanging="1300"/>
      <w:jc w:val="center"/>
      <w:rPr>
        <w:rFonts w:ascii="宋体" w:hAnsi="宋体"/>
        <w:b/>
        <w:w w:val="80"/>
        <w:sz w:val="21"/>
        <w:szCs w:val="21"/>
      </w:rPr>
    </w:pPr>
    <w:r>
      <w:rPr>
        <w:rFonts w:ascii="宋体" w:hAnsi="宋体"/>
        <w:b/>
        <w:w w:val="80"/>
        <w:sz w:val="21"/>
        <w:szCs w:val="21"/>
      </w:rPr>
      <w:fldChar w:fldCharType="begin"/>
    </w:r>
    <w:r>
      <w:rPr>
        <w:rFonts w:ascii="宋体" w:hAnsi="宋体"/>
        <w:b/>
        <w:w w:val="80"/>
        <w:sz w:val="21"/>
        <w:szCs w:val="21"/>
      </w:rPr>
      <w:instrText xml:space="preserve"> PAGE   \* MERGEFORMAT </w:instrText>
    </w:r>
    <w:r>
      <w:rPr>
        <w:rFonts w:ascii="宋体" w:hAnsi="宋体"/>
        <w:b/>
        <w:w w:val="80"/>
        <w:sz w:val="21"/>
        <w:szCs w:val="21"/>
      </w:rPr>
      <w:fldChar w:fldCharType="separate"/>
    </w:r>
    <w:r>
      <w:rPr>
        <w:rFonts w:ascii="宋体" w:hAnsi="宋体"/>
        <w:b/>
        <w:w w:val="80"/>
        <w:sz w:val="21"/>
        <w:szCs w:val="21"/>
        <w:lang w:val="zh-CN"/>
      </w:rPr>
      <w:t>48</w:t>
    </w:r>
    <w:r>
      <w:rPr>
        <w:rFonts w:ascii="宋体" w:hAnsi="宋体"/>
        <w:b/>
        <w:w w:val="80"/>
        <w:sz w:val="21"/>
        <w:szCs w:val="21"/>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3B49E">
    <w:pPr>
      <w:pStyle w:val="38"/>
      <w:pBdr>
        <w:top w:val="single" w:color="auto" w:sz="18" w:space="1"/>
      </w:pBdr>
      <w:jc w:val="center"/>
      <w:rPr>
        <w:rFonts w:ascii="宋体" w:hAnsi="宋体"/>
        <w:b/>
        <w:w w:val="80"/>
        <w:sz w:val="21"/>
        <w:szCs w:val="21"/>
      </w:rPr>
    </w:pPr>
    <w:r>
      <w:rPr>
        <w:rFonts w:ascii="宋体" w:hAnsi="宋体"/>
        <w:b/>
        <w:w w:val="80"/>
        <w:sz w:val="21"/>
        <w:szCs w:val="21"/>
      </w:rPr>
      <w:fldChar w:fldCharType="begin"/>
    </w:r>
    <w:r>
      <w:rPr>
        <w:rFonts w:ascii="宋体" w:hAnsi="宋体"/>
        <w:b/>
        <w:w w:val="80"/>
        <w:sz w:val="21"/>
        <w:szCs w:val="21"/>
      </w:rPr>
      <w:instrText xml:space="preserve"> PAGE   \* MERGEFORMAT </w:instrText>
    </w:r>
    <w:r>
      <w:rPr>
        <w:rFonts w:ascii="宋体" w:hAnsi="宋体"/>
        <w:b/>
        <w:w w:val="80"/>
        <w:sz w:val="21"/>
        <w:szCs w:val="21"/>
      </w:rPr>
      <w:fldChar w:fldCharType="separate"/>
    </w:r>
    <w:r>
      <w:rPr>
        <w:rFonts w:ascii="宋体" w:hAnsi="宋体"/>
        <w:b/>
        <w:w w:val="80"/>
        <w:sz w:val="21"/>
        <w:szCs w:val="21"/>
        <w:lang w:val="zh-CN"/>
      </w:rPr>
      <w:t>28</w:t>
    </w:r>
    <w:r>
      <w:rPr>
        <w:rFonts w:ascii="宋体" w:hAnsi="宋体"/>
        <w:b/>
        <w:w w:val="80"/>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BCD35">
    <w:pPr>
      <w:pStyle w:val="38"/>
      <w:pBdr>
        <w:top w:val="none" w:color="auto" w:sz="0" w:space="1"/>
        <w:left w:val="none" w:color="auto" w:sz="0" w:space="0"/>
        <w:bottom w:val="none" w:color="auto" w:sz="0" w:space="0"/>
        <w:right w:val="none" w:color="auto" w:sz="0" w:space="0"/>
        <w:between w:val="none" w:color="auto" w:sz="0" w:space="0"/>
      </w:pBdr>
      <w:rPr>
        <w:sz w:val="15"/>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DAA97">
    <w:pPr>
      <w:pStyle w:val="38"/>
      <w:framePr w:wrap="around" w:vAnchor="text" w:hAnchor="margin" w:xAlign="center" w:y="1"/>
      <w:rPr>
        <w:rStyle w:val="69"/>
      </w:rPr>
    </w:pPr>
    <w:r>
      <w:fldChar w:fldCharType="begin"/>
    </w:r>
    <w:r>
      <w:rPr>
        <w:rStyle w:val="69"/>
      </w:rPr>
      <w:instrText xml:space="preserve">PAGE  </w:instrText>
    </w:r>
    <w:r>
      <w:fldChar w:fldCharType="separate"/>
    </w:r>
    <w:r>
      <w:rPr>
        <w:rStyle w:val="69"/>
      </w:rPr>
      <w:t>1</w:t>
    </w:r>
    <w:r>
      <w:fldChar w:fldCharType="end"/>
    </w:r>
  </w:p>
  <w:p w14:paraId="14EDD6BD">
    <w:pPr>
      <w:pStyle w:val="3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C08DA8">
    <w:pPr>
      <w:pStyle w:val="3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B2223">
    <w:r>
      <w:fldChar w:fldCharType="begin"/>
    </w:r>
    <w:r>
      <w:instrText xml:space="preserve"> PAGE   \* MERGEFORMAT </w:instrText>
    </w:r>
    <w:r>
      <w:fldChar w:fldCharType="separate"/>
    </w:r>
    <w:r>
      <w:rPr>
        <w:rFonts w:eastAsia="Times New Roman"/>
        <w:sz w:val="18"/>
      </w:rPr>
      <w:t>1</w:t>
    </w:r>
    <w:r>
      <w:rPr>
        <w:rFonts w:eastAsia="Times New Roman"/>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CF512">
    <w:pPr>
      <w:pStyle w:val="38"/>
      <w:pBdr>
        <w:top w:val="single" w:color="auto" w:sz="18" w:space="1"/>
      </w:pBdr>
      <w:jc w:val="center"/>
    </w:pPr>
    <w:r>
      <w:rPr>
        <w:rFonts w:ascii="宋体" w:hAnsi="宋体"/>
        <w:b/>
        <w:w w:val="80"/>
        <w:sz w:val="21"/>
        <w:szCs w:val="21"/>
      </w:rPr>
      <w:fldChar w:fldCharType="begin"/>
    </w:r>
    <w:r>
      <w:rPr>
        <w:rFonts w:ascii="宋体" w:hAnsi="宋体"/>
        <w:b/>
        <w:w w:val="80"/>
        <w:sz w:val="21"/>
        <w:szCs w:val="21"/>
      </w:rPr>
      <w:instrText xml:space="preserve"> PAGE   \* MERGEFORMAT </w:instrText>
    </w:r>
    <w:r>
      <w:rPr>
        <w:rFonts w:ascii="宋体" w:hAnsi="宋体"/>
        <w:b/>
        <w:w w:val="80"/>
        <w:sz w:val="21"/>
        <w:szCs w:val="21"/>
      </w:rPr>
      <w:fldChar w:fldCharType="separate"/>
    </w:r>
    <w:r>
      <w:rPr>
        <w:rFonts w:ascii="宋体" w:hAnsi="宋体"/>
        <w:b/>
        <w:w w:val="80"/>
        <w:sz w:val="21"/>
        <w:szCs w:val="21"/>
        <w:lang w:val="zh-CN"/>
      </w:rPr>
      <w:t>39</w:t>
    </w:r>
    <w:r>
      <w:rPr>
        <w:rFonts w:ascii="宋体" w:hAnsi="宋体"/>
        <w:b/>
        <w:w w:val="80"/>
        <w:sz w:val="21"/>
        <w:szCs w:val="21"/>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DDE3D">
    <w:pPr>
      <w:pStyle w:val="38"/>
    </w:pPr>
    <w:r>
      <w:fldChar w:fldCharType="begin"/>
    </w:r>
    <w:r>
      <w:instrText xml:space="preserve">PAGE   \* MERGEFORMAT</w:instrText>
    </w:r>
    <w:r>
      <w:fldChar w:fldCharType="separate"/>
    </w:r>
    <w:r>
      <w:rPr>
        <w:lang w:val="zh-CN"/>
      </w:rPr>
      <w:t>2</w:t>
    </w:r>
    <w:r>
      <w:rPr>
        <w:lang w:val="zh-CN"/>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8A252">
    <w:pPr>
      <w:pStyle w:val="38"/>
      <w:pBdr>
        <w:top w:val="single" w:color="auto" w:sz="18" w:space="1"/>
      </w:pBdr>
      <w:jc w:val="center"/>
      <w:rPr>
        <w:sz w:val="15"/>
      </w:rPr>
    </w:pPr>
    <w:r>
      <w:rPr>
        <w:rFonts w:ascii="宋体" w:hAnsi="宋体"/>
        <w:b/>
        <w:w w:val="80"/>
        <w:sz w:val="21"/>
        <w:szCs w:val="21"/>
      </w:rPr>
      <w:fldChar w:fldCharType="begin"/>
    </w:r>
    <w:r>
      <w:rPr>
        <w:rFonts w:ascii="宋体" w:hAnsi="宋体"/>
        <w:b/>
        <w:w w:val="80"/>
        <w:sz w:val="21"/>
        <w:szCs w:val="21"/>
      </w:rPr>
      <w:instrText xml:space="preserve"> PAGE   \* MERGEFORMAT </w:instrText>
    </w:r>
    <w:r>
      <w:rPr>
        <w:rFonts w:ascii="宋体" w:hAnsi="宋体"/>
        <w:b/>
        <w:w w:val="80"/>
        <w:sz w:val="21"/>
        <w:szCs w:val="21"/>
      </w:rPr>
      <w:fldChar w:fldCharType="separate"/>
    </w:r>
    <w:r>
      <w:rPr>
        <w:rFonts w:ascii="宋体" w:hAnsi="宋体"/>
        <w:b/>
        <w:w w:val="80"/>
        <w:sz w:val="21"/>
        <w:szCs w:val="21"/>
        <w:lang w:val="zh-CN"/>
      </w:rPr>
      <w:t>56</w:t>
    </w:r>
    <w:r>
      <w:rPr>
        <w:rFonts w:ascii="宋体" w:hAnsi="宋体"/>
        <w:b/>
        <w:w w:val="80"/>
        <w:sz w:val="21"/>
        <w:szCs w:val="21"/>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436FE">
    <w:pPr>
      <w:pStyle w:val="38"/>
      <w:framePr w:wrap="around" w:vAnchor="text" w:hAnchor="margin" w:xAlign="center" w:y="1"/>
      <w:rPr>
        <w:rStyle w:val="69"/>
      </w:rPr>
    </w:pPr>
    <w:r>
      <w:fldChar w:fldCharType="begin"/>
    </w:r>
    <w:r>
      <w:rPr>
        <w:rStyle w:val="69"/>
      </w:rPr>
      <w:instrText xml:space="preserve">PAGE  </w:instrText>
    </w:r>
    <w:r>
      <w:fldChar w:fldCharType="separate"/>
    </w:r>
    <w:r>
      <w:rPr>
        <w:rStyle w:val="69"/>
      </w:rPr>
      <w:t>1</w:t>
    </w:r>
    <w:r>
      <w:fldChar w:fldCharType="end"/>
    </w:r>
  </w:p>
  <w:p w14:paraId="4D8BACC1">
    <w:pPr>
      <w:pStyle w:val="38"/>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A8BD2">
    <w:pPr>
      <w:pStyle w:val="38"/>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FF4F4">
    <w:pPr>
      <w:pStyle w:val="38"/>
      <w:framePr w:wrap="around" w:vAnchor="text" w:hAnchor="margin" w:xAlign="center" w:y="1"/>
      <w:rPr>
        <w:rStyle w:val="69"/>
      </w:rPr>
    </w:pPr>
    <w:r>
      <w:fldChar w:fldCharType="begin"/>
    </w:r>
    <w:r>
      <w:rPr>
        <w:rStyle w:val="69"/>
      </w:rPr>
      <w:instrText xml:space="preserve">PAGE  </w:instrText>
    </w:r>
    <w:r>
      <w:fldChar w:fldCharType="separate"/>
    </w:r>
    <w:r>
      <w:rPr>
        <w:rStyle w:val="69"/>
      </w:rPr>
      <w:t>1</w:t>
    </w:r>
    <w:r>
      <w:fldChar w:fldCharType="end"/>
    </w:r>
  </w:p>
  <w:p w14:paraId="6BF906FE">
    <w:pPr>
      <w:pStyle w:val="38"/>
      <w:ind w:right="36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26EB3">
    <w:pPr>
      <w:pStyle w:val="3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72FE3">
    <w:pPr>
      <w:ind w:left="10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7EA6F">
    <w:pPr>
      <w:pStyle w:val="39"/>
      <w:ind w:left="10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60065">
    <w:pPr>
      <w:pStyle w:val="39"/>
      <w:pBdr>
        <w:bottom w:val="single" w:color="auto" w:sz="18" w:space="1"/>
      </w:pBdr>
      <w:spacing w:line="360" w:lineRule="exact"/>
      <w:ind w:left="420" w:leftChars="0" w:hanging="420"/>
      <w:jc w:val="left"/>
      <w:rPr>
        <w:rFonts w:hAnsi="宋体"/>
        <w:b/>
        <w:w w:val="80"/>
        <w:sz w:val="21"/>
        <w:szCs w:val="21"/>
      </w:rPr>
    </w:pPr>
    <w:r>
      <w:drawing>
        <wp:inline distT="0" distB="0" distL="114300" distR="114300">
          <wp:extent cx="204470" cy="175260"/>
          <wp:effectExtent l="0" t="0" r="11430" b="2540"/>
          <wp:docPr id="5" name="图片 2" descr="云南元大标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云南元大标记"/>
                  <pic:cNvPicPr>
                    <a:picLocks noChangeAspect="1"/>
                  </pic:cNvPicPr>
                </pic:nvPicPr>
                <pic:blipFill>
                  <a:blip r:embed="rId1"/>
                  <a:stretch>
                    <a:fillRect/>
                  </a:stretch>
                </pic:blipFill>
                <pic:spPr>
                  <a:xfrm>
                    <a:off x="0" y="0"/>
                    <a:ext cx="204470" cy="175260"/>
                  </a:xfrm>
                  <a:prstGeom prst="rect">
                    <a:avLst/>
                  </a:prstGeom>
                  <a:noFill/>
                  <a:ln>
                    <a:noFill/>
                  </a:ln>
                </pic:spPr>
              </pic:pic>
            </a:graphicData>
          </a:graphic>
        </wp:inline>
      </w:drawing>
    </w:r>
    <w:r>
      <w:rPr>
        <w:rFonts w:hint="eastAsia" w:hAnsi="宋体"/>
        <w:b/>
        <w:w w:val="80"/>
        <w:sz w:val="21"/>
        <w:szCs w:val="21"/>
      </w:rPr>
      <w:t>云南元大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C7445">
    <w:pPr>
      <w:pStyle w:val="39"/>
      <w:pBdr>
        <w:bottom w:val="single" w:color="auto" w:sz="18" w:space="1"/>
      </w:pBdr>
      <w:spacing w:line="360" w:lineRule="exact"/>
      <w:ind w:left="0" w:leftChars="0"/>
      <w:jc w:val="left"/>
      <w:rPr>
        <w:rFonts w:hAnsi="宋体"/>
        <w:b/>
        <w:w w:val="80"/>
        <w:sz w:val="21"/>
        <w:szCs w:val="21"/>
      </w:rPr>
    </w:pPr>
    <w:r>
      <w:rPr>
        <w:rFonts w:hint="eastAsia" w:hAnsi="宋体"/>
        <w:b/>
        <w:w w:val="80"/>
        <w:sz w:val="21"/>
        <w:szCs w:val="21"/>
        <w:lang w:eastAsia="zh-CN"/>
      </w:rPr>
      <w:t>云南德昭工程管理有限责任公司</w:t>
    </w:r>
    <w:r>
      <w:rPr>
        <w:rFonts w:hint="eastAsia" w:hAnsi="宋体"/>
        <w:b/>
        <w:w w:val="80"/>
        <w:sz w:val="21"/>
        <w:szCs w:val="21"/>
      </w:rPr>
      <w:t xml:space="preserve">                                                           </w:t>
    </w:r>
    <w:r>
      <w:rPr>
        <w:rFonts w:hAnsi="宋体"/>
        <w:b/>
        <w:w w:val="80"/>
        <w:sz w:val="21"/>
        <w:szCs w:val="21"/>
      </w:rPr>
      <w:t xml:space="preserve"> </w:t>
    </w:r>
    <w:r>
      <w:rPr>
        <w:rFonts w:hint="eastAsia" w:hAnsi="宋体"/>
        <w:b/>
        <w:w w:val="80"/>
        <w:sz w:val="21"/>
        <w:szCs w:val="21"/>
      </w:rPr>
      <w:t xml:space="preserve">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A9522">
    <w:pPr>
      <w:pStyle w:val="39"/>
      <w:pBdr>
        <w:top w:val="none" w:color="auto" w:sz="0" w:space="0"/>
        <w:left w:val="none" w:color="auto" w:sz="0" w:space="0"/>
        <w:bottom w:val="none" w:color="auto" w:sz="0" w:space="1"/>
        <w:right w:val="none" w:color="auto" w:sz="0" w:space="0"/>
        <w:between w:val="none" w:color="auto" w:sz="0" w:space="0"/>
      </w:pBdr>
      <w:spacing w:line="360" w:lineRule="exact"/>
      <w:ind w:left="0" w:leftChars="0"/>
      <w:jc w:val="left"/>
      <w:rPr>
        <w:rFonts w:hAnsi="宋体"/>
        <w:b/>
        <w:w w:val="80"/>
        <w:sz w:val="21"/>
        <w:szCs w:val="2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73590">
    <w:pPr>
      <w:pStyle w:val="39"/>
      <w:framePr w:wrap="around" w:vAnchor="text" w:hAnchor="margin" w:xAlign="right" w:y="1"/>
      <w:ind w:left="1080"/>
      <w:rPr>
        <w:rStyle w:val="69"/>
      </w:rPr>
    </w:pPr>
    <w:r>
      <w:fldChar w:fldCharType="begin"/>
    </w:r>
    <w:r>
      <w:rPr>
        <w:rStyle w:val="69"/>
      </w:rPr>
      <w:instrText xml:space="preserve">PAGE  </w:instrText>
    </w:r>
    <w:r>
      <w:fldChar w:fldCharType="end"/>
    </w:r>
  </w:p>
  <w:p w14:paraId="4F5CF7F5">
    <w:pPr>
      <w:pStyle w:val="39"/>
      <w:ind w:left="1080" w:right="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9CB72">
    <w:pPr>
      <w:pStyle w:val="39"/>
      <w:ind w:left="108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225F4">
    <w:pPr>
      <w:pStyle w:val="39"/>
      <w:ind w:left="1080" w:firstLine="3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B169E">
    <w:pPr>
      <w:pStyle w:val="39"/>
      <w:pBdr>
        <w:bottom w:val="single" w:color="auto" w:sz="18" w:space="1"/>
      </w:pBdr>
      <w:spacing w:line="360" w:lineRule="exact"/>
      <w:ind w:left="0" w:leftChars="0"/>
      <w:jc w:val="left"/>
      <w:rPr>
        <w:rFonts w:hAnsi="宋体"/>
        <w:b/>
        <w:w w:val="80"/>
        <w:sz w:val="21"/>
        <w:szCs w:val="21"/>
      </w:rPr>
    </w:pPr>
    <w:r>
      <w:rPr>
        <w:rFonts w:hint="eastAsia" w:hAnsi="宋体"/>
        <w:b/>
        <w:w w:val="80"/>
        <w:sz w:val="21"/>
        <w:szCs w:val="21"/>
        <w:lang w:eastAsia="zh-CN"/>
      </w:rPr>
      <w:t>云南德昭工程管理有限责任公司</w:t>
    </w:r>
    <w:r>
      <w:rPr>
        <w:rFonts w:hint="eastAsia" w:hAnsi="宋体"/>
        <w:b/>
        <w:w w:val="80"/>
        <w:sz w:val="21"/>
        <w:szCs w:val="21"/>
      </w:rPr>
      <w:t xml:space="preserve">                                                           </w:t>
    </w:r>
    <w:r>
      <w:rPr>
        <w:rFonts w:hAnsi="宋体"/>
        <w:b/>
        <w:w w:val="80"/>
        <w:sz w:val="21"/>
        <w:szCs w:val="21"/>
      </w:rPr>
      <w:t xml:space="preserve"> </w:t>
    </w:r>
    <w:r>
      <w:rPr>
        <w:rFonts w:hint="eastAsia" w:hAnsi="宋体"/>
        <w:b/>
        <w:w w:val="80"/>
        <w:sz w:val="21"/>
        <w:szCs w:val="21"/>
      </w:rPr>
      <w:t xml:space="preserve">               招标文件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2AFDD">
    <w:pPr>
      <w:pStyle w:val="39"/>
      <w:framePr w:wrap="around" w:vAnchor="text" w:hAnchor="margin" w:xAlign="right" w:y="1"/>
      <w:ind w:left="1080"/>
      <w:rPr>
        <w:rStyle w:val="69"/>
      </w:rPr>
    </w:pPr>
    <w:r>
      <w:fldChar w:fldCharType="begin"/>
    </w:r>
    <w:r>
      <w:rPr>
        <w:rStyle w:val="69"/>
      </w:rPr>
      <w:instrText xml:space="preserve">PAGE  </w:instrText>
    </w:r>
    <w:r>
      <w:fldChar w:fldCharType="end"/>
    </w:r>
  </w:p>
  <w:p w14:paraId="5AA04CE4">
    <w:pPr>
      <w:pStyle w:val="39"/>
      <w:ind w:left="1080" w:right="36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783FF">
    <w:pPr>
      <w:pStyle w:val="39"/>
      <w:ind w:left="108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B184B">
    <w:pPr>
      <w:pStyle w:val="39"/>
      <w:framePr w:wrap="around" w:vAnchor="text" w:hAnchor="margin" w:xAlign="right" w:y="1"/>
      <w:ind w:left="1080"/>
      <w:rPr>
        <w:rStyle w:val="69"/>
      </w:rPr>
    </w:pPr>
    <w:r>
      <w:fldChar w:fldCharType="begin"/>
    </w:r>
    <w:r>
      <w:rPr>
        <w:rStyle w:val="69"/>
      </w:rPr>
      <w:instrText xml:space="preserve">PAGE  </w:instrText>
    </w:r>
    <w:r>
      <w:fldChar w:fldCharType="end"/>
    </w:r>
  </w:p>
  <w:p w14:paraId="624BAEC4">
    <w:pPr>
      <w:pStyle w:val="39"/>
      <w:ind w:left="1080" w:right="360"/>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01E11">
    <w:pPr>
      <w:pStyle w:val="39"/>
      <w:ind w:lef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2"/>
    <w:multiLevelType w:val="multilevel"/>
    <w:tmpl w:val="00000012"/>
    <w:lvl w:ilvl="0" w:tentative="0">
      <w:start w:val="1"/>
      <w:numFmt w:val="decimal"/>
      <w:pStyle w:val="660"/>
      <w:lvlText w:val="%1"/>
      <w:lvlJc w:val="left"/>
      <w:pPr>
        <w:tabs>
          <w:tab w:val="left" w:pos="432"/>
        </w:tabs>
        <w:ind w:left="432" w:hanging="432"/>
      </w:pPr>
      <w:rPr>
        <w:rFonts w:hint="eastAsia"/>
      </w:rPr>
    </w:lvl>
    <w:lvl w:ilvl="1" w:tentative="0">
      <w:start w:val="1"/>
      <w:numFmt w:val="decimal"/>
      <w:lvlText w:val="%1.%2"/>
      <w:lvlJc w:val="left"/>
      <w:pPr>
        <w:tabs>
          <w:tab w:val="left" w:pos="624"/>
        </w:tabs>
        <w:ind w:left="624" w:hanging="624"/>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01E967D5"/>
    <w:multiLevelType w:val="multilevel"/>
    <w:tmpl w:val="01E967D5"/>
    <w:lvl w:ilvl="0" w:tentative="0">
      <w:start w:val="1"/>
      <w:numFmt w:val="chineseCountingThousand"/>
      <w:pStyle w:val="636"/>
      <w:lvlText w:val="%1、"/>
      <w:lvlJc w:val="left"/>
      <w:pPr>
        <w:ind w:left="0" w:firstLine="4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AA800C6"/>
    <w:multiLevelType w:val="multilevel"/>
    <w:tmpl w:val="3AA800C6"/>
    <w:lvl w:ilvl="0" w:tentative="0">
      <w:start w:val="1"/>
      <w:numFmt w:val="decimal"/>
      <w:pStyle w:val="657"/>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rPr>
        <w:rFonts w:hint="eastAsia" w:ascii="仿宋_GB2312" w:eastAsia="仿宋_GB2312"/>
      </w:r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3">
    <w:nsid w:val="62687BB6"/>
    <w:multiLevelType w:val="multilevel"/>
    <w:tmpl w:val="62687BB6"/>
    <w:lvl w:ilvl="0" w:tentative="0">
      <w:start w:val="1"/>
      <w:numFmt w:val="decimal"/>
      <w:pStyle w:val="654"/>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4">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367"/>
      <w:suff w:val="nothing"/>
      <w:lvlText w:val="%1%2　"/>
      <w:lvlJc w:val="left"/>
      <w:pPr>
        <w:ind w:left="0" w:firstLine="0"/>
      </w:pPr>
      <w:rPr>
        <w:rFonts w:hint="eastAsia" w:ascii="黑体" w:hAnsi="Times New Roman" w:eastAsia="黑体"/>
        <w:b w:val="0"/>
        <w:i w:val="0"/>
        <w:sz w:val="21"/>
      </w:rPr>
    </w:lvl>
    <w:lvl w:ilvl="2" w:tentative="0">
      <w:start w:val="1"/>
      <w:numFmt w:val="decimal"/>
      <w:pStyle w:val="366"/>
      <w:suff w:val="nothing"/>
      <w:lvlText w:val="%1%2.%3　"/>
      <w:lvlJc w:val="left"/>
      <w:pPr>
        <w:ind w:left="113" w:hanging="113"/>
      </w:pPr>
      <w:rPr>
        <w:rFonts w:hint="eastAsia" w:ascii="黑体" w:hAnsi="Times New Roman" w:eastAsia="黑体"/>
        <w:b w:val="0"/>
        <w:i w:val="0"/>
        <w:sz w:val="21"/>
      </w:rPr>
    </w:lvl>
    <w:lvl w:ilvl="3" w:tentative="0">
      <w:start w:val="1"/>
      <w:numFmt w:val="decimal"/>
      <w:pStyle w:val="362"/>
      <w:suff w:val="nothing"/>
      <w:lvlText w:val="%1%2.%3.%4　"/>
      <w:lvlJc w:val="left"/>
      <w:pPr>
        <w:ind w:left="937" w:hanging="227"/>
      </w:pPr>
      <w:rPr>
        <w:rFonts w:hint="eastAsia" w:ascii="宋体" w:hAnsi="宋体" w:eastAsia="宋体"/>
        <w:b w:val="0"/>
        <w:i w:val="0"/>
        <w:color w:val="auto"/>
        <w:sz w:val="21"/>
      </w:rPr>
    </w:lvl>
    <w:lvl w:ilvl="4" w:tentative="0">
      <w:start w:val="1"/>
      <w:numFmt w:val="decimal"/>
      <w:pStyle w:val="364"/>
      <w:suff w:val="nothing"/>
      <w:lvlText w:val="%1%2.%3.%4.%5　"/>
      <w:lvlJc w:val="left"/>
      <w:pPr>
        <w:ind w:left="1058" w:hanging="113"/>
      </w:pPr>
      <w:rPr>
        <w:rFonts w:hint="eastAsia" w:ascii="宋体" w:hAnsi="宋体" w:eastAsia="宋体"/>
        <w:b w:val="0"/>
        <w:i w:val="0"/>
        <w:sz w:val="21"/>
      </w:rPr>
    </w:lvl>
    <w:lvl w:ilvl="5" w:tentative="0">
      <w:start w:val="1"/>
      <w:numFmt w:val="decimal"/>
      <w:pStyle w:val="368"/>
      <w:suff w:val="nothing"/>
      <w:lvlText w:val="%1%2.%3.%4.%5.%6　"/>
      <w:lvlJc w:val="left"/>
      <w:pPr>
        <w:ind w:left="0" w:firstLine="0"/>
      </w:pPr>
      <w:rPr>
        <w:rFonts w:hint="eastAsia" w:ascii="宋体" w:hAnsi="宋体" w:eastAsia="宋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6E87019F"/>
    <w:multiLevelType w:val="multilevel"/>
    <w:tmpl w:val="6E87019F"/>
    <w:lvl w:ilvl="0" w:tentative="0">
      <w:start w:val="1"/>
      <w:numFmt w:val="chineseCountingThousand"/>
      <w:pStyle w:val="651"/>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4"/>
  </w:num>
  <w:num w:numId="2">
    <w:abstractNumId w:val="1"/>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TrueTypeFonts/>
  <w:saveSubsetFonts/>
  <w:bordersDoNotSurroundHeader w:val="0"/>
  <w:bordersDoNotSurroundFooter w:val="0"/>
  <w:hideSpellingErrors/>
  <w:doNotTrackMoves/>
  <w:documentProtection w:enforcement="0"/>
  <w:defaultTabStop w:val="720"/>
  <w:drawingGridHorizontalSpacing w:val="120"/>
  <w:drawingGridVerticalSpacing w:val="163"/>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RiY2E4OTA0Mjc0YjE3MjU1MWJmODFkMTI5MzZkMjIifQ=="/>
  </w:docVars>
  <w:rsids>
    <w:rsidRoot w:val="00E115AD"/>
    <w:rsid w:val="000006FB"/>
    <w:rsid w:val="00000852"/>
    <w:rsid w:val="00000FB1"/>
    <w:rsid w:val="0000122E"/>
    <w:rsid w:val="000016FD"/>
    <w:rsid w:val="000017EF"/>
    <w:rsid w:val="00001A53"/>
    <w:rsid w:val="00001B4F"/>
    <w:rsid w:val="0000205A"/>
    <w:rsid w:val="0000308E"/>
    <w:rsid w:val="00003482"/>
    <w:rsid w:val="00003724"/>
    <w:rsid w:val="000037AA"/>
    <w:rsid w:val="0000395A"/>
    <w:rsid w:val="00003B5C"/>
    <w:rsid w:val="00003DC5"/>
    <w:rsid w:val="00003E18"/>
    <w:rsid w:val="000041C3"/>
    <w:rsid w:val="000045AB"/>
    <w:rsid w:val="00004A1A"/>
    <w:rsid w:val="00004B1F"/>
    <w:rsid w:val="00004C4C"/>
    <w:rsid w:val="000054F3"/>
    <w:rsid w:val="000058DE"/>
    <w:rsid w:val="000061FF"/>
    <w:rsid w:val="0000622B"/>
    <w:rsid w:val="00006575"/>
    <w:rsid w:val="0000689A"/>
    <w:rsid w:val="00006DBB"/>
    <w:rsid w:val="00007B55"/>
    <w:rsid w:val="00007CC3"/>
    <w:rsid w:val="00010386"/>
    <w:rsid w:val="00010DCE"/>
    <w:rsid w:val="000115F6"/>
    <w:rsid w:val="0001212A"/>
    <w:rsid w:val="000121C7"/>
    <w:rsid w:val="00012753"/>
    <w:rsid w:val="00013015"/>
    <w:rsid w:val="0001331E"/>
    <w:rsid w:val="000136C8"/>
    <w:rsid w:val="0001460E"/>
    <w:rsid w:val="00014B79"/>
    <w:rsid w:val="00014C06"/>
    <w:rsid w:val="000151B5"/>
    <w:rsid w:val="000152A5"/>
    <w:rsid w:val="000156DC"/>
    <w:rsid w:val="000165D8"/>
    <w:rsid w:val="0001683C"/>
    <w:rsid w:val="0001686E"/>
    <w:rsid w:val="00016EFA"/>
    <w:rsid w:val="00016FC2"/>
    <w:rsid w:val="0001703C"/>
    <w:rsid w:val="00017163"/>
    <w:rsid w:val="0001739B"/>
    <w:rsid w:val="00017543"/>
    <w:rsid w:val="000176B6"/>
    <w:rsid w:val="000178A3"/>
    <w:rsid w:val="00017939"/>
    <w:rsid w:val="00017992"/>
    <w:rsid w:val="00017F48"/>
    <w:rsid w:val="000201E7"/>
    <w:rsid w:val="000206FB"/>
    <w:rsid w:val="00021541"/>
    <w:rsid w:val="00021A1F"/>
    <w:rsid w:val="00022465"/>
    <w:rsid w:val="000225A5"/>
    <w:rsid w:val="00022CB4"/>
    <w:rsid w:val="0002307D"/>
    <w:rsid w:val="00023528"/>
    <w:rsid w:val="000239CC"/>
    <w:rsid w:val="00023DD8"/>
    <w:rsid w:val="00024343"/>
    <w:rsid w:val="00024477"/>
    <w:rsid w:val="000249A3"/>
    <w:rsid w:val="00024A46"/>
    <w:rsid w:val="00024F64"/>
    <w:rsid w:val="0002585A"/>
    <w:rsid w:val="00025EDC"/>
    <w:rsid w:val="00026040"/>
    <w:rsid w:val="00026202"/>
    <w:rsid w:val="00027522"/>
    <w:rsid w:val="00027527"/>
    <w:rsid w:val="00027884"/>
    <w:rsid w:val="00027A44"/>
    <w:rsid w:val="00027C4D"/>
    <w:rsid w:val="00027F24"/>
    <w:rsid w:val="00027F45"/>
    <w:rsid w:val="00027F7C"/>
    <w:rsid w:val="0003004D"/>
    <w:rsid w:val="0003070A"/>
    <w:rsid w:val="00030A9E"/>
    <w:rsid w:val="00030B59"/>
    <w:rsid w:val="00030B65"/>
    <w:rsid w:val="00030D48"/>
    <w:rsid w:val="00030DB7"/>
    <w:rsid w:val="00030E6B"/>
    <w:rsid w:val="00030F3B"/>
    <w:rsid w:val="000318D0"/>
    <w:rsid w:val="00032CCE"/>
    <w:rsid w:val="0003347D"/>
    <w:rsid w:val="00033684"/>
    <w:rsid w:val="00033FD7"/>
    <w:rsid w:val="0003421A"/>
    <w:rsid w:val="000344D6"/>
    <w:rsid w:val="000346AD"/>
    <w:rsid w:val="00034BD2"/>
    <w:rsid w:val="00034F8F"/>
    <w:rsid w:val="000350CC"/>
    <w:rsid w:val="00035517"/>
    <w:rsid w:val="00035597"/>
    <w:rsid w:val="0003562B"/>
    <w:rsid w:val="000358F6"/>
    <w:rsid w:val="00035ADF"/>
    <w:rsid w:val="00035B0A"/>
    <w:rsid w:val="00035B34"/>
    <w:rsid w:val="00035E5B"/>
    <w:rsid w:val="00035F73"/>
    <w:rsid w:val="0003602C"/>
    <w:rsid w:val="0003636D"/>
    <w:rsid w:val="0003703C"/>
    <w:rsid w:val="0003723B"/>
    <w:rsid w:val="00037669"/>
    <w:rsid w:val="0003775F"/>
    <w:rsid w:val="00037E6C"/>
    <w:rsid w:val="00040290"/>
    <w:rsid w:val="00040586"/>
    <w:rsid w:val="00040988"/>
    <w:rsid w:val="00040C28"/>
    <w:rsid w:val="00040D0C"/>
    <w:rsid w:val="00041202"/>
    <w:rsid w:val="000412CF"/>
    <w:rsid w:val="000416C9"/>
    <w:rsid w:val="000416EA"/>
    <w:rsid w:val="00041D2D"/>
    <w:rsid w:val="00041FD8"/>
    <w:rsid w:val="00042AE6"/>
    <w:rsid w:val="00042FF0"/>
    <w:rsid w:val="00043269"/>
    <w:rsid w:val="00043D03"/>
    <w:rsid w:val="00043F3F"/>
    <w:rsid w:val="00043F6C"/>
    <w:rsid w:val="000440DD"/>
    <w:rsid w:val="0004433E"/>
    <w:rsid w:val="00044A09"/>
    <w:rsid w:val="00044BC3"/>
    <w:rsid w:val="00044CD9"/>
    <w:rsid w:val="00044D00"/>
    <w:rsid w:val="00045084"/>
    <w:rsid w:val="00045C7F"/>
    <w:rsid w:val="00045F55"/>
    <w:rsid w:val="00046100"/>
    <w:rsid w:val="0004641B"/>
    <w:rsid w:val="0004678F"/>
    <w:rsid w:val="00046AD9"/>
    <w:rsid w:val="00046B97"/>
    <w:rsid w:val="00047226"/>
    <w:rsid w:val="00047D10"/>
    <w:rsid w:val="00047F44"/>
    <w:rsid w:val="000501E9"/>
    <w:rsid w:val="000501FE"/>
    <w:rsid w:val="000504D1"/>
    <w:rsid w:val="00050A2A"/>
    <w:rsid w:val="00050E09"/>
    <w:rsid w:val="00050E9F"/>
    <w:rsid w:val="0005155E"/>
    <w:rsid w:val="00051D4D"/>
    <w:rsid w:val="000525E5"/>
    <w:rsid w:val="0005288D"/>
    <w:rsid w:val="00052DA9"/>
    <w:rsid w:val="00053CB5"/>
    <w:rsid w:val="00053FE1"/>
    <w:rsid w:val="000541D9"/>
    <w:rsid w:val="000549F0"/>
    <w:rsid w:val="00054BC1"/>
    <w:rsid w:val="00054E7E"/>
    <w:rsid w:val="000558D8"/>
    <w:rsid w:val="00055A2B"/>
    <w:rsid w:val="00055E29"/>
    <w:rsid w:val="000561EE"/>
    <w:rsid w:val="00056791"/>
    <w:rsid w:val="000567B4"/>
    <w:rsid w:val="00056C3A"/>
    <w:rsid w:val="000570FE"/>
    <w:rsid w:val="00057BFF"/>
    <w:rsid w:val="00060559"/>
    <w:rsid w:val="00060AF9"/>
    <w:rsid w:val="00061691"/>
    <w:rsid w:val="0006181F"/>
    <w:rsid w:val="00061CDB"/>
    <w:rsid w:val="00062107"/>
    <w:rsid w:val="0006213D"/>
    <w:rsid w:val="000624B1"/>
    <w:rsid w:val="0006267E"/>
    <w:rsid w:val="00062B5D"/>
    <w:rsid w:val="00062BAD"/>
    <w:rsid w:val="000632B1"/>
    <w:rsid w:val="00063671"/>
    <w:rsid w:val="00064246"/>
    <w:rsid w:val="0006443A"/>
    <w:rsid w:val="000646AB"/>
    <w:rsid w:val="00064A27"/>
    <w:rsid w:val="00065161"/>
    <w:rsid w:val="0006580B"/>
    <w:rsid w:val="00065891"/>
    <w:rsid w:val="00065CAE"/>
    <w:rsid w:val="000668FB"/>
    <w:rsid w:val="00066AA2"/>
    <w:rsid w:val="00066B43"/>
    <w:rsid w:val="00066B6F"/>
    <w:rsid w:val="00066F2D"/>
    <w:rsid w:val="00067046"/>
    <w:rsid w:val="000673E8"/>
    <w:rsid w:val="00067462"/>
    <w:rsid w:val="00067C95"/>
    <w:rsid w:val="0007049F"/>
    <w:rsid w:val="000708F4"/>
    <w:rsid w:val="00070918"/>
    <w:rsid w:val="00070A3F"/>
    <w:rsid w:val="00070D5A"/>
    <w:rsid w:val="00070EEB"/>
    <w:rsid w:val="00071262"/>
    <w:rsid w:val="000712C5"/>
    <w:rsid w:val="000719FD"/>
    <w:rsid w:val="00071CBB"/>
    <w:rsid w:val="00072054"/>
    <w:rsid w:val="000724CF"/>
    <w:rsid w:val="0007279A"/>
    <w:rsid w:val="00072D4F"/>
    <w:rsid w:val="00072F16"/>
    <w:rsid w:val="00072F6B"/>
    <w:rsid w:val="00073418"/>
    <w:rsid w:val="000745F4"/>
    <w:rsid w:val="00075434"/>
    <w:rsid w:val="00075524"/>
    <w:rsid w:val="00075747"/>
    <w:rsid w:val="00075919"/>
    <w:rsid w:val="000759D2"/>
    <w:rsid w:val="0007625B"/>
    <w:rsid w:val="00076D96"/>
    <w:rsid w:val="00077747"/>
    <w:rsid w:val="00080C14"/>
    <w:rsid w:val="000813F0"/>
    <w:rsid w:val="00082316"/>
    <w:rsid w:val="00082414"/>
    <w:rsid w:val="0008252B"/>
    <w:rsid w:val="000826F9"/>
    <w:rsid w:val="0008308A"/>
    <w:rsid w:val="000831B8"/>
    <w:rsid w:val="000832AD"/>
    <w:rsid w:val="0008437B"/>
    <w:rsid w:val="00084ACC"/>
    <w:rsid w:val="000856E3"/>
    <w:rsid w:val="00085B73"/>
    <w:rsid w:val="00086011"/>
    <w:rsid w:val="00086172"/>
    <w:rsid w:val="000868B2"/>
    <w:rsid w:val="000878BF"/>
    <w:rsid w:val="00087951"/>
    <w:rsid w:val="000902FB"/>
    <w:rsid w:val="00090652"/>
    <w:rsid w:val="0009080D"/>
    <w:rsid w:val="00090C5F"/>
    <w:rsid w:val="00090D74"/>
    <w:rsid w:val="00091539"/>
    <w:rsid w:val="00091AB4"/>
    <w:rsid w:val="00091B9A"/>
    <w:rsid w:val="00091F95"/>
    <w:rsid w:val="00092642"/>
    <w:rsid w:val="0009283F"/>
    <w:rsid w:val="00092C20"/>
    <w:rsid w:val="00092D73"/>
    <w:rsid w:val="00093A1E"/>
    <w:rsid w:val="00093A35"/>
    <w:rsid w:val="00093B5B"/>
    <w:rsid w:val="0009421C"/>
    <w:rsid w:val="00094542"/>
    <w:rsid w:val="00094560"/>
    <w:rsid w:val="00094BDE"/>
    <w:rsid w:val="0009516B"/>
    <w:rsid w:val="000951F8"/>
    <w:rsid w:val="00095238"/>
    <w:rsid w:val="00096284"/>
    <w:rsid w:val="00096790"/>
    <w:rsid w:val="00096CF3"/>
    <w:rsid w:val="00097894"/>
    <w:rsid w:val="00097936"/>
    <w:rsid w:val="00097B5C"/>
    <w:rsid w:val="000A0432"/>
    <w:rsid w:val="000A0B33"/>
    <w:rsid w:val="000A190E"/>
    <w:rsid w:val="000A1FBC"/>
    <w:rsid w:val="000A2361"/>
    <w:rsid w:val="000A29C1"/>
    <w:rsid w:val="000A31CE"/>
    <w:rsid w:val="000A3A33"/>
    <w:rsid w:val="000A3AFB"/>
    <w:rsid w:val="000A3B69"/>
    <w:rsid w:val="000A44E3"/>
    <w:rsid w:val="000A46BC"/>
    <w:rsid w:val="000A48EF"/>
    <w:rsid w:val="000A50DE"/>
    <w:rsid w:val="000A5248"/>
    <w:rsid w:val="000A5DCF"/>
    <w:rsid w:val="000A71F1"/>
    <w:rsid w:val="000A7272"/>
    <w:rsid w:val="000A76B8"/>
    <w:rsid w:val="000A7E4B"/>
    <w:rsid w:val="000B0166"/>
    <w:rsid w:val="000B086A"/>
    <w:rsid w:val="000B09A3"/>
    <w:rsid w:val="000B0C2F"/>
    <w:rsid w:val="000B0DB2"/>
    <w:rsid w:val="000B0DF5"/>
    <w:rsid w:val="000B12AB"/>
    <w:rsid w:val="000B1E2C"/>
    <w:rsid w:val="000B21EC"/>
    <w:rsid w:val="000B23DD"/>
    <w:rsid w:val="000B2751"/>
    <w:rsid w:val="000B291A"/>
    <w:rsid w:val="000B2B77"/>
    <w:rsid w:val="000B2C21"/>
    <w:rsid w:val="000B306D"/>
    <w:rsid w:val="000B30D9"/>
    <w:rsid w:val="000B3181"/>
    <w:rsid w:val="000B3721"/>
    <w:rsid w:val="000B37DC"/>
    <w:rsid w:val="000B3FA2"/>
    <w:rsid w:val="000B416D"/>
    <w:rsid w:val="000B4245"/>
    <w:rsid w:val="000B4895"/>
    <w:rsid w:val="000B54FA"/>
    <w:rsid w:val="000B554D"/>
    <w:rsid w:val="000B5904"/>
    <w:rsid w:val="000B5B05"/>
    <w:rsid w:val="000B5D3C"/>
    <w:rsid w:val="000B5D4F"/>
    <w:rsid w:val="000B6100"/>
    <w:rsid w:val="000B68D8"/>
    <w:rsid w:val="000B6E2F"/>
    <w:rsid w:val="000B7115"/>
    <w:rsid w:val="000B7B4F"/>
    <w:rsid w:val="000B7DA1"/>
    <w:rsid w:val="000B7DE4"/>
    <w:rsid w:val="000C0412"/>
    <w:rsid w:val="000C0EBE"/>
    <w:rsid w:val="000C0F90"/>
    <w:rsid w:val="000C3962"/>
    <w:rsid w:val="000C3A09"/>
    <w:rsid w:val="000C40AD"/>
    <w:rsid w:val="000C43E0"/>
    <w:rsid w:val="000C4613"/>
    <w:rsid w:val="000C469C"/>
    <w:rsid w:val="000C48F8"/>
    <w:rsid w:val="000C4EF3"/>
    <w:rsid w:val="000C5541"/>
    <w:rsid w:val="000C57B3"/>
    <w:rsid w:val="000C60A3"/>
    <w:rsid w:val="000C61BE"/>
    <w:rsid w:val="000C65AE"/>
    <w:rsid w:val="000C66B1"/>
    <w:rsid w:val="000C6C01"/>
    <w:rsid w:val="000C709D"/>
    <w:rsid w:val="000C7124"/>
    <w:rsid w:val="000C7153"/>
    <w:rsid w:val="000C717D"/>
    <w:rsid w:val="000C7526"/>
    <w:rsid w:val="000C7DFD"/>
    <w:rsid w:val="000D0787"/>
    <w:rsid w:val="000D089C"/>
    <w:rsid w:val="000D0E0A"/>
    <w:rsid w:val="000D0F6A"/>
    <w:rsid w:val="000D0FB7"/>
    <w:rsid w:val="000D1244"/>
    <w:rsid w:val="000D17BA"/>
    <w:rsid w:val="000D1D6C"/>
    <w:rsid w:val="000D26EC"/>
    <w:rsid w:val="000D2B44"/>
    <w:rsid w:val="000D2F8B"/>
    <w:rsid w:val="000D3218"/>
    <w:rsid w:val="000D3338"/>
    <w:rsid w:val="000D3A95"/>
    <w:rsid w:val="000D3B87"/>
    <w:rsid w:val="000D3E8A"/>
    <w:rsid w:val="000D4431"/>
    <w:rsid w:val="000D4ABE"/>
    <w:rsid w:val="000D551F"/>
    <w:rsid w:val="000D5524"/>
    <w:rsid w:val="000D58E9"/>
    <w:rsid w:val="000D5DD6"/>
    <w:rsid w:val="000D645B"/>
    <w:rsid w:val="000D696E"/>
    <w:rsid w:val="000D6C28"/>
    <w:rsid w:val="000D725D"/>
    <w:rsid w:val="000D732E"/>
    <w:rsid w:val="000D7A6E"/>
    <w:rsid w:val="000D7C89"/>
    <w:rsid w:val="000D7EDF"/>
    <w:rsid w:val="000E09DF"/>
    <w:rsid w:val="000E0D3B"/>
    <w:rsid w:val="000E0D74"/>
    <w:rsid w:val="000E111F"/>
    <w:rsid w:val="000E12B4"/>
    <w:rsid w:val="000E1D3E"/>
    <w:rsid w:val="000E2655"/>
    <w:rsid w:val="000E338A"/>
    <w:rsid w:val="000E3C03"/>
    <w:rsid w:val="000E3CB5"/>
    <w:rsid w:val="000E3FC0"/>
    <w:rsid w:val="000E41B8"/>
    <w:rsid w:val="000E593E"/>
    <w:rsid w:val="000E5FC2"/>
    <w:rsid w:val="000E6091"/>
    <w:rsid w:val="000E6132"/>
    <w:rsid w:val="000E71FD"/>
    <w:rsid w:val="000E7A10"/>
    <w:rsid w:val="000E7D9D"/>
    <w:rsid w:val="000F00B0"/>
    <w:rsid w:val="000F0158"/>
    <w:rsid w:val="000F046A"/>
    <w:rsid w:val="000F0693"/>
    <w:rsid w:val="000F12CF"/>
    <w:rsid w:val="000F15D4"/>
    <w:rsid w:val="000F1A72"/>
    <w:rsid w:val="000F1E0F"/>
    <w:rsid w:val="000F2D2C"/>
    <w:rsid w:val="000F30F2"/>
    <w:rsid w:val="000F3270"/>
    <w:rsid w:val="000F40AF"/>
    <w:rsid w:val="000F4547"/>
    <w:rsid w:val="000F497B"/>
    <w:rsid w:val="000F4D23"/>
    <w:rsid w:val="000F4F50"/>
    <w:rsid w:val="000F5023"/>
    <w:rsid w:val="000F54DC"/>
    <w:rsid w:val="000F5741"/>
    <w:rsid w:val="000F5ECC"/>
    <w:rsid w:val="000F5F40"/>
    <w:rsid w:val="000F6172"/>
    <w:rsid w:val="000F6E60"/>
    <w:rsid w:val="000F73DE"/>
    <w:rsid w:val="000F7503"/>
    <w:rsid w:val="000F7B1A"/>
    <w:rsid w:val="000F7F7F"/>
    <w:rsid w:val="0010030D"/>
    <w:rsid w:val="00100339"/>
    <w:rsid w:val="00100453"/>
    <w:rsid w:val="001007B7"/>
    <w:rsid w:val="00100FD2"/>
    <w:rsid w:val="00101453"/>
    <w:rsid w:val="001025AA"/>
    <w:rsid w:val="00102A2F"/>
    <w:rsid w:val="00103757"/>
    <w:rsid w:val="0010394C"/>
    <w:rsid w:val="00103BFF"/>
    <w:rsid w:val="001043F1"/>
    <w:rsid w:val="00104DA6"/>
    <w:rsid w:val="00105098"/>
    <w:rsid w:val="00105C42"/>
    <w:rsid w:val="00106138"/>
    <w:rsid w:val="00106DF4"/>
    <w:rsid w:val="00107113"/>
    <w:rsid w:val="001078AE"/>
    <w:rsid w:val="00107AC8"/>
    <w:rsid w:val="00107B55"/>
    <w:rsid w:val="001101A5"/>
    <w:rsid w:val="001101F2"/>
    <w:rsid w:val="001103AF"/>
    <w:rsid w:val="00110573"/>
    <w:rsid w:val="00110903"/>
    <w:rsid w:val="00111BED"/>
    <w:rsid w:val="00111C9B"/>
    <w:rsid w:val="00112172"/>
    <w:rsid w:val="00112D69"/>
    <w:rsid w:val="00113662"/>
    <w:rsid w:val="00113E71"/>
    <w:rsid w:val="00114464"/>
    <w:rsid w:val="00114732"/>
    <w:rsid w:val="00115090"/>
    <w:rsid w:val="00115120"/>
    <w:rsid w:val="0011532E"/>
    <w:rsid w:val="001156BC"/>
    <w:rsid w:val="00117478"/>
    <w:rsid w:val="00117CA4"/>
    <w:rsid w:val="0012063D"/>
    <w:rsid w:val="00120B10"/>
    <w:rsid w:val="00120BED"/>
    <w:rsid w:val="00120ED7"/>
    <w:rsid w:val="00121638"/>
    <w:rsid w:val="00121E8D"/>
    <w:rsid w:val="00121F77"/>
    <w:rsid w:val="0012222D"/>
    <w:rsid w:val="00122496"/>
    <w:rsid w:val="00122723"/>
    <w:rsid w:val="00122B12"/>
    <w:rsid w:val="00122BDC"/>
    <w:rsid w:val="00122E59"/>
    <w:rsid w:val="00123BC8"/>
    <w:rsid w:val="00123D4A"/>
    <w:rsid w:val="00123E9A"/>
    <w:rsid w:val="00123F0D"/>
    <w:rsid w:val="0012404C"/>
    <w:rsid w:val="00124489"/>
    <w:rsid w:val="001247CE"/>
    <w:rsid w:val="00124BB3"/>
    <w:rsid w:val="00124CAC"/>
    <w:rsid w:val="00124CB6"/>
    <w:rsid w:val="00124E41"/>
    <w:rsid w:val="00125752"/>
    <w:rsid w:val="00125911"/>
    <w:rsid w:val="00125A6E"/>
    <w:rsid w:val="001261D2"/>
    <w:rsid w:val="0012685A"/>
    <w:rsid w:val="0012709C"/>
    <w:rsid w:val="0012738E"/>
    <w:rsid w:val="0012776B"/>
    <w:rsid w:val="00130111"/>
    <w:rsid w:val="00130468"/>
    <w:rsid w:val="001309E1"/>
    <w:rsid w:val="00130B55"/>
    <w:rsid w:val="00131205"/>
    <w:rsid w:val="00131446"/>
    <w:rsid w:val="0013165A"/>
    <w:rsid w:val="00131C2B"/>
    <w:rsid w:val="001327EE"/>
    <w:rsid w:val="00132D4E"/>
    <w:rsid w:val="00132E51"/>
    <w:rsid w:val="001330B7"/>
    <w:rsid w:val="001333A7"/>
    <w:rsid w:val="00133914"/>
    <w:rsid w:val="001342AA"/>
    <w:rsid w:val="0013432E"/>
    <w:rsid w:val="0013488B"/>
    <w:rsid w:val="00135178"/>
    <w:rsid w:val="00135870"/>
    <w:rsid w:val="001359A2"/>
    <w:rsid w:val="001359F7"/>
    <w:rsid w:val="001361EC"/>
    <w:rsid w:val="00136449"/>
    <w:rsid w:val="00136486"/>
    <w:rsid w:val="00136668"/>
    <w:rsid w:val="001366B2"/>
    <w:rsid w:val="001367C7"/>
    <w:rsid w:val="00137B82"/>
    <w:rsid w:val="00137E05"/>
    <w:rsid w:val="00140092"/>
    <w:rsid w:val="001413D8"/>
    <w:rsid w:val="00141A39"/>
    <w:rsid w:val="0014211B"/>
    <w:rsid w:val="00142308"/>
    <w:rsid w:val="00142408"/>
    <w:rsid w:val="00142892"/>
    <w:rsid w:val="00143126"/>
    <w:rsid w:val="0014345F"/>
    <w:rsid w:val="001436D1"/>
    <w:rsid w:val="00143AB0"/>
    <w:rsid w:val="00143E3C"/>
    <w:rsid w:val="001442F6"/>
    <w:rsid w:val="00144D33"/>
    <w:rsid w:val="001452BB"/>
    <w:rsid w:val="001460A2"/>
    <w:rsid w:val="00147731"/>
    <w:rsid w:val="00151300"/>
    <w:rsid w:val="00151F39"/>
    <w:rsid w:val="0015255A"/>
    <w:rsid w:val="001529F5"/>
    <w:rsid w:val="00152B92"/>
    <w:rsid w:val="00152D53"/>
    <w:rsid w:val="001531D0"/>
    <w:rsid w:val="00153B1D"/>
    <w:rsid w:val="00153D1F"/>
    <w:rsid w:val="0015468F"/>
    <w:rsid w:val="00154730"/>
    <w:rsid w:val="00154805"/>
    <w:rsid w:val="0015481B"/>
    <w:rsid w:val="00154857"/>
    <w:rsid w:val="00154F9D"/>
    <w:rsid w:val="00155292"/>
    <w:rsid w:val="001554A7"/>
    <w:rsid w:val="001556B2"/>
    <w:rsid w:val="00155EC1"/>
    <w:rsid w:val="00156044"/>
    <w:rsid w:val="001562BB"/>
    <w:rsid w:val="0015756C"/>
    <w:rsid w:val="00157700"/>
    <w:rsid w:val="00157F18"/>
    <w:rsid w:val="001602BD"/>
    <w:rsid w:val="0016053D"/>
    <w:rsid w:val="0016072A"/>
    <w:rsid w:val="0016086E"/>
    <w:rsid w:val="00160984"/>
    <w:rsid w:val="00160D55"/>
    <w:rsid w:val="00160F7B"/>
    <w:rsid w:val="001618E5"/>
    <w:rsid w:val="00161D40"/>
    <w:rsid w:val="00162728"/>
    <w:rsid w:val="0016282A"/>
    <w:rsid w:val="001631BC"/>
    <w:rsid w:val="001636A4"/>
    <w:rsid w:val="001638A2"/>
    <w:rsid w:val="00163AF1"/>
    <w:rsid w:val="00163B23"/>
    <w:rsid w:val="00163DF5"/>
    <w:rsid w:val="0016429B"/>
    <w:rsid w:val="001646F0"/>
    <w:rsid w:val="00164DD2"/>
    <w:rsid w:val="00164E9F"/>
    <w:rsid w:val="0016557C"/>
    <w:rsid w:val="001659E8"/>
    <w:rsid w:val="00165A9E"/>
    <w:rsid w:val="00165B9A"/>
    <w:rsid w:val="00165C5C"/>
    <w:rsid w:val="00165E54"/>
    <w:rsid w:val="001664CC"/>
    <w:rsid w:val="001665F1"/>
    <w:rsid w:val="001667A6"/>
    <w:rsid w:val="00166833"/>
    <w:rsid w:val="00166C23"/>
    <w:rsid w:val="001670D9"/>
    <w:rsid w:val="001677EF"/>
    <w:rsid w:val="00167863"/>
    <w:rsid w:val="0017060C"/>
    <w:rsid w:val="0017097F"/>
    <w:rsid w:val="00171CB2"/>
    <w:rsid w:val="001721BB"/>
    <w:rsid w:val="00172449"/>
    <w:rsid w:val="001727FF"/>
    <w:rsid w:val="001728BD"/>
    <w:rsid w:val="001728D1"/>
    <w:rsid w:val="001734C5"/>
    <w:rsid w:val="00173AC2"/>
    <w:rsid w:val="00173F36"/>
    <w:rsid w:val="0017402C"/>
    <w:rsid w:val="001741F2"/>
    <w:rsid w:val="001742C5"/>
    <w:rsid w:val="00174960"/>
    <w:rsid w:val="0017521D"/>
    <w:rsid w:val="00175633"/>
    <w:rsid w:val="00175833"/>
    <w:rsid w:val="001760F0"/>
    <w:rsid w:val="001769B8"/>
    <w:rsid w:val="00176C66"/>
    <w:rsid w:val="00176F15"/>
    <w:rsid w:val="00177414"/>
    <w:rsid w:val="00177526"/>
    <w:rsid w:val="00177550"/>
    <w:rsid w:val="00177589"/>
    <w:rsid w:val="00177BDA"/>
    <w:rsid w:val="00177CA0"/>
    <w:rsid w:val="0018032D"/>
    <w:rsid w:val="001805FC"/>
    <w:rsid w:val="00180BB9"/>
    <w:rsid w:val="0018133D"/>
    <w:rsid w:val="00181567"/>
    <w:rsid w:val="001816C9"/>
    <w:rsid w:val="00181C2E"/>
    <w:rsid w:val="00181CCF"/>
    <w:rsid w:val="0018231E"/>
    <w:rsid w:val="00182434"/>
    <w:rsid w:val="001830EA"/>
    <w:rsid w:val="001831A8"/>
    <w:rsid w:val="001832F4"/>
    <w:rsid w:val="001835A1"/>
    <w:rsid w:val="00183856"/>
    <w:rsid w:val="00183A93"/>
    <w:rsid w:val="00183AA8"/>
    <w:rsid w:val="00183B56"/>
    <w:rsid w:val="00183F30"/>
    <w:rsid w:val="00184754"/>
    <w:rsid w:val="001853E4"/>
    <w:rsid w:val="001855A9"/>
    <w:rsid w:val="00185628"/>
    <w:rsid w:val="00185BA4"/>
    <w:rsid w:val="00185DB3"/>
    <w:rsid w:val="00186185"/>
    <w:rsid w:val="0018698C"/>
    <w:rsid w:val="00186E1D"/>
    <w:rsid w:val="00186F7A"/>
    <w:rsid w:val="00187273"/>
    <w:rsid w:val="001872BB"/>
    <w:rsid w:val="0018745F"/>
    <w:rsid w:val="00187B23"/>
    <w:rsid w:val="0019032A"/>
    <w:rsid w:val="001911F3"/>
    <w:rsid w:val="00191B73"/>
    <w:rsid w:val="00191D4A"/>
    <w:rsid w:val="0019217C"/>
    <w:rsid w:val="00192D0A"/>
    <w:rsid w:val="0019315C"/>
    <w:rsid w:val="0019363E"/>
    <w:rsid w:val="001938EE"/>
    <w:rsid w:val="00193AF7"/>
    <w:rsid w:val="00193B40"/>
    <w:rsid w:val="001943E5"/>
    <w:rsid w:val="001943EC"/>
    <w:rsid w:val="00194855"/>
    <w:rsid w:val="00194A99"/>
    <w:rsid w:val="001957BF"/>
    <w:rsid w:val="00195CB4"/>
    <w:rsid w:val="00195E6F"/>
    <w:rsid w:val="00195EA4"/>
    <w:rsid w:val="001962AF"/>
    <w:rsid w:val="0019685B"/>
    <w:rsid w:val="00197126"/>
    <w:rsid w:val="0019761A"/>
    <w:rsid w:val="00197861"/>
    <w:rsid w:val="0019793E"/>
    <w:rsid w:val="00197A4C"/>
    <w:rsid w:val="00197C8A"/>
    <w:rsid w:val="00197E04"/>
    <w:rsid w:val="001A06E8"/>
    <w:rsid w:val="001A0AFB"/>
    <w:rsid w:val="001A0E50"/>
    <w:rsid w:val="001A0EDD"/>
    <w:rsid w:val="001A15B4"/>
    <w:rsid w:val="001A16F5"/>
    <w:rsid w:val="001A1C09"/>
    <w:rsid w:val="001A2403"/>
    <w:rsid w:val="001A2AB3"/>
    <w:rsid w:val="001A2ACF"/>
    <w:rsid w:val="001A2D03"/>
    <w:rsid w:val="001A4292"/>
    <w:rsid w:val="001A48C2"/>
    <w:rsid w:val="001A4E6C"/>
    <w:rsid w:val="001A507F"/>
    <w:rsid w:val="001A59F6"/>
    <w:rsid w:val="001A5C5C"/>
    <w:rsid w:val="001A5EA1"/>
    <w:rsid w:val="001A602C"/>
    <w:rsid w:val="001A6637"/>
    <w:rsid w:val="001A6724"/>
    <w:rsid w:val="001A6A55"/>
    <w:rsid w:val="001A6D7E"/>
    <w:rsid w:val="001A6ED5"/>
    <w:rsid w:val="001A7558"/>
    <w:rsid w:val="001B0461"/>
    <w:rsid w:val="001B055A"/>
    <w:rsid w:val="001B061C"/>
    <w:rsid w:val="001B0767"/>
    <w:rsid w:val="001B09E3"/>
    <w:rsid w:val="001B1315"/>
    <w:rsid w:val="001B13E7"/>
    <w:rsid w:val="001B1B4B"/>
    <w:rsid w:val="001B1BBD"/>
    <w:rsid w:val="001B2684"/>
    <w:rsid w:val="001B29F3"/>
    <w:rsid w:val="001B328C"/>
    <w:rsid w:val="001B3E27"/>
    <w:rsid w:val="001B3F11"/>
    <w:rsid w:val="001B4089"/>
    <w:rsid w:val="001B44B1"/>
    <w:rsid w:val="001B4B11"/>
    <w:rsid w:val="001B5116"/>
    <w:rsid w:val="001B546E"/>
    <w:rsid w:val="001B588A"/>
    <w:rsid w:val="001B5BD2"/>
    <w:rsid w:val="001B5D08"/>
    <w:rsid w:val="001B5D7A"/>
    <w:rsid w:val="001B61F6"/>
    <w:rsid w:val="001B649F"/>
    <w:rsid w:val="001B6588"/>
    <w:rsid w:val="001B67C9"/>
    <w:rsid w:val="001B6839"/>
    <w:rsid w:val="001B6CBF"/>
    <w:rsid w:val="001B76E1"/>
    <w:rsid w:val="001B79B5"/>
    <w:rsid w:val="001B7C35"/>
    <w:rsid w:val="001B7EB6"/>
    <w:rsid w:val="001C0185"/>
    <w:rsid w:val="001C0502"/>
    <w:rsid w:val="001C05A9"/>
    <w:rsid w:val="001C10DE"/>
    <w:rsid w:val="001C14F5"/>
    <w:rsid w:val="001C1553"/>
    <w:rsid w:val="001C158F"/>
    <w:rsid w:val="001C1BA3"/>
    <w:rsid w:val="001C1DCB"/>
    <w:rsid w:val="001C23C4"/>
    <w:rsid w:val="001C24A4"/>
    <w:rsid w:val="001C2869"/>
    <w:rsid w:val="001C307C"/>
    <w:rsid w:val="001C3BF7"/>
    <w:rsid w:val="001C3D67"/>
    <w:rsid w:val="001C3D6E"/>
    <w:rsid w:val="001C4777"/>
    <w:rsid w:val="001C4A18"/>
    <w:rsid w:val="001C4C1B"/>
    <w:rsid w:val="001C4E6C"/>
    <w:rsid w:val="001C4EA4"/>
    <w:rsid w:val="001C5019"/>
    <w:rsid w:val="001C5422"/>
    <w:rsid w:val="001C594E"/>
    <w:rsid w:val="001C5AE0"/>
    <w:rsid w:val="001C5BE1"/>
    <w:rsid w:val="001C5F2B"/>
    <w:rsid w:val="001C62AF"/>
    <w:rsid w:val="001C64E0"/>
    <w:rsid w:val="001C64F4"/>
    <w:rsid w:val="001C6F4F"/>
    <w:rsid w:val="001C704D"/>
    <w:rsid w:val="001C70CC"/>
    <w:rsid w:val="001D03CE"/>
    <w:rsid w:val="001D075A"/>
    <w:rsid w:val="001D08F8"/>
    <w:rsid w:val="001D0BAD"/>
    <w:rsid w:val="001D12C9"/>
    <w:rsid w:val="001D16DE"/>
    <w:rsid w:val="001D16FE"/>
    <w:rsid w:val="001D1F96"/>
    <w:rsid w:val="001D202B"/>
    <w:rsid w:val="001D2660"/>
    <w:rsid w:val="001D2873"/>
    <w:rsid w:val="001D2C7F"/>
    <w:rsid w:val="001D32AB"/>
    <w:rsid w:val="001D33DF"/>
    <w:rsid w:val="001D531A"/>
    <w:rsid w:val="001D5825"/>
    <w:rsid w:val="001D5B9F"/>
    <w:rsid w:val="001D5C42"/>
    <w:rsid w:val="001D63E8"/>
    <w:rsid w:val="001D6AD1"/>
    <w:rsid w:val="001D6CE5"/>
    <w:rsid w:val="001D6E02"/>
    <w:rsid w:val="001D6E6B"/>
    <w:rsid w:val="001D7370"/>
    <w:rsid w:val="001D771E"/>
    <w:rsid w:val="001D7A0C"/>
    <w:rsid w:val="001D7A1C"/>
    <w:rsid w:val="001D7DB4"/>
    <w:rsid w:val="001D7EC0"/>
    <w:rsid w:val="001E0297"/>
    <w:rsid w:val="001E029F"/>
    <w:rsid w:val="001E0782"/>
    <w:rsid w:val="001E11E3"/>
    <w:rsid w:val="001E14C3"/>
    <w:rsid w:val="001E15F4"/>
    <w:rsid w:val="001E1791"/>
    <w:rsid w:val="001E17C3"/>
    <w:rsid w:val="001E1BB8"/>
    <w:rsid w:val="001E1F57"/>
    <w:rsid w:val="001E24B9"/>
    <w:rsid w:val="001E2621"/>
    <w:rsid w:val="001E26D6"/>
    <w:rsid w:val="001E2E5E"/>
    <w:rsid w:val="001E2EAC"/>
    <w:rsid w:val="001E3175"/>
    <w:rsid w:val="001E35B8"/>
    <w:rsid w:val="001E395D"/>
    <w:rsid w:val="001E3CC3"/>
    <w:rsid w:val="001E3DAE"/>
    <w:rsid w:val="001E4123"/>
    <w:rsid w:val="001E48A9"/>
    <w:rsid w:val="001E4B44"/>
    <w:rsid w:val="001E4FC4"/>
    <w:rsid w:val="001E5F1C"/>
    <w:rsid w:val="001E6F69"/>
    <w:rsid w:val="001E70DC"/>
    <w:rsid w:val="001E7824"/>
    <w:rsid w:val="001E7902"/>
    <w:rsid w:val="001E79EC"/>
    <w:rsid w:val="001E7C5E"/>
    <w:rsid w:val="001F0B5D"/>
    <w:rsid w:val="001F0D69"/>
    <w:rsid w:val="001F11B3"/>
    <w:rsid w:val="001F13F2"/>
    <w:rsid w:val="001F19D2"/>
    <w:rsid w:val="001F23BF"/>
    <w:rsid w:val="001F2A5B"/>
    <w:rsid w:val="001F30B2"/>
    <w:rsid w:val="001F3304"/>
    <w:rsid w:val="001F378B"/>
    <w:rsid w:val="001F3AEA"/>
    <w:rsid w:val="001F3CC0"/>
    <w:rsid w:val="001F3CC2"/>
    <w:rsid w:val="001F3D08"/>
    <w:rsid w:val="001F4162"/>
    <w:rsid w:val="001F42CE"/>
    <w:rsid w:val="001F442C"/>
    <w:rsid w:val="001F443B"/>
    <w:rsid w:val="001F467B"/>
    <w:rsid w:val="001F551D"/>
    <w:rsid w:val="001F55F5"/>
    <w:rsid w:val="001F6630"/>
    <w:rsid w:val="001F6655"/>
    <w:rsid w:val="001F68A4"/>
    <w:rsid w:val="001F7027"/>
    <w:rsid w:val="001F74BE"/>
    <w:rsid w:val="001F7D97"/>
    <w:rsid w:val="00200687"/>
    <w:rsid w:val="00201049"/>
    <w:rsid w:val="002010F8"/>
    <w:rsid w:val="002011B9"/>
    <w:rsid w:val="002014E0"/>
    <w:rsid w:val="002019A6"/>
    <w:rsid w:val="00201EAA"/>
    <w:rsid w:val="0020230B"/>
    <w:rsid w:val="002025F9"/>
    <w:rsid w:val="00202C9D"/>
    <w:rsid w:val="002031FC"/>
    <w:rsid w:val="00203A99"/>
    <w:rsid w:val="00203AFF"/>
    <w:rsid w:val="0020422D"/>
    <w:rsid w:val="0020449F"/>
    <w:rsid w:val="00204BEE"/>
    <w:rsid w:val="00205D1E"/>
    <w:rsid w:val="00205E6F"/>
    <w:rsid w:val="002062E6"/>
    <w:rsid w:val="00206CE3"/>
    <w:rsid w:val="002071B6"/>
    <w:rsid w:val="00207953"/>
    <w:rsid w:val="00210045"/>
    <w:rsid w:val="00210361"/>
    <w:rsid w:val="00210A43"/>
    <w:rsid w:val="00210CD6"/>
    <w:rsid w:val="0021143D"/>
    <w:rsid w:val="00211452"/>
    <w:rsid w:val="002118C3"/>
    <w:rsid w:val="002118EF"/>
    <w:rsid w:val="00211E6B"/>
    <w:rsid w:val="002120E1"/>
    <w:rsid w:val="002125BF"/>
    <w:rsid w:val="00212615"/>
    <w:rsid w:val="00212BFE"/>
    <w:rsid w:val="00212EE9"/>
    <w:rsid w:val="00213EEE"/>
    <w:rsid w:val="00214134"/>
    <w:rsid w:val="00214187"/>
    <w:rsid w:val="002141CF"/>
    <w:rsid w:val="00214201"/>
    <w:rsid w:val="00214AF6"/>
    <w:rsid w:val="00215380"/>
    <w:rsid w:val="002153AF"/>
    <w:rsid w:val="0021555D"/>
    <w:rsid w:val="002162EB"/>
    <w:rsid w:val="0021687E"/>
    <w:rsid w:val="00216A0B"/>
    <w:rsid w:val="00216D3C"/>
    <w:rsid w:val="00217399"/>
    <w:rsid w:val="00217A02"/>
    <w:rsid w:val="002204C5"/>
    <w:rsid w:val="00220645"/>
    <w:rsid w:val="00220B41"/>
    <w:rsid w:val="00220D45"/>
    <w:rsid w:val="002214AE"/>
    <w:rsid w:val="00221A3B"/>
    <w:rsid w:val="00222E1B"/>
    <w:rsid w:val="002237EB"/>
    <w:rsid w:val="002238B4"/>
    <w:rsid w:val="00223908"/>
    <w:rsid w:val="00223C71"/>
    <w:rsid w:val="00223D72"/>
    <w:rsid w:val="0022400D"/>
    <w:rsid w:val="00224075"/>
    <w:rsid w:val="00224A20"/>
    <w:rsid w:val="00224B14"/>
    <w:rsid w:val="00225842"/>
    <w:rsid w:val="00225E45"/>
    <w:rsid w:val="002260EE"/>
    <w:rsid w:val="00226904"/>
    <w:rsid w:val="00226F08"/>
    <w:rsid w:val="00227572"/>
    <w:rsid w:val="002276F3"/>
    <w:rsid w:val="00227AAC"/>
    <w:rsid w:val="00227B66"/>
    <w:rsid w:val="002309E4"/>
    <w:rsid w:val="00230C63"/>
    <w:rsid w:val="00230FEF"/>
    <w:rsid w:val="00231285"/>
    <w:rsid w:val="00231F25"/>
    <w:rsid w:val="00232118"/>
    <w:rsid w:val="002321E2"/>
    <w:rsid w:val="00232429"/>
    <w:rsid w:val="00232611"/>
    <w:rsid w:val="002337C5"/>
    <w:rsid w:val="00233AFA"/>
    <w:rsid w:val="002340E5"/>
    <w:rsid w:val="002344A1"/>
    <w:rsid w:val="00234823"/>
    <w:rsid w:val="002349E0"/>
    <w:rsid w:val="00234BDA"/>
    <w:rsid w:val="0023534A"/>
    <w:rsid w:val="002354B8"/>
    <w:rsid w:val="00235830"/>
    <w:rsid w:val="002367F1"/>
    <w:rsid w:val="002369F4"/>
    <w:rsid w:val="00236D69"/>
    <w:rsid w:val="00237146"/>
    <w:rsid w:val="0023756D"/>
    <w:rsid w:val="00237571"/>
    <w:rsid w:val="002375C0"/>
    <w:rsid w:val="002378C1"/>
    <w:rsid w:val="002407F3"/>
    <w:rsid w:val="00240A91"/>
    <w:rsid w:val="00240B9E"/>
    <w:rsid w:val="00240FEC"/>
    <w:rsid w:val="0024207A"/>
    <w:rsid w:val="002428BA"/>
    <w:rsid w:val="00242DDB"/>
    <w:rsid w:val="002435F0"/>
    <w:rsid w:val="0024375B"/>
    <w:rsid w:val="00243787"/>
    <w:rsid w:val="00243A64"/>
    <w:rsid w:val="00243C45"/>
    <w:rsid w:val="0024429A"/>
    <w:rsid w:val="002444CC"/>
    <w:rsid w:val="002448A4"/>
    <w:rsid w:val="00244A1D"/>
    <w:rsid w:val="00244C08"/>
    <w:rsid w:val="00244CA3"/>
    <w:rsid w:val="00245065"/>
    <w:rsid w:val="002451FA"/>
    <w:rsid w:val="00245FB4"/>
    <w:rsid w:val="0024615C"/>
    <w:rsid w:val="00246526"/>
    <w:rsid w:val="00246593"/>
    <w:rsid w:val="0024675D"/>
    <w:rsid w:val="00246F4D"/>
    <w:rsid w:val="00247338"/>
    <w:rsid w:val="00247542"/>
    <w:rsid w:val="00247762"/>
    <w:rsid w:val="00247881"/>
    <w:rsid w:val="002478DA"/>
    <w:rsid w:val="00247F0E"/>
    <w:rsid w:val="0025014F"/>
    <w:rsid w:val="0025044D"/>
    <w:rsid w:val="0025052F"/>
    <w:rsid w:val="00250B7A"/>
    <w:rsid w:val="00250CA7"/>
    <w:rsid w:val="0025117D"/>
    <w:rsid w:val="00251A7E"/>
    <w:rsid w:val="00251B25"/>
    <w:rsid w:val="00251D48"/>
    <w:rsid w:val="00252BA6"/>
    <w:rsid w:val="002533C9"/>
    <w:rsid w:val="00253DB9"/>
    <w:rsid w:val="00253DE3"/>
    <w:rsid w:val="0025471E"/>
    <w:rsid w:val="00254C78"/>
    <w:rsid w:val="00254D76"/>
    <w:rsid w:val="00254EC2"/>
    <w:rsid w:val="00255566"/>
    <w:rsid w:val="00255670"/>
    <w:rsid w:val="00255799"/>
    <w:rsid w:val="002558A8"/>
    <w:rsid w:val="00255966"/>
    <w:rsid w:val="00255F83"/>
    <w:rsid w:val="002573A2"/>
    <w:rsid w:val="002575A2"/>
    <w:rsid w:val="002578F2"/>
    <w:rsid w:val="00257FAB"/>
    <w:rsid w:val="002603A4"/>
    <w:rsid w:val="00260728"/>
    <w:rsid w:val="0026080C"/>
    <w:rsid w:val="00261A23"/>
    <w:rsid w:val="00261B3D"/>
    <w:rsid w:val="00261DE1"/>
    <w:rsid w:val="00262451"/>
    <w:rsid w:val="00262B9D"/>
    <w:rsid w:val="00263231"/>
    <w:rsid w:val="002635FF"/>
    <w:rsid w:val="00263AEE"/>
    <w:rsid w:val="00263CE2"/>
    <w:rsid w:val="00264032"/>
    <w:rsid w:val="00264252"/>
    <w:rsid w:val="0026452F"/>
    <w:rsid w:val="00265AA2"/>
    <w:rsid w:val="00265C1B"/>
    <w:rsid w:val="00265E13"/>
    <w:rsid w:val="0026603F"/>
    <w:rsid w:val="00266304"/>
    <w:rsid w:val="002664FD"/>
    <w:rsid w:val="00266C7D"/>
    <w:rsid w:val="0026719D"/>
    <w:rsid w:val="0026724D"/>
    <w:rsid w:val="002672E1"/>
    <w:rsid w:val="002673F1"/>
    <w:rsid w:val="002675E0"/>
    <w:rsid w:val="00267814"/>
    <w:rsid w:val="0027050E"/>
    <w:rsid w:val="00271123"/>
    <w:rsid w:val="0027245B"/>
    <w:rsid w:val="00272E0A"/>
    <w:rsid w:val="00273035"/>
    <w:rsid w:val="00273689"/>
    <w:rsid w:val="002738F0"/>
    <w:rsid w:val="002739C5"/>
    <w:rsid w:val="002739F4"/>
    <w:rsid w:val="00273E68"/>
    <w:rsid w:val="00274415"/>
    <w:rsid w:val="002748C2"/>
    <w:rsid w:val="002753EA"/>
    <w:rsid w:val="00275B8E"/>
    <w:rsid w:val="00275D6A"/>
    <w:rsid w:val="00275E10"/>
    <w:rsid w:val="0027635A"/>
    <w:rsid w:val="002767D5"/>
    <w:rsid w:val="00276944"/>
    <w:rsid w:val="00276957"/>
    <w:rsid w:val="00276958"/>
    <w:rsid w:val="00276C92"/>
    <w:rsid w:val="002775D4"/>
    <w:rsid w:val="00277C80"/>
    <w:rsid w:val="0028087F"/>
    <w:rsid w:val="0028150B"/>
    <w:rsid w:val="002816F7"/>
    <w:rsid w:val="002819CD"/>
    <w:rsid w:val="002819D8"/>
    <w:rsid w:val="00281FAD"/>
    <w:rsid w:val="002821F7"/>
    <w:rsid w:val="00282A4E"/>
    <w:rsid w:val="00283FD9"/>
    <w:rsid w:val="00284865"/>
    <w:rsid w:val="00284A92"/>
    <w:rsid w:val="00284BD8"/>
    <w:rsid w:val="00284C11"/>
    <w:rsid w:val="00284D12"/>
    <w:rsid w:val="002858C9"/>
    <w:rsid w:val="00285A42"/>
    <w:rsid w:val="00285EBB"/>
    <w:rsid w:val="00285FB1"/>
    <w:rsid w:val="00286D41"/>
    <w:rsid w:val="00286EE6"/>
    <w:rsid w:val="002871D5"/>
    <w:rsid w:val="00287A87"/>
    <w:rsid w:val="00287B09"/>
    <w:rsid w:val="00290785"/>
    <w:rsid w:val="00290A0E"/>
    <w:rsid w:val="00290F9F"/>
    <w:rsid w:val="00291616"/>
    <w:rsid w:val="00291FB7"/>
    <w:rsid w:val="00292591"/>
    <w:rsid w:val="00292CAB"/>
    <w:rsid w:val="00293405"/>
    <w:rsid w:val="00293655"/>
    <w:rsid w:val="00293B88"/>
    <w:rsid w:val="00293BFE"/>
    <w:rsid w:val="00293D29"/>
    <w:rsid w:val="00294FB8"/>
    <w:rsid w:val="002950BF"/>
    <w:rsid w:val="00295542"/>
    <w:rsid w:val="00295B57"/>
    <w:rsid w:val="00295EC6"/>
    <w:rsid w:val="00295F56"/>
    <w:rsid w:val="00296495"/>
    <w:rsid w:val="0029684E"/>
    <w:rsid w:val="00296B15"/>
    <w:rsid w:val="00297343"/>
    <w:rsid w:val="00297510"/>
    <w:rsid w:val="00297948"/>
    <w:rsid w:val="00297CE3"/>
    <w:rsid w:val="002A020F"/>
    <w:rsid w:val="002A0240"/>
    <w:rsid w:val="002A04F0"/>
    <w:rsid w:val="002A05AF"/>
    <w:rsid w:val="002A08D5"/>
    <w:rsid w:val="002A0FA3"/>
    <w:rsid w:val="002A180B"/>
    <w:rsid w:val="002A1912"/>
    <w:rsid w:val="002A19FD"/>
    <w:rsid w:val="002A1A81"/>
    <w:rsid w:val="002A1EA4"/>
    <w:rsid w:val="002A2109"/>
    <w:rsid w:val="002A2481"/>
    <w:rsid w:val="002A2897"/>
    <w:rsid w:val="002A2E0D"/>
    <w:rsid w:val="002A32D8"/>
    <w:rsid w:val="002A331F"/>
    <w:rsid w:val="002A388E"/>
    <w:rsid w:val="002A38E5"/>
    <w:rsid w:val="002A3A23"/>
    <w:rsid w:val="002A4547"/>
    <w:rsid w:val="002A4768"/>
    <w:rsid w:val="002A49AD"/>
    <w:rsid w:val="002A4F05"/>
    <w:rsid w:val="002A5F66"/>
    <w:rsid w:val="002A6421"/>
    <w:rsid w:val="002A6601"/>
    <w:rsid w:val="002A6924"/>
    <w:rsid w:val="002A6ABB"/>
    <w:rsid w:val="002A78A1"/>
    <w:rsid w:val="002A7BD2"/>
    <w:rsid w:val="002A7D2A"/>
    <w:rsid w:val="002B069D"/>
    <w:rsid w:val="002B16B3"/>
    <w:rsid w:val="002B16C1"/>
    <w:rsid w:val="002B1815"/>
    <w:rsid w:val="002B1B27"/>
    <w:rsid w:val="002B1D15"/>
    <w:rsid w:val="002B1EE3"/>
    <w:rsid w:val="002B2312"/>
    <w:rsid w:val="002B26BB"/>
    <w:rsid w:val="002B2E1D"/>
    <w:rsid w:val="002B33AD"/>
    <w:rsid w:val="002B34A4"/>
    <w:rsid w:val="002B39D2"/>
    <w:rsid w:val="002B41FA"/>
    <w:rsid w:val="002B4A74"/>
    <w:rsid w:val="002B4BE9"/>
    <w:rsid w:val="002B4CCA"/>
    <w:rsid w:val="002B594A"/>
    <w:rsid w:val="002B59A5"/>
    <w:rsid w:val="002B5ACB"/>
    <w:rsid w:val="002B6377"/>
    <w:rsid w:val="002B67AC"/>
    <w:rsid w:val="002B6EB5"/>
    <w:rsid w:val="002B772D"/>
    <w:rsid w:val="002C0A49"/>
    <w:rsid w:val="002C0E44"/>
    <w:rsid w:val="002C1697"/>
    <w:rsid w:val="002C21B4"/>
    <w:rsid w:val="002C2353"/>
    <w:rsid w:val="002C26DE"/>
    <w:rsid w:val="002C2F3B"/>
    <w:rsid w:val="002C3687"/>
    <w:rsid w:val="002C37BF"/>
    <w:rsid w:val="002C3EDF"/>
    <w:rsid w:val="002C42FE"/>
    <w:rsid w:val="002C47F8"/>
    <w:rsid w:val="002C49A7"/>
    <w:rsid w:val="002C50BB"/>
    <w:rsid w:val="002C5161"/>
    <w:rsid w:val="002C59C4"/>
    <w:rsid w:val="002C5CA7"/>
    <w:rsid w:val="002C5D7A"/>
    <w:rsid w:val="002C655D"/>
    <w:rsid w:val="002C6C01"/>
    <w:rsid w:val="002C7037"/>
    <w:rsid w:val="002C776A"/>
    <w:rsid w:val="002C7ACD"/>
    <w:rsid w:val="002D04D4"/>
    <w:rsid w:val="002D104F"/>
    <w:rsid w:val="002D14DA"/>
    <w:rsid w:val="002D1766"/>
    <w:rsid w:val="002D17EF"/>
    <w:rsid w:val="002D1B2C"/>
    <w:rsid w:val="002D1F68"/>
    <w:rsid w:val="002D2CCB"/>
    <w:rsid w:val="002D3043"/>
    <w:rsid w:val="002D3CC9"/>
    <w:rsid w:val="002D456E"/>
    <w:rsid w:val="002D4C51"/>
    <w:rsid w:val="002D53C8"/>
    <w:rsid w:val="002D58D1"/>
    <w:rsid w:val="002D5ACA"/>
    <w:rsid w:val="002D62C8"/>
    <w:rsid w:val="002D6D84"/>
    <w:rsid w:val="002D70E2"/>
    <w:rsid w:val="002D7376"/>
    <w:rsid w:val="002D73FC"/>
    <w:rsid w:val="002D7518"/>
    <w:rsid w:val="002D75E2"/>
    <w:rsid w:val="002D7CC1"/>
    <w:rsid w:val="002E00DE"/>
    <w:rsid w:val="002E0769"/>
    <w:rsid w:val="002E1020"/>
    <w:rsid w:val="002E1422"/>
    <w:rsid w:val="002E16D4"/>
    <w:rsid w:val="002E1F22"/>
    <w:rsid w:val="002E1F51"/>
    <w:rsid w:val="002E20B2"/>
    <w:rsid w:val="002E24BB"/>
    <w:rsid w:val="002E25E8"/>
    <w:rsid w:val="002E2768"/>
    <w:rsid w:val="002E29CD"/>
    <w:rsid w:val="002E2DE4"/>
    <w:rsid w:val="002E31A2"/>
    <w:rsid w:val="002E322D"/>
    <w:rsid w:val="002E3403"/>
    <w:rsid w:val="002E395F"/>
    <w:rsid w:val="002E3B46"/>
    <w:rsid w:val="002E3B7F"/>
    <w:rsid w:val="002E3D90"/>
    <w:rsid w:val="002E3F1A"/>
    <w:rsid w:val="002E5409"/>
    <w:rsid w:val="002E55FF"/>
    <w:rsid w:val="002E59E6"/>
    <w:rsid w:val="002E6046"/>
    <w:rsid w:val="002E6948"/>
    <w:rsid w:val="002E72C1"/>
    <w:rsid w:val="002E78A7"/>
    <w:rsid w:val="002E7B83"/>
    <w:rsid w:val="002E7D5E"/>
    <w:rsid w:val="002F0887"/>
    <w:rsid w:val="002F13DC"/>
    <w:rsid w:val="002F1F18"/>
    <w:rsid w:val="002F22A8"/>
    <w:rsid w:val="002F2B93"/>
    <w:rsid w:val="002F2CB2"/>
    <w:rsid w:val="002F2CCA"/>
    <w:rsid w:val="002F329B"/>
    <w:rsid w:val="002F3324"/>
    <w:rsid w:val="002F348E"/>
    <w:rsid w:val="002F35DA"/>
    <w:rsid w:val="002F40C7"/>
    <w:rsid w:val="002F410E"/>
    <w:rsid w:val="002F516B"/>
    <w:rsid w:val="002F51ED"/>
    <w:rsid w:val="002F5616"/>
    <w:rsid w:val="002F618D"/>
    <w:rsid w:val="002F65DB"/>
    <w:rsid w:val="002F6671"/>
    <w:rsid w:val="002F695F"/>
    <w:rsid w:val="002F6C1A"/>
    <w:rsid w:val="002F72E8"/>
    <w:rsid w:val="002F72EC"/>
    <w:rsid w:val="002F74A0"/>
    <w:rsid w:val="002F77FF"/>
    <w:rsid w:val="002F79FF"/>
    <w:rsid w:val="002F7E48"/>
    <w:rsid w:val="00300BC2"/>
    <w:rsid w:val="00300DE1"/>
    <w:rsid w:val="00300F21"/>
    <w:rsid w:val="00301056"/>
    <w:rsid w:val="003013ED"/>
    <w:rsid w:val="003015B5"/>
    <w:rsid w:val="003015E0"/>
    <w:rsid w:val="00301F62"/>
    <w:rsid w:val="00302EEC"/>
    <w:rsid w:val="0030307A"/>
    <w:rsid w:val="00303164"/>
    <w:rsid w:val="0030322C"/>
    <w:rsid w:val="00303AF3"/>
    <w:rsid w:val="00303BA0"/>
    <w:rsid w:val="00303DDE"/>
    <w:rsid w:val="00305001"/>
    <w:rsid w:val="00305174"/>
    <w:rsid w:val="00305195"/>
    <w:rsid w:val="00305C70"/>
    <w:rsid w:val="00305D37"/>
    <w:rsid w:val="003060E7"/>
    <w:rsid w:val="00306369"/>
    <w:rsid w:val="00306918"/>
    <w:rsid w:val="00306E4F"/>
    <w:rsid w:val="003077CB"/>
    <w:rsid w:val="00310009"/>
    <w:rsid w:val="0031013C"/>
    <w:rsid w:val="0031015E"/>
    <w:rsid w:val="00310193"/>
    <w:rsid w:val="0031046A"/>
    <w:rsid w:val="003104CB"/>
    <w:rsid w:val="00310C1A"/>
    <w:rsid w:val="00310E4C"/>
    <w:rsid w:val="00311080"/>
    <w:rsid w:val="003110FB"/>
    <w:rsid w:val="00311413"/>
    <w:rsid w:val="00311E1E"/>
    <w:rsid w:val="003126B4"/>
    <w:rsid w:val="00312A1D"/>
    <w:rsid w:val="00312B6B"/>
    <w:rsid w:val="00312FEA"/>
    <w:rsid w:val="0031300E"/>
    <w:rsid w:val="0031368E"/>
    <w:rsid w:val="003136D1"/>
    <w:rsid w:val="00313782"/>
    <w:rsid w:val="0031386C"/>
    <w:rsid w:val="00313871"/>
    <w:rsid w:val="003146E2"/>
    <w:rsid w:val="0031475F"/>
    <w:rsid w:val="003149CF"/>
    <w:rsid w:val="00314A69"/>
    <w:rsid w:val="00315440"/>
    <w:rsid w:val="0031547A"/>
    <w:rsid w:val="0031623B"/>
    <w:rsid w:val="0031665F"/>
    <w:rsid w:val="003166CA"/>
    <w:rsid w:val="003173F4"/>
    <w:rsid w:val="00317713"/>
    <w:rsid w:val="003177F7"/>
    <w:rsid w:val="003179A4"/>
    <w:rsid w:val="00317FA8"/>
    <w:rsid w:val="0032004C"/>
    <w:rsid w:val="00320063"/>
    <w:rsid w:val="00320856"/>
    <w:rsid w:val="00320A45"/>
    <w:rsid w:val="00320C62"/>
    <w:rsid w:val="0032117B"/>
    <w:rsid w:val="0032125B"/>
    <w:rsid w:val="00321EC3"/>
    <w:rsid w:val="00322746"/>
    <w:rsid w:val="0032282D"/>
    <w:rsid w:val="00322BEA"/>
    <w:rsid w:val="00322D3F"/>
    <w:rsid w:val="003232FE"/>
    <w:rsid w:val="00323D9F"/>
    <w:rsid w:val="00323EDA"/>
    <w:rsid w:val="00324076"/>
    <w:rsid w:val="00324937"/>
    <w:rsid w:val="00324D08"/>
    <w:rsid w:val="00324FAF"/>
    <w:rsid w:val="00325139"/>
    <w:rsid w:val="00325F23"/>
    <w:rsid w:val="00326454"/>
    <w:rsid w:val="00326F25"/>
    <w:rsid w:val="00327048"/>
    <w:rsid w:val="003271A7"/>
    <w:rsid w:val="003271B8"/>
    <w:rsid w:val="003278B1"/>
    <w:rsid w:val="00327968"/>
    <w:rsid w:val="00330713"/>
    <w:rsid w:val="00330CF8"/>
    <w:rsid w:val="00331200"/>
    <w:rsid w:val="00331462"/>
    <w:rsid w:val="0033156B"/>
    <w:rsid w:val="00331BDF"/>
    <w:rsid w:val="00331EC2"/>
    <w:rsid w:val="003320E6"/>
    <w:rsid w:val="003324C6"/>
    <w:rsid w:val="00332AC0"/>
    <w:rsid w:val="00332B95"/>
    <w:rsid w:val="0033337C"/>
    <w:rsid w:val="00333C99"/>
    <w:rsid w:val="0033401E"/>
    <w:rsid w:val="003340C2"/>
    <w:rsid w:val="003342DF"/>
    <w:rsid w:val="003345B1"/>
    <w:rsid w:val="00334753"/>
    <w:rsid w:val="00334792"/>
    <w:rsid w:val="00334BAE"/>
    <w:rsid w:val="00334EB9"/>
    <w:rsid w:val="00334F17"/>
    <w:rsid w:val="003355D9"/>
    <w:rsid w:val="00335B19"/>
    <w:rsid w:val="00335E6A"/>
    <w:rsid w:val="00336275"/>
    <w:rsid w:val="003362AE"/>
    <w:rsid w:val="00336797"/>
    <w:rsid w:val="00336C73"/>
    <w:rsid w:val="00336DD9"/>
    <w:rsid w:val="00337312"/>
    <w:rsid w:val="003374B3"/>
    <w:rsid w:val="00337956"/>
    <w:rsid w:val="003400D3"/>
    <w:rsid w:val="003404EB"/>
    <w:rsid w:val="00340C84"/>
    <w:rsid w:val="00340C9C"/>
    <w:rsid w:val="00341504"/>
    <w:rsid w:val="0034169A"/>
    <w:rsid w:val="003417A6"/>
    <w:rsid w:val="00341B4B"/>
    <w:rsid w:val="00341D09"/>
    <w:rsid w:val="00341E7D"/>
    <w:rsid w:val="00342019"/>
    <w:rsid w:val="003426B9"/>
    <w:rsid w:val="00342D9D"/>
    <w:rsid w:val="0034335C"/>
    <w:rsid w:val="0034376E"/>
    <w:rsid w:val="00343971"/>
    <w:rsid w:val="00343A04"/>
    <w:rsid w:val="00343CFC"/>
    <w:rsid w:val="003440A9"/>
    <w:rsid w:val="0034458C"/>
    <w:rsid w:val="0034462B"/>
    <w:rsid w:val="00344EF9"/>
    <w:rsid w:val="003452C6"/>
    <w:rsid w:val="00345BE2"/>
    <w:rsid w:val="003463C0"/>
    <w:rsid w:val="0034661D"/>
    <w:rsid w:val="003466AC"/>
    <w:rsid w:val="003467AB"/>
    <w:rsid w:val="00346C26"/>
    <w:rsid w:val="0034711C"/>
    <w:rsid w:val="003477DD"/>
    <w:rsid w:val="00350096"/>
    <w:rsid w:val="003504E1"/>
    <w:rsid w:val="003506EF"/>
    <w:rsid w:val="003508C0"/>
    <w:rsid w:val="00350A88"/>
    <w:rsid w:val="003512DC"/>
    <w:rsid w:val="003514F9"/>
    <w:rsid w:val="00351514"/>
    <w:rsid w:val="00351B1A"/>
    <w:rsid w:val="00351B86"/>
    <w:rsid w:val="00351D56"/>
    <w:rsid w:val="00351EE0"/>
    <w:rsid w:val="00351F22"/>
    <w:rsid w:val="003521BE"/>
    <w:rsid w:val="00352993"/>
    <w:rsid w:val="00352C95"/>
    <w:rsid w:val="00353108"/>
    <w:rsid w:val="00353340"/>
    <w:rsid w:val="003536B1"/>
    <w:rsid w:val="003536DD"/>
    <w:rsid w:val="003538DB"/>
    <w:rsid w:val="00353FEE"/>
    <w:rsid w:val="00354084"/>
    <w:rsid w:val="003542BF"/>
    <w:rsid w:val="003547FD"/>
    <w:rsid w:val="00354A35"/>
    <w:rsid w:val="00354AB4"/>
    <w:rsid w:val="00354FDD"/>
    <w:rsid w:val="003553B2"/>
    <w:rsid w:val="00355769"/>
    <w:rsid w:val="00355AD0"/>
    <w:rsid w:val="0035625F"/>
    <w:rsid w:val="003564EE"/>
    <w:rsid w:val="003565A9"/>
    <w:rsid w:val="003572A9"/>
    <w:rsid w:val="0035752B"/>
    <w:rsid w:val="00357B80"/>
    <w:rsid w:val="00357CCA"/>
    <w:rsid w:val="003603EE"/>
    <w:rsid w:val="00360508"/>
    <w:rsid w:val="00360641"/>
    <w:rsid w:val="0036066D"/>
    <w:rsid w:val="00360B8E"/>
    <w:rsid w:val="003610D0"/>
    <w:rsid w:val="003615ED"/>
    <w:rsid w:val="00361BE4"/>
    <w:rsid w:val="003624AD"/>
    <w:rsid w:val="00362F98"/>
    <w:rsid w:val="00363062"/>
    <w:rsid w:val="0036358D"/>
    <w:rsid w:val="003636CD"/>
    <w:rsid w:val="0036375B"/>
    <w:rsid w:val="0036383D"/>
    <w:rsid w:val="00363F66"/>
    <w:rsid w:val="00364002"/>
    <w:rsid w:val="0036407D"/>
    <w:rsid w:val="003640E2"/>
    <w:rsid w:val="00364605"/>
    <w:rsid w:val="003647EA"/>
    <w:rsid w:val="00364897"/>
    <w:rsid w:val="00365226"/>
    <w:rsid w:val="00365348"/>
    <w:rsid w:val="003658C4"/>
    <w:rsid w:val="00365F61"/>
    <w:rsid w:val="00366142"/>
    <w:rsid w:val="003661A9"/>
    <w:rsid w:val="003664AF"/>
    <w:rsid w:val="00366556"/>
    <w:rsid w:val="00366889"/>
    <w:rsid w:val="00366947"/>
    <w:rsid w:val="00366A57"/>
    <w:rsid w:val="00366AF2"/>
    <w:rsid w:val="0036778F"/>
    <w:rsid w:val="00367CCA"/>
    <w:rsid w:val="0037034C"/>
    <w:rsid w:val="00370E15"/>
    <w:rsid w:val="00371057"/>
    <w:rsid w:val="00371099"/>
    <w:rsid w:val="003714B8"/>
    <w:rsid w:val="00371F0C"/>
    <w:rsid w:val="00371F3F"/>
    <w:rsid w:val="00372E5B"/>
    <w:rsid w:val="00372EF9"/>
    <w:rsid w:val="00373486"/>
    <w:rsid w:val="00373853"/>
    <w:rsid w:val="00373870"/>
    <w:rsid w:val="0037388C"/>
    <w:rsid w:val="003745AC"/>
    <w:rsid w:val="003745C5"/>
    <w:rsid w:val="00374B95"/>
    <w:rsid w:val="00375472"/>
    <w:rsid w:val="00375C2A"/>
    <w:rsid w:val="003766C8"/>
    <w:rsid w:val="00376A01"/>
    <w:rsid w:val="00376F74"/>
    <w:rsid w:val="00380281"/>
    <w:rsid w:val="0038074B"/>
    <w:rsid w:val="00380D77"/>
    <w:rsid w:val="00381B4C"/>
    <w:rsid w:val="00381C67"/>
    <w:rsid w:val="0038235E"/>
    <w:rsid w:val="00382428"/>
    <w:rsid w:val="003828AA"/>
    <w:rsid w:val="0038291A"/>
    <w:rsid w:val="00382D22"/>
    <w:rsid w:val="003831F6"/>
    <w:rsid w:val="00383A6C"/>
    <w:rsid w:val="00383D08"/>
    <w:rsid w:val="0038410B"/>
    <w:rsid w:val="00384301"/>
    <w:rsid w:val="0038457A"/>
    <w:rsid w:val="00384CB7"/>
    <w:rsid w:val="00385006"/>
    <w:rsid w:val="003852E5"/>
    <w:rsid w:val="003853F0"/>
    <w:rsid w:val="0038611B"/>
    <w:rsid w:val="003861CD"/>
    <w:rsid w:val="0038684E"/>
    <w:rsid w:val="003869A4"/>
    <w:rsid w:val="00386A85"/>
    <w:rsid w:val="00386E16"/>
    <w:rsid w:val="00386EE9"/>
    <w:rsid w:val="0038717C"/>
    <w:rsid w:val="00387370"/>
    <w:rsid w:val="003908B3"/>
    <w:rsid w:val="003909B6"/>
    <w:rsid w:val="00390A3D"/>
    <w:rsid w:val="00391328"/>
    <w:rsid w:val="003916AD"/>
    <w:rsid w:val="00391B6C"/>
    <w:rsid w:val="00391F4A"/>
    <w:rsid w:val="003924B8"/>
    <w:rsid w:val="003929B2"/>
    <w:rsid w:val="003929C7"/>
    <w:rsid w:val="00392A43"/>
    <w:rsid w:val="00392D53"/>
    <w:rsid w:val="00392EA1"/>
    <w:rsid w:val="00393B11"/>
    <w:rsid w:val="00393EDA"/>
    <w:rsid w:val="00394410"/>
    <w:rsid w:val="0039511D"/>
    <w:rsid w:val="0039530C"/>
    <w:rsid w:val="00395C55"/>
    <w:rsid w:val="003962F9"/>
    <w:rsid w:val="00396C36"/>
    <w:rsid w:val="00396DEE"/>
    <w:rsid w:val="003971D6"/>
    <w:rsid w:val="0039771A"/>
    <w:rsid w:val="003A0E48"/>
    <w:rsid w:val="003A1ABF"/>
    <w:rsid w:val="003A1F9F"/>
    <w:rsid w:val="003A2817"/>
    <w:rsid w:val="003A2F14"/>
    <w:rsid w:val="003A3C22"/>
    <w:rsid w:val="003A3DC8"/>
    <w:rsid w:val="003A4121"/>
    <w:rsid w:val="003A48A5"/>
    <w:rsid w:val="003A4BF7"/>
    <w:rsid w:val="003A4E74"/>
    <w:rsid w:val="003A58D1"/>
    <w:rsid w:val="003A5CAE"/>
    <w:rsid w:val="003A5EBA"/>
    <w:rsid w:val="003A6FEC"/>
    <w:rsid w:val="003A706C"/>
    <w:rsid w:val="003A7433"/>
    <w:rsid w:val="003B0DCC"/>
    <w:rsid w:val="003B0FB9"/>
    <w:rsid w:val="003B0FD6"/>
    <w:rsid w:val="003B10C8"/>
    <w:rsid w:val="003B1809"/>
    <w:rsid w:val="003B18A4"/>
    <w:rsid w:val="003B1D49"/>
    <w:rsid w:val="003B1FA8"/>
    <w:rsid w:val="003B1FF8"/>
    <w:rsid w:val="003B22B2"/>
    <w:rsid w:val="003B279B"/>
    <w:rsid w:val="003B2F07"/>
    <w:rsid w:val="003B2F10"/>
    <w:rsid w:val="003B2FBE"/>
    <w:rsid w:val="003B3061"/>
    <w:rsid w:val="003B3181"/>
    <w:rsid w:val="003B34F4"/>
    <w:rsid w:val="003B3AD4"/>
    <w:rsid w:val="003B3BCA"/>
    <w:rsid w:val="003B3D40"/>
    <w:rsid w:val="003B4161"/>
    <w:rsid w:val="003B461A"/>
    <w:rsid w:val="003B463D"/>
    <w:rsid w:val="003B4CAA"/>
    <w:rsid w:val="003B5C7F"/>
    <w:rsid w:val="003B5E20"/>
    <w:rsid w:val="003B5F52"/>
    <w:rsid w:val="003B61BF"/>
    <w:rsid w:val="003B62E8"/>
    <w:rsid w:val="003B6CA5"/>
    <w:rsid w:val="003B6D8D"/>
    <w:rsid w:val="003B701F"/>
    <w:rsid w:val="003B7290"/>
    <w:rsid w:val="003B77EB"/>
    <w:rsid w:val="003B7CF5"/>
    <w:rsid w:val="003C05B9"/>
    <w:rsid w:val="003C0675"/>
    <w:rsid w:val="003C06E8"/>
    <w:rsid w:val="003C0B82"/>
    <w:rsid w:val="003C119B"/>
    <w:rsid w:val="003C1282"/>
    <w:rsid w:val="003C1906"/>
    <w:rsid w:val="003C1962"/>
    <w:rsid w:val="003C1E23"/>
    <w:rsid w:val="003C240E"/>
    <w:rsid w:val="003C2460"/>
    <w:rsid w:val="003C2712"/>
    <w:rsid w:val="003C2FD2"/>
    <w:rsid w:val="003C3359"/>
    <w:rsid w:val="003C3FFF"/>
    <w:rsid w:val="003C433D"/>
    <w:rsid w:val="003C43CB"/>
    <w:rsid w:val="003C459E"/>
    <w:rsid w:val="003C49DD"/>
    <w:rsid w:val="003C4D36"/>
    <w:rsid w:val="003C5144"/>
    <w:rsid w:val="003C5ADE"/>
    <w:rsid w:val="003C6126"/>
    <w:rsid w:val="003C6179"/>
    <w:rsid w:val="003C61FF"/>
    <w:rsid w:val="003C658B"/>
    <w:rsid w:val="003C6B14"/>
    <w:rsid w:val="003C6DB7"/>
    <w:rsid w:val="003C713E"/>
    <w:rsid w:val="003C71E5"/>
    <w:rsid w:val="003C7388"/>
    <w:rsid w:val="003C7475"/>
    <w:rsid w:val="003C77AE"/>
    <w:rsid w:val="003C77BB"/>
    <w:rsid w:val="003D034C"/>
    <w:rsid w:val="003D0C42"/>
    <w:rsid w:val="003D1AD4"/>
    <w:rsid w:val="003D1BC5"/>
    <w:rsid w:val="003D224E"/>
    <w:rsid w:val="003D3282"/>
    <w:rsid w:val="003D35A3"/>
    <w:rsid w:val="003D360C"/>
    <w:rsid w:val="003D393F"/>
    <w:rsid w:val="003D3981"/>
    <w:rsid w:val="003D46C4"/>
    <w:rsid w:val="003D482D"/>
    <w:rsid w:val="003D4C0D"/>
    <w:rsid w:val="003D5B11"/>
    <w:rsid w:val="003D5B90"/>
    <w:rsid w:val="003D5DC1"/>
    <w:rsid w:val="003D5FB9"/>
    <w:rsid w:val="003D6071"/>
    <w:rsid w:val="003D6405"/>
    <w:rsid w:val="003D67B8"/>
    <w:rsid w:val="003D683B"/>
    <w:rsid w:val="003D6F62"/>
    <w:rsid w:val="003D72D6"/>
    <w:rsid w:val="003D73FE"/>
    <w:rsid w:val="003D740A"/>
    <w:rsid w:val="003D78D1"/>
    <w:rsid w:val="003E0B0A"/>
    <w:rsid w:val="003E0CAC"/>
    <w:rsid w:val="003E0F84"/>
    <w:rsid w:val="003E1228"/>
    <w:rsid w:val="003E1659"/>
    <w:rsid w:val="003E193B"/>
    <w:rsid w:val="003E1B6C"/>
    <w:rsid w:val="003E1C45"/>
    <w:rsid w:val="003E1E3E"/>
    <w:rsid w:val="003E24DB"/>
    <w:rsid w:val="003E277C"/>
    <w:rsid w:val="003E280C"/>
    <w:rsid w:val="003E2B04"/>
    <w:rsid w:val="003E2D69"/>
    <w:rsid w:val="003E2F04"/>
    <w:rsid w:val="003E3598"/>
    <w:rsid w:val="003E378A"/>
    <w:rsid w:val="003E3FBB"/>
    <w:rsid w:val="003E4129"/>
    <w:rsid w:val="003E47C4"/>
    <w:rsid w:val="003E5173"/>
    <w:rsid w:val="003E5785"/>
    <w:rsid w:val="003E587D"/>
    <w:rsid w:val="003E5C66"/>
    <w:rsid w:val="003E5E1F"/>
    <w:rsid w:val="003E5ECA"/>
    <w:rsid w:val="003E617A"/>
    <w:rsid w:val="003E65F9"/>
    <w:rsid w:val="003E6B9E"/>
    <w:rsid w:val="003E6D98"/>
    <w:rsid w:val="003E6F1B"/>
    <w:rsid w:val="003E7346"/>
    <w:rsid w:val="003E7486"/>
    <w:rsid w:val="003E74A5"/>
    <w:rsid w:val="003E7582"/>
    <w:rsid w:val="003E785A"/>
    <w:rsid w:val="003F0098"/>
    <w:rsid w:val="003F2062"/>
    <w:rsid w:val="003F2206"/>
    <w:rsid w:val="003F285D"/>
    <w:rsid w:val="003F29F0"/>
    <w:rsid w:val="003F315E"/>
    <w:rsid w:val="003F347A"/>
    <w:rsid w:val="003F4639"/>
    <w:rsid w:val="003F4A24"/>
    <w:rsid w:val="003F4B3F"/>
    <w:rsid w:val="003F4C4B"/>
    <w:rsid w:val="003F4C56"/>
    <w:rsid w:val="003F53D9"/>
    <w:rsid w:val="003F5978"/>
    <w:rsid w:val="003F6549"/>
    <w:rsid w:val="003F6A35"/>
    <w:rsid w:val="003F6F24"/>
    <w:rsid w:val="003F720D"/>
    <w:rsid w:val="003F7552"/>
    <w:rsid w:val="003F7653"/>
    <w:rsid w:val="003F7EE5"/>
    <w:rsid w:val="00400093"/>
    <w:rsid w:val="00400982"/>
    <w:rsid w:val="00400C54"/>
    <w:rsid w:val="00400E68"/>
    <w:rsid w:val="00400F0B"/>
    <w:rsid w:val="00401B52"/>
    <w:rsid w:val="00402198"/>
    <w:rsid w:val="00402350"/>
    <w:rsid w:val="00402967"/>
    <w:rsid w:val="00402A74"/>
    <w:rsid w:val="00402E80"/>
    <w:rsid w:val="00402FC2"/>
    <w:rsid w:val="004031AA"/>
    <w:rsid w:val="00403C0B"/>
    <w:rsid w:val="004040E5"/>
    <w:rsid w:val="004042FA"/>
    <w:rsid w:val="004044C5"/>
    <w:rsid w:val="00404650"/>
    <w:rsid w:val="0040467D"/>
    <w:rsid w:val="004053DF"/>
    <w:rsid w:val="0040551A"/>
    <w:rsid w:val="0040584D"/>
    <w:rsid w:val="00406412"/>
    <w:rsid w:val="0040684F"/>
    <w:rsid w:val="004068FF"/>
    <w:rsid w:val="00406965"/>
    <w:rsid w:val="00407872"/>
    <w:rsid w:val="00407B84"/>
    <w:rsid w:val="00407C4F"/>
    <w:rsid w:val="00407F6E"/>
    <w:rsid w:val="00407FA6"/>
    <w:rsid w:val="00410660"/>
    <w:rsid w:val="0041091B"/>
    <w:rsid w:val="00410C55"/>
    <w:rsid w:val="00410CE5"/>
    <w:rsid w:val="004115DB"/>
    <w:rsid w:val="00411B9E"/>
    <w:rsid w:val="00411CF9"/>
    <w:rsid w:val="0041242B"/>
    <w:rsid w:val="00412B06"/>
    <w:rsid w:val="00413146"/>
    <w:rsid w:val="0041326B"/>
    <w:rsid w:val="004133FE"/>
    <w:rsid w:val="00413A74"/>
    <w:rsid w:val="00413E75"/>
    <w:rsid w:val="00414893"/>
    <w:rsid w:val="00414A86"/>
    <w:rsid w:val="00414B97"/>
    <w:rsid w:val="00414BCC"/>
    <w:rsid w:val="00415810"/>
    <w:rsid w:val="004158A3"/>
    <w:rsid w:val="00415E1A"/>
    <w:rsid w:val="00416014"/>
    <w:rsid w:val="00416569"/>
    <w:rsid w:val="004165C4"/>
    <w:rsid w:val="00416C27"/>
    <w:rsid w:val="00417222"/>
    <w:rsid w:val="00420125"/>
    <w:rsid w:val="0042057C"/>
    <w:rsid w:val="00420692"/>
    <w:rsid w:val="00420CEB"/>
    <w:rsid w:val="00421963"/>
    <w:rsid w:val="0042196C"/>
    <w:rsid w:val="00421C8E"/>
    <w:rsid w:val="004224F3"/>
    <w:rsid w:val="00422DA8"/>
    <w:rsid w:val="004230C4"/>
    <w:rsid w:val="004230CD"/>
    <w:rsid w:val="00423283"/>
    <w:rsid w:val="004232B5"/>
    <w:rsid w:val="004235B1"/>
    <w:rsid w:val="00423828"/>
    <w:rsid w:val="00423FAC"/>
    <w:rsid w:val="004240C7"/>
    <w:rsid w:val="004253C4"/>
    <w:rsid w:val="00425DC0"/>
    <w:rsid w:val="00426370"/>
    <w:rsid w:val="00426EAE"/>
    <w:rsid w:val="0042704D"/>
    <w:rsid w:val="00427713"/>
    <w:rsid w:val="0042786F"/>
    <w:rsid w:val="00427C5B"/>
    <w:rsid w:val="00427E80"/>
    <w:rsid w:val="00430B92"/>
    <w:rsid w:val="00430FBE"/>
    <w:rsid w:val="00430FBF"/>
    <w:rsid w:val="00431049"/>
    <w:rsid w:val="00431A0F"/>
    <w:rsid w:val="00431EC4"/>
    <w:rsid w:val="00432224"/>
    <w:rsid w:val="00432A43"/>
    <w:rsid w:val="00433128"/>
    <w:rsid w:val="00433169"/>
    <w:rsid w:val="00433208"/>
    <w:rsid w:val="004333F5"/>
    <w:rsid w:val="004338A1"/>
    <w:rsid w:val="00434891"/>
    <w:rsid w:val="00434E82"/>
    <w:rsid w:val="004352A7"/>
    <w:rsid w:val="004354D9"/>
    <w:rsid w:val="004355E7"/>
    <w:rsid w:val="004359E4"/>
    <w:rsid w:val="00435A02"/>
    <w:rsid w:val="004361CB"/>
    <w:rsid w:val="00436CA9"/>
    <w:rsid w:val="00437235"/>
    <w:rsid w:val="0043724A"/>
    <w:rsid w:val="004372FD"/>
    <w:rsid w:val="004374D7"/>
    <w:rsid w:val="00437916"/>
    <w:rsid w:val="00437A00"/>
    <w:rsid w:val="00437BB7"/>
    <w:rsid w:val="00437D91"/>
    <w:rsid w:val="004404EA"/>
    <w:rsid w:val="0044072D"/>
    <w:rsid w:val="004408BB"/>
    <w:rsid w:val="00440D83"/>
    <w:rsid w:val="0044169A"/>
    <w:rsid w:val="00441924"/>
    <w:rsid w:val="00441CB5"/>
    <w:rsid w:val="00442505"/>
    <w:rsid w:val="0044274A"/>
    <w:rsid w:val="00442934"/>
    <w:rsid w:val="0044307B"/>
    <w:rsid w:val="0044333D"/>
    <w:rsid w:val="0044343C"/>
    <w:rsid w:val="00443736"/>
    <w:rsid w:val="00443C1F"/>
    <w:rsid w:val="00444433"/>
    <w:rsid w:val="0044514F"/>
    <w:rsid w:val="00445333"/>
    <w:rsid w:val="00445356"/>
    <w:rsid w:val="00445876"/>
    <w:rsid w:val="00445F17"/>
    <w:rsid w:val="0044684F"/>
    <w:rsid w:val="00446A9B"/>
    <w:rsid w:val="00446B1C"/>
    <w:rsid w:val="004471F4"/>
    <w:rsid w:val="004474FB"/>
    <w:rsid w:val="0044779D"/>
    <w:rsid w:val="00447DF6"/>
    <w:rsid w:val="0045005C"/>
    <w:rsid w:val="00450B58"/>
    <w:rsid w:val="00451504"/>
    <w:rsid w:val="004516E8"/>
    <w:rsid w:val="00452427"/>
    <w:rsid w:val="004528BC"/>
    <w:rsid w:val="004531E1"/>
    <w:rsid w:val="004536F2"/>
    <w:rsid w:val="00453880"/>
    <w:rsid w:val="004538B1"/>
    <w:rsid w:val="00453B34"/>
    <w:rsid w:val="00453CCC"/>
    <w:rsid w:val="0045434B"/>
    <w:rsid w:val="004545EA"/>
    <w:rsid w:val="00454D87"/>
    <w:rsid w:val="00454ED3"/>
    <w:rsid w:val="00455140"/>
    <w:rsid w:val="0045552C"/>
    <w:rsid w:val="00455CA3"/>
    <w:rsid w:val="00455E72"/>
    <w:rsid w:val="00455F77"/>
    <w:rsid w:val="00456CB5"/>
    <w:rsid w:val="00456F01"/>
    <w:rsid w:val="00457362"/>
    <w:rsid w:val="00460317"/>
    <w:rsid w:val="00460415"/>
    <w:rsid w:val="00460533"/>
    <w:rsid w:val="004610A3"/>
    <w:rsid w:val="004615C2"/>
    <w:rsid w:val="00461B1A"/>
    <w:rsid w:val="00461BBD"/>
    <w:rsid w:val="00461C49"/>
    <w:rsid w:val="0046206E"/>
    <w:rsid w:val="0046226F"/>
    <w:rsid w:val="004623A2"/>
    <w:rsid w:val="00462CD3"/>
    <w:rsid w:val="0046363F"/>
    <w:rsid w:val="00463CBA"/>
    <w:rsid w:val="00463F3C"/>
    <w:rsid w:val="00464171"/>
    <w:rsid w:val="00464584"/>
    <w:rsid w:val="004646D6"/>
    <w:rsid w:val="00464CFC"/>
    <w:rsid w:val="00464E0E"/>
    <w:rsid w:val="0046534B"/>
    <w:rsid w:val="00465751"/>
    <w:rsid w:val="00465C94"/>
    <w:rsid w:val="00465FC3"/>
    <w:rsid w:val="004662E6"/>
    <w:rsid w:val="00466AC0"/>
    <w:rsid w:val="004670A4"/>
    <w:rsid w:val="004673B7"/>
    <w:rsid w:val="00467C66"/>
    <w:rsid w:val="004700B4"/>
    <w:rsid w:val="0047018E"/>
    <w:rsid w:val="00470238"/>
    <w:rsid w:val="0047026F"/>
    <w:rsid w:val="00470486"/>
    <w:rsid w:val="004704F1"/>
    <w:rsid w:val="00470699"/>
    <w:rsid w:val="004710CA"/>
    <w:rsid w:val="0047161D"/>
    <w:rsid w:val="00473087"/>
    <w:rsid w:val="00473E84"/>
    <w:rsid w:val="00473EB2"/>
    <w:rsid w:val="0047428F"/>
    <w:rsid w:val="00474587"/>
    <w:rsid w:val="00474C07"/>
    <w:rsid w:val="00474ECD"/>
    <w:rsid w:val="00475341"/>
    <w:rsid w:val="00475E0B"/>
    <w:rsid w:val="00476610"/>
    <w:rsid w:val="00476AB4"/>
    <w:rsid w:val="00476EE7"/>
    <w:rsid w:val="00477276"/>
    <w:rsid w:val="004772F3"/>
    <w:rsid w:val="0047732C"/>
    <w:rsid w:val="004776A5"/>
    <w:rsid w:val="00477745"/>
    <w:rsid w:val="00477FA6"/>
    <w:rsid w:val="004807B2"/>
    <w:rsid w:val="00480F7D"/>
    <w:rsid w:val="004817D3"/>
    <w:rsid w:val="00481B28"/>
    <w:rsid w:val="00482021"/>
    <w:rsid w:val="00482119"/>
    <w:rsid w:val="0048256B"/>
    <w:rsid w:val="0048330C"/>
    <w:rsid w:val="00483749"/>
    <w:rsid w:val="00483753"/>
    <w:rsid w:val="00483D6E"/>
    <w:rsid w:val="004845BB"/>
    <w:rsid w:val="00485C5D"/>
    <w:rsid w:val="00485D3F"/>
    <w:rsid w:val="00486935"/>
    <w:rsid w:val="00486941"/>
    <w:rsid w:val="00486CEB"/>
    <w:rsid w:val="00486DB5"/>
    <w:rsid w:val="00487010"/>
    <w:rsid w:val="00487208"/>
    <w:rsid w:val="0048743B"/>
    <w:rsid w:val="00487608"/>
    <w:rsid w:val="00487A74"/>
    <w:rsid w:val="0049095F"/>
    <w:rsid w:val="00490A01"/>
    <w:rsid w:val="00490CA1"/>
    <w:rsid w:val="00490CD5"/>
    <w:rsid w:val="004912F8"/>
    <w:rsid w:val="004916F2"/>
    <w:rsid w:val="0049185E"/>
    <w:rsid w:val="00491A61"/>
    <w:rsid w:val="0049225D"/>
    <w:rsid w:val="00492C2D"/>
    <w:rsid w:val="00492FCE"/>
    <w:rsid w:val="004934E1"/>
    <w:rsid w:val="004943AE"/>
    <w:rsid w:val="0049450A"/>
    <w:rsid w:val="0049498C"/>
    <w:rsid w:val="00494C6E"/>
    <w:rsid w:val="0049524D"/>
    <w:rsid w:val="00495A02"/>
    <w:rsid w:val="00495D77"/>
    <w:rsid w:val="00495DFF"/>
    <w:rsid w:val="00495E85"/>
    <w:rsid w:val="0049605A"/>
    <w:rsid w:val="00496786"/>
    <w:rsid w:val="00496991"/>
    <w:rsid w:val="00496CF1"/>
    <w:rsid w:val="00497352"/>
    <w:rsid w:val="00497ED1"/>
    <w:rsid w:val="004A0967"/>
    <w:rsid w:val="004A0D7A"/>
    <w:rsid w:val="004A1705"/>
    <w:rsid w:val="004A196E"/>
    <w:rsid w:val="004A1A7C"/>
    <w:rsid w:val="004A1CC9"/>
    <w:rsid w:val="004A224D"/>
    <w:rsid w:val="004A234B"/>
    <w:rsid w:val="004A2378"/>
    <w:rsid w:val="004A26E2"/>
    <w:rsid w:val="004A2A21"/>
    <w:rsid w:val="004A3796"/>
    <w:rsid w:val="004A3CE0"/>
    <w:rsid w:val="004A3DA6"/>
    <w:rsid w:val="004A4727"/>
    <w:rsid w:val="004A4891"/>
    <w:rsid w:val="004A4A23"/>
    <w:rsid w:val="004A4A2A"/>
    <w:rsid w:val="004A4CC4"/>
    <w:rsid w:val="004A4F19"/>
    <w:rsid w:val="004A580A"/>
    <w:rsid w:val="004A5FB8"/>
    <w:rsid w:val="004A6004"/>
    <w:rsid w:val="004A6B88"/>
    <w:rsid w:val="004A6BF9"/>
    <w:rsid w:val="004A6C99"/>
    <w:rsid w:val="004A71EA"/>
    <w:rsid w:val="004A75CD"/>
    <w:rsid w:val="004A7BED"/>
    <w:rsid w:val="004A7C42"/>
    <w:rsid w:val="004A7F28"/>
    <w:rsid w:val="004B034E"/>
    <w:rsid w:val="004B0B2E"/>
    <w:rsid w:val="004B0C6D"/>
    <w:rsid w:val="004B0F05"/>
    <w:rsid w:val="004B17FB"/>
    <w:rsid w:val="004B1EA0"/>
    <w:rsid w:val="004B2D8A"/>
    <w:rsid w:val="004B2ED9"/>
    <w:rsid w:val="004B32B1"/>
    <w:rsid w:val="004B3B8F"/>
    <w:rsid w:val="004B42B2"/>
    <w:rsid w:val="004B4B4E"/>
    <w:rsid w:val="004B4C77"/>
    <w:rsid w:val="004B4DE0"/>
    <w:rsid w:val="004B4E09"/>
    <w:rsid w:val="004B52ED"/>
    <w:rsid w:val="004B5A26"/>
    <w:rsid w:val="004B5F7F"/>
    <w:rsid w:val="004B664B"/>
    <w:rsid w:val="004B6D33"/>
    <w:rsid w:val="004B78AF"/>
    <w:rsid w:val="004B7AD2"/>
    <w:rsid w:val="004B7AEA"/>
    <w:rsid w:val="004B7FB4"/>
    <w:rsid w:val="004C0753"/>
    <w:rsid w:val="004C0DF9"/>
    <w:rsid w:val="004C0E2A"/>
    <w:rsid w:val="004C0ECA"/>
    <w:rsid w:val="004C143C"/>
    <w:rsid w:val="004C1CE0"/>
    <w:rsid w:val="004C23FE"/>
    <w:rsid w:val="004C2450"/>
    <w:rsid w:val="004C24A6"/>
    <w:rsid w:val="004C3653"/>
    <w:rsid w:val="004C3A9C"/>
    <w:rsid w:val="004C3AC3"/>
    <w:rsid w:val="004C3FAE"/>
    <w:rsid w:val="004C40E1"/>
    <w:rsid w:val="004C4158"/>
    <w:rsid w:val="004C489D"/>
    <w:rsid w:val="004C50AD"/>
    <w:rsid w:val="004C526B"/>
    <w:rsid w:val="004C5887"/>
    <w:rsid w:val="004C5C24"/>
    <w:rsid w:val="004C60D3"/>
    <w:rsid w:val="004C65AA"/>
    <w:rsid w:val="004C6C85"/>
    <w:rsid w:val="004C6FC3"/>
    <w:rsid w:val="004C7287"/>
    <w:rsid w:val="004C7328"/>
    <w:rsid w:val="004C744A"/>
    <w:rsid w:val="004C768A"/>
    <w:rsid w:val="004D0321"/>
    <w:rsid w:val="004D0814"/>
    <w:rsid w:val="004D088D"/>
    <w:rsid w:val="004D1103"/>
    <w:rsid w:val="004D3029"/>
    <w:rsid w:val="004D3810"/>
    <w:rsid w:val="004D3B93"/>
    <w:rsid w:val="004D3DA7"/>
    <w:rsid w:val="004D3FEC"/>
    <w:rsid w:val="004D4ED8"/>
    <w:rsid w:val="004D519A"/>
    <w:rsid w:val="004D5598"/>
    <w:rsid w:val="004D6460"/>
    <w:rsid w:val="004D69D7"/>
    <w:rsid w:val="004D6A5C"/>
    <w:rsid w:val="004D73F1"/>
    <w:rsid w:val="004D74C4"/>
    <w:rsid w:val="004D7502"/>
    <w:rsid w:val="004D7AB0"/>
    <w:rsid w:val="004D7CD4"/>
    <w:rsid w:val="004E0305"/>
    <w:rsid w:val="004E080F"/>
    <w:rsid w:val="004E12CE"/>
    <w:rsid w:val="004E15B2"/>
    <w:rsid w:val="004E1883"/>
    <w:rsid w:val="004E1FEA"/>
    <w:rsid w:val="004E2694"/>
    <w:rsid w:val="004E2CB8"/>
    <w:rsid w:val="004E2E3F"/>
    <w:rsid w:val="004E2F29"/>
    <w:rsid w:val="004E324F"/>
    <w:rsid w:val="004E358D"/>
    <w:rsid w:val="004E3919"/>
    <w:rsid w:val="004E3A0E"/>
    <w:rsid w:val="004E3AAE"/>
    <w:rsid w:val="004E423D"/>
    <w:rsid w:val="004E4973"/>
    <w:rsid w:val="004E4C18"/>
    <w:rsid w:val="004E4E7B"/>
    <w:rsid w:val="004E548D"/>
    <w:rsid w:val="004E5585"/>
    <w:rsid w:val="004E5629"/>
    <w:rsid w:val="004E57DD"/>
    <w:rsid w:val="004E58A6"/>
    <w:rsid w:val="004E6176"/>
    <w:rsid w:val="004E6E0A"/>
    <w:rsid w:val="004E712A"/>
    <w:rsid w:val="004E7384"/>
    <w:rsid w:val="004F05D3"/>
    <w:rsid w:val="004F085C"/>
    <w:rsid w:val="004F0B83"/>
    <w:rsid w:val="004F0BC2"/>
    <w:rsid w:val="004F12DB"/>
    <w:rsid w:val="004F16A3"/>
    <w:rsid w:val="004F1ACE"/>
    <w:rsid w:val="004F2733"/>
    <w:rsid w:val="004F2924"/>
    <w:rsid w:val="004F2AC1"/>
    <w:rsid w:val="004F2B52"/>
    <w:rsid w:val="004F3643"/>
    <w:rsid w:val="004F3D97"/>
    <w:rsid w:val="004F4035"/>
    <w:rsid w:val="004F41A4"/>
    <w:rsid w:val="004F4454"/>
    <w:rsid w:val="004F4483"/>
    <w:rsid w:val="004F4B51"/>
    <w:rsid w:val="004F564D"/>
    <w:rsid w:val="004F5D53"/>
    <w:rsid w:val="004F6919"/>
    <w:rsid w:val="004F6B0B"/>
    <w:rsid w:val="004F760F"/>
    <w:rsid w:val="004F7638"/>
    <w:rsid w:val="004F7933"/>
    <w:rsid w:val="004F7D73"/>
    <w:rsid w:val="00500279"/>
    <w:rsid w:val="00500560"/>
    <w:rsid w:val="00500638"/>
    <w:rsid w:val="00500D1A"/>
    <w:rsid w:val="00500E50"/>
    <w:rsid w:val="00501AF3"/>
    <w:rsid w:val="00501DE8"/>
    <w:rsid w:val="00501EB7"/>
    <w:rsid w:val="00501FB9"/>
    <w:rsid w:val="005027C8"/>
    <w:rsid w:val="00502D30"/>
    <w:rsid w:val="005035A9"/>
    <w:rsid w:val="00504098"/>
    <w:rsid w:val="0050415F"/>
    <w:rsid w:val="00504FC0"/>
    <w:rsid w:val="005053F6"/>
    <w:rsid w:val="005056EE"/>
    <w:rsid w:val="00505790"/>
    <w:rsid w:val="005059B4"/>
    <w:rsid w:val="00505C55"/>
    <w:rsid w:val="00505C66"/>
    <w:rsid w:val="0050634F"/>
    <w:rsid w:val="00506B84"/>
    <w:rsid w:val="00506C8B"/>
    <w:rsid w:val="00507252"/>
    <w:rsid w:val="00507532"/>
    <w:rsid w:val="005077D1"/>
    <w:rsid w:val="00507E8D"/>
    <w:rsid w:val="005100FE"/>
    <w:rsid w:val="005101AA"/>
    <w:rsid w:val="00510235"/>
    <w:rsid w:val="005102F6"/>
    <w:rsid w:val="005107EA"/>
    <w:rsid w:val="00510891"/>
    <w:rsid w:val="005108CA"/>
    <w:rsid w:val="00510C02"/>
    <w:rsid w:val="00510F1D"/>
    <w:rsid w:val="0051145A"/>
    <w:rsid w:val="005116C1"/>
    <w:rsid w:val="0051260B"/>
    <w:rsid w:val="00512ACD"/>
    <w:rsid w:val="00513547"/>
    <w:rsid w:val="005157A2"/>
    <w:rsid w:val="00515C18"/>
    <w:rsid w:val="00516323"/>
    <w:rsid w:val="0051681B"/>
    <w:rsid w:val="00516F38"/>
    <w:rsid w:val="005171ED"/>
    <w:rsid w:val="0051735F"/>
    <w:rsid w:val="005178EB"/>
    <w:rsid w:val="00520440"/>
    <w:rsid w:val="005206AA"/>
    <w:rsid w:val="005207BE"/>
    <w:rsid w:val="00520929"/>
    <w:rsid w:val="00520AEE"/>
    <w:rsid w:val="00521F89"/>
    <w:rsid w:val="005220A3"/>
    <w:rsid w:val="0052248D"/>
    <w:rsid w:val="00522545"/>
    <w:rsid w:val="00522E85"/>
    <w:rsid w:val="00523266"/>
    <w:rsid w:val="00523858"/>
    <w:rsid w:val="005250EA"/>
    <w:rsid w:val="00525111"/>
    <w:rsid w:val="005258FD"/>
    <w:rsid w:val="00525AF0"/>
    <w:rsid w:val="00525D58"/>
    <w:rsid w:val="005260F4"/>
    <w:rsid w:val="005261B7"/>
    <w:rsid w:val="00527BF0"/>
    <w:rsid w:val="00527C99"/>
    <w:rsid w:val="0053011A"/>
    <w:rsid w:val="0053053A"/>
    <w:rsid w:val="00530D9A"/>
    <w:rsid w:val="00530ED8"/>
    <w:rsid w:val="005311D2"/>
    <w:rsid w:val="005322B0"/>
    <w:rsid w:val="005323A7"/>
    <w:rsid w:val="00532803"/>
    <w:rsid w:val="00532C77"/>
    <w:rsid w:val="00532E7E"/>
    <w:rsid w:val="0053356F"/>
    <w:rsid w:val="005335F9"/>
    <w:rsid w:val="005337CE"/>
    <w:rsid w:val="00534232"/>
    <w:rsid w:val="00534B64"/>
    <w:rsid w:val="00534C91"/>
    <w:rsid w:val="00535039"/>
    <w:rsid w:val="0053509C"/>
    <w:rsid w:val="005351D5"/>
    <w:rsid w:val="0053556E"/>
    <w:rsid w:val="00535BD3"/>
    <w:rsid w:val="00535D4F"/>
    <w:rsid w:val="005361F7"/>
    <w:rsid w:val="00536508"/>
    <w:rsid w:val="00536C41"/>
    <w:rsid w:val="0053700F"/>
    <w:rsid w:val="0053761C"/>
    <w:rsid w:val="005379EB"/>
    <w:rsid w:val="00540DD6"/>
    <w:rsid w:val="00541208"/>
    <w:rsid w:val="0054129E"/>
    <w:rsid w:val="00541668"/>
    <w:rsid w:val="005417E0"/>
    <w:rsid w:val="00541978"/>
    <w:rsid w:val="00541D9E"/>
    <w:rsid w:val="00541FD2"/>
    <w:rsid w:val="00542163"/>
    <w:rsid w:val="00542704"/>
    <w:rsid w:val="005439D6"/>
    <w:rsid w:val="0054401A"/>
    <w:rsid w:val="005441C4"/>
    <w:rsid w:val="005443BE"/>
    <w:rsid w:val="005444F1"/>
    <w:rsid w:val="00544B2E"/>
    <w:rsid w:val="00544C44"/>
    <w:rsid w:val="00544D45"/>
    <w:rsid w:val="00544E10"/>
    <w:rsid w:val="0054579C"/>
    <w:rsid w:val="005458BC"/>
    <w:rsid w:val="00545A42"/>
    <w:rsid w:val="005464BE"/>
    <w:rsid w:val="005464D4"/>
    <w:rsid w:val="00547A81"/>
    <w:rsid w:val="00550557"/>
    <w:rsid w:val="00550B95"/>
    <w:rsid w:val="00550C2F"/>
    <w:rsid w:val="00550ED2"/>
    <w:rsid w:val="00551050"/>
    <w:rsid w:val="005515F5"/>
    <w:rsid w:val="005516B0"/>
    <w:rsid w:val="00551FAD"/>
    <w:rsid w:val="0055216B"/>
    <w:rsid w:val="0055221F"/>
    <w:rsid w:val="005532F0"/>
    <w:rsid w:val="005539EB"/>
    <w:rsid w:val="00553BBA"/>
    <w:rsid w:val="00553C78"/>
    <w:rsid w:val="00553EA9"/>
    <w:rsid w:val="00554128"/>
    <w:rsid w:val="0055412F"/>
    <w:rsid w:val="0055416F"/>
    <w:rsid w:val="0055422D"/>
    <w:rsid w:val="005545CE"/>
    <w:rsid w:val="00554633"/>
    <w:rsid w:val="00554BA6"/>
    <w:rsid w:val="005550BC"/>
    <w:rsid w:val="0055528B"/>
    <w:rsid w:val="00555D3C"/>
    <w:rsid w:val="00555E72"/>
    <w:rsid w:val="00556478"/>
    <w:rsid w:val="0055669C"/>
    <w:rsid w:val="00556E61"/>
    <w:rsid w:val="00556FFD"/>
    <w:rsid w:val="00557AA0"/>
    <w:rsid w:val="00557ACA"/>
    <w:rsid w:val="00557F6B"/>
    <w:rsid w:val="00557F86"/>
    <w:rsid w:val="005602EF"/>
    <w:rsid w:val="00560D54"/>
    <w:rsid w:val="00560F79"/>
    <w:rsid w:val="0056137A"/>
    <w:rsid w:val="005616F2"/>
    <w:rsid w:val="005617BC"/>
    <w:rsid w:val="00561DD8"/>
    <w:rsid w:val="0056233C"/>
    <w:rsid w:val="005626DF"/>
    <w:rsid w:val="00562BAC"/>
    <w:rsid w:val="00562C1F"/>
    <w:rsid w:val="00562F4E"/>
    <w:rsid w:val="00563018"/>
    <w:rsid w:val="00563D38"/>
    <w:rsid w:val="00563DB0"/>
    <w:rsid w:val="005641DC"/>
    <w:rsid w:val="0056463F"/>
    <w:rsid w:val="00564729"/>
    <w:rsid w:val="00564918"/>
    <w:rsid w:val="00564ED2"/>
    <w:rsid w:val="00565110"/>
    <w:rsid w:val="0056574E"/>
    <w:rsid w:val="00565881"/>
    <w:rsid w:val="00565E77"/>
    <w:rsid w:val="005662C3"/>
    <w:rsid w:val="005664DB"/>
    <w:rsid w:val="0056699F"/>
    <w:rsid w:val="00566B2C"/>
    <w:rsid w:val="00566CEC"/>
    <w:rsid w:val="00566EAD"/>
    <w:rsid w:val="00567D8E"/>
    <w:rsid w:val="00572253"/>
    <w:rsid w:val="005724EB"/>
    <w:rsid w:val="005725FD"/>
    <w:rsid w:val="005728F9"/>
    <w:rsid w:val="00572C2D"/>
    <w:rsid w:val="00572CDF"/>
    <w:rsid w:val="00573519"/>
    <w:rsid w:val="005739AA"/>
    <w:rsid w:val="00573BA3"/>
    <w:rsid w:val="005746AE"/>
    <w:rsid w:val="00574CA2"/>
    <w:rsid w:val="00575940"/>
    <w:rsid w:val="00575F91"/>
    <w:rsid w:val="00576074"/>
    <w:rsid w:val="005764D1"/>
    <w:rsid w:val="00576591"/>
    <w:rsid w:val="00576D72"/>
    <w:rsid w:val="0057770A"/>
    <w:rsid w:val="00577A7E"/>
    <w:rsid w:val="00577EAD"/>
    <w:rsid w:val="005800F8"/>
    <w:rsid w:val="00580973"/>
    <w:rsid w:val="00580B1E"/>
    <w:rsid w:val="005810C2"/>
    <w:rsid w:val="0058140C"/>
    <w:rsid w:val="005814A3"/>
    <w:rsid w:val="00581DE1"/>
    <w:rsid w:val="0058210D"/>
    <w:rsid w:val="005823C3"/>
    <w:rsid w:val="00582501"/>
    <w:rsid w:val="00582F65"/>
    <w:rsid w:val="005837EB"/>
    <w:rsid w:val="0058419D"/>
    <w:rsid w:val="00584D0F"/>
    <w:rsid w:val="00584EC3"/>
    <w:rsid w:val="00584EF5"/>
    <w:rsid w:val="00584F9F"/>
    <w:rsid w:val="00585588"/>
    <w:rsid w:val="00585851"/>
    <w:rsid w:val="00586526"/>
    <w:rsid w:val="005868D5"/>
    <w:rsid w:val="00586972"/>
    <w:rsid w:val="00586A65"/>
    <w:rsid w:val="00586D13"/>
    <w:rsid w:val="005877C3"/>
    <w:rsid w:val="00587884"/>
    <w:rsid w:val="00587A2E"/>
    <w:rsid w:val="00587A34"/>
    <w:rsid w:val="0059090F"/>
    <w:rsid w:val="005910D0"/>
    <w:rsid w:val="00591482"/>
    <w:rsid w:val="0059171A"/>
    <w:rsid w:val="00592008"/>
    <w:rsid w:val="005923A0"/>
    <w:rsid w:val="005924E8"/>
    <w:rsid w:val="005924F6"/>
    <w:rsid w:val="005925A2"/>
    <w:rsid w:val="00592D2E"/>
    <w:rsid w:val="00592E9B"/>
    <w:rsid w:val="005931E8"/>
    <w:rsid w:val="00593395"/>
    <w:rsid w:val="00593B5A"/>
    <w:rsid w:val="0059461B"/>
    <w:rsid w:val="005949F9"/>
    <w:rsid w:val="00594FE1"/>
    <w:rsid w:val="0059590C"/>
    <w:rsid w:val="00596538"/>
    <w:rsid w:val="00596753"/>
    <w:rsid w:val="00597068"/>
    <w:rsid w:val="005976F5"/>
    <w:rsid w:val="005979B3"/>
    <w:rsid w:val="00597AB5"/>
    <w:rsid w:val="00597B3C"/>
    <w:rsid w:val="005A023A"/>
    <w:rsid w:val="005A073D"/>
    <w:rsid w:val="005A0BA8"/>
    <w:rsid w:val="005A0DFD"/>
    <w:rsid w:val="005A0E98"/>
    <w:rsid w:val="005A1549"/>
    <w:rsid w:val="005A1736"/>
    <w:rsid w:val="005A1847"/>
    <w:rsid w:val="005A2578"/>
    <w:rsid w:val="005A26DB"/>
    <w:rsid w:val="005A28B1"/>
    <w:rsid w:val="005A2BE6"/>
    <w:rsid w:val="005A2E48"/>
    <w:rsid w:val="005A2FE7"/>
    <w:rsid w:val="005A370B"/>
    <w:rsid w:val="005A4950"/>
    <w:rsid w:val="005A5576"/>
    <w:rsid w:val="005A5608"/>
    <w:rsid w:val="005A56AC"/>
    <w:rsid w:val="005A58EE"/>
    <w:rsid w:val="005A60D0"/>
    <w:rsid w:val="005A6A9F"/>
    <w:rsid w:val="005A6F1A"/>
    <w:rsid w:val="005A708F"/>
    <w:rsid w:val="005A7301"/>
    <w:rsid w:val="005A7906"/>
    <w:rsid w:val="005B031F"/>
    <w:rsid w:val="005B0390"/>
    <w:rsid w:val="005B03B6"/>
    <w:rsid w:val="005B086A"/>
    <w:rsid w:val="005B0AFF"/>
    <w:rsid w:val="005B0D2C"/>
    <w:rsid w:val="005B0DB7"/>
    <w:rsid w:val="005B0EB8"/>
    <w:rsid w:val="005B1127"/>
    <w:rsid w:val="005B2E6B"/>
    <w:rsid w:val="005B2FEA"/>
    <w:rsid w:val="005B3112"/>
    <w:rsid w:val="005B378A"/>
    <w:rsid w:val="005B4042"/>
    <w:rsid w:val="005B41A9"/>
    <w:rsid w:val="005B426F"/>
    <w:rsid w:val="005B4282"/>
    <w:rsid w:val="005B4851"/>
    <w:rsid w:val="005B4BCF"/>
    <w:rsid w:val="005B57D0"/>
    <w:rsid w:val="005B61CC"/>
    <w:rsid w:val="005B6B73"/>
    <w:rsid w:val="005B6ED6"/>
    <w:rsid w:val="005B75DB"/>
    <w:rsid w:val="005B7A2B"/>
    <w:rsid w:val="005C119B"/>
    <w:rsid w:val="005C1206"/>
    <w:rsid w:val="005C16DC"/>
    <w:rsid w:val="005C16E1"/>
    <w:rsid w:val="005C16FC"/>
    <w:rsid w:val="005C1821"/>
    <w:rsid w:val="005C18CF"/>
    <w:rsid w:val="005C1AD1"/>
    <w:rsid w:val="005C1B8D"/>
    <w:rsid w:val="005C1D80"/>
    <w:rsid w:val="005C1FF2"/>
    <w:rsid w:val="005C2E4B"/>
    <w:rsid w:val="005C3519"/>
    <w:rsid w:val="005C3711"/>
    <w:rsid w:val="005C3993"/>
    <w:rsid w:val="005C4696"/>
    <w:rsid w:val="005C46C3"/>
    <w:rsid w:val="005C47A0"/>
    <w:rsid w:val="005C47AC"/>
    <w:rsid w:val="005C49F0"/>
    <w:rsid w:val="005C4DF6"/>
    <w:rsid w:val="005C5167"/>
    <w:rsid w:val="005C5182"/>
    <w:rsid w:val="005C5574"/>
    <w:rsid w:val="005C56BC"/>
    <w:rsid w:val="005C57BE"/>
    <w:rsid w:val="005C5EEF"/>
    <w:rsid w:val="005C624B"/>
    <w:rsid w:val="005C64D1"/>
    <w:rsid w:val="005C6DD2"/>
    <w:rsid w:val="005C726F"/>
    <w:rsid w:val="005C7C38"/>
    <w:rsid w:val="005C7FB3"/>
    <w:rsid w:val="005D01AD"/>
    <w:rsid w:val="005D07DD"/>
    <w:rsid w:val="005D096D"/>
    <w:rsid w:val="005D0BEE"/>
    <w:rsid w:val="005D0E6E"/>
    <w:rsid w:val="005D18E2"/>
    <w:rsid w:val="005D19E3"/>
    <w:rsid w:val="005D260E"/>
    <w:rsid w:val="005D2CFA"/>
    <w:rsid w:val="005D2D26"/>
    <w:rsid w:val="005D318A"/>
    <w:rsid w:val="005D320F"/>
    <w:rsid w:val="005D3F35"/>
    <w:rsid w:val="005D4053"/>
    <w:rsid w:val="005D4242"/>
    <w:rsid w:val="005D4430"/>
    <w:rsid w:val="005D4CED"/>
    <w:rsid w:val="005D5070"/>
    <w:rsid w:val="005D5161"/>
    <w:rsid w:val="005D5E0C"/>
    <w:rsid w:val="005D5E6C"/>
    <w:rsid w:val="005D61FC"/>
    <w:rsid w:val="005D6648"/>
    <w:rsid w:val="005D679A"/>
    <w:rsid w:val="005D6A66"/>
    <w:rsid w:val="005D71FA"/>
    <w:rsid w:val="005D75C1"/>
    <w:rsid w:val="005D78B9"/>
    <w:rsid w:val="005D78D8"/>
    <w:rsid w:val="005D7F1D"/>
    <w:rsid w:val="005E05EF"/>
    <w:rsid w:val="005E07AD"/>
    <w:rsid w:val="005E111E"/>
    <w:rsid w:val="005E13DB"/>
    <w:rsid w:val="005E1620"/>
    <w:rsid w:val="005E1939"/>
    <w:rsid w:val="005E2289"/>
    <w:rsid w:val="005E29AE"/>
    <w:rsid w:val="005E2B4B"/>
    <w:rsid w:val="005E2B5C"/>
    <w:rsid w:val="005E2D09"/>
    <w:rsid w:val="005E2DB8"/>
    <w:rsid w:val="005E30C6"/>
    <w:rsid w:val="005E334F"/>
    <w:rsid w:val="005E392D"/>
    <w:rsid w:val="005E4A19"/>
    <w:rsid w:val="005E4D8D"/>
    <w:rsid w:val="005E4E46"/>
    <w:rsid w:val="005E4F5A"/>
    <w:rsid w:val="005E5DA7"/>
    <w:rsid w:val="005E6C82"/>
    <w:rsid w:val="005E7007"/>
    <w:rsid w:val="005E789E"/>
    <w:rsid w:val="005E7B2D"/>
    <w:rsid w:val="005F06D3"/>
    <w:rsid w:val="005F0876"/>
    <w:rsid w:val="005F0A26"/>
    <w:rsid w:val="005F10D5"/>
    <w:rsid w:val="005F13D6"/>
    <w:rsid w:val="005F1597"/>
    <w:rsid w:val="005F1890"/>
    <w:rsid w:val="005F1F2B"/>
    <w:rsid w:val="005F2145"/>
    <w:rsid w:val="005F241F"/>
    <w:rsid w:val="005F26C2"/>
    <w:rsid w:val="005F32F0"/>
    <w:rsid w:val="005F3E96"/>
    <w:rsid w:val="005F3F3F"/>
    <w:rsid w:val="005F4A57"/>
    <w:rsid w:val="005F4E82"/>
    <w:rsid w:val="005F593B"/>
    <w:rsid w:val="005F59D0"/>
    <w:rsid w:val="005F658D"/>
    <w:rsid w:val="005F65D5"/>
    <w:rsid w:val="005F69F4"/>
    <w:rsid w:val="005F6C0D"/>
    <w:rsid w:val="005F7055"/>
    <w:rsid w:val="005F7169"/>
    <w:rsid w:val="005F7799"/>
    <w:rsid w:val="005F7A90"/>
    <w:rsid w:val="005F7AEE"/>
    <w:rsid w:val="005F7DF1"/>
    <w:rsid w:val="00600701"/>
    <w:rsid w:val="006007CB"/>
    <w:rsid w:val="00600D5F"/>
    <w:rsid w:val="00600ECF"/>
    <w:rsid w:val="0060114A"/>
    <w:rsid w:val="00601152"/>
    <w:rsid w:val="006016E3"/>
    <w:rsid w:val="006017ED"/>
    <w:rsid w:val="00601B7D"/>
    <w:rsid w:val="00601B85"/>
    <w:rsid w:val="00602034"/>
    <w:rsid w:val="006029C0"/>
    <w:rsid w:val="00602B26"/>
    <w:rsid w:val="00602BCB"/>
    <w:rsid w:val="00602C38"/>
    <w:rsid w:val="00602CEE"/>
    <w:rsid w:val="00603719"/>
    <w:rsid w:val="00603C23"/>
    <w:rsid w:val="00603F43"/>
    <w:rsid w:val="006040EF"/>
    <w:rsid w:val="00604C30"/>
    <w:rsid w:val="00604C65"/>
    <w:rsid w:val="00604EC1"/>
    <w:rsid w:val="0060502F"/>
    <w:rsid w:val="00605156"/>
    <w:rsid w:val="00605240"/>
    <w:rsid w:val="0060567E"/>
    <w:rsid w:val="0060591D"/>
    <w:rsid w:val="00605DC3"/>
    <w:rsid w:val="00606022"/>
    <w:rsid w:val="006069F7"/>
    <w:rsid w:val="00606E65"/>
    <w:rsid w:val="006070BD"/>
    <w:rsid w:val="00610D6F"/>
    <w:rsid w:val="00610F7C"/>
    <w:rsid w:val="006112E1"/>
    <w:rsid w:val="00611463"/>
    <w:rsid w:val="00611B96"/>
    <w:rsid w:val="00612655"/>
    <w:rsid w:val="00612C67"/>
    <w:rsid w:val="00612DC7"/>
    <w:rsid w:val="006138F5"/>
    <w:rsid w:val="00613A14"/>
    <w:rsid w:val="00613D07"/>
    <w:rsid w:val="00614258"/>
    <w:rsid w:val="00614506"/>
    <w:rsid w:val="006145DA"/>
    <w:rsid w:val="00614D06"/>
    <w:rsid w:val="0061554E"/>
    <w:rsid w:val="00615596"/>
    <w:rsid w:val="00615AB9"/>
    <w:rsid w:val="00615F18"/>
    <w:rsid w:val="00616856"/>
    <w:rsid w:val="0061723B"/>
    <w:rsid w:val="006204FA"/>
    <w:rsid w:val="006205F7"/>
    <w:rsid w:val="00620B11"/>
    <w:rsid w:val="0062112C"/>
    <w:rsid w:val="00621586"/>
    <w:rsid w:val="00621B21"/>
    <w:rsid w:val="00621BCC"/>
    <w:rsid w:val="00621CD0"/>
    <w:rsid w:val="00621DFE"/>
    <w:rsid w:val="0062245C"/>
    <w:rsid w:val="0062266B"/>
    <w:rsid w:val="00622A3E"/>
    <w:rsid w:val="00622B40"/>
    <w:rsid w:val="00622CE8"/>
    <w:rsid w:val="00622F57"/>
    <w:rsid w:val="00623382"/>
    <w:rsid w:val="006237C8"/>
    <w:rsid w:val="00623B3F"/>
    <w:rsid w:val="00623B48"/>
    <w:rsid w:val="00623DFE"/>
    <w:rsid w:val="00624272"/>
    <w:rsid w:val="00624640"/>
    <w:rsid w:val="0062488F"/>
    <w:rsid w:val="006248C7"/>
    <w:rsid w:val="00624D11"/>
    <w:rsid w:val="00624FBA"/>
    <w:rsid w:val="00625255"/>
    <w:rsid w:val="00625574"/>
    <w:rsid w:val="006260E5"/>
    <w:rsid w:val="00626213"/>
    <w:rsid w:val="006262F6"/>
    <w:rsid w:val="00626318"/>
    <w:rsid w:val="006266DC"/>
    <w:rsid w:val="00626830"/>
    <w:rsid w:val="006271BB"/>
    <w:rsid w:val="006278D3"/>
    <w:rsid w:val="006279C7"/>
    <w:rsid w:val="006305C6"/>
    <w:rsid w:val="00630921"/>
    <w:rsid w:val="00630B4D"/>
    <w:rsid w:val="006311D8"/>
    <w:rsid w:val="00631431"/>
    <w:rsid w:val="00631CA3"/>
    <w:rsid w:val="00632355"/>
    <w:rsid w:val="0063240A"/>
    <w:rsid w:val="0063240C"/>
    <w:rsid w:val="00632587"/>
    <w:rsid w:val="00632DE0"/>
    <w:rsid w:val="00632E04"/>
    <w:rsid w:val="006331A2"/>
    <w:rsid w:val="00633409"/>
    <w:rsid w:val="00633555"/>
    <w:rsid w:val="00633C62"/>
    <w:rsid w:val="00634085"/>
    <w:rsid w:val="00634305"/>
    <w:rsid w:val="00634599"/>
    <w:rsid w:val="00634AAB"/>
    <w:rsid w:val="00634B5A"/>
    <w:rsid w:val="00634C6A"/>
    <w:rsid w:val="00634CDF"/>
    <w:rsid w:val="00634DBC"/>
    <w:rsid w:val="00634FB7"/>
    <w:rsid w:val="006358D8"/>
    <w:rsid w:val="00635BD8"/>
    <w:rsid w:val="00635E3E"/>
    <w:rsid w:val="00636519"/>
    <w:rsid w:val="00636779"/>
    <w:rsid w:val="006369CF"/>
    <w:rsid w:val="00636B86"/>
    <w:rsid w:val="00636EE6"/>
    <w:rsid w:val="00637099"/>
    <w:rsid w:val="006378BC"/>
    <w:rsid w:val="00637DE0"/>
    <w:rsid w:val="0064072F"/>
    <w:rsid w:val="00640D78"/>
    <w:rsid w:val="006410DF"/>
    <w:rsid w:val="00641188"/>
    <w:rsid w:val="00641804"/>
    <w:rsid w:val="00641CC9"/>
    <w:rsid w:val="00641F60"/>
    <w:rsid w:val="00642204"/>
    <w:rsid w:val="00642537"/>
    <w:rsid w:val="00642B5D"/>
    <w:rsid w:val="00642DA4"/>
    <w:rsid w:val="00643C28"/>
    <w:rsid w:val="006444CF"/>
    <w:rsid w:val="0064583E"/>
    <w:rsid w:val="00645FFC"/>
    <w:rsid w:val="006460BD"/>
    <w:rsid w:val="00646794"/>
    <w:rsid w:val="00646798"/>
    <w:rsid w:val="00646D89"/>
    <w:rsid w:val="00646F95"/>
    <w:rsid w:val="00650336"/>
    <w:rsid w:val="0065045B"/>
    <w:rsid w:val="006508FA"/>
    <w:rsid w:val="00650928"/>
    <w:rsid w:val="00650BA6"/>
    <w:rsid w:val="006510D1"/>
    <w:rsid w:val="0065155C"/>
    <w:rsid w:val="006515D0"/>
    <w:rsid w:val="006518A8"/>
    <w:rsid w:val="00651B74"/>
    <w:rsid w:val="00651EEB"/>
    <w:rsid w:val="00652009"/>
    <w:rsid w:val="006520BE"/>
    <w:rsid w:val="006522D9"/>
    <w:rsid w:val="00652EE6"/>
    <w:rsid w:val="00653356"/>
    <w:rsid w:val="00653512"/>
    <w:rsid w:val="006539A2"/>
    <w:rsid w:val="0065455E"/>
    <w:rsid w:val="00654605"/>
    <w:rsid w:val="00654E3A"/>
    <w:rsid w:val="00654E71"/>
    <w:rsid w:val="00654FC3"/>
    <w:rsid w:val="00655088"/>
    <w:rsid w:val="006550E4"/>
    <w:rsid w:val="00655303"/>
    <w:rsid w:val="006558FC"/>
    <w:rsid w:val="00655A88"/>
    <w:rsid w:val="00655E98"/>
    <w:rsid w:val="00656197"/>
    <w:rsid w:val="006568AD"/>
    <w:rsid w:val="00656D22"/>
    <w:rsid w:val="006576DA"/>
    <w:rsid w:val="00660449"/>
    <w:rsid w:val="0066083E"/>
    <w:rsid w:val="006616BD"/>
    <w:rsid w:val="00661CA1"/>
    <w:rsid w:val="006624F6"/>
    <w:rsid w:val="006635B9"/>
    <w:rsid w:val="00663849"/>
    <w:rsid w:val="00664577"/>
    <w:rsid w:val="006655D9"/>
    <w:rsid w:val="0066561E"/>
    <w:rsid w:val="00665A46"/>
    <w:rsid w:val="006662B0"/>
    <w:rsid w:val="0066635C"/>
    <w:rsid w:val="00666B03"/>
    <w:rsid w:val="00666B45"/>
    <w:rsid w:val="00666D78"/>
    <w:rsid w:val="006671D7"/>
    <w:rsid w:val="00667398"/>
    <w:rsid w:val="0066779E"/>
    <w:rsid w:val="00667D07"/>
    <w:rsid w:val="00667F51"/>
    <w:rsid w:val="006709C4"/>
    <w:rsid w:val="00670BB5"/>
    <w:rsid w:val="00670FFB"/>
    <w:rsid w:val="00671257"/>
    <w:rsid w:val="00671553"/>
    <w:rsid w:val="006718B2"/>
    <w:rsid w:val="0067198F"/>
    <w:rsid w:val="00671CF4"/>
    <w:rsid w:val="00671D3C"/>
    <w:rsid w:val="00672562"/>
    <w:rsid w:val="00672D38"/>
    <w:rsid w:val="006742FB"/>
    <w:rsid w:val="00674413"/>
    <w:rsid w:val="00674719"/>
    <w:rsid w:val="00674EF2"/>
    <w:rsid w:val="00675264"/>
    <w:rsid w:val="006757E4"/>
    <w:rsid w:val="00675B51"/>
    <w:rsid w:val="00675C58"/>
    <w:rsid w:val="00675EED"/>
    <w:rsid w:val="006762DE"/>
    <w:rsid w:val="006769B6"/>
    <w:rsid w:val="00676F6D"/>
    <w:rsid w:val="00677224"/>
    <w:rsid w:val="00677B27"/>
    <w:rsid w:val="00677B30"/>
    <w:rsid w:val="00677E5E"/>
    <w:rsid w:val="00677F1C"/>
    <w:rsid w:val="006805BA"/>
    <w:rsid w:val="00680F2E"/>
    <w:rsid w:val="00681189"/>
    <w:rsid w:val="00681347"/>
    <w:rsid w:val="0068156E"/>
    <w:rsid w:val="006818A2"/>
    <w:rsid w:val="006821F2"/>
    <w:rsid w:val="006822DF"/>
    <w:rsid w:val="006825B4"/>
    <w:rsid w:val="006829B3"/>
    <w:rsid w:val="00682C83"/>
    <w:rsid w:val="00682E2C"/>
    <w:rsid w:val="00682E94"/>
    <w:rsid w:val="00683334"/>
    <w:rsid w:val="006839DC"/>
    <w:rsid w:val="006841ED"/>
    <w:rsid w:val="0068433E"/>
    <w:rsid w:val="006843C1"/>
    <w:rsid w:val="006845CA"/>
    <w:rsid w:val="00684C86"/>
    <w:rsid w:val="00685194"/>
    <w:rsid w:val="00685E33"/>
    <w:rsid w:val="00685F97"/>
    <w:rsid w:val="00686584"/>
    <w:rsid w:val="006869A9"/>
    <w:rsid w:val="00686C2C"/>
    <w:rsid w:val="00687F01"/>
    <w:rsid w:val="006903A5"/>
    <w:rsid w:val="006904ED"/>
    <w:rsid w:val="00690BA2"/>
    <w:rsid w:val="00690DA0"/>
    <w:rsid w:val="00690F64"/>
    <w:rsid w:val="00691122"/>
    <w:rsid w:val="006912D8"/>
    <w:rsid w:val="006913D1"/>
    <w:rsid w:val="00691A69"/>
    <w:rsid w:val="00691DAA"/>
    <w:rsid w:val="00691E2C"/>
    <w:rsid w:val="00691F70"/>
    <w:rsid w:val="00692270"/>
    <w:rsid w:val="00692711"/>
    <w:rsid w:val="0069383B"/>
    <w:rsid w:val="006945C4"/>
    <w:rsid w:val="0069470D"/>
    <w:rsid w:val="00694E4C"/>
    <w:rsid w:val="00694E50"/>
    <w:rsid w:val="00695FE0"/>
    <w:rsid w:val="00696190"/>
    <w:rsid w:val="006961D6"/>
    <w:rsid w:val="00696754"/>
    <w:rsid w:val="00697171"/>
    <w:rsid w:val="00697486"/>
    <w:rsid w:val="006974B1"/>
    <w:rsid w:val="006974BB"/>
    <w:rsid w:val="00697734"/>
    <w:rsid w:val="00697CC2"/>
    <w:rsid w:val="00697F9A"/>
    <w:rsid w:val="006A00E7"/>
    <w:rsid w:val="006A0136"/>
    <w:rsid w:val="006A03D0"/>
    <w:rsid w:val="006A05B9"/>
    <w:rsid w:val="006A07DE"/>
    <w:rsid w:val="006A0861"/>
    <w:rsid w:val="006A088C"/>
    <w:rsid w:val="006A0BA4"/>
    <w:rsid w:val="006A0BD9"/>
    <w:rsid w:val="006A1696"/>
    <w:rsid w:val="006A19CA"/>
    <w:rsid w:val="006A1A2D"/>
    <w:rsid w:val="006A1E1A"/>
    <w:rsid w:val="006A2744"/>
    <w:rsid w:val="006A2AC8"/>
    <w:rsid w:val="006A2FAD"/>
    <w:rsid w:val="006A34D1"/>
    <w:rsid w:val="006A37B6"/>
    <w:rsid w:val="006A3C0A"/>
    <w:rsid w:val="006A3EAD"/>
    <w:rsid w:val="006A54F6"/>
    <w:rsid w:val="006A5FA8"/>
    <w:rsid w:val="006A614C"/>
    <w:rsid w:val="006A625A"/>
    <w:rsid w:val="006A628E"/>
    <w:rsid w:val="006A68E5"/>
    <w:rsid w:val="006A700F"/>
    <w:rsid w:val="006A70A5"/>
    <w:rsid w:val="006A7E88"/>
    <w:rsid w:val="006A7FBA"/>
    <w:rsid w:val="006B0032"/>
    <w:rsid w:val="006B08C3"/>
    <w:rsid w:val="006B17B7"/>
    <w:rsid w:val="006B1E89"/>
    <w:rsid w:val="006B2376"/>
    <w:rsid w:val="006B26E5"/>
    <w:rsid w:val="006B2877"/>
    <w:rsid w:val="006B2D6A"/>
    <w:rsid w:val="006B38A4"/>
    <w:rsid w:val="006B38CA"/>
    <w:rsid w:val="006B3D1C"/>
    <w:rsid w:val="006B3E21"/>
    <w:rsid w:val="006B3F63"/>
    <w:rsid w:val="006B3FD6"/>
    <w:rsid w:val="006B4125"/>
    <w:rsid w:val="006B4661"/>
    <w:rsid w:val="006B4BCE"/>
    <w:rsid w:val="006B4F38"/>
    <w:rsid w:val="006B4FEF"/>
    <w:rsid w:val="006B52C8"/>
    <w:rsid w:val="006B53E1"/>
    <w:rsid w:val="006B59A2"/>
    <w:rsid w:val="006B5DD5"/>
    <w:rsid w:val="006B6332"/>
    <w:rsid w:val="006B6534"/>
    <w:rsid w:val="006B65F4"/>
    <w:rsid w:val="006B72D3"/>
    <w:rsid w:val="006B76F5"/>
    <w:rsid w:val="006B7A28"/>
    <w:rsid w:val="006C0253"/>
    <w:rsid w:val="006C0521"/>
    <w:rsid w:val="006C0659"/>
    <w:rsid w:val="006C0A7C"/>
    <w:rsid w:val="006C15C0"/>
    <w:rsid w:val="006C19BE"/>
    <w:rsid w:val="006C231F"/>
    <w:rsid w:val="006C2430"/>
    <w:rsid w:val="006C2A0C"/>
    <w:rsid w:val="006C3072"/>
    <w:rsid w:val="006C357B"/>
    <w:rsid w:val="006C3E81"/>
    <w:rsid w:val="006C40B2"/>
    <w:rsid w:val="006C49D8"/>
    <w:rsid w:val="006C54FB"/>
    <w:rsid w:val="006C5779"/>
    <w:rsid w:val="006C58DC"/>
    <w:rsid w:val="006C5D1B"/>
    <w:rsid w:val="006C61AA"/>
    <w:rsid w:val="006C63A7"/>
    <w:rsid w:val="006C680E"/>
    <w:rsid w:val="006C68E8"/>
    <w:rsid w:val="006C6C2F"/>
    <w:rsid w:val="006D01B2"/>
    <w:rsid w:val="006D0A95"/>
    <w:rsid w:val="006D0D07"/>
    <w:rsid w:val="006D210A"/>
    <w:rsid w:val="006D226C"/>
    <w:rsid w:val="006D265D"/>
    <w:rsid w:val="006D28A7"/>
    <w:rsid w:val="006D2B26"/>
    <w:rsid w:val="006D2EE7"/>
    <w:rsid w:val="006D3098"/>
    <w:rsid w:val="006D3A1E"/>
    <w:rsid w:val="006D3C19"/>
    <w:rsid w:val="006D466B"/>
    <w:rsid w:val="006D46C0"/>
    <w:rsid w:val="006D4712"/>
    <w:rsid w:val="006D48D3"/>
    <w:rsid w:val="006D4BAA"/>
    <w:rsid w:val="006D4CFF"/>
    <w:rsid w:val="006D4E4E"/>
    <w:rsid w:val="006D536E"/>
    <w:rsid w:val="006D55DF"/>
    <w:rsid w:val="006D5FD2"/>
    <w:rsid w:val="006D6186"/>
    <w:rsid w:val="006D64C7"/>
    <w:rsid w:val="006D6E37"/>
    <w:rsid w:val="006D7099"/>
    <w:rsid w:val="006D7369"/>
    <w:rsid w:val="006E0863"/>
    <w:rsid w:val="006E0BCF"/>
    <w:rsid w:val="006E0F13"/>
    <w:rsid w:val="006E13F8"/>
    <w:rsid w:val="006E1EE9"/>
    <w:rsid w:val="006E1F28"/>
    <w:rsid w:val="006E2018"/>
    <w:rsid w:val="006E20EF"/>
    <w:rsid w:val="006E293C"/>
    <w:rsid w:val="006E2C54"/>
    <w:rsid w:val="006E33C7"/>
    <w:rsid w:val="006E3A01"/>
    <w:rsid w:val="006E459D"/>
    <w:rsid w:val="006E4B9E"/>
    <w:rsid w:val="006E53BC"/>
    <w:rsid w:val="006E5AFF"/>
    <w:rsid w:val="006E5C1A"/>
    <w:rsid w:val="006E6B92"/>
    <w:rsid w:val="006E6DF4"/>
    <w:rsid w:val="006E7232"/>
    <w:rsid w:val="006E7405"/>
    <w:rsid w:val="006E7658"/>
    <w:rsid w:val="006E7A80"/>
    <w:rsid w:val="006E7CA0"/>
    <w:rsid w:val="006E7F3F"/>
    <w:rsid w:val="006F1CFD"/>
    <w:rsid w:val="006F20DA"/>
    <w:rsid w:val="006F2238"/>
    <w:rsid w:val="006F2AA3"/>
    <w:rsid w:val="006F30BF"/>
    <w:rsid w:val="006F34D4"/>
    <w:rsid w:val="006F35A5"/>
    <w:rsid w:val="006F3863"/>
    <w:rsid w:val="006F3DD6"/>
    <w:rsid w:val="006F40EC"/>
    <w:rsid w:val="006F52D8"/>
    <w:rsid w:val="006F54C8"/>
    <w:rsid w:val="006F55E7"/>
    <w:rsid w:val="006F5627"/>
    <w:rsid w:val="006F621F"/>
    <w:rsid w:val="006F6679"/>
    <w:rsid w:val="006F6A5A"/>
    <w:rsid w:val="006F6B5B"/>
    <w:rsid w:val="006F7E70"/>
    <w:rsid w:val="006F7F12"/>
    <w:rsid w:val="006F7FE7"/>
    <w:rsid w:val="0070024E"/>
    <w:rsid w:val="0070029A"/>
    <w:rsid w:val="00700380"/>
    <w:rsid w:val="00700904"/>
    <w:rsid w:val="00700BD8"/>
    <w:rsid w:val="00700D51"/>
    <w:rsid w:val="007012DB"/>
    <w:rsid w:val="0070157D"/>
    <w:rsid w:val="0070235E"/>
    <w:rsid w:val="007024D7"/>
    <w:rsid w:val="007028E2"/>
    <w:rsid w:val="0070398C"/>
    <w:rsid w:val="00703A40"/>
    <w:rsid w:val="00704851"/>
    <w:rsid w:val="00704D5D"/>
    <w:rsid w:val="00704DB8"/>
    <w:rsid w:val="00705421"/>
    <w:rsid w:val="007054CA"/>
    <w:rsid w:val="00705531"/>
    <w:rsid w:val="00706566"/>
    <w:rsid w:val="00706E11"/>
    <w:rsid w:val="0070722B"/>
    <w:rsid w:val="00707626"/>
    <w:rsid w:val="007077FF"/>
    <w:rsid w:val="0070784C"/>
    <w:rsid w:val="007078C9"/>
    <w:rsid w:val="00710165"/>
    <w:rsid w:val="00710A1E"/>
    <w:rsid w:val="00711347"/>
    <w:rsid w:val="00711A9F"/>
    <w:rsid w:val="00712293"/>
    <w:rsid w:val="00712464"/>
    <w:rsid w:val="00712F64"/>
    <w:rsid w:val="007134EA"/>
    <w:rsid w:val="00713D8B"/>
    <w:rsid w:val="00713F9F"/>
    <w:rsid w:val="00714562"/>
    <w:rsid w:val="0071539E"/>
    <w:rsid w:val="007156F6"/>
    <w:rsid w:val="00715C3A"/>
    <w:rsid w:val="00715DE0"/>
    <w:rsid w:val="00715ED1"/>
    <w:rsid w:val="00716402"/>
    <w:rsid w:val="00716D94"/>
    <w:rsid w:val="00717297"/>
    <w:rsid w:val="0071760C"/>
    <w:rsid w:val="00717650"/>
    <w:rsid w:val="00717BC5"/>
    <w:rsid w:val="00720273"/>
    <w:rsid w:val="00720B91"/>
    <w:rsid w:val="00720BAB"/>
    <w:rsid w:val="0072112F"/>
    <w:rsid w:val="00721639"/>
    <w:rsid w:val="007217F1"/>
    <w:rsid w:val="00721973"/>
    <w:rsid w:val="00721BBC"/>
    <w:rsid w:val="00721DD5"/>
    <w:rsid w:val="007224E5"/>
    <w:rsid w:val="007228B0"/>
    <w:rsid w:val="00722CDF"/>
    <w:rsid w:val="00723313"/>
    <w:rsid w:val="00723B82"/>
    <w:rsid w:val="00723BE5"/>
    <w:rsid w:val="00723CC8"/>
    <w:rsid w:val="00724447"/>
    <w:rsid w:val="00724810"/>
    <w:rsid w:val="00724BFB"/>
    <w:rsid w:val="0072576D"/>
    <w:rsid w:val="00725849"/>
    <w:rsid w:val="00726400"/>
    <w:rsid w:val="007269D1"/>
    <w:rsid w:val="00727025"/>
    <w:rsid w:val="00727139"/>
    <w:rsid w:val="00727188"/>
    <w:rsid w:val="007275BF"/>
    <w:rsid w:val="00727982"/>
    <w:rsid w:val="00727E79"/>
    <w:rsid w:val="007301D3"/>
    <w:rsid w:val="00730BB9"/>
    <w:rsid w:val="00730D94"/>
    <w:rsid w:val="00730DDD"/>
    <w:rsid w:val="00730FB9"/>
    <w:rsid w:val="007316AD"/>
    <w:rsid w:val="00731991"/>
    <w:rsid w:val="00731D2C"/>
    <w:rsid w:val="007322E5"/>
    <w:rsid w:val="007327CC"/>
    <w:rsid w:val="00732F20"/>
    <w:rsid w:val="007330C0"/>
    <w:rsid w:val="00733953"/>
    <w:rsid w:val="00733A65"/>
    <w:rsid w:val="007340BA"/>
    <w:rsid w:val="0073489B"/>
    <w:rsid w:val="00734970"/>
    <w:rsid w:val="007349AD"/>
    <w:rsid w:val="00735929"/>
    <w:rsid w:val="00735DF0"/>
    <w:rsid w:val="00736192"/>
    <w:rsid w:val="00736D37"/>
    <w:rsid w:val="00736E3D"/>
    <w:rsid w:val="00737028"/>
    <w:rsid w:val="007371FC"/>
    <w:rsid w:val="0073799E"/>
    <w:rsid w:val="007379F7"/>
    <w:rsid w:val="00737DE2"/>
    <w:rsid w:val="00737E76"/>
    <w:rsid w:val="00737FA9"/>
    <w:rsid w:val="00740443"/>
    <w:rsid w:val="007404C1"/>
    <w:rsid w:val="00740519"/>
    <w:rsid w:val="00740958"/>
    <w:rsid w:val="00740C5A"/>
    <w:rsid w:val="00740FC1"/>
    <w:rsid w:val="00741B40"/>
    <w:rsid w:val="00741D66"/>
    <w:rsid w:val="00742977"/>
    <w:rsid w:val="00743C6D"/>
    <w:rsid w:val="00744528"/>
    <w:rsid w:val="00744676"/>
    <w:rsid w:val="00744763"/>
    <w:rsid w:val="007451C6"/>
    <w:rsid w:val="00745876"/>
    <w:rsid w:val="00745BBF"/>
    <w:rsid w:val="007462BE"/>
    <w:rsid w:val="00746399"/>
    <w:rsid w:val="00746645"/>
    <w:rsid w:val="007466E7"/>
    <w:rsid w:val="00746824"/>
    <w:rsid w:val="00746910"/>
    <w:rsid w:val="00746C28"/>
    <w:rsid w:val="00747342"/>
    <w:rsid w:val="0074797D"/>
    <w:rsid w:val="00747AAA"/>
    <w:rsid w:val="00747D93"/>
    <w:rsid w:val="00750205"/>
    <w:rsid w:val="00750241"/>
    <w:rsid w:val="00750623"/>
    <w:rsid w:val="0075077C"/>
    <w:rsid w:val="00750C61"/>
    <w:rsid w:val="007514F6"/>
    <w:rsid w:val="00751647"/>
    <w:rsid w:val="00751915"/>
    <w:rsid w:val="00751CCB"/>
    <w:rsid w:val="00751FD9"/>
    <w:rsid w:val="00752772"/>
    <w:rsid w:val="0075294B"/>
    <w:rsid w:val="00752D46"/>
    <w:rsid w:val="00753139"/>
    <w:rsid w:val="00753A90"/>
    <w:rsid w:val="0075460B"/>
    <w:rsid w:val="0075460E"/>
    <w:rsid w:val="00755183"/>
    <w:rsid w:val="00755529"/>
    <w:rsid w:val="0075556A"/>
    <w:rsid w:val="0075576B"/>
    <w:rsid w:val="00755B8C"/>
    <w:rsid w:val="0075693B"/>
    <w:rsid w:val="00756C09"/>
    <w:rsid w:val="00756CCC"/>
    <w:rsid w:val="00757301"/>
    <w:rsid w:val="0075787A"/>
    <w:rsid w:val="00757A3A"/>
    <w:rsid w:val="00757B5F"/>
    <w:rsid w:val="00757CE8"/>
    <w:rsid w:val="00757E88"/>
    <w:rsid w:val="00760391"/>
    <w:rsid w:val="00761083"/>
    <w:rsid w:val="00761226"/>
    <w:rsid w:val="007618D9"/>
    <w:rsid w:val="00761BDE"/>
    <w:rsid w:val="0076210C"/>
    <w:rsid w:val="00762AB1"/>
    <w:rsid w:val="00762FCB"/>
    <w:rsid w:val="00763480"/>
    <w:rsid w:val="00763525"/>
    <w:rsid w:val="00763A54"/>
    <w:rsid w:val="00764349"/>
    <w:rsid w:val="00765286"/>
    <w:rsid w:val="00765313"/>
    <w:rsid w:val="00765580"/>
    <w:rsid w:val="007657DE"/>
    <w:rsid w:val="00765AAC"/>
    <w:rsid w:val="00765BB3"/>
    <w:rsid w:val="00765BEA"/>
    <w:rsid w:val="007661A1"/>
    <w:rsid w:val="0076637C"/>
    <w:rsid w:val="007663A3"/>
    <w:rsid w:val="00766D48"/>
    <w:rsid w:val="007673F3"/>
    <w:rsid w:val="00767B6C"/>
    <w:rsid w:val="00767C5A"/>
    <w:rsid w:val="00767D30"/>
    <w:rsid w:val="00770139"/>
    <w:rsid w:val="0077121E"/>
    <w:rsid w:val="007712F4"/>
    <w:rsid w:val="00771555"/>
    <w:rsid w:val="00771868"/>
    <w:rsid w:val="007719C6"/>
    <w:rsid w:val="00771BF7"/>
    <w:rsid w:val="00772107"/>
    <w:rsid w:val="00772283"/>
    <w:rsid w:val="00772777"/>
    <w:rsid w:val="007731ED"/>
    <w:rsid w:val="0077354E"/>
    <w:rsid w:val="007736CD"/>
    <w:rsid w:val="0077424B"/>
    <w:rsid w:val="0077428E"/>
    <w:rsid w:val="0077437D"/>
    <w:rsid w:val="007759E3"/>
    <w:rsid w:val="007763DD"/>
    <w:rsid w:val="00776A07"/>
    <w:rsid w:val="007770EF"/>
    <w:rsid w:val="007772C3"/>
    <w:rsid w:val="00777E61"/>
    <w:rsid w:val="0078050F"/>
    <w:rsid w:val="0078175A"/>
    <w:rsid w:val="00781D36"/>
    <w:rsid w:val="00782188"/>
    <w:rsid w:val="007825C9"/>
    <w:rsid w:val="007825DE"/>
    <w:rsid w:val="007826C9"/>
    <w:rsid w:val="00782809"/>
    <w:rsid w:val="00782B35"/>
    <w:rsid w:val="00782C33"/>
    <w:rsid w:val="007831CE"/>
    <w:rsid w:val="0078335B"/>
    <w:rsid w:val="00783DC3"/>
    <w:rsid w:val="0078435D"/>
    <w:rsid w:val="007849FC"/>
    <w:rsid w:val="00784DB1"/>
    <w:rsid w:val="00784FAD"/>
    <w:rsid w:val="007851AD"/>
    <w:rsid w:val="00785403"/>
    <w:rsid w:val="0078589A"/>
    <w:rsid w:val="00786086"/>
    <w:rsid w:val="007868CA"/>
    <w:rsid w:val="00786BD5"/>
    <w:rsid w:val="00787098"/>
    <w:rsid w:val="007872A0"/>
    <w:rsid w:val="00787796"/>
    <w:rsid w:val="007879FD"/>
    <w:rsid w:val="00787C1D"/>
    <w:rsid w:val="00787F3D"/>
    <w:rsid w:val="00790322"/>
    <w:rsid w:val="0079051C"/>
    <w:rsid w:val="007906B3"/>
    <w:rsid w:val="00790C4A"/>
    <w:rsid w:val="0079104D"/>
    <w:rsid w:val="007919EF"/>
    <w:rsid w:val="00791A1C"/>
    <w:rsid w:val="00791A7B"/>
    <w:rsid w:val="007921D8"/>
    <w:rsid w:val="007924E5"/>
    <w:rsid w:val="007929BF"/>
    <w:rsid w:val="00792A4C"/>
    <w:rsid w:val="00792B9F"/>
    <w:rsid w:val="00792D56"/>
    <w:rsid w:val="0079303C"/>
    <w:rsid w:val="007930D1"/>
    <w:rsid w:val="0079311D"/>
    <w:rsid w:val="0079347B"/>
    <w:rsid w:val="0079375D"/>
    <w:rsid w:val="00793E61"/>
    <w:rsid w:val="00794370"/>
    <w:rsid w:val="00794CDF"/>
    <w:rsid w:val="007950E0"/>
    <w:rsid w:val="0079510B"/>
    <w:rsid w:val="00795D21"/>
    <w:rsid w:val="00796077"/>
    <w:rsid w:val="00796687"/>
    <w:rsid w:val="00796BB8"/>
    <w:rsid w:val="00797D7A"/>
    <w:rsid w:val="007A0511"/>
    <w:rsid w:val="007A3568"/>
    <w:rsid w:val="007A365C"/>
    <w:rsid w:val="007A3B02"/>
    <w:rsid w:val="007A3C7C"/>
    <w:rsid w:val="007A3D51"/>
    <w:rsid w:val="007A3F8F"/>
    <w:rsid w:val="007A4034"/>
    <w:rsid w:val="007A44E1"/>
    <w:rsid w:val="007A473D"/>
    <w:rsid w:val="007A4B1E"/>
    <w:rsid w:val="007A4E30"/>
    <w:rsid w:val="007A4EDF"/>
    <w:rsid w:val="007A50C2"/>
    <w:rsid w:val="007A5144"/>
    <w:rsid w:val="007A58B5"/>
    <w:rsid w:val="007A5C86"/>
    <w:rsid w:val="007A5E8F"/>
    <w:rsid w:val="007A6406"/>
    <w:rsid w:val="007A64C9"/>
    <w:rsid w:val="007A6E9B"/>
    <w:rsid w:val="007A6F15"/>
    <w:rsid w:val="007A7586"/>
    <w:rsid w:val="007A7CA8"/>
    <w:rsid w:val="007B0342"/>
    <w:rsid w:val="007B05A5"/>
    <w:rsid w:val="007B0C58"/>
    <w:rsid w:val="007B137D"/>
    <w:rsid w:val="007B1AD6"/>
    <w:rsid w:val="007B2042"/>
    <w:rsid w:val="007B2193"/>
    <w:rsid w:val="007B26DB"/>
    <w:rsid w:val="007B2F93"/>
    <w:rsid w:val="007B301C"/>
    <w:rsid w:val="007B3038"/>
    <w:rsid w:val="007B33E2"/>
    <w:rsid w:val="007B3CBD"/>
    <w:rsid w:val="007B4288"/>
    <w:rsid w:val="007B43A0"/>
    <w:rsid w:val="007B444E"/>
    <w:rsid w:val="007B44BB"/>
    <w:rsid w:val="007B4693"/>
    <w:rsid w:val="007B4875"/>
    <w:rsid w:val="007B4A5D"/>
    <w:rsid w:val="007B6271"/>
    <w:rsid w:val="007B643D"/>
    <w:rsid w:val="007B6473"/>
    <w:rsid w:val="007B6F68"/>
    <w:rsid w:val="007C0269"/>
    <w:rsid w:val="007C0AC7"/>
    <w:rsid w:val="007C0EE6"/>
    <w:rsid w:val="007C16B3"/>
    <w:rsid w:val="007C179F"/>
    <w:rsid w:val="007C1858"/>
    <w:rsid w:val="007C18AD"/>
    <w:rsid w:val="007C1ACD"/>
    <w:rsid w:val="007C25FA"/>
    <w:rsid w:val="007C2A81"/>
    <w:rsid w:val="007C2E46"/>
    <w:rsid w:val="007C2F2B"/>
    <w:rsid w:val="007C2F54"/>
    <w:rsid w:val="007C3859"/>
    <w:rsid w:val="007C38D6"/>
    <w:rsid w:val="007C3A6C"/>
    <w:rsid w:val="007C4850"/>
    <w:rsid w:val="007C49E6"/>
    <w:rsid w:val="007C4A33"/>
    <w:rsid w:val="007C5481"/>
    <w:rsid w:val="007C5892"/>
    <w:rsid w:val="007C58FE"/>
    <w:rsid w:val="007C5D04"/>
    <w:rsid w:val="007C69AF"/>
    <w:rsid w:val="007C6E02"/>
    <w:rsid w:val="007D01E0"/>
    <w:rsid w:val="007D0862"/>
    <w:rsid w:val="007D1288"/>
    <w:rsid w:val="007D12A8"/>
    <w:rsid w:val="007D1347"/>
    <w:rsid w:val="007D15A8"/>
    <w:rsid w:val="007D1620"/>
    <w:rsid w:val="007D1789"/>
    <w:rsid w:val="007D1A5F"/>
    <w:rsid w:val="007D2349"/>
    <w:rsid w:val="007D24C0"/>
    <w:rsid w:val="007D2A6C"/>
    <w:rsid w:val="007D2E06"/>
    <w:rsid w:val="007D2FEE"/>
    <w:rsid w:val="007D31BF"/>
    <w:rsid w:val="007D34A0"/>
    <w:rsid w:val="007D4C26"/>
    <w:rsid w:val="007D4C8A"/>
    <w:rsid w:val="007D55EA"/>
    <w:rsid w:val="007D5AFD"/>
    <w:rsid w:val="007D5B29"/>
    <w:rsid w:val="007D5C55"/>
    <w:rsid w:val="007D5EC5"/>
    <w:rsid w:val="007D6084"/>
    <w:rsid w:val="007D62CD"/>
    <w:rsid w:val="007D764D"/>
    <w:rsid w:val="007D7872"/>
    <w:rsid w:val="007D7FC0"/>
    <w:rsid w:val="007E038C"/>
    <w:rsid w:val="007E06E8"/>
    <w:rsid w:val="007E085D"/>
    <w:rsid w:val="007E0904"/>
    <w:rsid w:val="007E0DCE"/>
    <w:rsid w:val="007E1396"/>
    <w:rsid w:val="007E1B70"/>
    <w:rsid w:val="007E1C87"/>
    <w:rsid w:val="007E2082"/>
    <w:rsid w:val="007E232F"/>
    <w:rsid w:val="007E249B"/>
    <w:rsid w:val="007E2584"/>
    <w:rsid w:val="007E32F4"/>
    <w:rsid w:val="007E35F1"/>
    <w:rsid w:val="007E36DA"/>
    <w:rsid w:val="007E385C"/>
    <w:rsid w:val="007E3AC0"/>
    <w:rsid w:val="007E3BEA"/>
    <w:rsid w:val="007E3C88"/>
    <w:rsid w:val="007E3EFD"/>
    <w:rsid w:val="007E3F59"/>
    <w:rsid w:val="007E3F8F"/>
    <w:rsid w:val="007E41C9"/>
    <w:rsid w:val="007E44C7"/>
    <w:rsid w:val="007E4538"/>
    <w:rsid w:val="007E4F33"/>
    <w:rsid w:val="007E50BD"/>
    <w:rsid w:val="007E5958"/>
    <w:rsid w:val="007E5A87"/>
    <w:rsid w:val="007E5B92"/>
    <w:rsid w:val="007E6164"/>
    <w:rsid w:val="007E63AD"/>
    <w:rsid w:val="007E63E8"/>
    <w:rsid w:val="007E67AE"/>
    <w:rsid w:val="007E6909"/>
    <w:rsid w:val="007E6934"/>
    <w:rsid w:val="007E6EB5"/>
    <w:rsid w:val="007E717B"/>
    <w:rsid w:val="007E766C"/>
    <w:rsid w:val="007E7C6C"/>
    <w:rsid w:val="007E7C8C"/>
    <w:rsid w:val="007F02FE"/>
    <w:rsid w:val="007F0412"/>
    <w:rsid w:val="007F081A"/>
    <w:rsid w:val="007F0FA6"/>
    <w:rsid w:val="007F1152"/>
    <w:rsid w:val="007F19E7"/>
    <w:rsid w:val="007F1DA4"/>
    <w:rsid w:val="007F25F7"/>
    <w:rsid w:val="007F278C"/>
    <w:rsid w:val="007F28D7"/>
    <w:rsid w:val="007F3139"/>
    <w:rsid w:val="007F31C0"/>
    <w:rsid w:val="007F325B"/>
    <w:rsid w:val="007F3B6C"/>
    <w:rsid w:val="007F3FFA"/>
    <w:rsid w:val="007F47DE"/>
    <w:rsid w:val="007F4A21"/>
    <w:rsid w:val="007F52AD"/>
    <w:rsid w:val="007F58DE"/>
    <w:rsid w:val="007F763B"/>
    <w:rsid w:val="007F7B84"/>
    <w:rsid w:val="008000FC"/>
    <w:rsid w:val="008009A9"/>
    <w:rsid w:val="00800DC5"/>
    <w:rsid w:val="008017AF"/>
    <w:rsid w:val="00801DE9"/>
    <w:rsid w:val="00801EEF"/>
    <w:rsid w:val="00802117"/>
    <w:rsid w:val="008025C3"/>
    <w:rsid w:val="008028D5"/>
    <w:rsid w:val="0080384F"/>
    <w:rsid w:val="00803B29"/>
    <w:rsid w:val="0080411C"/>
    <w:rsid w:val="008042E2"/>
    <w:rsid w:val="008046E4"/>
    <w:rsid w:val="00804F13"/>
    <w:rsid w:val="00805602"/>
    <w:rsid w:val="00805A33"/>
    <w:rsid w:val="00806414"/>
    <w:rsid w:val="00806430"/>
    <w:rsid w:val="008065FD"/>
    <w:rsid w:val="00806849"/>
    <w:rsid w:val="00806A89"/>
    <w:rsid w:val="00807659"/>
    <w:rsid w:val="0080788F"/>
    <w:rsid w:val="00807BB8"/>
    <w:rsid w:val="00807E9A"/>
    <w:rsid w:val="00810072"/>
    <w:rsid w:val="00810184"/>
    <w:rsid w:val="00810617"/>
    <w:rsid w:val="008107F7"/>
    <w:rsid w:val="0081149E"/>
    <w:rsid w:val="00811520"/>
    <w:rsid w:val="00811D24"/>
    <w:rsid w:val="00811FC0"/>
    <w:rsid w:val="00812696"/>
    <w:rsid w:val="008127A9"/>
    <w:rsid w:val="00812897"/>
    <w:rsid w:val="008133F5"/>
    <w:rsid w:val="0081342F"/>
    <w:rsid w:val="0081347B"/>
    <w:rsid w:val="008139AD"/>
    <w:rsid w:val="00813A57"/>
    <w:rsid w:val="00813B67"/>
    <w:rsid w:val="00813EB7"/>
    <w:rsid w:val="0081448D"/>
    <w:rsid w:val="00814CE2"/>
    <w:rsid w:val="008153AC"/>
    <w:rsid w:val="008163B1"/>
    <w:rsid w:val="008163D6"/>
    <w:rsid w:val="0081660E"/>
    <w:rsid w:val="00817271"/>
    <w:rsid w:val="008177AD"/>
    <w:rsid w:val="00817959"/>
    <w:rsid w:val="00820014"/>
    <w:rsid w:val="008205D6"/>
    <w:rsid w:val="0082065A"/>
    <w:rsid w:val="008213D7"/>
    <w:rsid w:val="00821479"/>
    <w:rsid w:val="008215AE"/>
    <w:rsid w:val="008216AA"/>
    <w:rsid w:val="008216DD"/>
    <w:rsid w:val="008218A6"/>
    <w:rsid w:val="008219B8"/>
    <w:rsid w:val="00821B28"/>
    <w:rsid w:val="0082239C"/>
    <w:rsid w:val="0082262E"/>
    <w:rsid w:val="00822788"/>
    <w:rsid w:val="00822A44"/>
    <w:rsid w:val="00822C8C"/>
    <w:rsid w:val="00822D00"/>
    <w:rsid w:val="00823055"/>
    <w:rsid w:val="0082377E"/>
    <w:rsid w:val="0082387B"/>
    <w:rsid w:val="0082463E"/>
    <w:rsid w:val="00824713"/>
    <w:rsid w:val="0082536A"/>
    <w:rsid w:val="00825462"/>
    <w:rsid w:val="008258C7"/>
    <w:rsid w:val="00825999"/>
    <w:rsid w:val="00825C60"/>
    <w:rsid w:val="008267BB"/>
    <w:rsid w:val="00827040"/>
    <w:rsid w:val="008270AB"/>
    <w:rsid w:val="008271F4"/>
    <w:rsid w:val="00827564"/>
    <w:rsid w:val="0082762D"/>
    <w:rsid w:val="00827905"/>
    <w:rsid w:val="00827C7B"/>
    <w:rsid w:val="008303E6"/>
    <w:rsid w:val="008307B8"/>
    <w:rsid w:val="00830E80"/>
    <w:rsid w:val="00831368"/>
    <w:rsid w:val="008315F0"/>
    <w:rsid w:val="008318E1"/>
    <w:rsid w:val="008323EA"/>
    <w:rsid w:val="00832939"/>
    <w:rsid w:val="0083362B"/>
    <w:rsid w:val="008337AE"/>
    <w:rsid w:val="00833EDB"/>
    <w:rsid w:val="0083402D"/>
    <w:rsid w:val="00834275"/>
    <w:rsid w:val="008350AC"/>
    <w:rsid w:val="0083570E"/>
    <w:rsid w:val="0083592B"/>
    <w:rsid w:val="00835AF8"/>
    <w:rsid w:val="008360AE"/>
    <w:rsid w:val="00836117"/>
    <w:rsid w:val="008368AD"/>
    <w:rsid w:val="00837109"/>
    <w:rsid w:val="00837F49"/>
    <w:rsid w:val="008406FD"/>
    <w:rsid w:val="00840C95"/>
    <w:rsid w:val="00841601"/>
    <w:rsid w:val="0084186B"/>
    <w:rsid w:val="008421D2"/>
    <w:rsid w:val="008427FC"/>
    <w:rsid w:val="00842C98"/>
    <w:rsid w:val="00843A0E"/>
    <w:rsid w:val="00843DD0"/>
    <w:rsid w:val="00844125"/>
    <w:rsid w:val="0084446D"/>
    <w:rsid w:val="00844486"/>
    <w:rsid w:val="008448F0"/>
    <w:rsid w:val="00844AB6"/>
    <w:rsid w:val="00845233"/>
    <w:rsid w:val="00845427"/>
    <w:rsid w:val="0084558A"/>
    <w:rsid w:val="008455BE"/>
    <w:rsid w:val="00845A75"/>
    <w:rsid w:val="00845E4D"/>
    <w:rsid w:val="00845EB5"/>
    <w:rsid w:val="0084649C"/>
    <w:rsid w:val="00846ADB"/>
    <w:rsid w:val="0084718E"/>
    <w:rsid w:val="0084755D"/>
    <w:rsid w:val="008479D0"/>
    <w:rsid w:val="00847C7E"/>
    <w:rsid w:val="00847DFA"/>
    <w:rsid w:val="00850071"/>
    <w:rsid w:val="008500E1"/>
    <w:rsid w:val="008506AC"/>
    <w:rsid w:val="008512EF"/>
    <w:rsid w:val="0085147E"/>
    <w:rsid w:val="00851782"/>
    <w:rsid w:val="00852120"/>
    <w:rsid w:val="008521B9"/>
    <w:rsid w:val="008521F5"/>
    <w:rsid w:val="0085255C"/>
    <w:rsid w:val="00852655"/>
    <w:rsid w:val="008528FB"/>
    <w:rsid w:val="00852F14"/>
    <w:rsid w:val="00853104"/>
    <w:rsid w:val="008536DA"/>
    <w:rsid w:val="00853889"/>
    <w:rsid w:val="0085396F"/>
    <w:rsid w:val="00853BC0"/>
    <w:rsid w:val="00854620"/>
    <w:rsid w:val="008547CD"/>
    <w:rsid w:val="00854DB0"/>
    <w:rsid w:val="00854F76"/>
    <w:rsid w:val="00855224"/>
    <w:rsid w:val="008569F0"/>
    <w:rsid w:val="00856BBE"/>
    <w:rsid w:val="00857199"/>
    <w:rsid w:val="008571F6"/>
    <w:rsid w:val="00857677"/>
    <w:rsid w:val="00857A41"/>
    <w:rsid w:val="00857EFF"/>
    <w:rsid w:val="008602A1"/>
    <w:rsid w:val="00860CEA"/>
    <w:rsid w:val="00860CF5"/>
    <w:rsid w:val="00860E23"/>
    <w:rsid w:val="00862178"/>
    <w:rsid w:val="0086236A"/>
    <w:rsid w:val="008627D0"/>
    <w:rsid w:val="00862A50"/>
    <w:rsid w:val="00862EBE"/>
    <w:rsid w:val="00863085"/>
    <w:rsid w:val="008633C5"/>
    <w:rsid w:val="008636C1"/>
    <w:rsid w:val="00863BC4"/>
    <w:rsid w:val="00863E14"/>
    <w:rsid w:val="00863F64"/>
    <w:rsid w:val="00864475"/>
    <w:rsid w:val="008648CC"/>
    <w:rsid w:val="00864EAB"/>
    <w:rsid w:val="0086514A"/>
    <w:rsid w:val="0086561D"/>
    <w:rsid w:val="00865721"/>
    <w:rsid w:val="00865AFC"/>
    <w:rsid w:val="00865C54"/>
    <w:rsid w:val="00865F46"/>
    <w:rsid w:val="008661FC"/>
    <w:rsid w:val="0086670C"/>
    <w:rsid w:val="0086690C"/>
    <w:rsid w:val="00866C74"/>
    <w:rsid w:val="00867112"/>
    <w:rsid w:val="008679D8"/>
    <w:rsid w:val="00867CBC"/>
    <w:rsid w:val="00867FA4"/>
    <w:rsid w:val="008702BA"/>
    <w:rsid w:val="00870320"/>
    <w:rsid w:val="008704AE"/>
    <w:rsid w:val="00870B4B"/>
    <w:rsid w:val="00870C68"/>
    <w:rsid w:val="0087156E"/>
    <w:rsid w:val="00871FC6"/>
    <w:rsid w:val="00872A73"/>
    <w:rsid w:val="00872B07"/>
    <w:rsid w:val="00873549"/>
    <w:rsid w:val="008735EE"/>
    <w:rsid w:val="00873A73"/>
    <w:rsid w:val="00873E50"/>
    <w:rsid w:val="0087480A"/>
    <w:rsid w:val="00874816"/>
    <w:rsid w:val="008748D6"/>
    <w:rsid w:val="00874A8B"/>
    <w:rsid w:val="00874BF5"/>
    <w:rsid w:val="00875387"/>
    <w:rsid w:val="008756AF"/>
    <w:rsid w:val="008756E0"/>
    <w:rsid w:val="008758A7"/>
    <w:rsid w:val="00875D39"/>
    <w:rsid w:val="00876296"/>
    <w:rsid w:val="008768CE"/>
    <w:rsid w:val="00876E48"/>
    <w:rsid w:val="00877DB9"/>
    <w:rsid w:val="00877FFE"/>
    <w:rsid w:val="008803D6"/>
    <w:rsid w:val="0088081C"/>
    <w:rsid w:val="00882176"/>
    <w:rsid w:val="00882450"/>
    <w:rsid w:val="00882F4F"/>
    <w:rsid w:val="0088330B"/>
    <w:rsid w:val="008833FF"/>
    <w:rsid w:val="0088344A"/>
    <w:rsid w:val="008838BD"/>
    <w:rsid w:val="00883DAE"/>
    <w:rsid w:val="00883F81"/>
    <w:rsid w:val="008842CB"/>
    <w:rsid w:val="008843F8"/>
    <w:rsid w:val="00884A98"/>
    <w:rsid w:val="00884BF4"/>
    <w:rsid w:val="008853C9"/>
    <w:rsid w:val="0088545E"/>
    <w:rsid w:val="008854CE"/>
    <w:rsid w:val="0088553E"/>
    <w:rsid w:val="008865C9"/>
    <w:rsid w:val="00886AEE"/>
    <w:rsid w:val="008902CF"/>
    <w:rsid w:val="008903B1"/>
    <w:rsid w:val="0089074D"/>
    <w:rsid w:val="00890B48"/>
    <w:rsid w:val="00890ECD"/>
    <w:rsid w:val="00890FB6"/>
    <w:rsid w:val="008912FB"/>
    <w:rsid w:val="008915F4"/>
    <w:rsid w:val="00892E32"/>
    <w:rsid w:val="0089309C"/>
    <w:rsid w:val="00893457"/>
    <w:rsid w:val="00893BC4"/>
    <w:rsid w:val="00894122"/>
    <w:rsid w:val="008947BF"/>
    <w:rsid w:val="0089564F"/>
    <w:rsid w:val="00895749"/>
    <w:rsid w:val="00895831"/>
    <w:rsid w:val="00895A4D"/>
    <w:rsid w:val="00895F69"/>
    <w:rsid w:val="008964BE"/>
    <w:rsid w:val="00896E31"/>
    <w:rsid w:val="00896F00"/>
    <w:rsid w:val="008970FB"/>
    <w:rsid w:val="008971FB"/>
    <w:rsid w:val="00897859"/>
    <w:rsid w:val="008978D0"/>
    <w:rsid w:val="008A026A"/>
    <w:rsid w:val="008A04E7"/>
    <w:rsid w:val="008A09BE"/>
    <w:rsid w:val="008A0A52"/>
    <w:rsid w:val="008A0BAA"/>
    <w:rsid w:val="008A13FD"/>
    <w:rsid w:val="008A15C8"/>
    <w:rsid w:val="008A1E58"/>
    <w:rsid w:val="008A220C"/>
    <w:rsid w:val="008A2422"/>
    <w:rsid w:val="008A2535"/>
    <w:rsid w:val="008A2852"/>
    <w:rsid w:val="008A28D1"/>
    <w:rsid w:val="008A2D21"/>
    <w:rsid w:val="008A2F54"/>
    <w:rsid w:val="008A3B0E"/>
    <w:rsid w:val="008A3CA0"/>
    <w:rsid w:val="008A40C9"/>
    <w:rsid w:val="008A4732"/>
    <w:rsid w:val="008A475B"/>
    <w:rsid w:val="008A4A56"/>
    <w:rsid w:val="008A4B04"/>
    <w:rsid w:val="008A4EA2"/>
    <w:rsid w:val="008A53D3"/>
    <w:rsid w:val="008A5518"/>
    <w:rsid w:val="008A5C66"/>
    <w:rsid w:val="008A5C6F"/>
    <w:rsid w:val="008A77C0"/>
    <w:rsid w:val="008A7927"/>
    <w:rsid w:val="008B006B"/>
    <w:rsid w:val="008B064A"/>
    <w:rsid w:val="008B1BA8"/>
    <w:rsid w:val="008B1C14"/>
    <w:rsid w:val="008B1FDB"/>
    <w:rsid w:val="008B256C"/>
    <w:rsid w:val="008B2A39"/>
    <w:rsid w:val="008B2B2E"/>
    <w:rsid w:val="008B2CEE"/>
    <w:rsid w:val="008B4544"/>
    <w:rsid w:val="008B4899"/>
    <w:rsid w:val="008B4A53"/>
    <w:rsid w:val="008B4E5D"/>
    <w:rsid w:val="008B52C8"/>
    <w:rsid w:val="008B552B"/>
    <w:rsid w:val="008B5E93"/>
    <w:rsid w:val="008B6BDF"/>
    <w:rsid w:val="008B72C7"/>
    <w:rsid w:val="008B74B9"/>
    <w:rsid w:val="008C0470"/>
    <w:rsid w:val="008C04AC"/>
    <w:rsid w:val="008C0ADC"/>
    <w:rsid w:val="008C0BE4"/>
    <w:rsid w:val="008C0BEB"/>
    <w:rsid w:val="008C0C43"/>
    <w:rsid w:val="008C0DF0"/>
    <w:rsid w:val="008C0FA1"/>
    <w:rsid w:val="008C1017"/>
    <w:rsid w:val="008C1406"/>
    <w:rsid w:val="008C218B"/>
    <w:rsid w:val="008C2333"/>
    <w:rsid w:val="008C2660"/>
    <w:rsid w:val="008C26E8"/>
    <w:rsid w:val="008C274D"/>
    <w:rsid w:val="008C2E07"/>
    <w:rsid w:val="008C2E6E"/>
    <w:rsid w:val="008C3377"/>
    <w:rsid w:val="008C3C44"/>
    <w:rsid w:val="008C428C"/>
    <w:rsid w:val="008C42BF"/>
    <w:rsid w:val="008C4A18"/>
    <w:rsid w:val="008C4CEE"/>
    <w:rsid w:val="008C50E4"/>
    <w:rsid w:val="008C5435"/>
    <w:rsid w:val="008C54A1"/>
    <w:rsid w:val="008C58A8"/>
    <w:rsid w:val="008C58F6"/>
    <w:rsid w:val="008C5D7A"/>
    <w:rsid w:val="008C691B"/>
    <w:rsid w:val="008C693F"/>
    <w:rsid w:val="008C74ED"/>
    <w:rsid w:val="008C7771"/>
    <w:rsid w:val="008C7B21"/>
    <w:rsid w:val="008D026D"/>
    <w:rsid w:val="008D0366"/>
    <w:rsid w:val="008D06D1"/>
    <w:rsid w:val="008D093C"/>
    <w:rsid w:val="008D137C"/>
    <w:rsid w:val="008D13B9"/>
    <w:rsid w:val="008D14A6"/>
    <w:rsid w:val="008D1EE4"/>
    <w:rsid w:val="008D2682"/>
    <w:rsid w:val="008D2CC4"/>
    <w:rsid w:val="008D2F41"/>
    <w:rsid w:val="008D2F68"/>
    <w:rsid w:val="008D3542"/>
    <w:rsid w:val="008D3A6E"/>
    <w:rsid w:val="008D3C45"/>
    <w:rsid w:val="008D3CDE"/>
    <w:rsid w:val="008D3E72"/>
    <w:rsid w:val="008D4297"/>
    <w:rsid w:val="008D44F5"/>
    <w:rsid w:val="008D5407"/>
    <w:rsid w:val="008D5500"/>
    <w:rsid w:val="008D55A8"/>
    <w:rsid w:val="008D6301"/>
    <w:rsid w:val="008D7518"/>
    <w:rsid w:val="008D7938"/>
    <w:rsid w:val="008E0077"/>
    <w:rsid w:val="008E00B4"/>
    <w:rsid w:val="008E0454"/>
    <w:rsid w:val="008E0641"/>
    <w:rsid w:val="008E077E"/>
    <w:rsid w:val="008E0C71"/>
    <w:rsid w:val="008E1817"/>
    <w:rsid w:val="008E2245"/>
    <w:rsid w:val="008E29E3"/>
    <w:rsid w:val="008E2F5E"/>
    <w:rsid w:val="008E3241"/>
    <w:rsid w:val="008E3493"/>
    <w:rsid w:val="008E3CA4"/>
    <w:rsid w:val="008E4272"/>
    <w:rsid w:val="008E4321"/>
    <w:rsid w:val="008E4A3E"/>
    <w:rsid w:val="008E4BB4"/>
    <w:rsid w:val="008E4F31"/>
    <w:rsid w:val="008E5239"/>
    <w:rsid w:val="008E530F"/>
    <w:rsid w:val="008E580B"/>
    <w:rsid w:val="008E5A40"/>
    <w:rsid w:val="008E5B42"/>
    <w:rsid w:val="008E5F11"/>
    <w:rsid w:val="008E61C5"/>
    <w:rsid w:val="008E622B"/>
    <w:rsid w:val="008E62B2"/>
    <w:rsid w:val="008E660E"/>
    <w:rsid w:val="008E7D5D"/>
    <w:rsid w:val="008E7DC4"/>
    <w:rsid w:val="008F0010"/>
    <w:rsid w:val="008F00A0"/>
    <w:rsid w:val="008F08A8"/>
    <w:rsid w:val="008F0A7A"/>
    <w:rsid w:val="008F0B4F"/>
    <w:rsid w:val="008F0C3A"/>
    <w:rsid w:val="008F1282"/>
    <w:rsid w:val="008F165A"/>
    <w:rsid w:val="008F1E78"/>
    <w:rsid w:val="008F227C"/>
    <w:rsid w:val="008F24A0"/>
    <w:rsid w:val="008F29C0"/>
    <w:rsid w:val="008F2C8D"/>
    <w:rsid w:val="008F3152"/>
    <w:rsid w:val="008F3E23"/>
    <w:rsid w:val="008F408F"/>
    <w:rsid w:val="008F4235"/>
    <w:rsid w:val="008F4A31"/>
    <w:rsid w:val="008F4CDD"/>
    <w:rsid w:val="008F4E81"/>
    <w:rsid w:val="008F4EBF"/>
    <w:rsid w:val="008F529C"/>
    <w:rsid w:val="008F538C"/>
    <w:rsid w:val="008F558C"/>
    <w:rsid w:val="008F5D60"/>
    <w:rsid w:val="008F5DD1"/>
    <w:rsid w:val="008F6A8A"/>
    <w:rsid w:val="008F77B8"/>
    <w:rsid w:val="008F7967"/>
    <w:rsid w:val="008F7D67"/>
    <w:rsid w:val="009000BE"/>
    <w:rsid w:val="009013BB"/>
    <w:rsid w:val="00901EAA"/>
    <w:rsid w:val="00902465"/>
    <w:rsid w:val="00902624"/>
    <w:rsid w:val="009030F1"/>
    <w:rsid w:val="0090323C"/>
    <w:rsid w:val="00903B38"/>
    <w:rsid w:val="00903C84"/>
    <w:rsid w:val="00904061"/>
    <w:rsid w:val="0090460B"/>
    <w:rsid w:val="00904693"/>
    <w:rsid w:val="009046C3"/>
    <w:rsid w:val="00904DD6"/>
    <w:rsid w:val="00904EA7"/>
    <w:rsid w:val="00904F38"/>
    <w:rsid w:val="00905D11"/>
    <w:rsid w:val="00905DFA"/>
    <w:rsid w:val="00906536"/>
    <w:rsid w:val="0090776A"/>
    <w:rsid w:val="00907E42"/>
    <w:rsid w:val="0091004C"/>
    <w:rsid w:val="009104A2"/>
    <w:rsid w:val="009105CB"/>
    <w:rsid w:val="00910BE6"/>
    <w:rsid w:val="00910CD3"/>
    <w:rsid w:val="00911A9D"/>
    <w:rsid w:val="00911C8C"/>
    <w:rsid w:val="00911D03"/>
    <w:rsid w:val="00911D12"/>
    <w:rsid w:val="00911D7A"/>
    <w:rsid w:val="00911F56"/>
    <w:rsid w:val="0091227A"/>
    <w:rsid w:val="009122FD"/>
    <w:rsid w:val="00912449"/>
    <w:rsid w:val="0091267C"/>
    <w:rsid w:val="00912BCF"/>
    <w:rsid w:val="0091303C"/>
    <w:rsid w:val="00913406"/>
    <w:rsid w:val="009135B2"/>
    <w:rsid w:val="00913847"/>
    <w:rsid w:val="00913DE5"/>
    <w:rsid w:val="00913E5E"/>
    <w:rsid w:val="00913FFD"/>
    <w:rsid w:val="0091439B"/>
    <w:rsid w:val="00914650"/>
    <w:rsid w:val="00914ADE"/>
    <w:rsid w:val="00914C88"/>
    <w:rsid w:val="00914DA1"/>
    <w:rsid w:val="00914DC4"/>
    <w:rsid w:val="00915100"/>
    <w:rsid w:val="00915406"/>
    <w:rsid w:val="009154CC"/>
    <w:rsid w:val="009155B6"/>
    <w:rsid w:val="0091774E"/>
    <w:rsid w:val="00917B50"/>
    <w:rsid w:val="00917C61"/>
    <w:rsid w:val="0092033D"/>
    <w:rsid w:val="00920602"/>
    <w:rsid w:val="009211B0"/>
    <w:rsid w:val="0092127C"/>
    <w:rsid w:val="009212D6"/>
    <w:rsid w:val="0092134B"/>
    <w:rsid w:val="009215FE"/>
    <w:rsid w:val="00921EFA"/>
    <w:rsid w:val="00921F36"/>
    <w:rsid w:val="009226A1"/>
    <w:rsid w:val="00922A60"/>
    <w:rsid w:val="00922B4C"/>
    <w:rsid w:val="00922E58"/>
    <w:rsid w:val="00922F12"/>
    <w:rsid w:val="009236EA"/>
    <w:rsid w:val="00923CC9"/>
    <w:rsid w:val="00924142"/>
    <w:rsid w:val="00924B58"/>
    <w:rsid w:val="009252EA"/>
    <w:rsid w:val="00925336"/>
    <w:rsid w:val="0092539B"/>
    <w:rsid w:val="009258AC"/>
    <w:rsid w:val="00925B5C"/>
    <w:rsid w:val="009263EF"/>
    <w:rsid w:val="009264BC"/>
    <w:rsid w:val="00926C03"/>
    <w:rsid w:val="00927154"/>
    <w:rsid w:val="009273F2"/>
    <w:rsid w:val="009274DF"/>
    <w:rsid w:val="00927950"/>
    <w:rsid w:val="00927D32"/>
    <w:rsid w:val="00927D7F"/>
    <w:rsid w:val="009303AA"/>
    <w:rsid w:val="00930854"/>
    <w:rsid w:val="009308C8"/>
    <w:rsid w:val="0093093B"/>
    <w:rsid w:val="00930A06"/>
    <w:rsid w:val="00930AF4"/>
    <w:rsid w:val="00930C27"/>
    <w:rsid w:val="00931034"/>
    <w:rsid w:val="009311F9"/>
    <w:rsid w:val="009314FB"/>
    <w:rsid w:val="00931AD5"/>
    <w:rsid w:val="00931D37"/>
    <w:rsid w:val="009328D8"/>
    <w:rsid w:val="00932CEE"/>
    <w:rsid w:val="00933099"/>
    <w:rsid w:val="00934B16"/>
    <w:rsid w:val="00934BCE"/>
    <w:rsid w:val="00934CF7"/>
    <w:rsid w:val="00934EBF"/>
    <w:rsid w:val="00934F9B"/>
    <w:rsid w:val="0093514C"/>
    <w:rsid w:val="009351D1"/>
    <w:rsid w:val="00935438"/>
    <w:rsid w:val="00935980"/>
    <w:rsid w:val="0093738E"/>
    <w:rsid w:val="00937573"/>
    <w:rsid w:val="00937A14"/>
    <w:rsid w:val="00937FAF"/>
    <w:rsid w:val="009402B0"/>
    <w:rsid w:val="009403A3"/>
    <w:rsid w:val="00940EEF"/>
    <w:rsid w:val="00941D24"/>
    <w:rsid w:val="00942598"/>
    <w:rsid w:val="0094292F"/>
    <w:rsid w:val="009429B3"/>
    <w:rsid w:val="00942A00"/>
    <w:rsid w:val="00942D32"/>
    <w:rsid w:val="00942E12"/>
    <w:rsid w:val="00942E16"/>
    <w:rsid w:val="00943AF2"/>
    <w:rsid w:val="00943F29"/>
    <w:rsid w:val="00944446"/>
    <w:rsid w:val="0094493E"/>
    <w:rsid w:val="0094554F"/>
    <w:rsid w:val="00945804"/>
    <w:rsid w:val="00945BF6"/>
    <w:rsid w:val="00945D89"/>
    <w:rsid w:val="00946246"/>
    <w:rsid w:val="00946518"/>
    <w:rsid w:val="0094652E"/>
    <w:rsid w:val="0094671D"/>
    <w:rsid w:val="009474B0"/>
    <w:rsid w:val="0094796B"/>
    <w:rsid w:val="009479F9"/>
    <w:rsid w:val="00947A3F"/>
    <w:rsid w:val="00950084"/>
    <w:rsid w:val="00950436"/>
    <w:rsid w:val="00950941"/>
    <w:rsid w:val="00950976"/>
    <w:rsid w:val="009517F4"/>
    <w:rsid w:val="0095185B"/>
    <w:rsid w:val="00951CCE"/>
    <w:rsid w:val="00951EC0"/>
    <w:rsid w:val="009527A8"/>
    <w:rsid w:val="0095294D"/>
    <w:rsid w:val="00952ABC"/>
    <w:rsid w:val="00953875"/>
    <w:rsid w:val="00953C46"/>
    <w:rsid w:val="00953EBE"/>
    <w:rsid w:val="00954032"/>
    <w:rsid w:val="009551D7"/>
    <w:rsid w:val="00955326"/>
    <w:rsid w:val="00955808"/>
    <w:rsid w:val="00955F5B"/>
    <w:rsid w:val="0095650C"/>
    <w:rsid w:val="00956C5E"/>
    <w:rsid w:val="009573DD"/>
    <w:rsid w:val="009573E6"/>
    <w:rsid w:val="00957590"/>
    <w:rsid w:val="00957B68"/>
    <w:rsid w:val="00957BF5"/>
    <w:rsid w:val="00957C98"/>
    <w:rsid w:val="009603BC"/>
    <w:rsid w:val="009607B0"/>
    <w:rsid w:val="009609D5"/>
    <w:rsid w:val="00960C5B"/>
    <w:rsid w:val="00960FE5"/>
    <w:rsid w:val="009613DC"/>
    <w:rsid w:val="009617B2"/>
    <w:rsid w:val="00961957"/>
    <w:rsid w:val="00961AE5"/>
    <w:rsid w:val="0096207C"/>
    <w:rsid w:val="0096226A"/>
    <w:rsid w:val="009625F1"/>
    <w:rsid w:val="00962859"/>
    <w:rsid w:val="00962B2C"/>
    <w:rsid w:val="00963399"/>
    <w:rsid w:val="0096360E"/>
    <w:rsid w:val="00963B54"/>
    <w:rsid w:val="00964021"/>
    <w:rsid w:val="00964280"/>
    <w:rsid w:val="0096458F"/>
    <w:rsid w:val="00964834"/>
    <w:rsid w:val="009648FA"/>
    <w:rsid w:val="0096508F"/>
    <w:rsid w:val="0096522B"/>
    <w:rsid w:val="0096543E"/>
    <w:rsid w:val="00965A30"/>
    <w:rsid w:val="009661E6"/>
    <w:rsid w:val="00966552"/>
    <w:rsid w:val="0096688C"/>
    <w:rsid w:val="00966B29"/>
    <w:rsid w:val="00966B5A"/>
    <w:rsid w:val="00966CB6"/>
    <w:rsid w:val="00966D1C"/>
    <w:rsid w:val="00967DF0"/>
    <w:rsid w:val="009702A4"/>
    <w:rsid w:val="00970837"/>
    <w:rsid w:val="009709BD"/>
    <w:rsid w:val="00970F7D"/>
    <w:rsid w:val="00971DC4"/>
    <w:rsid w:val="009723B4"/>
    <w:rsid w:val="00972B84"/>
    <w:rsid w:val="00972C34"/>
    <w:rsid w:val="00972CB3"/>
    <w:rsid w:val="009730C7"/>
    <w:rsid w:val="009737E8"/>
    <w:rsid w:val="00973D21"/>
    <w:rsid w:val="00973E45"/>
    <w:rsid w:val="00973EBF"/>
    <w:rsid w:val="00974056"/>
    <w:rsid w:val="00974120"/>
    <w:rsid w:val="00974250"/>
    <w:rsid w:val="0097456B"/>
    <w:rsid w:val="0097484A"/>
    <w:rsid w:val="00974AB6"/>
    <w:rsid w:val="00975C4B"/>
    <w:rsid w:val="009763DF"/>
    <w:rsid w:val="009768D5"/>
    <w:rsid w:val="00976A70"/>
    <w:rsid w:val="00976BCE"/>
    <w:rsid w:val="00976FF4"/>
    <w:rsid w:val="009770A8"/>
    <w:rsid w:val="009774FA"/>
    <w:rsid w:val="00977D23"/>
    <w:rsid w:val="00980047"/>
    <w:rsid w:val="00980453"/>
    <w:rsid w:val="009805ED"/>
    <w:rsid w:val="009813C0"/>
    <w:rsid w:val="009817F0"/>
    <w:rsid w:val="00981DCC"/>
    <w:rsid w:val="00982064"/>
    <w:rsid w:val="00982081"/>
    <w:rsid w:val="009826B1"/>
    <w:rsid w:val="00982903"/>
    <w:rsid w:val="00982AF5"/>
    <w:rsid w:val="00982B56"/>
    <w:rsid w:val="00982BB2"/>
    <w:rsid w:val="00982FF1"/>
    <w:rsid w:val="0098346A"/>
    <w:rsid w:val="00983486"/>
    <w:rsid w:val="00983FEF"/>
    <w:rsid w:val="00984125"/>
    <w:rsid w:val="009843DD"/>
    <w:rsid w:val="009844B6"/>
    <w:rsid w:val="00984623"/>
    <w:rsid w:val="00984766"/>
    <w:rsid w:val="00984869"/>
    <w:rsid w:val="00984CC8"/>
    <w:rsid w:val="00985160"/>
    <w:rsid w:val="0098544B"/>
    <w:rsid w:val="00985695"/>
    <w:rsid w:val="00985956"/>
    <w:rsid w:val="00985FC2"/>
    <w:rsid w:val="00985FE6"/>
    <w:rsid w:val="009860CE"/>
    <w:rsid w:val="00986625"/>
    <w:rsid w:val="009868D3"/>
    <w:rsid w:val="009869B8"/>
    <w:rsid w:val="009869D2"/>
    <w:rsid w:val="00986F05"/>
    <w:rsid w:val="009873F7"/>
    <w:rsid w:val="00987D2E"/>
    <w:rsid w:val="00987E4B"/>
    <w:rsid w:val="0099067D"/>
    <w:rsid w:val="00990A4A"/>
    <w:rsid w:val="00990E3A"/>
    <w:rsid w:val="00990E44"/>
    <w:rsid w:val="00990E50"/>
    <w:rsid w:val="00991127"/>
    <w:rsid w:val="00991146"/>
    <w:rsid w:val="009917BB"/>
    <w:rsid w:val="00991A0F"/>
    <w:rsid w:val="00992091"/>
    <w:rsid w:val="009920A1"/>
    <w:rsid w:val="009921E6"/>
    <w:rsid w:val="00992666"/>
    <w:rsid w:val="00992688"/>
    <w:rsid w:val="00992B03"/>
    <w:rsid w:val="009936C9"/>
    <w:rsid w:val="009938AA"/>
    <w:rsid w:val="00993C94"/>
    <w:rsid w:val="009941DC"/>
    <w:rsid w:val="009944C6"/>
    <w:rsid w:val="009946BC"/>
    <w:rsid w:val="00994835"/>
    <w:rsid w:val="00994A9D"/>
    <w:rsid w:val="00995198"/>
    <w:rsid w:val="009951C2"/>
    <w:rsid w:val="009951FE"/>
    <w:rsid w:val="00995218"/>
    <w:rsid w:val="0099591A"/>
    <w:rsid w:val="00995EDE"/>
    <w:rsid w:val="00995FB5"/>
    <w:rsid w:val="009965CB"/>
    <w:rsid w:val="00996C65"/>
    <w:rsid w:val="00997354"/>
    <w:rsid w:val="009979B5"/>
    <w:rsid w:val="009979C6"/>
    <w:rsid w:val="00997C0F"/>
    <w:rsid w:val="009A0849"/>
    <w:rsid w:val="009A0BB1"/>
    <w:rsid w:val="009A0D20"/>
    <w:rsid w:val="009A190E"/>
    <w:rsid w:val="009A1A11"/>
    <w:rsid w:val="009A1C30"/>
    <w:rsid w:val="009A1C96"/>
    <w:rsid w:val="009A2364"/>
    <w:rsid w:val="009A2B3C"/>
    <w:rsid w:val="009A302C"/>
    <w:rsid w:val="009A3244"/>
    <w:rsid w:val="009A3516"/>
    <w:rsid w:val="009A3AD4"/>
    <w:rsid w:val="009A42E6"/>
    <w:rsid w:val="009A43F6"/>
    <w:rsid w:val="009A4A8C"/>
    <w:rsid w:val="009A502A"/>
    <w:rsid w:val="009A52CC"/>
    <w:rsid w:val="009A600B"/>
    <w:rsid w:val="009A6AF3"/>
    <w:rsid w:val="009A6B13"/>
    <w:rsid w:val="009A6D5F"/>
    <w:rsid w:val="009A7043"/>
    <w:rsid w:val="009A7095"/>
    <w:rsid w:val="009A7134"/>
    <w:rsid w:val="009A759E"/>
    <w:rsid w:val="009A76D6"/>
    <w:rsid w:val="009A7AD4"/>
    <w:rsid w:val="009B03D3"/>
    <w:rsid w:val="009B03EF"/>
    <w:rsid w:val="009B0B5F"/>
    <w:rsid w:val="009B0D7B"/>
    <w:rsid w:val="009B0F0C"/>
    <w:rsid w:val="009B1C28"/>
    <w:rsid w:val="009B2DAD"/>
    <w:rsid w:val="009B319A"/>
    <w:rsid w:val="009B32D1"/>
    <w:rsid w:val="009B33B8"/>
    <w:rsid w:val="009B38D8"/>
    <w:rsid w:val="009B3B0F"/>
    <w:rsid w:val="009B3CCF"/>
    <w:rsid w:val="009B40D2"/>
    <w:rsid w:val="009B40DC"/>
    <w:rsid w:val="009B41A0"/>
    <w:rsid w:val="009B45FE"/>
    <w:rsid w:val="009B5912"/>
    <w:rsid w:val="009B5AD9"/>
    <w:rsid w:val="009B616A"/>
    <w:rsid w:val="009B63C0"/>
    <w:rsid w:val="009B6570"/>
    <w:rsid w:val="009B65C4"/>
    <w:rsid w:val="009B67BA"/>
    <w:rsid w:val="009B6E5B"/>
    <w:rsid w:val="009B7350"/>
    <w:rsid w:val="009B74E0"/>
    <w:rsid w:val="009B7939"/>
    <w:rsid w:val="009B7BBC"/>
    <w:rsid w:val="009B7C0F"/>
    <w:rsid w:val="009B7D28"/>
    <w:rsid w:val="009B7DA9"/>
    <w:rsid w:val="009C03D3"/>
    <w:rsid w:val="009C041B"/>
    <w:rsid w:val="009C0AF4"/>
    <w:rsid w:val="009C0C33"/>
    <w:rsid w:val="009C0D82"/>
    <w:rsid w:val="009C13B8"/>
    <w:rsid w:val="009C1658"/>
    <w:rsid w:val="009C16B1"/>
    <w:rsid w:val="009C17DF"/>
    <w:rsid w:val="009C184C"/>
    <w:rsid w:val="009C186D"/>
    <w:rsid w:val="009C1BF8"/>
    <w:rsid w:val="009C1F38"/>
    <w:rsid w:val="009C20B5"/>
    <w:rsid w:val="009C26C1"/>
    <w:rsid w:val="009C2808"/>
    <w:rsid w:val="009C2DC3"/>
    <w:rsid w:val="009C31A9"/>
    <w:rsid w:val="009C34F2"/>
    <w:rsid w:val="009C44B7"/>
    <w:rsid w:val="009C45B2"/>
    <w:rsid w:val="009C4A6A"/>
    <w:rsid w:val="009C4CDC"/>
    <w:rsid w:val="009C50E7"/>
    <w:rsid w:val="009C55A8"/>
    <w:rsid w:val="009C5799"/>
    <w:rsid w:val="009C5AA9"/>
    <w:rsid w:val="009C5EFD"/>
    <w:rsid w:val="009C614B"/>
    <w:rsid w:val="009C66AD"/>
    <w:rsid w:val="009C6786"/>
    <w:rsid w:val="009C68CA"/>
    <w:rsid w:val="009C6F44"/>
    <w:rsid w:val="009C7576"/>
    <w:rsid w:val="009C766A"/>
    <w:rsid w:val="009C778B"/>
    <w:rsid w:val="009C7B6D"/>
    <w:rsid w:val="009D0875"/>
    <w:rsid w:val="009D16DB"/>
    <w:rsid w:val="009D1E21"/>
    <w:rsid w:val="009D1E46"/>
    <w:rsid w:val="009D27D6"/>
    <w:rsid w:val="009D2873"/>
    <w:rsid w:val="009D2A4C"/>
    <w:rsid w:val="009D2B7F"/>
    <w:rsid w:val="009D310B"/>
    <w:rsid w:val="009D371F"/>
    <w:rsid w:val="009D3A83"/>
    <w:rsid w:val="009D3EB5"/>
    <w:rsid w:val="009D43B5"/>
    <w:rsid w:val="009D4763"/>
    <w:rsid w:val="009D4B94"/>
    <w:rsid w:val="009D4C0B"/>
    <w:rsid w:val="009D5632"/>
    <w:rsid w:val="009D5770"/>
    <w:rsid w:val="009D6578"/>
    <w:rsid w:val="009D65F0"/>
    <w:rsid w:val="009D6A45"/>
    <w:rsid w:val="009D6A65"/>
    <w:rsid w:val="009D6AA9"/>
    <w:rsid w:val="009D6CF2"/>
    <w:rsid w:val="009E0614"/>
    <w:rsid w:val="009E07BB"/>
    <w:rsid w:val="009E0BE7"/>
    <w:rsid w:val="009E0C00"/>
    <w:rsid w:val="009E0F56"/>
    <w:rsid w:val="009E113E"/>
    <w:rsid w:val="009E158F"/>
    <w:rsid w:val="009E197C"/>
    <w:rsid w:val="009E1BF0"/>
    <w:rsid w:val="009E23C0"/>
    <w:rsid w:val="009E278D"/>
    <w:rsid w:val="009E2B5B"/>
    <w:rsid w:val="009E2B91"/>
    <w:rsid w:val="009E335A"/>
    <w:rsid w:val="009E3486"/>
    <w:rsid w:val="009E3F4A"/>
    <w:rsid w:val="009E42DA"/>
    <w:rsid w:val="009E4623"/>
    <w:rsid w:val="009E4659"/>
    <w:rsid w:val="009E475E"/>
    <w:rsid w:val="009E4B44"/>
    <w:rsid w:val="009E4E02"/>
    <w:rsid w:val="009E4FB0"/>
    <w:rsid w:val="009E5081"/>
    <w:rsid w:val="009E5132"/>
    <w:rsid w:val="009E521B"/>
    <w:rsid w:val="009E55A4"/>
    <w:rsid w:val="009E5790"/>
    <w:rsid w:val="009E57A1"/>
    <w:rsid w:val="009E57DF"/>
    <w:rsid w:val="009E58B5"/>
    <w:rsid w:val="009E61E2"/>
    <w:rsid w:val="009E6346"/>
    <w:rsid w:val="009E6925"/>
    <w:rsid w:val="009E6B1F"/>
    <w:rsid w:val="009E7567"/>
    <w:rsid w:val="009E75A5"/>
    <w:rsid w:val="009E7663"/>
    <w:rsid w:val="009F06EB"/>
    <w:rsid w:val="009F071F"/>
    <w:rsid w:val="009F0BEB"/>
    <w:rsid w:val="009F0DA5"/>
    <w:rsid w:val="009F0F71"/>
    <w:rsid w:val="009F1320"/>
    <w:rsid w:val="009F1841"/>
    <w:rsid w:val="009F18AF"/>
    <w:rsid w:val="009F2565"/>
    <w:rsid w:val="009F27ED"/>
    <w:rsid w:val="009F2AF2"/>
    <w:rsid w:val="009F332A"/>
    <w:rsid w:val="009F35C0"/>
    <w:rsid w:val="009F4314"/>
    <w:rsid w:val="009F5BA1"/>
    <w:rsid w:val="009F5EAD"/>
    <w:rsid w:val="009F5F4E"/>
    <w:rsid w:val="009F60E8"/>
    <w:rsid w:val="009F62C9"/>
    <w:rsid w:val="009F6CCB"/>
    <w:rsid w:val="009F6EAE"/>
    <w:rsid w:val="009F7019"/>
    <w:rsid w:val="009F7351"/>
    <w:rsid w:val="009F793B"/>
    <w:rsid w:val="009F79AD"/>
    <w:rsid w:val="009F7A8F"/>
    <w:rsid w:val="009F7BE7"/>
    <w:rsid w:val="009F7E41"/>
    <w:rsid w:val="00A00052"/>
    <w:rsid w:val="00A00136"/>
    <w:rsid w:val="00A0028A"/>
    <w:rsid w:val="00A00302"/>
    <w:rsid w:val="00A003E0"/>
    <w:rsid w:val="00A004C5"/>
    <w:rsid w:val="00A01B05"/>
    <w:rsid w:val="00A027D6"/>
    <w:rsid w:val="00A0289F"/>
    <w:rsid w:val="00A02E3D"/>
    <w:rsid w:val="00A03880"/>
    <w:rsid w:val="00A039DC"/>
    <w:rsid w:val="00A03A79"/>
    <w:rsid w:val="00A04AEE"/>
    <w:rsid w:val="00A04B70"/>
    <w:rsid w:val="00A04BED"/>
    <w:rsid w:val="00A05CD1"/>
    <w:rsid w:val="00A05DC5"/>
    <w:rsid w:val="00A061E2"/>
    <w:rsid w:val="00A06AC8"/>
    <w:rsid w:val="00A06F4C"/>
    <w:rsid w:val="00A0704E"/>
    <w:rsid w:val="00A070B0"/>
    <w:rsid w:val="00A070E9"/>
    <w:rsid w:val="00A10015"/>
    <w:rsid w:val="00A104F2"/>
    <w:rsid w:val="00A10878"/>
    <w:rsid w:val="00A10C48"/>
    <w:rsid w:val="00A10CD4"/>
    <w:rsid w:val="00A116FA"/>
    <w:rsid w:val="00A11B1D"/>
    <w:rsid w:val="00A11B93"/>
    <w:rsid w:val="00A121F9"/>
    <w:rsid w:val="00A1237C"/>
    <w:rsid w:val="00A126D3"/>
    <w:rsid w:val="00A126FA"/>
    <w:rsid w:val="00A12B20"/>
    <w:rsid w:val="00A12C25"/>
    <w:rsid w:val="00A12F98"/>
    <w:rsid w:val="00A13120"/>
    <w:rsid w:val="00A13143"/>
    <w:rsid w:val="00A13148"/>
    <w:rsid w:val="00A13BE2"/>
    <w:rsid w:val="00A143A8"/>
    <w:rsid w:val="00A15760"/>
    <w:rsid w:val="00A15B61"/>
    <w:rsid w:val="00A16CA6"/>
    <w:rsid w:val="00A16D17"/>
    <w:rsid w:val="00A16D38"/>
    <w:rsid w:val="00A17006"/>
    <w:rsid w:val="00A17361"/>
    <w:rsid w:val="00A17617"/>
    <w:rsid w:val="00A17669"/>
    <w:rsid w:val="00A17E28"/>
    <w:rsid w:val="00A17E42"/>
    <w:rsid w:val="00A2029A"/>
    <w:rsid w:val="00A203CE"/>
    <w:rsid w:val="00A20794"/>
    <w:rsid w:val="00A20861"/>
    <w:rsid w:val="00A20950"/>
    <w:rsid w:val="00A211AD"/>
    <w:rsid w:val="00A2126F"/>
    <w:rsid w:val="00A21CC6"/>
    <w:rsid w:val="00A220E8"/>
    <w:rsid w:val="00A22AB1"/>
    <w:rsid w:val="00A22E78"/>
    <w:rsid w:val="00A231A4"/>
    <w:rsid w:val="00A23373"/>
    <w:rsid w:val="00A234E1"/>
    <w:rsid w:val="00A23E0B"/>
    <w:rsid w:val="00A242B1"/>
    <w:rsid w:val="00A2452C"/>
    <w:rsid w:val="00A246C7"/>
    <w:rsid w:val="00A2477C"/>
    <w:rsid w:val="00A25764"/>
    <w:rsid w:val="00A265DD"/>
    <w:rsid w:val="00A26789"/>
    <w:rsid w:val="00A267D7"/>
    <w:rsid w:val="00A26DB8"/>
    <w:rsid w:val="00A27054"/>
    <w:rsid w:val="00A27D43"/>
    <w:rsid w:val="00A30319"/>
    <w:rsid w:val="00A30B2D"/>
    <w:rsid w:val="00A30B52"/>
    <w:rsid w:val="00A30C3C"/>
    <w:rsid w:val="00A30EFB"/>
    <w:rsid w:val="00A312A0"/>
    <w:rsid w:val="00A31476"/>
    <w:rsid w:val="00A316B0"/>
    <w:rsid w:val="00A318B2"/>
    <w:rsid w:val="00A31D60"/>
    <w:rsid w:val="00A32040"/>
    <w:rsid w:val="00A3255E"/>
    <w:rsid w:val="00A32789"/>
    <w:rsid w:val="00A33363"/>
    <w:rsid w:val="00A33453"/>
    <w:rsid w:val="00A337E0"/>
    <w:rsid w:val="00A33880"/>
    <w:rsid w:val="00A338C9"/>
    <w:rsid w:val="00A33BF8"/>
    <w:rsid w:val="00A34254"/>
    <w:rsid w:val="00A34531"/>
    <w:rsid w:val="00A347AB"/>
    <w:rsid w:val="00A34DAB"/>
    <w:rsid w:val="00A354AB"/>
    <w:rsid w:val="00A35978"/>
    <w:rsid w:val="00A35D0B"/>
    <w:rsid w:val="00A35FCB"/>
    <w:rsid w:val="00A363C1"/>
    <w:rsid w:val="00A36648"/>
    <w:rsid w:val="00A3718F"/>
    <w:rsid w:val="00A376B2"/>
    <w:rsid w:val="00A37EBA"/>
    <w:rsid w:val="00A40405"/>
    <w:rsid w:val="00A4043A"/>
    <w:rsid w:val="00A416D8"/>
    <w:rsid w:val="00A421C7"/>
    <w:rsid w:val="00A424B6"/>
    <w:rsid w:val="00A42655"/>
    <w:rsid w:val="00A42882"/>
    <w:rsid w:val="00A4326A"/>
    <w:rsid w:val="00A446C0"/>
    <w:rsid w:val="00A449D4"/>
    <w:rsid w:val="00A449DD"/>
    <w:rsid w:val="00A44A3B"/>
    <w:rsid w:val="00A44F85"/>
    <w:rsid w:val="00A45012"/>
    <w:rsid w:val="00A452C8"/>
    <w:rsid w:val="00A45DE1"/>
    <w:rsid w:val="00A45E3B"/>
    <w:rsid w:val="00A45E93"/>
    <w:rsid w:val="00A45F10"/>
    <w:rsid w:val="00A462A3"/>
    <w:rsid w:val="00A47243"/>
    <w:rsid w:val="00A47284"/>
    <w:rsid w:val="00A47416"/>
    <w:rsid w:val="00A47618"/>
    <w:rsid w:val="00A479A3"/>
    <w:rsid w:val="00A47BB6"/>
    <w:rsid w:val="00A50898"/>
    <w:rsid w:val="00A50918"/>
    <w:rsid w:val="00A514BD"/>
    <w:rsid w:val="00A522CE"/>
    <w:rsid w:val="00A52775"/>
    <w:rsid w:val="00A527E4"/>
    <w:rsid w:val="00A52C3A"/>
    <w:rsid w:val="00A52E8A"/>
    <w:rsid w:val="00A52F8C"/>
    <w:rsid w:val="00A53742"/>
    <w:rsid w:val="00A53791"/>
    <w:rsid w:val="00A53B19"/>
    <w:rsid w:val="00A53DDB"/>
    <w:rsid w:val="00A54D6D"/>
    <w:rsid w:val="00A5533F"/>
    <w:rsid w:val="00A5587D"/>
    <w:rsid w:val="00A55CE6"/>
    <w:rsid w:val="00A564BD"/>
    <w:rsid w:val="00A5667C"/>
    <w:rsid w:val="00A5671C"/>
    <w:rsid w:val="00A567C2"/>
    <w:rsid w:val="00A57A46"/>
    <w:rsid w:val="00A57A5E"/>
    <w:rsid w:val="00A604C8"/>
    <w:rsid w:val="00A60860"/>
    <w:rsid w:val="00A61372"/>
    <w:rsid w:val="00A61B32"/>
    <w:rsid w:val="00A62315"/>
    <w:rsid w:val="00A6307E"/>
    <w:rsid w:val="00A63329"/>
    <w:rsid w:val="00A64A19"/>
    <w:rsid w:val="00A64BC3"/>
    <w:rsid w:val="00A64C9E"/>
    <w:rsid w:val="00A65024"/>
    <w:rsid w:val="00A6546B"/>
    <w:rsid w:val="00A658A0"/>
    <w:rsid w:val="00A659F3"/>
    <w:rsid w:val="00A65DBE"/>
    <w:rsid w:val="00A65E22"/>
    <w:rsid w:val="00A6606C"/>
    <w:rsid w:val="00A66AA9"/>
    <w:rsid w:val="00A66D37"/>
    <w:rsid w:val="00A67431"/>
    <w:rsid w:val="00A677B8"/>
    <w:rsid w:val="00A67ED3"/>
    <w:rsid w:val="00A67FAF"/>
    <w:rsid w:val="00A70034"/>
    <w:rsid w:val="00A702AE"/>
    <w:rsid w:val="00A707C4"/>
    <w:rsid w:val="00A709AF"/>
    <w:rsid w:val="00A70DCB"/>
    <w:rsid w:val="00A71001"/>
    <w:rsid w:val="00A72046"/>
    <w:rsid w:val="00A7246B"/>
    <w:rsid w:val="00A726A1"/>
    <w:rsid w:val="00A72857"/>
    <w:rsid w:val="00A7316B"/>
    <w:rsid w:val="00A73219"/>
    <w:rsid w:val="00A733BF"/>
    <w:rsid w:val="00A73E3D"/>
    <w:rsid w:val="00A745B7"/>
    <w:rsid w:val="00A7498F"/>
    <w:rsid w:val="00A74EAF"/>
    <w:rsid w:val="00A75212"/>
    <w:rsid w:val="00A755B3"/>
    <w:rsid w:val="00A75E00"/>
    <w:rsid w:val="00A76A67"/>
    <w:rsid w:val="00A76A94"/>
    <w:rsid w:val="00A77228"/>
    <w:rsid w:val="00A77605"/>
    <w:rsid w:val="00A77BA8"/>
    <w:rsid w:val="00A8048A"/>
    <w:rsid w:val="00A808CE"/>
    <w:rsid w:val="00A81221"/>
    <w:rsid w:val="00A815FC"/>
    <w:rsid w:val="00A8163D"/>
    <w:rsid w:val="00A81AD5"/>
    <w:rsid w:val="00A81C22"/>
    <w:rsid w:val="00A81FF2"/>
    <w:rsid w:val="00A82308"/>
    <w:rsid w:val="00A82A52"/>
    <w:rsid w:val="00A82E01"/>
    <w:rsid w:val="00A830E8"/>
    <w:rsid w:val="00A83295"/>
    <w:rsid w:val="00A83440"/>
    <w:rsid w:val="00A837BE"/>
    <w:rsid w:val="00A839E7"/>
    <w:rsid w:val="00A83C50"/>
    <w:rsid w:val="00A83E66"/>
    <w:rsid w:val="00A840D6"/>
    <w:rsid w:val="00A84733"/>
    <w:rsid w:val="00A84DAA"/>
    <w:rsid w:val="00A85919"/>
    <w:rsid w:val="00A85B71"/>
    <w:rsid w:val="00A85D19"/>
    <w:rsid w:val="00A85E3B"/>
    <w:rsid w:val="00A8616F"/>
    <w:rsid w:val="00A86877"/>
    <w:rsid w:val="00A86A9F"/>
    <w:rsid w:val="00A86B71"/>
    <w:rsid w:val="00A86E09"/>
    <w:rsid w:val="00A8704F"/>
    <w:rsid w:val="00A877B1"/>
    <w:rsid w:val="00A87E80"/>
    <w:rsid w:val="00A901A9"/>
    <w:rsid w:val="00A9055C"/>
    <w:rsid w:val="00A9160D"/>
    <w:rsid w:val="00A91873"/>
    <w:rsid w:val="00A91E04"/>
    <w:rsid w:val="00A91E36"/>
    <w:rsid w:val="00A920CA"/>
    <w:rsid w:val="00A92182"/>
    <w:rsid w:val="00A93109"/>
    <w:rsid w:val="00A935B2"/>
    <w:rsid w:val="00A93742"/>
    <w:rsid w:val="00A9388C"/>
    <w:rsid w:val="00A93892"/>
    <w:rsid w:val="00A941A8"/>
    <w:rsid w:val="00A94852"/>
    <w:rsid w:val="00A9493E"/>
    <w:rsid w:val="00A94E41"/>
    <w:rsid w:val="00A95380"/>
    <w:rsid w:val="00A95B84"/>
    <w:rsid w:val="00A95E9A"/>
    <w:rsid w:val="00A966D9"/>
    <w:rsid w:val="00A972A3"/>
    <w:rsid w:val="00A974DD"/>
    <w:rsid w:val="00A97566"/>
    <w:rsid w:val="00A97EC6"/>
    <w:rsid w:val="00AA05B2"/>
    <w:rsid w:val="00AA0C7E"/>
    <w:rsid w:val="00AA127C"/>
    <w:rsid w:val="00AA13BC"/>
    <w:rsid w:val="00AA15A7"/>
    <w:rsid w:val="00AA1BF5"/>
    <w:rsid w:val="00AA1CE2"/>
    <w:rsid w:val="00AA1DDF"/>
    <w:rsid w:val="00AA2A4D"/>
    <w:rsid w:val="00AA3168"/>
    <w:rsid w:val="00AA39E2"/>
    <w:rsid w:val="00AA3F04"/>
    <w:rsid w:val="00AA3FEB"/>
    <w:rsid w:val="00AA3FFE"/>
    <w:rsid w:val="00AA40F1"/>
    <w:rsid w:val="00AA439E"/>
    <w:rsid w:val="00AA4555"/>
    <w:rsid w:val="00AA456C"/>
    <w:rsid w:val="00AA4C3F"/>
    <w:rsid w:val="00AA579A"/>
    <w:rsid w:val="00AA5EEB"/>
    <w:rsid w:val="00AA6486"/>
    <w:rsid w:val="00AA7161"/>
    <w:rsid w:val="00AA729D"/>
    <w:rsid w:val="00AA7508"/>
    <w:rsid w:val="00AA7A55"/>
    <w:rsid w:val="00AA7B22"/>
    <w:rsid w:val="00AA7B77"/>
    <w:rsid w:val="00AA7C0A"/>
    <w:rsid w:val="00AB0061"/>
    <w:rsid w:val="00AB019B"/>
    <w:rsid w:val="00AB063D"/>
    <w:rsid w:val="00AB1154"/>
    <w:rsid w:val="00AB12B5"/>
    <w:rsid w:val="00AB12F5"/>
    <w:rsid w:val="00AB1CB4"/>
    <w:rsid w:val="00AB2043"/>
    <w:rsid w:val="00AB259A"/>
    <w:rsid w:val="00AB2784"/>
    <w:rsid w:val="00AB38EB"/>
    <w:rsid w:val="00AB3C9F"/>
    <w:rsid w:val="00AB52D4"/>
    <w:rsid w:val="00AB551C"/>
    <w:rsid w:val="00AB5568"/>
    <w:rsid w:val="00AB55B9"/>
    <w:rsid w:val="00AB5969"/>
    <w:rsid w:val="00AB5B7C"/>
    <w:rsid w:val="00AB5CCE"/>
    <w:rsid w:val="00AB6A82"/>
    <w:rsid w:val="00AB70DF"/>
    <w:rsid w:val="00AB737F"/>
    <w:rsid w:val="00AB7649"/>
    <w:rsid w:val="00AB7BAE"/>
    <w:rsid w:val="00AC072C"/>
    <w:rsid w:val="00AC0758"/>
    <w:rsid w:val="00AC0760"/>
    <w:rsid w:val="00AC07BA"/>
    <w:rsid w:val="00AC0975"/>
    <w:rsid w:val="00AC0A77"/>
    <w:rsid w:val="00AC0D8E"/>
    <w:rsid w:val="00AC100C"/>
    <w:rsid w:val="00AC12D0"/>
    <w:rsid w:val="00AC154A"/>
    <w:rsid w:val="00AC163F"/>
    <w:rsid w:val="00AC19D0"/>
    <w:rsid w:val="00AC2F7A"/>
    <w:rsid w:val="00AC3457"/>
    <w:rsid w:val="00AC3786"/>
    <w:rsid w:val="00AC386D"/>
    <w:rsid w:val="00AC3AF8"/>
    <w:rsid w:val="00AC3D7E"/>
    <w:rsid w:val="00AC41FD"/>
    <w:rsid w:val="00AC4274"/>
    <w:rsid w:val="00AC43F8"/>
    <w:rsid w:val="00AC4576"/>
    <w:rsid w:val="00AC47C1"/>
    <w:rsid w:val="00AC4833"/>
    <w:rsid w:val="00AC487A"/>
    <w:rsid w:val="00AC4BEE"/>
    <w:rsid w:val="00AC4EB1"/>
    <w:rsid w:val="00AC5005"/>
    <w:rsid w:val="00AC52E8"/>
    <w:rsid w:val="00AC5B17"/>
    <w:rsid w:val="00AC5E53"/>
    <w:rsid w:val="00AC6088"/>
    <w:rsid w:val="00AC6837"/>
    <w:rsid w:val="00AC6869"/>
    <w:rsid w:val="00AC71A6"/>
    <w:rsid w:val="00AC79C2"/>
    <w:rsid w:val="00AD00A8"/>
    <w:rsid w:val="00AD0522"/>
    <w:rsid w:val="00AD08AE"/>
    <w:rsid w:val="00AD0B98"/>
    <w:rsid w:val="00AD104F"/>
    <w:rsid w:val="00AD11CF"/>
    <w:rsid w:val="00AD26FA"/>
    <w:rsid w:val="00AD2752"/>
    <w:rsid w:val="00AD3398"/>
    <w:rsid w:val="00AD346D"/>
    <w:rsid w:val="00AD374A"/>
    <w:rsid w:val="00AD3FB3"/>
    <w:rsid w:val="00AD41F2"/>
    <w:rsid w:val="00AD4842"/>
    <w:rsid w:val="00AD4ED9"/>
    <w:rsid w:val="00AD5384"/>
    <w:rsid w:val="00AD5C8B"/>
    <w:rsid w:val="00AD5CEB"/>
    <w:rsid w:val="00AD5E22"/>
    <w:rsid w:val="00AD63D2"/>
    <w:rsid w:val="00AD6ADF"/>
    <w:rsid w:val="00AD6D4B"/>
    <w:rsid w:val="00AD74C3"/>
    <w:rsid w:val="00AD750D"/>
    <w:rsid w:val="00AD7618"/>
    <w:rsid w:val="00AD7C9A"/>
    <w:rsid w:val="00AD7CC0"/>
    <w:rsid w:val="00AD7D08"/>
    <w:rsid w:val="00AE0065"/>
    <w:rsid w:val="00AE051C"/>
    <w:rsid w:val="00AE0692"/>
    <w:rsid w:val="00AE07DF"/>
    <w:rsid w:val="00AE0A0D"/>
    <w:rsid w:val="00AE0D0C"/>
    <w:rsid w:val="00AE1136"/>
    <w:rsid w:val="00AE1480"/>
    <w:rsid w:val="00AE14EF"/>
    <w:rsid w:val="00AE1C4B"/>
    <w:rsid w:val="00AE1FE1"/>
    <w:rsid w:val="00AE2490"/>
    <w:rsid w:val="00AE25E8"/>
    <w:rsid w:val="00AE2800"/>
    <w:rsid w:val="00AE28A4"/>
    <w:rsid w:val="00AE28EA"/>
    <w:rsid w:val="00AE2A51"/>
    <w:rsid w:val="00AE34E4"/>
    <w:rsid w:val="00AE39D2"/>
    <w:rsid w:val="00AE3B2F"/>
    <w:rsid w:val="00AE4512"/>
    <w:rsid w:val="00AE48AB"/>
    <w:rsid w:val="00AE48F3"/>
    <w:rsid w:val="00AE4A08"/>
    <w:rsid w:val="00AE4BF5"/>
    <w:rsid w:val="00AE53CD"/>
    <w:rsid w:val="00AE569C"/>
    <w:rsid w:val="00AE5E15"/>
    <w:rsid w:val="00AE63F7"/>
    <w:rsid w:val="00AE65C5"/>
    <w:rsid w:val="00AE6C4B"/>
    <w:rsid w:val="00AE6CDA"/>
    <w:rsid w:val="00AE6E70"/>
    <w:rsid w:val="00AE6E76"/>
    <w:rsid w:val="00AE7906"/>
    <w:rsid w:val="00AE7B89"/>
    <w:rsid w:val="00AF088A"/>
    <w:rsid w:val="00AF0C68"/>
    <w:rsid w:val="00AF10DA"/>
    <w:rsid w:val="00AF14F7"/>
    <w:rsid w:val="00AF2A28"/>
    <w:rsid w:val="00AF2DAA"/>
    <w:rsid w:val="00AF398D"/>
    <w:rsid w:val="00AF39CE"/>
    <w:rsid w:val="00AF3A4C"/>
    <w:rsid w:val="00AF4002"/>
    <w:rsid w:val="00AF456E"/>
    <w:rsid w:val="00AF4A78"/>
    <w:rsid w:val="00AF4BA1"/>
    <w:rsid w:val="00AF4BBB"/>
    <w:rsid w:val="00AF4E59"/>
    <w:rsid w:val="00AF4EAF"/>
    <w:rsid w:val="00AF52AF"/>
    <w:rsid w:val="00AF5553"/>
    <w:rsid w:val="00AF5CB0"/>
    <w:rsid w:val="00AF67F2"/>
    <w:rsid w:val="00AF6FC0"/>
    <w:rsid w:val="00AF754D"/>
    <w:rsid w:val="00AF7EAC"/>
    <w:rsid w:val="00B0036D"/>
    <w:rsid w:val="00B00505"/>
    <w:rsid w:val="00B00E31"/>
    <w:rsid w:val="00B00F0E"/>
    <w:rsid w:val="00B01243"/>
    <w:rsid w:val="00B015BC"/>
    <w:rsid w:val="00B016DF"/>
    <w:rsid w:val="00B01715"/>
    <w:rsid w:val="00B01927"/>
    <w:rsid w:val="00B0193C"/>
    <w:rsid w:val="00B025B4"/>
    <w:rsid w:val="00B025F8"/>
    <w:rsid w:val="00B0265A"/>
    <w:rsid w:val="00B02CC3"/>
    <w:rsid w:val="00B037F3"/>
    <w:rsid w:val="00B03BF1"/>
    <w:rsid w:val="00B041B4"/>
    <w:rsid w:val="00B047D4"/>
    <w:rsid w:val="00B04AC7"/>
    <w:rsid w:val="00B05049"/>
    <w:rsid w:val="00B051E5"/>
    <w:rsid w:val="00B05359"/>
    <w:rsid w:val="00B06846"/>
    <w:rsid w:val="00B073E0"/>
    <w:rsid w:val="00B07726"/>
    <w:rsid w:val="00B07C9E"/>
    <w:rsid w:val="00B1048F"/>
    <w:rsid w:val="00B1063E"/>
    <w:rsid w:val="00B10CE0"/>
    <w:rsid w:val="00B10CE3"/>
    <w:rsid w:val="00B110DC"/>
    <w:rsid w:val="00B11356"/>
    <w:rsid w:val="00B114A0"/>
    <w:rsid w:val="00B117C8"/>
    <w:rsid w:val="00B11B22"/>
    <w:rsid w:val="00B11F9D"/>
    <w:rsid w:val="00B11FC8"/>
    <w:rsid w:val="00B12479"/>
    <w:rsid w:val="00B12519"/>
    <w:rsid w:val="00B130C7"/>
    <w:rsid w:val="00B1332B"/>
    <w:rsid w:val="00B13F55"/>
    <w:rsid w:val="00B14009"/>
    <w:rsid w:val="00B14EC0"/>
    <w:rsid w:val="00B151B4"/>
    <w:rsid w:val="00B163F1"/>
    <w:rsid w:val="00B16769"/>
    <w:rsid w:val="00B16970"/>
    <w:rsid w:val="00B16C91"/>
    <w:rsid w:val="00B1725E"/>
    <w:rsid w:val="00B179D4"/>
    <w:rsid w:val="00B20790"/>
    <w:rsid w:val="00B20C40"/>
    <w:rsid w:val="00B2152A"/>
    <w:rsid w:val="00B21696"/>
    <w:rsid w:val="00B21751"/>
    <w:rsid w:val="00B22364"/>
    <w:rsid w:val="00B2258E"/>
    <w:rsid w:val="00B22A19"/>
    <w:rsid w:val="00B22D7A"/>
    <w:rsid w:val="00B2353B"/>
    <w:rsid w:val="00B23841"/>
    <w:rsid w:val="00B23EEA"/>
    <w:rsid w:val="00B243AF"/>
    <w:rsid w:val="00B2444E"/>
    <w:rsid w:val="00B24768"/>
    <w:rsid w:val="00B24AFB"/>
    <w:rsid w:val="00B24D44"/>
    <w:rsid w:val="00B24D70"/>
    <w:rsid w:val="00B25554"/>
    <w:rsid w:val="00B25667"/>
    <w:rsid w:val="00B25709"/>
    <w:rsid w:val="00B2644D"/>
    <w:rsid w:val="00B26A6F"/>
    <w:rsid w:val="00B26AD4"/>
    <w:rsid w:val="00B26E4A"/>
    <w:rsid w:val="00B27448"/>
    <w:rsid w:val="00B274C3"/>
    <w:rsid w:val="00B2764E"/>
    <w:rsid w:val="00B27B25"/>
    <w:rsid w:val="00B27BC0"/>
    <w:rsid w:val="00B27F42"/>
    <w:rsid w:val="00B3015A"/>
    <w:rsid w:val="00B303C4"/>
    <w:rsid w:val="00B30840"/>
    <w:rsid w:val="00B30891"/>
    <w:rsid w:val="00B310A4"/>
    <w:rsid w:val="00B3114C"/>
    <w:rsid w:val="00B3120A"/>
    <w:rsid w:val="00B31300"/>
    <w:rsid w:val="00B3238B"/>
    <w:rsid w:val="00B3257D"/>
    <w:rsid w:val="00B3337E"/>
    <w:rsid w:val="00B33D38"/>
    <w:rsid w:val="00B33D9D"/>
    <w:rsid w:val="00B34234"/>
    <w:rsid w:val="00B342A1"/>
    <w:rsid w:val="00B35337"/>
    <w:rsid w:val="00B36069"/>
    <w:rsid w:val="00B36D02"/>
    <w:rsid w:val="00B36E84"/>
    <w:rsid w:val="00B378A8"/>
    <w:rsid w:val="00B37939"/>
    <w:rsid w:val="00B37AE5"/>
    <w:rsid w:val="00B37B69"/>
    <w:rsid w:val="00B37D2E"/>
    <w:rsid w:val="00B4014E"/>
    <w:rsid w:val="00B401BD"/>
    <w:rsid w:val="00B408BD"/>
    <w:rsid w:val="00B40A8D"/>
    <w:rsid w:val="00B40B94"/>
    <w:rsid w:val="00B41255"/>
    <w:rsid w:val="00B412BC"/>
    <w:rsid w:val="00B41709"/>
    <w:rsid w:val="00B426B2"/>
    <w:rsid w:val="00B427F3"/>
    <w:rsid w:val="00B42CE5"/>
    <w:rsid w:val="00B438C4"/>
    <w:rsid w:val="00B44222"/>
    <w:rsid w:val="00B442F2"/>
    <w:rsid w:val="00B44E21"/>
    <w:rsid w:val="00B4568A"/>
    <w:rsid w:val="00B457E3"/>
    <w:rsid w:val="00B45879"/>
    <w:rsid w:val="00B45ACB"/>
    <w:rsid w:val="00B45ECD"/>
    <w:rsid w:val="00B46212"/>
    <w:rsid w:val="00B473ED"/>
    <w:rsid w:val="00B50332"/>
    <w:rsid w:val="00B50447"/>
    <w:rsid w:val="00B50630"/>
    <w:rsid w:val="00B509CF"/>
    <w:rsid w:val="00B51531"/>
    <w:rsid w:val="00B5214E"/>
    <w:rsid w:val="00B5259E"/>
    <w:rsid w:val="00B52AAE"/>
    <w:rsid w:val="00B52F44"/>
    <w:rsid w:val="00B52F8D"/>
    <w:rsid w:val="00B530DC"/>
    <w:rsid w:val="00B5354F"/>
    <w:rsid w:val="00B53B9C"/>
    <w:rsid w:val="00B5465C"/>
    <w:rsid w:val="00B548BF"/>
    <w:rsid w:val="00B5490B"/>
    <w:rsid w:val="00B54953"/>
    <w:rsid w:val="00B54D86"/>
    <w:rsid w:val="00B54FD8"/>
    <w:rsid w:val="00B55464"/>
    <w:rsid w:val="00B55C93"/>
    <w:rsid w:val="00B55EA6"/>
    <w:rsid w:val="00B55F9D"/>
    <w:rsid w:val="00B5618A"/>
    <w:rsid w:val="00B568D4"/>
    <w:rsid w:val="00B56C7A"/>
    <w:rsid w:val="00B57034"/>
    <w:rsid w:val="00B57E87"/>
    <w:rsid w:val="00B57E95"/>
    <w:rsid w:val="00B603A1"/>
    <w:rsid w:val="00B60D61"/>
    <w:rsid w:val="00B60DCD"/>
    <w:rsid w:val="00B6116A"/>
    <w:rsid w:val="00B6118A"/>
    <w:rsid w:val="00B615F8"/>
    <w:rsid w:val="00B6199B"/>
    <w:rsid w:val="00B62417"/>
    <w:rsid w:val="00B629A3"/>
    <w:rsid w:val="00B63247"/>
    <w:rsid w:val="00B63C63"/>
    <w:rsid w:val="00B64504"/>
    <w:rsid w:val="00B64870"/>
    <w:rsid w:val="00B64DAA"/>
    <w:rsid w:val="00B650E0"/>
    <w:rsid w:val="00B657B0"/>
    <w:rsid w:val="00B65EC8"/>
    <w:rsid w:val="00B663C0"/>
    <w:rsid w:val="00B66753"/>
    <w:rsid w:val="00B6696E"/>
    <w:rsid w:val="00B66FDC"/>
    <w:rsid w:val="00B6719C"/>
    <w:rsid w:val="00B6743E"/>
    <w:rsid w:val="00B67599"/>
    <w:rsid w:val="00B67B98"/>
    <w:rsid w:val="00B67BD7"/>
    <w:rsid w:val="00B70017"/>
    <w:rsid w:val="00B7067A"/>
    <w:rsid w:val="00B70BB1"/>
    <w:rsid w:val="00B70FA6"/>
    <w:rsid w:val="00B71A11"/>
    <w:rsid w:val="00B7286D"/>
    <w:rsid w:val="00B72AC5"/>
    <w:rsid w:val="00B73A56"/>
    <w:rsid w:val="00B74045"/>
    <w:rsid w:val="00B74E12"/>
    <w:rsid w:val="00B75249"/>
    <w:rsid w:val="00B7579D"/>
    <w:rsid w:val="00B75B6A"/>
    <w:rsid w:val="00B76046"/>
    <w:rsid w:val="00B7657F"/>
    <w:rsid w:val="00B768D6"/>
    <w:rsid w:val="00B7698A"/>
    <w:rsid w:val="00B76B8D"/>
    <w:rsid w:val="00B76E97"/>
    <w:rsid w:val="00B7702C"/>
    <w:rsid w:val="00B7722A"/>
    <w:rsid w:val="00B77816"/>
    <w:rsid w:val="00B77AAC"/>
    <w:rsid w:val="00B77C09"/>
    <w:rsid w:val="00B80418"/>
    <w:rsid w:val="00B80917"/>
    <w:rsid w:val="00B80AFA"/>
    <w:rsid w:val="00B80CA4"/>
    <w:rsid w:val="00B81078"/>
    <w:rsid w:val="00B812D3"/>
    <w:rsid w:val="00B814C4"/>
    <w:rsid w:val="00B814EB"/>
    <w:rsid w:val="00B818FB"/>
    <w:rsid w:val="00B81FE9"/>
    <w:rsid w:val="00B82976"/>
    <w:rsid w:val="00B82B6E"/>
    <w:rsid w:val="00B83583"/>
    <w:rsid w:val="00B83D1D"/>
    <w:rsid w:val="00B84009"/>
    <w:rsid w:val="00B84232"/>
    <w:rsid w:val="00B851BA"/>
    <w:rsid w:val="00B8584D"/>
    <w:rsid w:val="00B85FCE"/>
    <w:rsid w:val="00B86442"/>
    <w:rsid w:val="00B86CEB"/>
    <w:rsid w:val="00B86EF2"/>
    <w:rsid w:val="00B871D9"/>
    <w:rsid w:val="00B87734"/>
    <w:rsid w:val="00B87897"/>
    <w:rsid w:val="00B87CD3"/>
    <w:rsid w:val="00B901DE"/>
    <w:rsid w:val="00B90A63"/>
    <w:rsid w:val="00B90F09"/>
    <w:rsid w:val="00B915F1"/>
    <w:rsid w:val="00B92628"/>
    <w:rsid w:val="00B93CDE"/>
    <w:rsid w:val="00B9468F"/>
    <w:rsid w:val="00B949E6"/>
    <w:rsid w:val="00B9548E"/>
    <w:rsid w:val="00B954D4"/>
    <w:rsid w:val="00B9563A"/>
    <w:rsid w:val="00B95E21"/>
    <w:rsid w:val="00B9658E"/>
    <w:rsid w:val="00B966EB"/>
    <w:rsid w:val="00B96914"/>
    <w:rsid w:val="00B96F53"/>
    <w:rsid w:val="00B9701B"/>
    <w:rsid w:val="00B97060"/>
    <w:rsid w:val="00B970EA"/>
    <w:rsid w:val="00B97D45"/>
    <w:rsid w:val="00BA0388"/>
    <w:rsid w:val="00BA0527"/>
    <w:rsid w:val="00BA0D33"/>
    <w:rsid w:val="00BA0FB5"/>
    <w:rsid w:val="00BA21CD"/>
    <w:rsid w:val="00BA292F"/>
    <w:rsid w:val="00BA3313"/>
    <w:rsid w:val="00BA332E"/>
    <w:rsid w:val="00BA358C"/>
    <w:rsid w:val="00BA36E9"/>
    <w:rsid w:val="00BA3830"/>
    <w:rsid w:val="00BA3BBE"/>
    <w:rsid w:val="00BA3C7F"/>
    <w:rsid w:val="00BA4455"/>
    <w:rsid w:val="00BA45D1"/>
    <w:rsid w:val="00BA493B"/>
    <w:rsid w:val="00BA49E9"/>
    <w:rsid w:val="00BA4DCC"/>
    <w:rsid w:val="00BA53EB"/>
    <w:rsid w:val="00BA5428"/>
    <w:rsid w:val="00BA5640"/>
    <w:rsid w:val="00BA5965"/>
    <w:rsid w:val="00BA598A"/>
    <w:rsid w:val="00BA59DD"/>
    <w:rsid w:val="00BA59ED"/>
    <w:rsid w:val="00BA5F49"/>
    <w:rsid w:val="00BA605D"/>
    <w:rsid w:val="00BA686D"/>
    <w:rsid w:val="00BA6DD4"/>
    <w:rsid w:val="00BA7306"/>
    <w:rsid w:val="00BA74D8"/>
    <w:rsid w:val="00BA7781"/>
    <w:rsid w:val="00BA7A34"/>
    <w:rsid w:val="00BA7A87"/>
    <w:rsid w:val="00BB056E"/>
    <w:rsid w:val="00BB068C"/>
    <w:rsid w:val="00BB0A2D"/>
    <w:rsid w:val="00BB0CE1"/>
    <w:rsid w:val="00BB1647"/>
    <w:rsid w:val="00BB181D"/>
    <w:rsid w:val="00BB1A2D"/>
    <w:rsid w:val="00BB1BCE"/>
    <w:rsid w:val="00BB1D59"/>
    <w:rsid w:val="00BB26FF"/>
    <w:rsid w:val="00BB38BE"/>
    <w:rsid w:val="00BB3BB2"/>
    <w:rsid w:val="00BB3F14"/>
    <w:rsid w:val="00BB487E"/>
    <w:rsid w:val="00BB5090"/>
    <w:rsid w:val="00BB54EB"/>
    <w:rsid w:val="00BB552E"/>
    <w:rsid w:val="00BB59F0"/>
    <w:rsid w:val="00BB5D77"/>
    <w:rsid w:val="00BB5F5F"/>
    <w:rsid w:val="00BB612D"/>
    <w:rsid w:val="00BB6C11"/>
    <w:rsid w:val="00BB6CF8"/>
    <w:rsid w:val="00BB6DE6"/>
    <w:rsid w:val="00BB6DF8"/>
    <w:rsid w:val="00BB6EE5"/>
    <w:rsid w:val="00BB708D"/>
    <w:rsid w:val="00BB70ED"/>
    <w:rsid w:val="00BB7512"/>
    <w:rsid w:val="00BB7518"/>
    <w:rsid w:val="00BB75EC"/>
    <w:rsid w:val="00BB76FB"/>
    <w:rsid w:val="00BB78E2"/>
    <w:rsid w:val="00BB7ECD"/>
    <w:rsid w:val="00BC033A"/>
    <w:rsid w:val="00BC0663"/>
    <w:rsid w:val="00BC0F10"/>
    <w:rsid w:val="00BC12DF"/>
    <w:rsid w:val="00BC15D5"/>
    <w:rsid w:val="00BC1A7A"/>
    <w:rsid w:val="00BC203B"/>
    <w:rsid w:val="00BC2803"/>
    <w:rsid w:val="00BC2921"/>
    <w:rsid w:val="00BC297F"/>
    <w:rsid w:val="00BC298D"/>
    <w:rsid w:val="00BC2A53"/>
    <w:rsid w:val="00BC2F84"/>
    <w:rsid w:val="00BC2FA7"/>
    <w:rsid w:val="00BC4717"/>
    <w:rsid w:val="00BC4743"/>
    <w:rsid w:val="00BC4BC7"/>
    <w:rsid w:val="00BC5141"/>
    <w:rsid w:val="00BC51B6"/>
    <w:rsid w:val="00BC59CC"/>
    <w:rsid w:val="00BC5B89"/>
    <w:rsid w:val="00BC5C30"/>
    <w:rsid w:val="00BC5EF2"/>
    <w:rsid w:val="00BC623A"/>
    <w:rsid w:val="00BC6A11"/>
    <w:rsid w:val="00BC6B1D"/>
    <w:rsid w:val="00BC6B45"/>
    <w:rsid w:val="00BC70B6"/>
    <w:rsid w:val="00BD0966"/>
    <w:rsid w:val="00BD0FD8"/>
    <w:rsid w:val="00BD17AA"/>
    <w:rsid w:val="00BD1A37"/>
    <w:rsid w:val="00BD1F2C"/>
    <w:rsid w:val="00BD2A8B"/>
    <w:rsid w:val="00BD3A21"/>
    <w:rsid w:val="00BD3B84"/>
    <w:rsid w:val="00BD3E6D"/>
    <w:rsid w:val="00BD41B8"/>
    <w:rsid w:val="00BD4726"/>
    <w:rsid w:val="00BD5266"/>
    <w:rsid w:val="00BD5A6E"/>
    <w:rsid w:val="00BD61AE"/>
    <w:rsid w:val="00BD6218"/>
    <w:rsid w:val="00BD64B8"/>
    <w:rsid w:val="00BD6500"/>
    <w:rsid w:val="00BD6C32"/>
    <w:rsid w:val="00BD73C9"/>
    <w:rsid w:val="00BD78AB"/>
    <w:rsid w:val="00BD7DFE"/>
    <w:rsid w:val="00BD7EB3"/>
    <w:rsid w:val="00BD7EFF"/>
    <w:rsid w:val="00BE06BB"/>
    <w:rsid w:val="00BE0B6B"/>
    <w:rsid w:val="00BE0CE2"/>
    <w:rsid w:val="00BE11E0"/>
    <w:rsid w:val="00BE13D0"/>
    <w:rsid w:val="00BE17AD"/>
    <w:rsid w:val="00BE1F3F"/>
    <w:rsid w:val="00BE2457"/>
    <w:rsid w:val="00BE253C"/>
    <w:rsid w:val="00BE2C3B"/>
    <w:rsid w:val="00BE34F0"/>
    <w:rsid w:val="00BE3E94"/>
    <w:rsid w:val="00BE3EE6"/>
    <w:rsid w:val="00BE4457"/>
    <w:rsid w:val="00BE485E"/>
    <w:rsid w:val="00BE4B5A"/>
    <w:rsid w:val="00BE5548"/>
    <w:rsid w:val="00BE58B3"/>
    <w:rsid w:val="00BE5D09"/>
    <w:rsid w:val="00BE641B"/>
    <w:rsid w:val="00BE6B88"/>
    <w:rsid w:val="00BE7670"/>
    <w:rsid w:val="00BE76D7"/>
    <w:rsid w:val="00BE7975"/>
    <w:rsid w:val="00BF08F5"/>
    <w:rsid w:val="00BF0DBA"/>
    <w:rsid w:val="00BF0DBC"/>
    <w:rsid w:val="00BF0E3C"/>
    <w:rsid w:val="00BF0F1D"/>
    <w:rsid w:val="00BF1350"/>
    <w:rsid w:val="00BF1A75"/>
    <w:rsid w:val="00BF2217"/>
    <w:rsid w:val="00BF267D"/>
    <w:rsid w:val="00BF2E2A"/>
    <w:rsid w:val="00BF3091"/>
    <w:rsid w:val="00BF385A"/>
    <w:rsid w:val="00BF3D20"/>
    <w:rsid w:val="00BF47C2"/>
    <w:rsid w:val="00BF4919"/>
    <w:rsid w:val="00BF4FB2"/>
    <w:rsid w:val="00BF54AB"/>
    <w:rsid w:val="00BF558A"/>
    <w:rsid w:val="00BF5C40"/>
    <w:rsid w:val="00BF5E65"/>
    <w:rsid w:val="00BF6101"/>
    <w:rsid w:val="00BF653B"/>
    <w:rsid w:val="00BF6CDE"/>
    <w:rsid w:val="00BF7006"/>
    <w:rsid w:val="00BF7012"/>
    <w:rsid w:val="00BF7312"/>
    <w:rsid w:val="00BF7614"/>
    <w:rsid w:val="00BF775C"/>
    <w:rsid w:val="00BF7C01"/>
    <w:rsid w:val="00C0027E"/>
    <w:rsid w:val="00C005FA"/>
    <w:rsid w:val="00C00861"/>
    <w:rsid w:val="00C0100D"/>
    <w:rsid w:val="00C01125"/>
    <w:rsid w:val="00C011F4"/>
    <w:rsid w:val="00C0131E"/>
    <w:rsid w:val="00C0160D"/>
    <w:rsid w:val="00C01A25"/>
    <w:rsid w:val="00C01B19"/>
    <w:rsid w:val="00C01EA7"/>
    <w:rsid w:val="00C02364"/>
    <w:rsid w:val="00C02867"/>
    <w:rsid w:val="00C029A9"/>
    <w:rsid w:val="00C029BC"/>
    <w:rsid w:val="00C02B20"/>
    <w:rsid w:val="00C02B96"/>
    <w:rsid w:val="00C03353"/>
    <w:rsid w:val="00C03E29"/>
    <w:rsid w:val="00C0441B"/>
    <w:rsid w:val="00C04B53"/>
    <w:rsid w:val="00C05003"/>
    <w:rsid w:val="00C0547E"/>
    <w:rsid w:val="00C0565A"/>
    <w:rsid w:val="00C057CD"/>
    <w:rsid w:val="00C05897"/>
    <w:rsid w:val="00C05904"/>
    <w:rsid w:val="00C05A92"/>
    <w:rsid w:val="00C05C17"/>
    <w:rsid w:val="00C05FB9"/>
    <w:rsid w:val="00C05FC1"/>
    <w:rsid w:val="00C06655"/>
    <w:rsid w:val="00C07292"/>
    <w:rsid w:val="00C075A5"/>
    <w:rsid w:val="00C07788"/>
    <w:rsid w:val="00C077A3"/>
    <w:rsid w:val="00C07B3B"/>
    <w:rsid w:val="00C07B97"/>
    <w:rsid w:val="00C07E0D"/>
    <w:rsid w:val="00C07F6D"/>
    <w:rsid w:val="00C1014E"/>
    <w:rsid w:val="00C1051C"/>
    <w:rsid w:val="00C10771"/>
    <w:rsid w:val="00C1080D"/>
    <w:rsid w:val="00C10ED1"/>
    <w:rsid w:val="00C11170"/>
    <w:rsid w:val="00C113DB"/>
    <w:rsid w:val="00C11B9F"/>
    <w:rsid w:val="00C11DB5"/>
    <w:rsid w:val="00C121AD"/>
    <w:rsid w:val="00C1226F"/>
    <w:rsid w:val="00C12B0C"/>
    <w:rsid w:val="00C12BF1"/>
    <w:rsid w:val="00C12D27"/>
    <w:rsid w:val="00C1308F"/>
    <w:rsid w:val="00C13199"/>
    <w:rsid w:val="00C13624"/>
    <w:rsid w:val="00C14513"/>
    <w:rsid w:val="00C14EEF"/>
    <w:rsid w:val="00C14FAC"/>
    <w:rsid w:val="00C154E3"/>
    <w:rsid w:val="00C15713"/>
    <w:rsid w:val="00C15B3A"/>
    <w:rsid w:val="00C15C71"/>
    <w:rsid w:val="00C167CF"/>
    <w:rsid w:val="00C16E8D"/>
    <w:rsid w:val="00C16EB2"/>
    <w:rsid w:val="00C17078"/>
    <w:rsid w:val="00C172E2"/>
    <w:rsid w:val="00C175E1"/>
    <w:rsid w:val="00C17A31"/>
    <w:rsid w:val="00C20036"/>
    <w:rsid w:val="00C20508"/>
    <w:rsid w:val="00C20DD0"/>
    <w:rsid w:val="00C21082"/>
    <w:rsid w:val="00C21208"/>
    <w:rsid w:val="00C217D0"/>
    <w:rsid w:val="00C21D53"/>
    <w:rsid w:val="00C21EC9"/>
    <w:rsid w:val="00C22899"/>
    <w:rsid w:val="00C228D8"/>
    <w:rsid w:val="00C22BBE"/>
    <w:rsid w:val="00C23B4A"/>
    <w:rsid w:val="00C23FD5"/>
    <w:rsid w:val="00C24640"/>
    <w:rsid w:val="00C24789"/>
    <w:rsid w:val="00C24842"/>
    <w:rsid w:val="00C24A63"/>
    <w:rsid w:val="00C24BF4"/>
    <w:rsid w:val="00C24C84"/>
    <w:rsid w:val="00C25811"/>
    <w:rsid w:val="00C25911"/>
    <w:rsid w:val="00C26786"/>
    <w:rsid w:val="00C26D6F"/>
    <w:rsid w:val="00C270F9"/>
    <w:rsid w:val="00C2791A"/>
    <w:rsid w:val="00C27F3D"/>
    <w:rsid w:val="00C27FA7"/>
    <w:rsid w:val="00C300F5"/>
    <w:rsid w:val="00C30BB2"/>
    <w:rsid w:val="00C311A9"/>
    <w:rsid w:val="00C316C1"/>
    <w:rsid w:val="00C31737"/>
    <w:rsid w:val="00C31DD3"/>
    <w:rsid w:val="00C32E82"/>
    <w:rsid w:val="00C33572"/>
    <w:rsid w:val="00C3388F"/>
    <w:rsid w:val="00C34307"/>
    <w:rsid w:val="00C346BB"/>
    <w:rsid w:val="00C34CB8"/>
    <w:rsid w:val="00C34EE7"/>
    <w:rsid w:val="00C35240"/>
    <w:rsid w:val="00C35C7B"/>
    <w:rsid w:val="00C35EEB"/>
    <w:rsid w:val="00C36241"/>
    <w:rsid w:val="00C36368"/>
    <w:rsid w:val="00C36514"/>
    <w:rsid w:val="00C36572"/>
    <w:rsid w:val="00C368A5"/>
    <w:rsid w:val="00C369BE"/>
    <w:rsid w:val="00C36E22"/>
    <w:rsid w:val="00C36E2F"/>
    <w:rsid w:val="00C372EB"/>
    <w:rsid w:val="00C373FC"/>
    <w:rsid w:val="00C37B46"/>
    <w:rsid w:val="00C37DCF"/>
    <w:rsid w:val="00C37E5F"/>
    <w:rsid w:val="00C40640"/>
    <w:rsid w:val="00C4082E"/>
    <w:rsid w:val="00C40B9A"/>
    <w:rsid w:val="00C40DDF"/>
    <w:rsid w:val="00C40DE1"/>
    <w:rsid w:val="00C40F8C"/>
    <w:rsid w:val="00C4141C"/>
    <w:rsid w:val="00C41830"/>
    <w:rsid w:val="00C41BA0"/>
    <w:rsid w:val="00C41C23"/>
    <w:rsid w:val="00C4299E"/>
    <w:rsid w:val="00C42CC0"/>
    <w:rsid w:val="00C4324B"/>
    <w:rsid w:val="00C4331D"/>
    <w:rsid w:val="00C43567"/>
    <w:rsid w:val="00C4378B"/>
    <w:rsid w:val="00C43CAA"/>
    <w:rsid w:val="00C441BD"/>
    <w:rsid w:val="00C44259"/>
    <w:rsid w:val="00C4460B"/>
    <w:rsid w:val="00C44889"/>
    <w:rsid w:val="00C44907"/>
    <w:rsid w:val="00C45037"/>
    <w:rsid w:val="00C45352"/>
    <w:rsid w:val="00C45616"/>
    <w:rsid w:val="00C45B60"/>
    <w:rsid w:val="00C460FC"/>
    <w:rsid w:val="00C466C3"/>
    <w:rsid w:val="00C46A5C"/>
    <w:rsid w:val="00C46CF6"/>
    <w:rsid w:val="00C46D75"/>
    <w:rsid w:val="00C46F35"/>
    <w:rsid w:val="00C47710"/>
    <w:rsid w:val="00C47B6B"/>
    <w:rsid w:val="00C47BAF"/>
    <w:rsid w:val="00C47E8C"/>
    <w:rsid w:val="00C5019E"/>
    <w:rsid w:val="00C512D8"/>
    <w:rsid w:val="00C516A5"/>
    <w:rsid w:val="00C517AC"/>
    <w:rsid w:val="00C51946"/>
    <w:rsid w:val="00C519A6"/>
    <w:rsid w:val="00C51BF1"/>
    <w:rsid w:val="00C51F17"/>
    <w:rsid w:val="00C523AD"/>
    <w:rsid w:val="00C52C7E"/>
    <w:rsid w:val="00C53C25"/>
    <w:rsid w:val="00C54790"/>
    <w:rsid w:val="00C548EB"/>
    <w:rsid w:val="00C54C57"/>
    <w:rsid w:val="00C55803"/>
    <w:rsid w:val="00C55A1C"/>
    <w:rsid w:val="00C56D84"/>
    <w:rsid w:val="00C57214"/>
    <w:rsid w:val="00C57452"/>
    <w:rsid w:val="00C574BC"/>
    <w:rsid w:val="00C57961"/>
    <w:rsid w:val="00C57A24"/>
    <w:rsid w:val="00C57FC4"/>
    <w:rsid w:val="00C601AF"/>
    <w:rsid w:val="00C6042B"/>
    <w:rsid w:val="00C60998"/>
    <w:rsid w:val="00C60C3D"/>
    <w:rsid w:val="00C60FA0"/>
    <w:rsid w:val="00C60FA7"/>
    <w:rsid w:val="00C610FF"/>
    <w:rsid w:val="00C617C4"/>
    <w:rsid w:val="00C61AE2"/>
    <w:rsid w:val="00C61F1A"/>
    <w:rsid w:val="00C62408"/>
    <w:rsid w:val="00C62D45"/>
    <w:rsid w:val="00C62F9F"/>
    <w:rsid w:val="00C6315F"/>
    <w:rsid w:val="00C6326E"/>
    <w:rsid w:val="00C63463"/>
    <w:rsid w:val="00C6393A"/>
    <w:rsid w:val="00C63970"/>
    <w:rsid w:val="00C63DDD"/>
    <w:rsid w:val="00C64014"/>
    <w:rsid w:val="00C64356"/>
    <w:rsid w:val="00C649BC"/>
    <w:rsid w:val="00C64BB5"/>
    <w:rsid w:val="00C64C77"/>
    <w:rsid w:val="00C6520F"/>
    <w:rsid w:val="00C655A9"/>
    <w:rsid w:val="00C655DC"/>
    <w:rsid w:val="00C658EE"/>
    <w:rsid w:val="00C65E64"/>
    <w:rsid w:val="00C662F1"/>
    <w:rsid w:val="00C665A8"/>
    <w:rsid w:val="00C66868"/>
    <w:rsid w:val="00C66F86"/>
    <w:rsid w:val="00C66FDD"/>
    <w:rsid w:val="00C6711A"/>
    <w:rsid w:val="00C671C8"/>
    <w:rsid w:val="00C6773A"/>
    <w:rsid w:val="00C70017"/>
    <w:rsid w:val="00C707FE"/>
    <w:rsid w:val="00C70A9A"/>
    <w:rsid w:val="00C70B45"/>
    <w:rsid w:val="00C70D0B"/>
    <w:rsid w:val="00C70ECB"/>
    <w:rsid w:val="00C710C1"/>
    <w:rsid w:val="00C712DA"/>
    <w:rsid w:val="00C7166B"/>
    <w:rsid w:val="00C72105"/>
    <w:rsid w:val="00C72250"/>
    <w:rsid w:val="00C727C7"/>
    <w:rsid w:val="00C73243"/>
    <w:rsid w:val="00C73A04"/>
    <w:rsid w:val="00C73D08"/>
    <w:rsid w:val="00C7429A"/>
    <w:rsid w:val="00C7470B"/>
    <w:rsid w:val="00C75471"/>
    <w:rsid w:val="00C757DA"/>
    <w:rsid w:val="00C759A8"/>
    <w:rsid w:val="00C76509"/>
    <w:rsid w:val="00C765A5"/>
    <w:rsid w:val="00C766C7"/>
    <w:rsid w:val="00C76948"/>
    <w:rsid w:val="00C76ECB"/>
    <w:rsid w:val="00C77932"/>
    <w:rsid w:val="00C77A5E"/>
    <w:rsid w:val="00C77BD0"/>
    <w:rsid w:val="00C77F32"/>
    <w:rsid w:val="00C77F42"/>
    <w:rsid w:val="00C77FBE"/>
    <w:rsid w:val="00C80D2D"/>
    <w:rsid w:val="00C80DC9"/>
    <w:rsid w:val="00C810CE"/>
    <w:rsid w:val="00C811BC"/>
    <w:rsid w:val="00C81B6A"/>
    <w:rsid w:val="00C81D30"/>
    <w:rsid w:val="00C822B9"/>
    <w:rsid w:val="00C82503"/>
    <w:rsid w:val="00C82704"/>
    <w:rsid w:val="00C82EED"/>
    <w:rsid w:val="00C8329B"/>
    <w:rsid w:val="00C83A77"/>
    <w:rsid w:val="00C83DFC"/>
    <w:rsid w:val="00C8449C"/>
    <w:rsid w:val="00C84683"/>
    <w:rsid w:val="00C847BC"/>
    <w:rsid w:val="00C84A85"/>
    <w:rsid w:val="00C84C40"/>
    <w:rsid w:val="00C84FF2"/>
    <w:rsid w:val="00C85265"/>
    <w:rsid w:val="00C852E1"/>
    <w:rsid w:val="00C855BB"/>
    <w:rsid w:val="00C85877"/>
    <w:rsid w:val="00C85ECE"/>
    <w:rsid w:val="00C875B7"/>
    <w:rsid w:val="00C87F24"/>
    <w:rsid w:val="00C902F9"/>
    <w:rsid w:val="00C909E3"/>
    <w:rsid w:val="00C90D9D"/>
    <w:rsid w:val="00C90DA1"/>
    <w:rsid w:val="00C914DD"/>
    <w:rsid w:val="00C91DF9"/>
    <w:rsid w:val="00C92BE4"/>
    <w:rsid w:val="00C92CB6"/>
    <w:rsid w:val="00C93425"/>
    <w:rsid w:val="00C935ED"/>
    <w:rsid w:val="00C939A6"/>
    <w:rsid w:val="00C93AF3"/>
    <w:rsid w:val="00C93CE0"/>
    <w:rsid w:val="00C94274"/>
    <w:rsid w:val="00C94500"/>
    <w:rsid w:val="00C94898"/>
    <w:rsid w:val="00C94C26"/>
    <w:rsid w:val="00C94E9E"/>
    <w:rsid w:val="00C94ECB"/>
    <w:rsid w:val="00C94F22"/>
    <w:rsid w:val="00C953AE"/>
    <w:rsid w:val="00C954A0"/>
    <w:rsid w:val="00C957DE"/>
    <w:rsid w:val="00C959FD"/>
    <w:rsid w:val="00C96250"/>
    <w:rsid w:val="00C96296"/>
    <w:rsid w:val="00C9634E"/>
    <w:rsid w:val="00C964E2"/>
    <w:rsid w:val="00C967F3"/>
    <w:rsid w:val="00C968CB"/>
    <w:rsid w:val="00C96903"/>
    <w:rsid w:val="00C96AAD"/>
    <w:rsid w:val="00C9725E"/>
    <w:rsid w:val="00C9787D"/>
    <w:rsid w:val="00C979DF"/>
    <w:rsid w:val="00CA050C"/>
    <w:rsid w:val="00CA057C"/>
    <w:rsid w:val="00CA0892"/>
    <w:rsid w:val="00CA0C7F"/>
    <w:rsid w:val="00CA0CF1"/>
    <w:rsid w:val="00CA0CF8"/>
    <w:rsid w:val="00CA10C6"/>
    <w:rsid w:val="00CA12B3"/>
    <w:rsid w:val="00CA14BB"/>
    <w:rsid w:val="00CA1FB9"/>
    <w:rsid w:val="00CA2264"/>
    <w:rsid w:val="00CA2715"/>
    <w:rsid w:val="00CA27FA"/>
    <w:rsid w:val="00CA29FD"/>
    <w:rsid w:val="00CA2A58"/>
    <w:rsid w:val="00CA2AD6"/>
    <w:rsid w:val="00CA2BC3"/>
    <w:rsid w:val="00CA358C"/>
    <w:rsid w:val="00CA3D34"/>
    <w:rsid w:val="00CA3EB0"/>
    <w:rsid w:val="00CA4345"/>
    <w:rsid w:val="00CA492F"/>
    <w:rsid w:val="00CA4B26"/>
    <w:rsid w:val="00CA5044"/>
    <w:rsid w:val="00CA56B6"/>
    <w:rsid w:val="00CA5D3D"/>
    <w:rsid w:val="00CA5E49"/>
    <w:rsid w:val="00CA5EAE"/>
    <w:rsid w:val="00CA5F13"/>
    <w:rsid w:val="00CA5F80"/>
    <w:rsid w:val="00CA6538"/>
    <w:rsid w:val="00CA6565"/>
    <w:rsid w:val="00CA69AD"/>
    <w:rsid w:val="00CA6AD1"/>
    <w:rsid w:val="00CA704B"/>
    <w:rsid w:val="00CA711C"/>
    <w:rsid w:val="00CA7840"/>
    <w:rsid w:val="00CA7A47"/>
    <w:rsid w:val="00CA7C41"/>
    <w:rsid w:val="00CB073E"/>
    <w:rsid w:val="00CB08F4"/>
    <w:rsid w:val="00CB0C72"/>
    <w:rsid w:val="00CB0D37"/>
    <w:rsid w:val="00CB104C"/>
    <w:rsid w:val="00CB13DE"/>
    <w:rsid w:val="00CB2ACC"/>
    <w:rsid w:val="00CB34A5"/>
    <w:rsid w:val="00CB34C6"/>
    <w:rsid w:val="00CB3A05"/>
    <w:rsid w:val="00CB3FC4"/>
    <w:rsid w:val="00CB4115"/>
    <w:rsid w:val="00CB45FC"/>
    <w:rsid w:val="00CB48C8"/>
    <w:rsid w:val="00CB4DBD"/>
    <w:rsid w:val="00CB4E33"/>
    <w:rsid w:val="00CB534D"/>
    <w:rsid w:val="00CB5755"/>
    <w:rsid w:val="00CB586C"/>
    <w:rsid w:val="00CB5A1A"/>
    <w:rsid w:val="00CB5BED"/>
    <w:rsid w:val="00CB6767"/>
    <w:rsid w:val="00CB77D9"/>
    <w:rsid w:val="00CB7BE8"/>
    <w:rsid w:val="00CC0C1B"/>
    <w:rsid w:val="00CC0DD5"/>
    <w:rsid w:val="00CC11DA"/>
    <w:rsid w:val="00CC133F"/>
    <w:rsid w:val="00CC13E0"/>
    <w:rsid w:val="00CC23A3"/>
    <w:rsid w:val="00CC23BA"/>
    <w:rsid w:val="00CC24BC"/>
    <w:rsid w:val="00CC2EAD"/>
    <w:rsid w:val="00CC3FB4"/>
    <w:rsid w:val="00CC46C6"/>
    <w:rsid w:val="00CC5286"/>
    <w:rsid w:val="00CC5A20"/>
    <w:rsid w:val="00CC6254"/>
    <w:rsid w:val="00CC6404"/>
    <w:rsid w:val="00CC6A29"/>
    <w:rsid w:val="00CC6C51"/>
    <w:rsid w:val="00CC6C95"/>
    <w:rsid w:val="00CC71A9"/>
    <w:rsid w:val="00CC73DB"/>
    <w:rsid w:val="00CC762B"/>
    <w:rsid w:val="00CC78F4"/>
    <w:rsid w:val="00CC7F81"/>
    <w:rsid w:val="00CD032D"/>
    <w:rsid w:val="00CD0898"/>
    <w:rsid w:val="00CD0947"/>
    <w:rsid w:val="00CD0A19"/>
    <w:rsid w:val="00CD13D9"/>
    <w:rsid w:val="00CD211E"/>
    <w:rsid w:val="00CD2179"/>
    <w:rsid w:val="00CD29DD"/>
    <w:rsid w:val="00CD2B72"/>
    <w:rsid w:val="00CD2B7A"/>
    <w:rsid w:val="00CD2DF9"/>
    <w:rsid w:val="00CD2FC9"/>
    <w:rsid w:val="00CD315B"/>
    <w:rsid w:val="00CD31A7"/>
    <w:rsid w:val="00CD338E"/>
    <w:rsid w:val="00CD3667"/>
    <w:rsid w:val="00CD3689"/>
    <w:rsid w:val="00CD3D49"/>
    <w:rsid w:val="00CD3ECD"/>
    <w:rsid w:val="00CD3FED"/>
    <w:rsid w:val="00CD419D"/>
    <w:rsid w:val="00CD42B5"/>
    <w:rsid w:val="00CD4764"/>
    <w:rsid w:val="00CD4A82"/>
    <w:rsid w:val="00CD4E14"/>
    <w:rsid w:val="00CD5319"/>
    <w:rsid w:val="00CD5957"/>
    <w:rsid w:val="00CD5CF0"/>
    <w:rsid w:val="00CD5E51"/>
    <w:rsid w:val="00CD6F5B"/>
    <w:rsid w:val="00CD76A1"/>
    <w:rsid w:val="00CD7CA1"/>
    <w:rsid w:val="00CE00EE"/>
    <w:rsid w:val="00CE0388"/>
    <w:rsid w:val="00CE060E"/>
    <w:rsid w:val="00CE0ACF"/>
    <w:rsid w:val="00CE1BC1"/>
    <w:rsid w:val="00CE1C8F"/>
    <w:rsid w:val="00CE1D5A"/>
    <w:rsid w:val="00CE208C"/>
    <w:rsid w:val="00CE2488"/>
    <w:rsid w:val="00CE279A"/>
    <w:rsid w:val="00CE2AA0"/>
    <w:rsid w:val="00CE2B07"/>
    <w:rsid w:val="00CE2F60"/>
    <w:rsid w:val="00CE397C"/>
    <w:rsid w:val="00CE39CE"/>
    <w:rsid w:val="00CE436D"/>
    <w:rsid w:val="00CE46EA"/>
    <w:rsid w:val="00CE48B0"/>
    <w:rsid w:val="00CE48DF"/>
    <w:rsid w:val="00CE497C"/>
    <w:rsid w:val="00CE4BA0"/>
    <w:rsid w:val="00CE4E36"/>
    <w:rsid w:val="00CE521E"/>
    <w:rsid w:val="00CE54D2"/>
    <w:rsid w:val="00CE55C1"/>
    <w:rsid w:val="00CE5DDF"/>
    <w:rsid w:val="00CE5DFB"/>
    <w:rsid w:val="00CE66F0"/>
    <w:rsid w:val="00CE6715"/>
    <w:rsid w:val="00CE67B7"/>
    <w:rsid w:val="00CE6827"/>
    <w:rsid w:val="00CE699E"/>
    <w:rsid w:val="00CE6C13"/>
    <w:rsid w:val="00CE6FA6"/>
    <w:rsid w:val="00CE74ED"/>
    <w:rsid w:val="00CF1030"/>
    <w:rsid w:val="00CF1535"/>
    <w:rsid w:val="00CF1746"/>
    <w:rsid w:val="00CF176F"/>
    <w:rsid w:val="00CF1D34"/>
    <w:rsid w:val="00CF2C72"/>
    <w:rsid w:val="00CF3438"/>
    <w:rsid w:val="00CF3564"/>
    <w:rsid w:val="00CF4301"/>
    <w:rsid w:val="00CF44AA"/>
    <w:rsid w:val="00CF4F5E"/>
    <w:rsid w:val="00CF51DB"/>
    <w:rsid w:val="00CF5278"/>
    <w:rsid w:val="00CF58FB"/>
    <w:rsid w:val="00CF592E"/>
    <w:rsid w:val="00CF5CEE"/>
    <w:rsid w:val="00CF6A61"/>
    <w:rsid w:val="00CF6F4A"/>
    <w:rsid w:val="00CF70E3"/>
    <w:rsid w:val="00CF7865"/>
    <w:rsid w:val="00D001C4"/>
    <w:rsid w:val="00D00733"/>
    <w:rsid w:val="00D007DF"/>
    <w:rsid w:val="00D013FB"/>
    <w:rsid w:val="00D0151E"/>
    <w:rsid w:val="00D01864"/>
    <w:rsid w:val="00D01A3A"/>
    <w:rsid w:val="00D01E96"/>
    <w:rsid w:val="00D021E5"/>
    <w:rsid w:val="00D0261E"/>
    <w:rsid w:val="00D0303B"/>
    <w:rsid w:val="00D03FBA"/>
    <w:rsid w:val="00D044BD"/>
    <w:rsid w:val="00D046D5"/>
    <w:rsid w:val="00D04EFE"/>
    <w:rsid w:val="00D055DE"/>
    <w:rsid w:val="00D057A4"/>
    <w:rsid w:val="00D06352"/>
    <w:rsid w:val="00D06BA8"/>
    <w:rsid w:val="00D07433"/>
    <w:rsid w:val="00D074AA"/>
    <w:rsid w:val="00D074B8"/>
    <w:rsid w:val="00D07B4F"/>
    <w:rsid w:val="00D10359"/>
    <w:rsid w:val="00D10444"/>
    <w:rsid w:val="00D104D9"/>
    <w:rsid w:val="00D10A43"/>
    <w:rsid w:val="00D10EF7"/>
    <w:rsid w:val="00D116AA"/>
    <w:rsid w:val="00D11A97"/>
    <w:rsid w:val="00D11CAD"/>
    <w:rsid w:val="00D120B0"/>
    <w:rsid w:val="00D127C5"/>
    <w:rsid w:val="00D13362"/>
    <w:rsid w:val="00D13858"/>
    <w:rsid w:val="00D138FF"/>
    <w:rsid w:val="00D1390A"/>
    <w:rsid w:val="00D13E3B"/>
    <w:rsid w:val="00D13F95"/>
    <w:rsid w:val="00D15BBB"/>
    <w:rsid w:val="00D15CDC"/>
    <w:rsid w:val="00D15D43"/>
    <w:rsid w:val="00D161DC"/>
    <w:rsid w:val="00D16470"/>
    <w:rsid w:val="00D16A15"/>
    <w:rsid w:val="00D16E4A"/>
    <w:rsid w:val="00D171AA"/>
    <w:rsid w:val="00D171B5"/>
    <w:rsid w:val="00D17718"/>
    <w:rsid w:val="00D17BF3"/>
    <w:rsid w:val="00D17BFA"/>
    <w:rsid w:val="00D17E55"/>
    <w:rsid w:val="00D201A9"/>
    <w:rsid w:val="00D20A9D"/>
    <w:rsid w:val="00D20BED"/>
    <w:rsid w:val="00D217B2"/>
    <w:rsid w:val="00D218E4"/>
    <w:rsid w:val="00D21D08"/>
    <w:rsid w:val="00D21D20"/>
    <w:rsid w:val="00D2206A"/>
    <w:rsid w:val="00D2239D"/>
    <w:rsid w:val="00D22612"/>
    <w:rsid w:val="00D2290C"/>
    <w:rsid w:val="00D23038"/>
    <w:rsid w:val="00D2323A"/>
    <w:rsid w:val="00D23485"/>
    <w:rsid w:val="00D234FE"/>
    <w:rsid w:val="00D234FF"/>
    <w:rsid w:val="00D23724"/>
    <w:rsid w:val="00D23E65"/>
    <w:rsid w:val="00D24210"/>
    <w:rsid w:val="00D24877"/>
    <w:rsid w:val="00D24ABD"/>
    <w:rsid w:val="00D24F89"/>
    <w:rsid w:val="00D251B1"/>
    <w:rsid w:val="00D257D7"/>
    <w:rsid w:val="00D25DBD"/>
    <w:rsid w:val="00D260CF"/>
    <w:rsid w:val="00D26636"/>
    <w:rsid w:val="00D2666B"/>
    <w:rsid w:val="00D268F0"/>
    <w:rsid w:val="00D26BBE"/>
    <w:rsid w:val="00D27187"/>
    <w:rsid w:val="00D2721B"/>
    <w:rsid w:val="00D2740E"/>
    <w:rsid w:val="00D276BC"/>
    <w:rsid w:val="00D2791D"/>
    <w:rsid w:val="00D27B7E"/>
    <w:rsid w:val="00D27D2F"/>
    <w:rsid w:val="00D27DA2"/>
    <w:rsid w:val="00D27DB3"/>
    <w:rsid w:val="00D27F6E"/>
    <w:rsid w:val="00D300C5"/>
    <w:rsid w:val="00D30445"/>
    <w:rsid w:val="00D30EAD"/>
    <w:rsid w:val="00D3106B"/>
    <w:rsid w:val="00D31798"/>
    <w:rsid w:val="00D317D7"/>
    <w:rsid w:val="00D31D10"/>
    <w:rsid w:val="00D31E13"/>
    <w:rsid w:val="00D327E0"/>
    <w:rsid w:val="00D32A3A"/>
    <w:rsid w:val="00D331BB"/>
    <w:rsid w:val="00D336F5"/>
    <w:rsid w:val="00D33C8E"/>
    <w:rsid w:val="00D33CE5"/>
    <w:rsid w:val="00D33E69"/>
    <w:rsid w:val="00D34103"/>
    <w:rsid w:val="00D34194"/>
    <w:rsid w:val="00D343BD"/>
    <w:rsid w:val="00D350C7"/>
    <w:rsid w:val="00D357C9"/>
    <w:rsid w:val="00D3599D"/>
    <w:rsid w:val="00D35FE6"/>
    <w:rsid w:val="00D365D8"/>
    <w:rsid w:val="00D36A20"/>
    <w:rsid w:val="00D36C48"/>
    <w:rsid w:val="00D36DF0"/>
    <w:rsid w:val="00D36E3B"/>
    <w:rsid w:val="00D372AC"/>
    <w:rsid w:val="00D375AF"/>
    <w:rsid w:val="00D408A6"/>
    <w:rsid w:val="00D40D37"/>
    <w:rsid w:val="00D4110A"/>
    <w:rsid w:val="00D41B24"/>
    <w:rsid w:val="00D41E48"/>
    <w:rsid w:val="00D420A8"/>
    <w:rsid w:val="00D427A3"/>
    <w:rsid w:val="00D42D00"/>
    <w:rsid w:val="00D43152"/>
    <w:rsid w:val="00D43246"/>
    <w:rsid w:val="00D432B9"/>
    <w:rsid w:val="00D43810"/>
    <w:rsid w:val="00D43957"/>
    <w:rsid w:val="00D43B2F"/>
    <w:rsid w:val="00D43D6A"/>
    <w:rsid w:val="00D44126"/>
    <w:rsid w:val="00D442E5"/>
    <w:rsid w:val="00D446E0"/>
    <w:rsid w:val="00D44787"/>
    <w:rsid w:val="00D448D3"/>
    <w:rsid w:val="00D44AA1"/>
    <w:rsid w:val="00D45883"/>
    <w:rsid w:val="00D45914"/>
    <w:rsid w:val="00D46166"/>
    <w:rsid w:val="00D468C0"/>
    <w:rsid w:val="00D46B85"/>
    <w:rsid w:val="00D471E0"/>
    <w:rsid w:val="00D477E1"/>
    <w:rsid w:val="00D47807"/>
    <w:rsid w:val="00D47B32"/>
    <w:rsid w:val="00D50AE4"/>
    <w:rsid w:val="00D50CAA"/>
    <w:rsid w:val="00D50E0D"/>
    <w:rsid w:val="00D50EAD"/>
    <w:rsid w:val="00D50EDF"/>
    <w:rsid w:val="00D51200"/>
    <w:rsid w:val="00D514B3"/>
    <w:rsid w:val="00D51760"/>
    <w:rsid w:val="00D51A39"/>
    <w:rsid w:val="00D51EE8"/>
    <w:rsid w:val="00D5279E"/>
    <w:rsid w:val="00D532CC"/>
    <w:rsid w:val="00D5437A"/>
    <w:rsid w:val="00D54956"/>
    <w:rsid w:val="00D54973"/>
    <w:rsid w:val="00D557B9"/>
    <w:rsid w:val="00D55CD4"/>
    <w:rsid w:val="00D55D37"/>
    <w:rsid w:val="00D55DB4"/>
    <w:rsid w:val="00D55DC1"/>
    <w:rsid w:val="00D5625B"/>
    <w:rsid w:val="00D5669A"/>
    <w:rsid w:val="00D56AF7"/>
    <w:rsid w:val="00D56B91"/>
    <w:rsid w:val="00D56CB3"/>
    <w:rsid w:val="00D57247"/>
    <w:rsid w:val="00D57D44"/>
    <w:rsid w:val="00D6037A"/>
    <w:rsid w:val="00D6133D"/>
    <w:rsid w:val="00D6157A"/>
    <w:rsid w:val="00D61B57"/>
    <w:rsid w:val="00D61B64"/>
    <w:rsid w:val="00D627B3"/>
    <w:rsid w:val="00D62C42"/>
    <w:rsid w:val="00D62D14"/>
    <w:rsid w:val="00D631CD"/>
    <w:rsid w:val="00D63828"/>
    <w:rsid w:val="00D63C82"/>
    <w:rsid w:val="00D63D4E"/>
    <w:rsid w:val="00D63DF0"/>
    <w:rsid w:val="00D63EBA"/>
    <w:rsid w:val="00D64307"/>
    <w:rsid w:val="00D6445C"/>
    <w:rsid w:val="00D6455E"/>
    <w:rsid w:val="00D647A5"/>
    <w:rsid w:val="00D65790"/>
    <w:rsid w:val="00D66255"/>
    <w:rsid w:val="00D6650D"/>
    <w:rsid w:val="00D66A91"/>
    <w:rsid w:val="00D66C51"/>
    <w:rsid w:val="00D66CE0"/>
    <w:rsid w:val="00D67448"/>
    <w:rsid w:val="00D6758C"/>
    <w:rsid w:val="00D70178"/>
    <w:rsid w:val="00D7060D"/>
    <w:rsid w:val="00D70B04"/>
    <w:rsid w:val="00D70E06"/>
    <w:rsid w:val="00D70F32"/>
    <w:rsid w:val="00D710B2"/>
    <w:rsid w:val="00D715B1"/>
    <w:rsid w:val="00D71B25"/>
    <w:rsid w:val="00D71E28"/>
    <w:rsid w:val="00D71F6D"/>
    <w:rsid w:val="00D72812"/>
    <w:rsid w:val="00D72F1C"/>
    <w:rsid w:val="00D7303B"/>
    <w:rsid w:val="00D732A7"/>
    <w:rsid w:val="00D73B82"/>
    <w:rsid w:val="00D73E45"/>
    <w:rsid w:val="00D73EE9"/>
    <w:rsid w:val="00D743E8"/>
    <w:rsid w:val="00D747CC"/>
    <w:rsid w:val="00D74C13"/>
    <w:rsid w:val="00D74C6B"/>
    <w:rsid w:val="00D74F1D"/>
    <w:rsid w:val="00D7556E"/>
    <w:rsid w:val="00D75B3C"/>
    <w:rsid w:val="00D75D08"/>
    <w:rsid w:val="00D7603B"/>
    <w:rsid w:val="00D760A4"/>
    <w:rsid w:val="00D760DC"/>
    <w:rsid w:val="00D7611B"/>
    <w:rsid w:val="00D766F0"/>
    <w:rsid w:val="00D76972"/>
    <w:rsid w:val="00D770C8"/>
    <w:rsid w:val="00D77183"/>
    <w:rsid w:val="00D77308"/>
    <w:rsid w:val="00D77537"/>
    <w:rsid w:val="00D77A51"/>
    <w:rsid w:val="00D77B4E"/>
    <w:rsid w:val="00D80785"/>
    <w:rsid w:val="00D80AE2"/>
    <w:rsid w:val="00D80BBC"/>
    <w:rsid w:val="00D80F74"/>
    <w:rsid w:val="00D81067"/>
    <w:rsid w:val="00D81309"/>
    <w:rsid w:val="00D81890"/>
    <w:rsid w:val="00D81DE2"/>
    <w:rsid w:val="00D824F5"/>
    <w:rsid w:val="00D8268D"/>
    <w:rsid w:val="00D826D1"/>
    <w:rsid w:val="00D82A7B"/>
    <w:rsid w:val="00D83431"/>
    <w:rsid w:val="00D84067"/>
    <w:rsid w:val="00D8408F"/>
    <w:rsid w:val="00D8431B"/>
    <w:rsid w:val="00D843C1"/>
    <w:rsid w:val="00D8445E"/>
    <w:rsid w:val="00D84C40"/>
    <w:rsid w:val="00D84D40"/>
    <w:rsid w:val="00D85684"/>
    <w:rsid w:val="00D8581A"/>
    <w:rsid w:val="00D86E4C"/>
    <w:rsid w:val="00D8716E"/>
    <w:rsid w:val="00D872D6"/>
    <w:rsid w:val="00D87318"/>
    <w:rsid w:val="00D87508"/>
    <w:rsid w:val="00D87D52"/>
    <w:rsid w:val="00D90209"/>
    <w:rsid w:val="00D91572"/>
    <w:rsid w:val="00D917C4"/>
    <w:rsid w:val="00D918B4"/>
    <w:rsid w:val="00D92183"/>
    <w:rsid w:val="00D92D75"/>
    <w:rsid w:val="00D92E62"/>
    <w:rsid w:val="00D93341"/>
    <w:rsid w:val="00D93397"/>
    <w:rsid w:val="00D939CA"/>
    <w:rsid w:val="00D93B9D"/>
    <w:rsid w:val="00D942BD"/>
    <w:rsid w:val="00D944E8"/>
    <w:rsid w:val="00D94938"/>
    <w:rsid w:val="00D94D89"/>
    <w:rsid w:val="00D94FA0"/>
    <w:rsid w:val="00D95807"/>
    <w:rsid w:val="00D96269"/>
    <w:rsid w:val="00D962C6"/>
    <w:rsid w:val="00D96344"/>
    <w:rsid w:val="00D9671E"/>
    <w:rsid w:val="00D96ABA"/>
    <w:rsid w:val="00D972E8"/>
    <w:rsid w:val="00D974A5"/>
    <w:rsid w:val="00D97567"/>
    <w:rsid w:val="00D9789F"/>
    <w:rsid w:val="00D97D76"/>
    <w:rsid w:val="00DA06BD"/>
    <w:rsid w:val="00DA0A97"/>
    <w:rsid w:val="00DA0E3C"/>
    <w:rsid w:val="00DA1E96"/>
    <w:rsid w:val="00DA228C"/>
    <w:rsid w:val="00DA2422"/>
    <w:rsid w:val="00DA249F"/>
    <w:rsid w:val="00DA27DE"/>
    <w:rsid w:val="00DA32DE"/>
    <w:rsid w:val="00DA3737"/>
    <w:rsid w:val="00DA37A9"/>
    <w:rsid w:val="00DA3CFA"/>
    <w:rsid w:val="00DA4046"/>
    <w:rsid w:val="00DA46E5"/>
    <w:rsid w:val="00DA4C4B"/>
    <w:rsid w:val="00DA4EA2"/>
    <w:rsid w:val="00DA5211"/>
    <w:rsid w:val="00DA5260"/>
    <w:rsid w:val="00DA56A7"/>
    <w:rsid w:val="00DA575A"/>
    <w:rsid w:val="00DA578B"/>
    <w:rsid w:val="00DA59D0"/>
    <w:rsid w:val="00DA5C0A"/>
    <w:rsid w:val="00DA5C51"/>
    <w:rsid w:val="00DA5E11"/>
    <w:rsid w:val="00DA65C0"/>
    <w:rsid w:val="00DA685E"/>
    <w:rsid w:val="00DA6862"/>
    <w:rsid w:val="00DA6B66"/>
    <w:rsid w:val="00DA6BE5"/>
    <w:rsid w:val="00DA70F7"/>
    <w:rsid w:val="00DA755B"/>
    <w:rsid w:val="00DA77DD"/>
    <w:rsid w:val="00DA7846"/>
    <w:rsid w:val="00DB01A9"/>
    <w:rsid w:val="00DB08A1"/>
    <w:rsid w:val="00DB1403"/>
    <w:rsid w:val="00DB151E"/>
    <w:rsid w:val="00DB1591"/>
    <w:rsid w:val="00DB1AE8"/>
    <w:rsid w:val="00DB1E95"/>
    <w:rsid w:val="00DB1FCA"/>
    <w:rsid w:val="00DB25C9"/>
    <w:rsid w:val="00DB27A3"/>
    <w:rsid w:val="00DB2999"/>
    <w:rsid w:val="00DB2A7B"/>
    <w:rsid w:val="00DB2BDD"/>
    <w:rsid w:val="00DB2BDE"/>
    <w:rsid w:val="00DB326B"/>
    <w:rsid w:val="00DB384D"/>
    <w:rsid w:val="00DB39CF"/>
    <w:rsid w:val="00DB3BE3"/>
    <w:rsid w:val="00DB3C75"/>
    <w:rsid w:val="00DB3DE4"/>
    <w:rsid w:val="00DB4F06"/>
    <w:rsid w:val="00DB5C2C"/>
    <w:rsid w:val="00DB60EA"/>
    <w:rsid w:val="00DB684F"/>
    <w:rsid w:val="00DB7071"/>
    <w:rsid w:val="00DB70C1"/>
    <w:rsid w:val="00DB70D3"/>
    <w:rsid w:val="00DB7912"/>
    <w:rsid w:val="00DB7CE5"/>
    <w:rsid w:val="00DC0806"/>
    <w:rsid w:val="00DC0DF9"/>
    <w:rsid w:val="00DC13BF"/>
    <w:rsid w:val="00DC173A"/>
    <w:rsid w:val="00DC1867"/>
    <w:rsid w:val="00DC1868"/>
    <w:rsid w:val="00DC19AE"/>
    <w:rsid w:val="00DC1E79"/>
    <w:rsid w:val="00DC20A9"/>
    <w:rsid w:val="00DC2315"/>
    <w:rsid w:val="00DC25D1"/>
    <w:rsid w:val="00DC3221"/>
    <w:rsid w:val="00DC3D94"/>
    <w:rsid w:val="00DC3F77"/>
    <w:rsid w:val="00DC42E0"/>
    <w:rsid w:val="00DC45CD"/>
    <w:rsid w:val="00DC4745"/>
    <w:rsid w:val="00DC4872"/>
    <w:rsid w:val="00DC56C2"/>
    <w:rsid w:val="00DC58C8"/>
    <w:rsid w:val="00DC64B9"/>
    <w:rsid w:val="00DC6C9E"/>
    <w:rsid w:val="00DC7A78"/>
    <w:rsid w:val="00DC7B85"/>
    <w:rsid w:val="00DC7EB9"/>
    <w:rsid w:val="00DD01DA"/>
    <w:rsid w:val="00DD05DA"/>
    <w:rsid w:val="00DD05F4"/>
    <w:rsid w:val="00DD0D23"/>
    <w:rsid w:val="00DD0DBB"/>
    <w:rsid w:val="00DD0DE0"/>
    <w:rsid w:val="00DD101F"/>
    <w:rsid w:val="00DD136A"/>
    <w:rsid w:val="00DD1516"/>
    <w:rsid w:val="00DD174B"/>
    <w:rsid w:val="00DD1D60"/>
    <w:rsid w:val="00DD4079"/>
    <w:rsid w:val="00DD412C"/>
    <w:rsid w:val="00DD4441"/>
    <w:rsid w:val="00DD47A9"/>
    <w:rsid w:val="00DD5033"/>
    <w:rsid w:val="00DD5526"/>
    <w:rsid w:val="00DD56E6"/>
    <w:rsid w:val="00DD5AFC"/>
    <w:rsid w:val="00DD620B"/>
    <w:rsid w:val="00DD643E"/>
    <w:rsid w:val="00DD66D9"/>
    <w:rsid w:val="00DD68F2"/>
    <w:rsid w:val="00DD6916"/>
    <w:rsid w:val="00DD722E"/>
    <w:rsid w:val="00DD77B2"/>
    <w:rsid w:val="00DD77BF"/>
    <w:rsid w:val="00DD7C45"/>
    <w:rsid w:val="00DE099E"/>
    <w:rsid w:val="00DE1233"/>
    <w:rsid w:val="00DE12A9"/>
    <w:rsid w:val="00DE14B5"/>
    <w:rsid w:val="00DE1CEF"/>
    <w:rsid w:val="00DE1EFF"/>
    <w:rsid w:val="00DE2231"/>
    <w:rsid w:val="00DE2635"/>
    <w:rsid w:val="00DE2B20"/>
    <w:rsid w:val="00DE2D4E"/>
    <w:rsid w:val="00DE35CD"/>
    <w:rsid w:val="00DE3C11"/>
    <w:rsid w:val="00DE3CA1"/>
    <w:rsid w:val="00DE3CCD"/>
    <w:rsid w:val="00DE4044"/>
    <w:rsid w:val="00DE410F"/>
    <w:rsid w:val="00DE47E5"/>
    <w:rsid w:val="00DE4E51"/>
    <w:rsid w:val="00DE593D"/>
    <w:rsid w:val="00DE59E1"/>
    <w:rsid w:val="00DE5B9D"/>
    <w:rsid w:val="00DE5BBE"/>
    <w:rsid w:val="00DE5C7B"/>
    <w:rsid w:val="00DE5F99"/>
    <w:rsid w:val="00DE5FA0"/>
    <w:rsid w:val="00DE63E3"/>
    <w:rsid w:val="00DE6766"/>
    <w:rsid w:val="00DE6A0A"/>
    <w:rsid w:val="00DE7658"/>
    <w:rsid w:val="00DE7E02"/>
    <w:rsid w:val="00DF068B"/>
    <w:rsid w:val="00DF06C1"/>
    <w:rsid w:val="00DF0C41"/>
    <w:rsid w:val="00DF0F8E"/>
    <w:rsid w:val="00DF1300"/>
    <w:rsid w:val="00DF1343"/>
    <w:rsid w:val="00DF2013"/>
    <w:rsid w:val="00DF2274"/>
    <w:rsid w:val="00DF229B"/>
    <w:rsid w:val="00DF30F5"/>
    <w:rsid w:val="00DF3A19"/>
    <w:rsid w:val="00DF46E3"/>
    <w:rsid w:val="00DF4908"/>
    <w:rsid w:val="00DF4F84"/>
    <w:rsid w:val="00DF4FF8"/>
    <w:rsid w:val="00DF522A"/>
    <w:rsid w:val="00DF587E"/>
    <w:rsid w:val="00DF5959"/>
    <w:rsid w:val="00DF5BFC"/>
    <w:rsid w:val="00DF6124"/>
    <w:rsid w:val="00DF669C"/>
    <w:rsid w:val="00DF6F23"/>
    <w:rsid w:val="00DF7202"/>
    <w:rsid w:val="00DF722C"/>
    <w:rsid w:val="00DF7457"/>
    <w:rsid w:val="00DF77CC"/>
    <w:rsid w:val="00DF7D25"/>
    <w:rsid w:val="00E0028F"/>
    <w:rsid w:val="00E00F08"/>
    <w:rsid w:val="00E01952"/>
    <w:rsid w:val="00E0198D"/>
    <w:rsid w:val="00E01C3A"/>
    <w:rsid w:val="00E02382"/>
    <w:rsid w:val="00E02929"/>
    <w:rsid w:val="00E02E9A"/>
    <w:rsid w:val="00E034C6"/>
    <w:rsid w:val="00E03ED6"/>
    <w:rsid w:val="00E0431E"/>
    <w:rsid w:val="00E048EE"/>
    <w:rsid w:val="00E04D93"/>
    <w:rsid w:val="00E04DEF"/>
    <w:rsid w:val="00E04F74"/>
    <w:rsid w:val="00E054A5"/>
    <w:rsid w:val="00E05682"/>
    <w:rsid w:val="00E058C6"/>
    <w:rsid w:val="00E05D7B"/>
    <w:rsid w:val="00E05E20"/>
    <w:rsid w:val="00E0618A"/>
    <w:rsid w:val="00E06A1D"/>
    <w:rsid w:val="00E06E06"/>
    <w:rsid w:val="00E07725"/>
    <w:rsid w:val="00E0794C"/>
    <w:rsid w:val="00E10445"/>
    <w:rsid w:val="00E104D0"/>
    <w:rsid w:val="00E1066C"/>
    <w:rsid w:val="00E10ABA"/>
    <w:rsid w:val="00E10DFE"/>
    <w:rsid w:val="00E10F6F"/>
    <w:rsid w:val="00E1123A"/>
    <w:rsid w:val="00E115AD"/>
    <w:rsid w:val="00E115CC"/>
    <w:rsid w:val="00E117BA"/>
    <w:rsid w:val="00E11832"/>
    <w:rsid w:val="00E12325"/>
    <w:rsid w:val="00E12475"/>
    <w:rsid w:val="00E12C36"/>
    <w:rsid w:val="00E13014"/>
    <w:rsid w:val="00E130E2"/>
    <w:rsid w:val="00E13968"/>
    <w:rsid w:val="00E13D48"/>
    <w:rsid w:val="00E142F2"/>
    <w:rsid w:val="00E14D2E"/>
    <w:rsid w:val="00E1513C"/>
    <w:rsid w:val="00E1544D"/>
    <w:rsid w:val="00E1564A"/>
    <w:rsid w:val="00E169DB"/>
    <w:rsid w:val="00E16A1F"/>
    <w:rsid w:val="00E16E56"/>
    <w:rsid w:val="00E16F5A"/>
    <w:rsid w:val="00E174A2"/>
    <w:rsid w:val="00E17879"/>
    <w:rsid w:val="00E17D05"/>
    <w:rsid w:val="00E17DDD"/>
    <w:rsid w:val="00E17E91"/>
    <w:rsid w:val="00E202CD"/>
    <w:rsid w:val="00E209FA"/>
    <w:rsid w:val="00E21028"/>
    <w:rsid w:val="00E2304E"/>
    <w:rsid w:val="00E235AE"/>
    <w:rsid w:val="00E23BDD"/>
    <w:rsid w:val="00E23DB9"/>
    <w:rsid w:val="00E23F68"/>
    <w:rsid w:val="00E240F7"/>
    <w:rsid w:val="00E241EE"/>
    <w:rsid w:val="00E242AA"/>
    <w:rsid w:val="00E243D5"/>
    <w:rsid w:val="00E248F1"/>
    <w:rsid w:val="00E250C8"/>
    <w:rsid w:val="00E252D3"/>
    <w:rsid w:val="00E25382"/>
    <w:rsid w:val="00E25FC1"/>
    <w:rsid w:val="00E263BD"/>
    <w:rsid w:val="00E265B7"/>
    <w:rsid w:val="00E26750"/>
    <w:rsid w:val="00E26956"/>
    <w:rsid w:val="00E27144"/>
    <w:rsid w:val="00E277BF"/>
    <w:rsid w:val="00E2787D"/>
    <w:rsid w:val="00E27BB3"/>
    <w:rsid w:val="00E27D5B"/>
    <w:rsid w:val="00E27EC9"/>
    <w:rsid w:val="00E3034B"/>
    <w:rsid w:val="00E305CF"/>
    <w:rsid w:val="00E307F0"/>
    <w:rsid w:val="00E30806"/>
    <w:rsid w:val="00E3099B"/>
    <w:rsid w:val="00E30AF3"/>
    <w:rsid w:val="00E30B39"/>
    <w:rsid w:val="00E30D0E"/>
    <w:rsid w:val="00E30D76"/>
    <w:rsid w:val="00E30E90"/>
    <w:rsid w:val="00E31479"/>
    <w:rsid w:val="00E314BA"/>
    <w:rsid w:val="00E3161B"/>
    <w:rsid w:val="00E31914"/>
    <w:rsid w:val="00E31987"/>
    <w:rsid w:val="00E31A38"/>
    <w:rsid w:val="00E327E4"/>
    <w:rsid w:val="00E32AB8"/>
    <w:rsid w:val="00E32C8D"/>
    <w:rsid w:val="00E32CC0"/>
    <w:rsid w:val="00E32EE1"/>
    <w:rsid w:val="00E33208"/>
    <w:rsid w:val="00E33395"/>
    <w:rsid w:val="00E33631"/>
    <w:rsid w:val="00E33788"/>
    <w:rsid w:val="00E33C81"/>
    <w:rsid w:val="00E33D3C"/>
    <w:rsid w:val="00E3429B"/>
    <w:rsid w:val="00E34799"/>
    <w:rsid w:val="00E34821"/>
    <w:rsid w:val="00E34C48"/>
    <w:rsid w:val="00E34DD3"/>
    <w:rsid w:val="00E34E9B"/>
    <w:rsid w:val="00E34ED7"/>
    <w:rsid w:val="00E353C0"/>
    <w:rsid w:val="00E35BDC"/>
    <w:rsid w:val="00E35C2B"/>
    <w:rsid w:val="00E35DC0"/>
    <w:rsid w:val="00E35F51"/>
    <w:rsid w:val="00E3636E"/>
    <w:rsid w:val="00E37444"/>
    <w:rsid w:val="00E3784F"/>
    <w:rsid w:val="00E40382"/>
    <w:rsid w:val="00E403CB"/>
    <w:rsid w:val="00E4091A"/>
    <w:rsid w:val="00E40CC8"/>
    <w:rsid w:val="00E40F4E"/>
    <w:rsid w:val="00E413CF"/>
    <w:rsid w:val="00E41962"/>
    <w:rsid w:val="00E4226D"/>
    <w:rsid w:val="00E428DA"/>
    <w:rsid w:val="00E42C2C"/>
    <w:rsid w:val="00E42F81"/>
    <w:rsid w:val="00E42FD2"/>
    <w:rsid w:val="00E43253"/>
    <w:rsid w:val="00E437AB"/>
    <w:rsid w:val="00E43D53"/>
    <w:rsid w:val="00E44649"/>
    <w:rsid w:val="00E44766"/>
    <w:rsid w:val="00E44FA8"/>
    <w:rsid w:val="00E4524D"/>
    <w:rsid w:val="00E454ED"/>
    <w:rsid w:val="00E45574"/>
    <w:rsid w:val="00E45916"/>
    <w:rsid w:val="00E45E18"/>
    <w:rsid w:val="00E45F43"/>
    <w:rsid w:val="00E4607C"/>
    <w:rsid w:val="00E4763B"/>
    <w:rsid w:val="00E47A44"/>
    <w:rsid w:val="00E47BCF"/>
    <w:rsid w:val="00E47E8D"/>
    <w:rsid w:val="00E507B0"/>
    <w:rsid w:val="00E511CE"/>
    <w:rsid w:val="00E511F8"/>
    <w:rsid w:val="00E516D7"/>
    <w:rsid w:val="00E51CE3"/>
    <w:rsid w:val="00E51CE4"/>
    <w:rsid w:val="00E52101"/>
    <w:rsid w:val="00E52157"/>
    <w:rsid w:val="00E52A68"/>
    <w:rsid w:val="00E52C20"/>
    <w:rsid w:val="00E53177"/>
    <w:rsid w:val="00E5333B"/>
    <w:rsid w:val="00E536DC"/>
    <w:rsid w:val="00E5383E"/>
    <w:rsid w:val="00E53C7F"/>
    <w:rsid w:val="00E53D3D"/>
    <w:rsid w:val="00E53FB2"/>
    <w:rsid w:val="00E540F0"/>
    <w:rsid w:val="00E5487B"/>
    <w:rsid w:val="00E549EA"/>
    <w:rsid w:val="00E54EFE"/>
    <w:rsid w:val="00E55037"/>
    <w:rsid w:val="00E5541B"/>
    <w:rsid w:val="00E55F73"/>
    <w:rsid w:val="00E56060"/>
    <w:rsid w:val="00E565F6"/>
    <w:rsid w:val="00E569DE"/>
    <w:rsid w:val="00E56E20"/>
    <w:rsid w:val="00E571CA"/>
    <w:rsid w:val="00E57A16"/>
    <w:rsid w:val="00E57A1B"/>
    <w:rsid w:val="00E57B92"/>
    <w:rsid w:val="00E57BB5"/>
    <w:rsid w:val="00E57F40"/>
    <w:rsid w:val="00E61311"/>
    <w:rsid w:val="00E61C6D"/>
    <w:rsid w:val="00E61CDA"/>
    <w:rsid w:val="00E63E4D"/>
    <w:rsid w:val="00E6403E"/>
    <w:rsid w:val="00E64B65"/>
    <w:rsid w:val="00E64FC2"/>
    <w:rsid w:val="00E65322"/>
    <w:rsid w:val="00E6538E"/>
    <w:rsid w:val="00E6566B"/>
    <w:rsid w:val="00E65C7E"/>
    <w:rsid w:val="00E66053"/>
    <w:rsid w:val="00E66080"/>
    <w:rsid w:val="00E668D9"/>
    <w:rsid w:val="00E668EB"/>
    <w:rsid w:val="00E66C3E"/>
    <w:rsid w:val="00E6707A"/>
    <w:rsid w:val="00E67BBC"/>
    <w:rsid w:val="00E7003D"/>
    <w:rsid w:val="00E71432"/>
    <w:rsid w:val="00E71A6F"/>
    <w:rsid w:val="00E71DE9"/>
    <w:rsid w:val="00E721CE"/>
    <w:rsid w:val="00E72417"/>
    <w:rsid w:val="00E7278F"/>
    <w:rsid w:val="00E72A60"/>
    <w:rsid w:val="00E72B9C"/>
    <w:rsid w:val="00E7307F"/>
    <w:rsid w:val="00E7344B"/>
    <w:rsid w:val="00E737B0"/>
    <w:rsid w:val="00E73B29"/>
    <w:rsid w:val="00E743A4"/>
    <w:rsid w:val="00E7482A"/>
    <w:rsid w:val="00E74B9E"/>
    <w:rsid w:val="00E7504B"/>
    <w:rsid w:val="00E750E6"/>
    <w:rsid w:val="00E752EA"/>
    <w:rsid w:val="00E7564F"/>
    <w:rsid w:val="00E756A3"/>
    <w:rsid w:val="00E759DF"/>
    <w:rsid w:val="00E75F62"/>
    <w:rsid w:val="00E76296"/>
    <w:rsid w:val="00E762B5"/>
    <w:rsid w:val="00E762C5"/>
    <w:rsid w:val="00E767E5"/>
    <w:rsid w:val="00E77271"/>
    <w:rsid w:val="00E77854"/>
    <w:rsid w:val="00E77C20"/>
    <w:rsid w:val="00E8107D"/>
    <w:rsid w:val="00E818D7"/>
    <w:rsid w:val="00E81CB1"/>
    <w:rsid w:val="00E822CE"/>
    <w:rsid w:val="00E82378"/>
    <w:rsid w:val="00E8261A"/>
    <w:rsid w:val="00E82AE6"/>
    <w:rsid w:val="00E82B2E"/>
    <w:rsid w:val="00E82D54"/>
    <w:rsid w:val="00E83010"/>
    <w:rsid w:val="00E834C6"/>
    <w:rsid w:val="00E83B3A"/>
    <w:rsid w:val="00E83BB6"/>
    <w:rsid w:val="00E84E80"/>
    <w:rsid w:val="00E85032"/>
    <w:rsid w:val="00E850B2"/>
    <w:rsid w:val="00E85325"/>
    <w:rsid w:val="00E85541"/>
    <w:rsid w:val="00E85CD4"/>
    <w:rsid w:val="00E86098"/>
    <w:rsid w:val="00E86564"/>
    <w:rsid w:val="00E8673F"/>
    <w:rsid w:val="00E86772"/>
    <w:rsid w:val="00E86E96"/>
    <w:rsid w:val="00E87389"/>
    <w:rsid w:val="00E8751D"/>
    <w:rsid w:val="00E8771A"/>
    <w:rsid w:val="00E87A0F"/>
    <w:rsid w:val="00E87AD9"/>
    <w:rsid w:val="00E908F0"/>
    <w:rsid w:val="00E913A1"/>
    <w:rsid w:val="00E92011"/>
    <w:rsid w:val="00E922FA"/>
    <w:rsid w:val="00E92B7E"/>
    <w:rsid w:val="00E92CB9"/>
    <w:rsid w:val="00E92CF5"/>
    <w:rsid w:val="00E92F89"/>
    <w:rsid w:val="00E935D3"/>
    <w:rsid w:val="00E93A28"/>
    <w:rsid w:val="00E9449E"/>
    <w:rsid w:val="00E94836"/>
    <w:rsid w:val="00E94948"/>
    <w:rsid w:val="00E94DC4"/>
    <w:rsid w:val="00E95BAD"/>
    <w:rsid w:val="00E95E5B"/>
    <w:rsid w:val="00E95E6C"/>
    <w:rsid w:val="00E96092"/>
    <w:rsid w:val="00E964C4"/>
    <w:rsid w:val="00E96727"/>
    <w:rsid w:val="00E96A89"/>
    <w:rsid w:val="00E96D81"/>
    <w:rsid w:val="00E971FA"/>
    <w:rsid w:val="00E97805"/>
    <w:rsid w:val="00E97AC9"/>
    <w:rsid w:val="00E97D36"/>
    <w:rsid w:val="00EA058D"/>
    <w:rsid w:val="00EA05CE"/>
    <w:rsid w:val="00EA066A"/>
    <w:rsid w:val="00EA0688"/>
    <w:rsid w:val="00EA0A20"/>
    <w:rsid w:val="00EA0D6E"/>
    <w:rsid w:val="00EA0E03"/>
    <w:rsid w:val="00EA0E2A"/>
    <w:rsid w:val="00EA13ED"/>
    <w:rsid w:val="00EA15FA"/>
    <w:rsid w:val="00EA16C5"/>
    <w:rsid w:val="00EA1DA3"/>
    <w:rsid w:val="00EA1FEB"/>
    <w:rsid w:val="00EA21E0"/>
    <w:rsid w:val="00EA237E"/>
    <w:rsid w:val="00EA244F"/>
    <w:rsid w:val="00EA253A"/>
    <w:rsid w:val="00EA292A"/>
    <w:rsid w:val="00EA2C1E"/>
    <w:rsid w:val="00EA2C56"/>
    <w:rsid w:val="00EA2F19"/>
    <w:rsid w:val="00EA38B2"/>
    <w:rsid w:val="00EA4432"/>
    <w:rsid w:val="00EA4922"/>
    <w:rsid w:val="00EA494E"/>
    <w:rsid w:val="00EA50CD"/>
    <w:rsid w:val="00EA566C"/>
    <w:rsid w:val="00EA58E2"/>
    <w:rsid w:val="00EA5BC9"/>
    <w:rsid w:val="00EA5DD3"/>
    <w:rsid w:val="00EA60EA"/>
    <w:rsid w:val="00EA6E9A"/>
    <w:rsid w:val="00EA7012"/>
    <w:rsid w:val="00EA7297"/>
    <w:rsid w:val="00EA7636"/>
    <w:rsid w:val="00EA7F23"/>
    <w:rsid w:val="00EA7FDD"/>
    <w:rsid w:val="00EB00DE"/>
    <w:rsid w:val="00EB02B4"/>
    <w:rsid w:val="00EB0408"/>
    <w:rsid w:val="00EB0561"/>
    <w:rsid w:val="00EB05DA"/>
    <w:rsid w:val="00EB0954"/>
    <w:rsid w:val="00EB0C6F"/>
    <w:rsid w:val="00EB11C2"/>
    <w:rsid w:val="00EB180C"/>
    <w:rsid w:val="00EB1A56"/>
    <w:rsid w:val="00EB1FBC"/>
    <w:rsid w:val="00EB3407"/>
    <w:rsid w:val="00EB34CF"/>
    <w:rsid w:val="00EB3955"/>
    <w:rsid w:val="00EB396F"/>
    <w:rsid w:val="00EB3A6E"/>
    <w:rsid w:val="00EB460B"/>
    <w:rsid w:val="00EB4BBE"/>
    <w:rsid w:val="00EB5144"/>
    <w:rsid w:val="00EB5871"/>
    <w:rsid w:val="00EB5A0D"/>
    <w:rsid w:val="00EB5CF8"/>
    <w:rsid w:val="00EB63A5"/>
    <w:rsid w:val="00EB6625"/>
    <w:rsid w:val="00EB6A6C"/>
    <w:rsid w:val="00EB6B19"/>
    <w:rsid w:val="00EB72A2"/>
    <w:rsid w:val="00EB7414"/>
    <w:rsid w:val="00EB7A41"/>
    <w:rsid w:val="00EC0A6B"/>
    <w:rsid w:val="00EC0E47"/>
    <w:rsid w:val="00EC1423"/>
    <w:rsid w:val="00EC1435"/>
    <w:rsid w:val="00EC163F"/>
    <w:rsid w:val="00EC1BDA"/>
    <w:rsid w:val="00EC29AA"/>
    <w:rsid w:val="00EC2CEB"/>
    <w:rsid w:val="00EC2D09"/>
    <w:rsid w:val="00EC2E00"/>
    <w:rsid w:val="00EC4722"/>
    <w:rsid w:val="00EC48EA"/>
    <w:rsid w:val="00EC49C8"/>
    <w:rsid w:val="00EC5372"/>
    <w:rsid w:val="00EC5A08"/>
    <w:rsid w:val="00EC6324"/>
    <w:rsid w:val="00EC6F89"/>
    <w:rsid w:val="00EC736D"/>
    <w:rsid w:val="00EC76AF"/>
    <w:rsid w:val="00ED004E"/>
    <w:rsid w:val="00ED0B04"/>
    <w:rsid w:val="00ED0E1B"/>
    <w:rsid w:val="00ED0FA1"/>
    <w:rsid w:val="00ED1534"/>
    <w:rsid w:val="00ED170D"/>
    <w:rsid w:val="00ED20DC"/>
    <w:rsid w:val="00ED255B"/>
    <w:rsid w:val="00ED2C21"/>
    <w:rsid w:val="00ED2E12"/>
    <w:rsid w:val="00ED321B"/>
    <w:rsid w:val="00ED33B7"/>
    <w:rsid w:val="00ED3455"/>
    <w:rsid w:val="00ED380A"/>
    <w:rsid w:val="00ED393C"/>
    <w:rsid w:val="00ED3FAE"/>
    <w:rsid w:val="00ED4421"/>
    <w:rsid w:val="00ED480A"/>
    <w:rsid w:val="00ED4C98"/>
    <w:rsid w:val="00ED521E"/>
    <w:rsid w:val="00ED5FB8"/>
    <w:rsid w:val="00ED6379"/>
    <w:rsid w:val="00ED63D8"/>
    <w:rsid w:val="00ED6683"/>
    <w:rsid w:val="00ED6725"/>
    <w:rsid w:val="00ED68EA"/>
    <w:rsid w:val="00ED6A82"/>
    <w:rsid w:val="00ED6C8B"/>
    <w:rsid w:val="00ED7542"/>
    <w:rsid w:val="00EE1105"/>
    <w:rsid w:val="00EE11F5"/>
    <w:rsid w:val="00EE1999"/>
    <w:rsid w:val="00EE1BA5"/>
    <w:rsid w:val="00EE20D2"/>
    <w:rsid w:val="00EE22E9"/>
    <w:rsid w:val="00EE23E0"/>
    <w:rsid w:val="00EE294C"/>
    <w:rsid w:val="00EE2CC1"/>
    <w:rsid w:val="00EE3552"/>
    <w:rsid w:val="00EE3808"/>
    <w:rsid w:val="00EE385D"/>
    <w:rsid w:val="00EE3A3C"/>
    <w:rsid w:val="00EE3A7B"/>
    <w:rsid w:val="00EE3F95"/>
    <w:rsid w:val="00EE4485"/>
    <w:rsid w:val="00EE4D7B"/>
    <w:rsid w:val="00EE4F91"/>
    <w:rsid w:val="00EE4F9F"/>
    <w:rsid w:val="00EE521C"/>
    <w:rsid w:val="00EE5853"/>
    <w:rsid w:val="00EE5DA5"/>
    <w:rsid w:val="00EE61E8"/>
    <w:rsid w:val="00EE61F6"/>
    <w:rsid w:val="00EE62CB"/>
    <w:rsid w:val="00EE6DFA"/>
    <w:rsid w:val="00EE73AD"/>
    <w:rsid w:val="00EE7C85"/>
    <w:rsid w:val="00EE7FB4"/>
    <w:rsid w:val="00EF03C1"/>
    <w:rsid w:val="00EF03FA"/>
    <w:rsid w:val="00EF0CAA"/>
    <w:rsid w:val="00EF0E59"/>
    <w:rsid w:val="00EF11A8"/>
    <w:rsid w:val="00EF1617"/>
    <w:rsid w:val="00EF1B3B"/>
    <w:rsid w:val="00EF2375"/>
    <w:rsid w:val="00EF2AD4"/>
    <w:rsid w:val="00EF2B20"/>
    <w:rsid w:val="00EF321C"/>
    <w:rsid w:val="00EF3AE8"/>
    <w:rsid w:val="00EF3DD0"/>
    <w:rsid w:val="00EF42D1"/>
    <w:rsid w:val="00EF4B8C"/>
    <w:rsid w:val="00EF54CE"/>
    <w:rsid w:val="00EF5AB7"/>
    <w:rsid w:val="00EF5ED1"/>
    <w:rsid w:val="00EF5F21"/>
    <w:rsid w:val="00EF6147"/>
    <w:rsid w:val="00EF643B"/>
    <w:rsid w:val="00EF65F7"/>
    <w:rsid w:val="00EF6627"/>
    <w:rsid w:val="00EF6BC5"/>
    <w:rsid w:val="00EF6C4E"/>
    <w:rsid w:val="00EF6E0A"/>
    <w:rsid w:val="00EF70C4"/>
    <w:rsid w:val="00EF7AA0"/>
    <w:rsid w:val="00EF7B02"/>
    <w:rsid w:val="00EF7D36"/>
    <w:rsid w:val="00F001FF"/>
    <w:rsid w:val="00F00887"/>
    <w:rsid w:val="00F0091A"/>
    <w:rsid w:val="00F02167"/>
    <w:rsid w:val="00F02641"/>
    <w:rsid w:val="00F026BB"/>
    <w:rsid w:val="00F02E95"/>
    <w:rsid w:val="00F0304A"/>
    <w:rsid w:val="00F031BF"/>
    <w:rsid w:val="00F03239"/>
    <w:rsid w:val="00F04402"/>
    <w:rsid w:val="00F045D4"/>
    <w:rsid w:val="00F0477E"/>
    <w:rsid w:val="00F04B42"/>
    <w:rsid w:val="00F04D91"/>
    <w:rsid w:val="00F04F11"/>
    <w:rsid w:val="00F04F50"/>
    <w:rsid w:val="00F0548A"/>
    <w:rsid w:val="00F057C1"/>
    <w:rsid w:val="00F0585F"/>
    <w:rsid w:val="00F058B9"/>
    <w:rsid w:val="00F05A34"/>
    <w:rsid w:val="00F05F33"/>
    <w:rsid w:val="00F06144"/>
    <w:rsid w:val="00F0752D"/>
    <w:rsid w:val="00F1071B"/>
    <w:rsid w:val="00F10E80"/>
    <w:rsid w:val="00F10FD2"/>
    <w:rsid w:val="00F1122B"/>
    <w:rsid w:val="00F1167E"/>
    <w:rsid w:val="00F11A47"/>
    <w:rsid w:val="00F11D1A"/>
    <w:rsid w:val="00F12107"/>
    <w:rsid w:val="00F12133"/>
    <w:rsid w:val="00F12139"/>
    <w:rsid w:val="00F12356"/>
    <w:rsid w:val="00F1338D"/>
    <w:rsid w:val="00F133C2"/>
    <w:rsid w:val="00F13577"/>
    <w:rsid w:val="00F13A09"/>
    <w:rsid w:val="00F13AB4"/>
    <w:rsid w:val="00F13B91"/>
    <w:rsid w:val="00F13D58"/>
    <w:rsid w:val="00F145B0"/>
    <w:rsid w:val="00F14B70"/>
    <w:rsid w:val="00F14E41"/>
    <w:rsid w:val="00F14F08"/>
    <w:rsid w:val="00F15C8F"/>
    <w:rsid w:val="00F15D28"/>
    <w:rsid w:val="00F16452"/>
    <w:rsid w:val="00F16ABA"/>
    <w:rsid w:val="00F16DF8"/>
    <w:rsid w:val="00F17160"/>
    <w:rsid w:val="00F1740C"/>
    <w:rsid w:val="00F175BB"/>
    <w:rsid w:val="00F17E24"/>
    <w:rsid w:val="00F20209"/>
    <w:rsid w:val="00F2087A"/>
    <w:rsid w:val="00F21724"/>
    <w:rsid w:val="00F219CB"/>
    <w:rsid w:val="00F21D64"/>
    <w:rsid w:val="00F220AB"/>
    <w:rsid w:val="00F228CC"/>
    <w:rsid w:val="00F22DA6"/>
    <w:rsid w:val="00F22F16"/>
    <w:rsid w:val="00F22F5F"/>
    <w:rsid w:val="00F23194"/>
    <w:rsid w:val="00F23ED5"/>
    <w:rsid w:val="00F24384"/>
    <w:rsid w:val="00F2462F"/>
    <w:rsid w:val="00F24D6E"/>
    <w:rsid w:val="00F25157"/>
    <w:rsid w:val="00F255E1"/>
    <w:rsid w:val="00F25790"/>
    <w:rsid w:val="00F25B12"/>
    <w:rsid w:val="00F25C20"/>
    <w:rsid w:val="00F25D50"/>
    <w:rsid w:val="00F26068"/>
    <w:rsid w:val="00F260A9"/>
    <w:rsid w:val="00F26534"/>
    <w:rsid w:val="00F26736"/>
    <w:rsid w:val="00F26797"/>
    <w:rsid w:val="00F2683B"/>
    <w:rsid w:val="00F26F16"/>
    <w:rsid w:val="00F304BE"/>
    <w:rsid w:val="00F30BFD"/>
    <w:rsid w:val="00F3185F"/>
    <w:rsid w:val="00F31CB7"/>
    <w:rsid w:val="00F31D09"/>
    <w:rsid w:val="00F329EC"/>
    <w:rsid w:val="00F32BF6"/>
    <w:rsid w:val="00F33039"/>
    <w:rsid w:val="00F3306D"/>
    <w:rsid w:val="00F336FD"/>
    <w:rsid w:val="00F33EC6"/>
    <w:rsid w:val="00F33FCB"/>
    <w:rsid w:val="00F34633"/>
    <w:rsid w:val="00F34FDB"/>
    <w:rsid w:val="00F34FF4"/>
    <w:rsid w:val="00F350DC"/>
    <w:rsid w:val="00F353A3"/>
    <w:rsid w:val="00F355B4"/>
    <w:rsid w:val="00F35727"/>
    <w:rsid w:val="00F35C50"/>
    <w:rsid w:val="00F35C97"/>
    <w:rsid w:val="00F35CC8"/>
    <w:rsid w:val="00F35E7B"/>
    <w:rsid w:val="00F36804"/>
    <w:rsid w:val="00F36A68"/>
    <w:rsid w:val="00F36BA0"/>
    <w:rsid w:val="00F37202"/>
    <w:rsid w:val="00F377B7"/>
    <w:rsid w:val="00F37CC0"/>
    <w:rsid w:val="00F37F11"/>
    <w:rsid w:val="00F403FC"/>
    <w:rsid w:val="00F40CB5"/>
    <w:rsid w:val="00F412BD"/>
    <w:rsid w:val="00F417B7"/>
    <w:rsid w:val="00F41963"/>
    <w:rsid w:val="00F41964"/>
    <w:rsid w:val="00F41E76"/>
    <w:rsid w:val="00F41E93"/>
    <w:rsid w:val="00F420D3"/>
    <w:rsid w:val="00F42DEB"/>
    <w:rsid w:val="00F42F3C"/>
    <w:rsid w:val="00F431F8"/>
    <w:rsid w:val="00F4420C"/>
    <w:rsid w:val="00F452A4"/>
    <w:rsid w:val="00F45CE9"/>
    <w:rsid w:val="00F4600F"/>
    <w:rsid w:val="00F4604B"/>
    <w:rsid w:val="00F460A7"/>
    <w:rsid w:val="00F46B45"/>
    <w:rsid w:val="00F470B3"/>
    <w:rsid w:val="00F47437"/>
    <w:rsid w:val="00F47444"/>
    <w:rsid w:val="00F5021C"/>
    <w:rsid w:val="00F5086E"/>
    <w:rsid w:val="00F50BC0"/>
    <w:rsid w:val="00F50BD1"/>
    <w:rsid w:val="00F51165"/>
    <w:rsid w:val="00F5145E"/>
    <w:rsid w:val="00F5199C"/>
    <w:rsid w:val="00F519FA"/>
    <w:rsid w:val="00F51C7C"/>
    <w:rsid w:val="00F51D63"/>
    <w:rsid w:val="00F51F78"/>
    <w:rsid w:val="00F52F5A"/>
    <w:rsid w:val="00F538EF"/>
    <w:rsid w:val="00F539AC"/>
    <w:rsid w:val="00F53A3C"/>
    <w:rsid w:val="00F53B89"/>
    <w:rsid w:val="00F53D59"/>
    <w:rsid w:val="00F540E3"/>
    <w:rsid w:val="00F54125"/>
    <w:rsid w:val="00F54138"/>
    <w:rsid w:val="00F54E4A"/>
    <w:rsid w:val="00F54F3A"/>
    <w:rsid w:val="00F550C7"/>
    <w:rsid w:val="00F555B2"/>
    <w:rsid w:val="00F55AB3"/>
    <w:rsid w:val="00F55FD5"/>
    <w:rsid w:val="00F56155"/>
    <w:rsid w:val="00F56335"/>
    <w:rsid w:val="00F56D00"/>
    <w:rsid w:val="00F56EDC"/>
    <w:rsid w:val="00F57183"/>
    <w:rsid w:val="00F571FB"/>
    <w:rsid w:val="00F57244"/>
    <w:rsid w:val="00F572CA"/>
    <w:rsid w:val="00F57545"/>
    <w:rsid w:val="00F57F16"/>
    <w:rsid w:val="00F6043D"/>
    <w:rsid w:val="00F61DE9"/>
    <w:rsid w:val="00F62054"/>
    <w:rsid w:val="00F62075"/>
    <w:rsid w:val="00F62224"/>
    <w:rsid w:val="00F62783"/>
    <w:rsid w:val="00F62DFF"/>
    <w:rsid w:val="00F62F1B"/>
    <w:rsid w:val="00F6320F"/>
    <w:rsid w:val="00F635B0"/>
    <w:rsid w:val="00F63894"/>
    <w:rsid w:val="00F6465E"/>
    <w:rsid w:val="00F64C96"/>
    <w:rsid w:val="00F6531C"/>
    <w:rsid w:val="00F65762"/>
    <w:rsid w:val="00F65789"/>
    <w:rsid w:val="00F65AF8"/>
    <w:rsid w:val="00F65C91"/>
    <w:rsid w:val="00F65FC3"/>
    <w:rsid w:val="00F66E55"/>
    <w:rsid w:val="00F70884"/>
    <w:rsid w:val="00F708EF"/>
    <w:rsid w:val="00F70C51"/>
    <w:rsid w:val="00F72361"/>
    <w:rsid w:val="00F72BFF"/>
    <w:rsid w:val="00F72EF3"/>
    <w:rsid w:val="00F72F95"/>
    <w:rsid w:val="00F73B7D"/>
    <w:rsid w:val="00F74CC8"/>
    <w:rsid w:val="00F75FEC"/>
    <w:rsid w:val="00F7623C"/>
    <w:rsid w:val="00F762BC"/>
    <w:rsid w:val="00F764EB"/>
    <w:rsid w:val="00F766C5"/>
    <w:rsid w:val="00F7671C"/>
    <w:rsid w:val="00F76A7C"/>
    <w:rsid w:val="00F76F56"/>
    <w:rsid w:val="00F7701F"/>
    <w:rsid w:val="00F7773C"/>
    <w:rsid w:val="00F77927"/>
    <w:rsid w:val="00F77ED6"/>
    <w:rsid w:val="00F77F4D"/>
    <w:rsid w:val="00F80685"/>
    <w:rsid w:val="00F80D61"/>
    <w:rsid w:val="00F81609"/>
    <w:rsid w:val="00F81C63"/>
    <w:rsid w:val="00F81E57"/>
    <w:rsid w:val="00F82429"/>
    <w:rsid w:val="00F827C6"/>
    <w:rsid w:val="00F82D50"/>
    <w:rsid w:val="00F82DAE"/>
    <w:rsid w:val="00F837E3"/>
    <w:rsid w:val="00F837E8"/>
    <w:rsid w:val="00F83AD4"/>
    <w:rsid w:val="00F843F7"/>
    <w:rsid w:val="00F84483"/>
    <w:rsid w:val="00F84A62"/>
    <w:rsid w:val="00F84BE7"/>
    <w:rsid w:val="00F856DD"/>
    <w:rsid w:val="00F859DC"/>
    <w:rsid w:val="00F86431"/>
    <w:rsid w:val="00F8669D"/>
    <w:rsid w:val="00F86941"/>
    <w:rsid w:val="00F86D01"/>
    <w:rsid w:val="00F86E61"/>
    <w:rsid w:val="00F872E0"/>
    <w:rsid w:val="00F872EA"/>
    <w:rsid w:val="00F87D14"/>
    <w:rsid w:val="00F9050C"/>
    <w:rsid w:val="00F9069D"/>
    <w:rsid w:val="00F910A1"/>
    <w:rsid w:val="00F91368"/>
    <w:rsid w:val="00F913A5"/>
    <w:rsid w:val="00F9242F"/>
    <w:rsid w:val="00F927B4"/>
    <w:rsid w:val="00F92C9B"/>
    <w:rsid w:val="00F92D91"/>
    <w:rsid w:val="00F93046"/>
    <w:rsid w:val="00F93636"/>
    <w:rsid w:val="00F936CC"/>
    <w:rsid w:val="00F9392B"/>
    <w:rsid w:val="00F93C1E"/>
    <w:rsid w:val="00F94505"/>
    <w:rsid w:val="00F9477D"/>
    <w:rsid w:val="00F94B43"/>
    <w:rsid w:val="00F94B52"/>
    <w:rsid w:val="00F94B8E"/>
    <w:rsid w:val="00F95417"/>
    <w:rsid w:val="00F95C7F"/>
    <w:rsid w:val="00F9619E"/>
    <w:rsid w:val="00F96646"/>
    <w:rsid w:val="00F96A36"/>
    <w:rsid w:val="00F96F1E"/>
    <w:rsid w:val="00F97018"/>
    <w:rsid w:val="00F97220"/>
    <w:rsid w:val="00F978CB"/>
    <w:rsid w:val="00F97A95"/>
    <w:rsid w:val="00F97F39"/>
    <w:rsid w:val="00FA03FF"/>
    <w:rsid w:val="00FA0692"/>
    <w:rsid w:val="00FA07F9"/>
    <w:rsid w:val="00FA1238"/>
    <w:rsid w:val="00FA17CA"/>
    <w:rsid w:val="00FA1879"/>
    <w:rsid w:val="00FA1B3E"/>
    <w:rsid w:val="00FA22CC"/>
    <w:rsid w:val="00FA23BF"/>
    <w:rsid w:val="00FA242F"/>
    <w:rsid w:val="00FA27D8"/>
    <w:rsid w:val="00FA291B"/>
    <w:rsid w:val="00FA2B7B"/>
    <w:rsid w:val="00FA34C1"/>
    <w:rsid w:val="00FA381F"/>
    <w:rsid w:val="00FA3BA5"/>
    <w:rsid w:val="00FA4D62"/>
    <w:rsid w:val="00FA4F40"/>
    <w:rsid w:val="00FA5363"/>
    <w:rsid w:val="00FA5647"/>
    <w:rsid w:val="00FA5C1E"/>
    <w:rsid w:val="00FA657E"/>
    <w:rsid w:val="00FA670A"/>
    <w:rsid w:val="00FA68DE"/>
    <w:rsid w:val="00FA71B0"/>
    <w:rsid w:val="00FA7413"/>
    <w:rsid w:val="00FA7A8D"/>
    <w:rsid w:val="00FA7BB4"/>
    <w:rsid w:val="00FA7C21"/>
    <w:rsid w:val="00FB08EE"/>
    <w:rsid w:val="00FB10D7"/>
    <w:rsid w:val="00FB12DE"/>
    <w:rsid w:val="00FB17D1"/>
    <w:rsid w:val="00FB1972"/>
    <w:rsid w:val="00FB1CF8"/>
    <w:rsid w:val="00FB1D01"/>
    <w:rsid w:val="00FB2056"/>
    <w:rsid w:val="00FB22AE"/>
    <w:rsid w:val="00FB2F1C"/>
    <w:rsid w:val="00FB3080"/>
    <w:rsid w:val="00FB34EA"/>
    <w:rsid w:val="00FB37E8"/>
    <w:rsid w:val="00FB3927"/>
    <w:rsid w:val="00FB3941"/>
    <w:rsid w:val="00FB3A76"/>
    <w:rsid w:val="00FB41A8"/>
    <w:rsid w:val="00FB463C"/>
    <w:rsid w:val="00FB495F"/>
    <w:rsid w:val="00FB5121"/>
    <w:rsid w:val="00FB5254"/>
    <w:rsid w:val="00FB53C6"/>
    <w:rsid w:val="00FB5513"/>
    <w:rsid w:val="00FB5E38"/>
    <w:rsid w:val="00FB60C5"/>
    <w:rsid w:val="00FB616B"/>
    <w:rsid w:val="00FB642F"/>
    <w:rsid w:val="00FB6582"/>
    <w:rsid w:val="00FB6F85"/>
    <w:rsid w:val="00FB70AE"/>
    <w:rsid w:val="00FB72C0"/>
    <w:rsid w:val="00FB7A36"/>
    <w:rsid w:val="00FB7BFA"/>
    <w:rsid w:val="00FC05A0"/>
    <w:rsid w:val="00FC1339"/>
    <w:rsid w:val="00FC146E"/>
    <w:rsid w:val="00FC1794"/>
    <w:rsid w:val="00FC1C4E"/>
    <w:rsid w:val="00FC2A0E"/>
    <w:rsid w:val="00FC3FF8"/>
    <w:rsid w:val="00FC40A5"/>
    <w:rsid w:val="00FC439E"/>
    <w:rsid w:val="00FC4ED8"/>
    <w:rsid w:val="00FC5248"/>
    <w:rsid w:val="00FC52E8"/>
    <w:rsid w:val="00FC6342"/>
    <w:rsid w:val="00FC6727"/>
    <w:rsid w:val="00FC709A"/>
    <w:rsid w:val="00FC745B"/>
    <w:rsid w:val="00FC7621"/>
    <w:rsid w:val="00FD054F"/>
    <w:rsid w:val="00FD0579"/>
    <w:rsid w:val="00FD07BA"/>
    <w:rsid w:val="00FD143E"/>
    <w:rsid w:val="00FD1A07"/>
    <w:rsid w:val="00FD1C12"/>
    <w:rsid w:val="00FD2568"/>
    <w:rsid w:val="00FD263A"/>
    <w:rsid w:val="00FD2659"/>
    <w:rsid w:val="00FD2836"/>
    <w:rsid w:val="00FD34AD"/>
    <w:rsid w:val="00FD3AC4"/>
    <w:rsid w:val="00FD3D4C"/>
    <w:rsid w:val="00FD3E36"/>
    <w:rsid w:val="00FD4B9B"/>
    <w:rsid w:val="00FD4C87"/>
    <w:rsid w:val="00FD4E0D"/>
    <w:rsid w:val="00FD52D2"/>
    <w:rsid w:val="00FD5344"/>
    <w:rsid w:val="00FD5389"/>
    <w:rsid w:val="00FD595E"/>
    <w:rsid w:val="00FD5A08"/>
    <w:rsid w:val="00FD603D"/>
    <w:rsid w:val="00FD606A"/>
    <w:rsid w:val="00FD61FA"/>
    <w:rsid w:val="00FD640B"/>
    <w:rsid w:val="00FD6B3A"/>
    <w:rsid w:val="00FD714A"/>
    <w:rsid w:val="00FD7241"/>
    <w:rsid w:val="00FD7E47"/>
    <w:rsid w:val="00FD7F6A"/>
    <w:rsid w:val="00FE0017"/>
    <w:rsid w:val="00FE003E"/>
    <w:rsid w:val="00FE01E3"/>
    <w:rsid w:val="00FE0359"/>
    <w:rsid w:val="00FE038D"/>
    <w:rsid w:val="00FE099B"/>
    <w:rsid w:val="00FE0E70"/>
    <w:rsid w:val="00FE118F"/>
    <w:rsid w:val="00FE16DE"/>
    <w:rsid w:val="00FE2F96"/>
    <w:rsid w:val="00FE31E4"/>
    <w:rsid w:val="00FE3CCE"/>
    <w:rsid w:val="00FE3F3F"/>
    <w:rsid w:val="00FE402A"/>
    <w:rsid w:val="00FE4BF9"/>
    <w:rsid w:val="00FE4E72"/>
    <w:rsid w:val="00FE5158"/>
    <w:rsid w:val="00FE5228"/>
    <w:rsid w:val="00FE54EE"/>
    <w:rsid w:val="00FE603E"/>
    <w:rsid w:val="00FE610A"/>
    <w:rsid w:val="00FE6539"/>
    <w:rsid w:val="00FE6C96"/>
    <w:rsid w:val="00FE7087"/>
    <w:rsid w:val="00FE746F"/>
    <w:rsid w:val="00FE779C"/>
    <w:rsid w:val="00FE797F"/>
    <w:rsid w:val="00FE7D7A"/>
    <w:rsid w:val="00FF0594"/>
    <w:rsid w:val="00FF0DBB"/>
    <w:rsid w:val="00FF11EB"/>
    <w:rsid w:val="00FF12AE"/>
    <w:rsid w:val="00FF12D9"/>
    <w:rsid w:val="00FF17A3"/>
    <w:rsid w:val="00FF2128"/>
    <w:rsid w:val="00FF21FE"/>
    <w:rsid w:val="00FF30E4"/>
    <w:rsid w:val="00FF3C3D"/>
    <w:rsid w:val="00FF3C8D"/>
    <w:rsid w:val="00FF42FF"/>
    <w:rsid w:val="00FF47CC"/>
    <w:rsid w:val="00FF5275"/>
    <w:rsid w:val="00FF610F"/>
    <w:rsid w:val="00FF6333"/>
    <w:rsid w:val="00FF64C1"/>
    <w:rsid w:val="00FF6B30"/>
    <w:rsid w:val="00FF7D35"/>
    <w:rsid w:val="013B1EDB"/>
    <w:rsid w:val="014D1DD6"/>
    <w:rsid w:val="01721772"/>
    <w:rsid w:val="01970EDE"/>
    <w:rsid w:val="01AF3FDC"/>
    <w:rsid w:val="01EB7F30"/>
    <w:rsid w:val="01F171E8"/>
    <w:rsid w:val="02253481"/>
    <w:rsid w:val="022E230C"/>
    <w:rsid w:val="02434D85"/>
    <w:rsid w:val="02537DBA"/>
    <w:rsid w:val="025A783C"/>
    <w:rsid w:val="02603319"/>
    <w:rsid w:val="02727E71"/>
    <w:rsid w:val="02740403"/>
    <w:rsid w:val="028D22BC"/>
    <w:rsid w:val="02913B65"/>
    <w:rsid w:val="02982DF9"/>
    <w:rsid w:val="02D77055"/>
    <w:rsid w:val="02EB239A"/>
    <w:rsid w:val="02EE352E"/>
    <w:rsid w:val="03056ADA"/>
    <w:rsid w:val="03346682"/>
    <w:rsid w:val="033B57FE"/>
    <w:rsid w:val="036C5298"/>
    <w:rsid w:val="037D532F"/>
    <w:rsid w:val="038748FE"/>
    <w:rsid w:val="03C71509"/>
    <w:rsid w:val="03DF418D"/>
    <w:rsid w:val="03F63586"/>
    <w:rsid w:val="03FA0596"/>
    <w:rsid w:val="03FA3860"/>
    <w:rsid w:val="03FC3EDE"/>
    <w:rsid w:val="046D5019"/>
    <w:rsid w:val="0479405C"/>
    <w:rsid w:val="04797ABB"/>
    <w:rsid w:val="04B7096A"/>
    <w:rsid w:val="04CA7175"/>
    <w:rsid w:val="04F07F41"/>
    <w:rsid w:val="051156AC"/>
    <w:rsid w:val="052F0B55"/>
    <w:rsid w:val="053A48B4"/>
    <w:rsid w:val="05697E61"/>
    <w:rsid w:val="058C00A9"/>
    <w:rsid w:val="05AA653C"/>
    <w:rsid w:val="05B50363"/>
    <w:rsid w:val="0623171F"/>
    <w:rsid w:val="06596C0B"/>
    <w:rsid w:val="06606A96"/>
    <w:rsid w:val="06936C42"/>
    <w:rsid w:val="06C93A6B"/>
    <w:rsid w:val="06CF5A0D"/>
    <w:rsid w:val="06F757B1"/>
    <w:rsid w:val="074150AE"/>
    <w:rsid w:val="07573AEF"/>
    <w:rsid w:val="07745F63"/>
    <w:rsid w:val="077F0846"/>
    <w:rsid w:val="078841AF"/>
    <w:rsid w:val="07932372"/>
    <w:rsid w:val="07AD2E51"/>
    <w:rsid w:val="07D371FC"/>
    <w:rsid w:val="07D96C64"/>
    <w:rsid w:val="07D979A5"/>
    <w:rsid w:val="083632D3"/>
    <w:rsid w:val="08536498"/>
    <w:rsid w:val="086571BC"/>
    <w:rsid w:val="08695F27"/>
    <w:rsid w:val="08710F69"/>
    <w:rsid w:val="089B216C"/>
    <w:rsid w:val="08C94F77"/>
    <w:rsid w:val="09097104"/>
    <w:rsid w:val="09136D79"/>
    <w:rsid w:val="097864E0"/>
    <w:rsid w:val="09BA6FCD"/>
    <w:rsid w:val="09E975E4"/>
    <w:rsid w:val="09EF2C36"/>
    <w:rsid w:val="0A434ED6"/>
    <w:rsid w:val="0A844141"/>
    <w:rsid w:val="0A8E045E"/>
    <w:rsid w:val="0ADA6DF3"/>
    <w:rsid w:val="0AEF7A77"/>
    <w:rsid w:val="0B044E14"/>
    <w:rsid w:val="0B6B5F66"/>
    <w:rsid w:val="0B864CDA"/>
    <w:rsid w:val="0BB1128A"/>
    <w:rsid w:val="0BEA660C"/>
    <w:rsid w:val="0BFC2499"/>
    <w:rsid w:val="0BFE46BA"/>
    <w:rsid w:val="0C290B36"/>
    <w:rsid w:val="0C7B511C"/>
    <w:rsid w:val="0C8A1C56"/>
    <w:rsid w:val="0C9A15E0"/>
    <w:rsid w:val="0C9D5857"/>
    <w:rsid w:val="0CB37C64"/>
    <w:rsid w:val="0CC640BC"/>
    <w:rsid w:val="0CD20140"/>
    <w:rsid w:val="0CFA3418"/>
    <w:rsid w:val="0CFF5592"/>
    <w:rsid w:val="0D0B5BAE"/>
    <w:rsid w:val="0D4978FD"/>
    <w:rsid w:val="0DC37920"/>
    <w:rsid w:val="0DCA3A2A"/>
    <w:rsid w:val="0DED76EC"/>
    <w:rsid w:val="0E06290E"/>
    <w:rsid w:val="0E136EB2"/>
    <w:rsid w:val="0E286071"/>
    <w:rsid w:val="0E786A62"/>
    <w:rsid w:val="0EC41C31"/>
    <w:rsid w:val="0F0A7D6D"/>
    <w:rsid w:val="0F0C7389"/>
    <w:rsid w:val="0F4B1F61"/>
    <w:rsid w:val="0F5D18AC"/>
    <w:rsid w:val="0F6F5DA4"/>
    <w:rsid w:val="0F876B0D"/>
    <w:rsid w:val="0F8F5260"/>
    <w:rsid w:val="0FBB7BC1"/>
    <w:rsid w:val="10011C80"/>
    <w:rsid w:val="10256630"/>
    <w:rsid w:val="102D2243"/>
    <w:rsid w:val="103D5FFE"/>
    <w:rsid w:val="105612A2"/>
    <w:rsid w:val="107C79CB"/>
    <w:rsid w:val="10A670B9"/>
    <w:rsid w:val="10B65FD6"/>
    <w:rsid w:val="10D46613"/>
    <w:rsid w:val="10FF0E78"/>
    <w:rsid w:val="1120457B"/>
    <w:rsid w:val="113338F6"/>
    <w:rsid w:val="1135246C"/>
    <w:rsid w:val="114C25ED"/>
    <w:rsid w:val="115D4378"/>
    <w:rsid w:val="11741CBC"/>
    <w:rsid w:val="11854A32"/>
    <w:rsid w:val="1197702A"/>
    <w:rsid w:val="11AC6536"/>
    <w:rsid w:val="11BB1835"/>
    <w:rsid w:val="11FF4C43"/>
    <w:rsid w:val="1207272C"/>
    <w:rsid w:val="120F73DF"/>
    <w:rsid w:val="122272CD"/>
    <w:rsid w:val="12492574"/>
    <w:rsid w:val="125841D4"/>
    <w:rsid w:val="12DB0CDA"/>
    <w:rsid w:val="12FD1E60"/>
    <w:rsid w:val="13064431"/>
    <w:rsid w:val="132C6327"/>
    <w:rsid w:val="13722C4C"/>
    <w:rsid w:val="139476DA"/>
    <w:rsid w:val="13AA5959"/>
    <w:rsid w:val="13C93A45"/>
    <w:rsid w:val="13E81640"/>
    <w:rsid w:val="140A79B2"/>
    <w:rsid w:val="1410446A"/>
    <w:rsid w:val="141B3633"/>
    <w:rsid w:val="14471D24"/>
    <w:rsid w:val="145F619C"/>
    <w:rsid w:val="14741423"/>
    <w:rsid w:val="149B0671"/>
    <w:rsid w:val="149E726C"/>
    <w:rsid w:val="14BC06C1"/>
    <w:rsid w:val="15131FD4"/>
    <w:rsid w:val="1519161A"/>
    <w:rsid w:val="153A0983"/>
    <w:rsid w:val="15426DF2"/>
    <w:rsid w:val="154839F5"/>
    <w:rsid w:val="155D6391"/>
    <w:rsid w:val="1565422D"/>
    <w:rsid w:val="15667280"/>
    <w:rsid w:val="156751C9"/>
    <w:rsid w:val="157A2E08"/>
    <w:rsid w:val="15AE74B3"/>
    <w:rsid w:val="15C34393"/>
    <w:rsid w:val="15CA7C1F"/>
    <w:rsid w:val="15E4549D"/>
    <w:rsid w:val="15E5117D"/>
    <w:rsid w:val="160E349F"/>
    <w:rsid w:val="16494FD7"/>
    <w:rsid w:val="164E067B"/>
    <w:rsid w:val="167E3F81"/>
    <w:rsid w:val="16933564"/>
    <w:rsid w:val="16A22990"/>
    <w:rsid w:val="1709486A"/>
    <w:rsid w:val="173A681E"/>
    <w:rsid w:val="17517ECF"/>
    <w:rsid w:val="17A756CC"/>
    <w:rsid w:val="17AB6523"/>
    <w:rsid w:val="17BF3AF1"/>
    <w:rsid w:val="17CD47A2"/>
    <w:rsid w:val="17FB7107"/>
    <w:rsid w:val="180B037A"/>
    <w:rsid w:val="180C11A6"/>
    <w:rsid w:val="18610CDC"/>
    <w:rsid w:val="18AD4252"/>
    <w:rsid w:val="18C0456A"/>
    <w:rsid w:val="19166FCB"/>
    <w:rsid w:val="191733FA"/>
    <w:rsid w:val="19216128"/>
    <w:rsid w:val="193358B4"/>
    <w:rsid w:val="196D3DA6"/>
    <w:rsid w:val="19907C20"/>
    <w:rsid w:val="19966EE2"/>
    <w:rsid w:val="19A61D27"/>
    <w:rsid w:val="19AD5FB3"/>
    <w:rsid w:val="19B44AA1"/>
    <w:rsid w:val="19E03369"/>
    <w:rsid w:val="19F047EC"/>
    <w:rsid w:val="1A017E62"/>
    <w:rsid w:val="1A577AF0"/>
    <w:rsid w:val="1A6E288A"/>
    <w:rsid w:val="1A797436"/>
    <w:rsid w:val="1A896C4A"/>
    <w:rsid w:val="1A9F551C"/>
    <w:rsid w:val="1AA74DB0"/>
    <w:rsid w:val="1AB20C0E"/>
    <w:rsid w:val="1AB76A6A"/>
    <w:rsid w:val="1ABD3994"/>
    <w:rsid w:val="1ACC5C9B"/>
    <w:rsid w:val="1AED6B17"/>
    <w:rsid w:val="1B125422"/>
    <w:rsid w:val="1B1F3777"/>
    <w:rsid w:val="1B506687"/>
    <w:rsid w:val="1B624159"/>
    <w:rsid w:val="1B890579"/>
    <w:rsid w:val="1BC221BD"/>
    <w:rsid w:val="1BC51BB4"/>
    <w:rsid w:val="1BCF7FD5"/>
    <w:rsid w:val="1BE14027"/>
    <w:rsid w:val="1BEA1E7F"/>
    <w:rsid w:val="1BEB4E9F"/>
    <w:rsid w:val="1BFE3174"/>
    <w:rsid w:val="1C151978"/>
    <w:rsid w:val="1C236EE7"/>
    <w:rsid w:val="1C2529FF"/>
    <w:rsid w:val="1C573BF3"/>
    <w:rsid w:val="1C5F7B10"/>
    <w:rsid w:val="1C8C03CC"/>
    <w:rsid w:val="1CBD1FC7"/>
    <w:rsid w:val="1CCD186E"/>
    <w:rsid w:val="1CE35908"/>
    <w:rsid w:val="1CEE6A57"/>
    <w:rsid w:val="1CFD0F69"/>
    <w:rsid w:val="1D2E21EB"/>
    <w:rsid w:val="1D374330"/>
    <w:rsid w:val="1D5D5D00"/>
    <w:rsid w:val="1DA7611A"/>
    <w:rsid w:val="1DAB480B"/>
    <w:rsid w:val="1DE941AF"/>
    <w:rsid w:val="1E014B26"/>
    <w:rsid w:val="1E103158"/>
    <w:rsid w:val="1E193083"/>
    <w:rsid w:val="1E74728F"/>
    <w:rsid w:val="1EC77D00"/>
    <w:rsid w:val="1F1110EE"/>
    <w:rsid w:val="1F514BE0"/>
    <w:rsid w:val="1F7B7771"/>
    <w:rsid w:val="1FC259F7"/>
    <w:rsid w:val="202A0CE6"/>
    <w:rsid w:val="202C40C9"/>
    <w:rsid w:val="204F62E3"/>
    <w:rsid w:val="20696EEB"/>
    <w:rsid w:val="20743577"/>
    <w:rsid w:val="20882235"/>
    <w:rsid w:val="20CA5671"/>
    <w:rsid w:val="20CF3FA3"/>
    <w:rsid w:val="20D31457"/>
    <w:rsid w:val="20F74534"/>
    <w:rsid w:val="210E3971"/>
    <w:rsid w:val="211B5E54"/>
    <w:rsid w:val="211E2E6F"/>
    <w:rsid w:val="21396001"/>
    <w:rsid w:val="214E5B67"/>
    <w:rsid w:val="215405EA"/>
    <w:rsid w:val="215869F4"/>
    <w:rsid w:val="218F4EB3"/>
    <w:rsid w:val="21A02DB6"/>
    <w:rsid w:val="21D474FC"/>
    <w:rsid w:val="21F70084"/>
    <w:rsid w:val="223831E7"/>
    <w:rsid w:val="224B494C"/>
    <w:rsid w:val="22596604"/>
    <w:rsid w:val="225B49EE"/>
    <w:rsid w:val="226E5777"/>
    <w:rsid w:val="227930C6"/>
    <w:rsid w:val="227E01D8"/>
    <w:rsid w:val="22AA6DDB"/>
    <w:rsid w:val="22D810F2"/>
    <w:rsid w:val="22F5435C"/>
    <w:rsid w:val="230545C1"/>
    <w:rsid w:val="23325576"/>
    <w:rsid w:val="23362A82"/>
    <w:rsid w:val="233F4233"/>
    <w:rsid w:val="234F4764"/>
    <w:rsid w:val="23941815"/>
    <w:rsid w:val="23A3481C"/>
    <w:rsid w:val="23B5369F"/>
    <w:rsid w:val="23B65DD0"/>
    <w:rsid w:val="23C96B5F"/>
    <w:rsid w:val="23DD59FC"/>
    <w:rsid w:val="240E2242"/>
    <w:rsid w:val="240E4426"/>
    <w:rsid w:val="2411022C"/>
    <w:rsid w:val="24387129"/>
    <w:rsid w:val="24427C0B"/>
    <w:rsid w:val="245A17EA"/>
    <w:rsid w:val="245E71D8"/>
    <w:rsid w:val="247E783F"/>
    <w:rsid w:val="248D6AA9"/>
    <w:rsid w:val="24A14FCE"/>
    <w:rsid w:val="24A701CB"/>
    <w:rsid w:val="24AC495F"/>
    <w:rsid w:val="24B64384"/>
    <w:rsid w:val="24CD11E7"/>
    <w:rsid w:val="24FB29FE"/>
    <w:rsid w:val="24FE2C96"/>
    <w:rsid w:val="250C1173"/>
    <w:rsid w:val="253463DB"/>
    <w:rsid w:val="25A75D85"/>
    <w:rsid w:val="25AB2912"/>
    <w:rsid w:val="26325A66"/>
    <w:rsid w:val="26345488"/>
    <w:rsid w:val="2661778A"/>
    <w:rsid w:val="26712C82"/>
    <w:rsid w:val="26881F5A"/>
    <w:rsid w:val="26A91CF8"/>
    <w:rsid w:val="26AE378D"/>
    <w:rsid w:val="26BD5C77"/>
    <w:rsid w:val="26DD226E"/>
    <w:rsid w:val="26F92A28"/>
    <w:rsid w:val="27006D01"/>
    <w:rsid w:val="270F41B2"/>
    <w:rsid w:val="27120782"/>
    <w:rsid w:val="27351CB2"/>
    <w:rsid w:val="27552D70"/>
    <w:rsid w:val="277D2136"/>
    <w:rsid w:val="27871AE2"/>
    <w:rsid w:val="27933A48"/>
    <w:rsid w:val="27B65428"/>
    <w:rsid w:val="27C6290A"/>
    <w:rsid w:val="27D55E6D"/>
    <w:rsid w:val="27E94CA5"/>
    <w:rsid w:val="27FE6C1B"/>
    <w:rsid w:val="28053F16"/>
    <w:rsid w:val="28077C29"/>
    <w:rsid w:val="282B6E39"/>
    <w:rsid w:val="28393066"/>
    <w:rsid w:val="28433D7E"/>
    <w:rsid w:val="285B17C1"/>
    <w:rsid w:val="288A3401"/>
    <w:rsid w:val="28C55173"/>
    <w:rsid w:val="28CD35E5"/>
    <w:rsid w:val="28E5548D"/>
    <w:rsid w:val="29027022"/>
    <w:rsid w:val="29460F5C"/>
    <w:rsid w:val="29477839"/>
    <w:rsid w:val="294E26BA"/>
    <w:rsid w:val="29693E94"/>
    <w:rsid w:val="2997098E"/>
    <w:rsid w:val="299F5ACC"/>
    <w:rsid w:val="29A013B1"/>
    <w:rsid w:val="29B0720F"/>
    <w:rsid w:val="29C259C7"/>
    <w:rsid w:val="29D765E0"/>
    <w:rsid w:val="29DB3BEB"/>
    <w:rsid w:val="29DC3904"/>
    <w:rsid w:val="29F57A09"/>
    <w:rsid w:val="2A1B463A"/>
    <w:rsid w:val="2A3224D8"/>
    <w:rsid w:val="2A326819"/>
    <w:rsid w:val="2A393AD4"/>
    <w:rsid w:val="2A6F1D33"/>
    <w:rsid w:val="2A982FBB"/>
    <w:rsid w:val="2AAB5DB5"/>
    <w:rsid w:val="2ABA5EFE"/>
    <w:rsid w:val="2AD806CB"/>
    <w:rsid w:val="2AFD5C65"/>
    <w:rsid w:val="2AFF09D3"/>
    <w:rsid w:val="2B0A22B9"/>
    <w:rsid w:val="2B825AAC"/>
    <w:rsid w:val="2BC1159A"/>
    <w:rsid w:val="2BDC03DE"/>
    <w:rsid w:val="2C5F783A"/>
    <w:rsid w:val="2C8979DB"/>
    <w:rsid w:val="2C901738"/>
    <w:rsid w:val="2CA865C1"/>
    <w:rsid w:val="2CD443A1"/>
    <w:rsid w:val="2D0E59F8"/>
    <w:rsid w:val="2D427D42"/>
    <w:rsid w:val="2D665296"/>
    <w:rsid w:val="2D720214"/>
    <w:rsid w:val="2D855714"/>
    <w:rsid w:val="2D9D109D"/>
    <w:rsid w:val="2DE2795E"/>
    <w:rsid w:val="2E422F06"/>
    <w:rsid w:val="2E4233DD"/>
    <w:rsid w:val="2E5D152B"/>
    <w:rsid w:val="2E7E2D88"/>
    <w:rsid w:val="2EBB236A"/>
    <w:rsid w:val="2ED533DD"/>
    <w:rsid w:val="2F2E0275"/>
    <w:rsid w:val="2F696EB5"/>
    <w:rsid w:val="2F6D6FDD"/>
    <w:rsid w:val="2FAB6E86"/>
    <w:rsid w:val="2FE97DCC"/>
    <w:rsid w:val="2FEC5367"/>
    <w:rsid w:val="2FEF157C"/>
    <w:rsid w:val="30AB2A65"/>
    <w:rsid w:val="30C24195"/>
    <w:rsid w:val="30C46683"/>
    <w:rsid w:val="30F073BE"/>
    <w:rsid w:val="31185AC3"/>
    <w:rsid w:val="31996BDC"/>
    <w:rsid w:val="31A41BB5"/>
    <w:rsid w:val="31AC0A1D"/>
    <w:rsid w:val="31C27551"/>
    <w:rsid w:val="31DB7B49"/>
    <w:rsid w:val="31EA1136"/>
    <w:rsid w:val="31EB30E9"/>
    <w:rsid w:val="321F6770"/>
    <w:rsid w:val="3241075E"/>
    <w:rsid w:val="32447F96"/>
    <w:rsid w:val="328810AA"/>
    <w:rsid w:val="328B733B"/>
    <w:rsid w:val="328B793F"/>
    <w:rsid w:val="32990D0D"/>
    <w:rsid w:val="329D4BAF"/>
    <w:rsid w:val="32C10454"/>
    <w:rsid w:val="32EE71B8"/>
    <w:rsid w:val="3318752B"/>
    <w:rsid w:val="33274478"/>
    <w:rsid w:val="33323549"/>
    <w:rsid w:val="33373BC7"/>
    <w:rsid w:val="336A42B8"/>
    <w:rsid w:val="33806DB1"/>
    <w:rsid w:val="338327F4"/>
    <w:rsid w:val="33D86BFC"/>
    <w:rsid w:val="33DC3CFB"/>
    <w:rsid w:val="33DE3EB4"/>
    <w:rsid w:val="33F15DA2"/>
    <w:rsid w:val="34162340"/>
    <w:rsid w:val="34285F3C"/>
    <w:rsid w:val="347128FA"/>
    <w:rsid w:val="34726644"/>
    <w:rsid w:val="347D6BF8"/>
    <w:rsid w:val="34822D05"/>
    <w:rsid w:val="34CC6EE0"/>
    <w:rsid w:val="34D750BE"/>
    <w:rsid w:val="34F33242"/>
    <w:rsid w:val="354A280E"/>
    <w:rsid w:val="359D7E49"/>
    <w:rsid w:val="35BC70A0"/>
    <w:rsid w:val="35C768E1"/>
    <w:rsid w:val="35F94288"/>
    <w:rsid w:val="35FE1A67"/>
    <w:rsid w:val="36002E6A"/>
    <w:rsid w:val="361042E2"/>
    <w:rsid w:val="36DF3643"/>
    <w:rsid w:val="36FB5138"/>
    <w:rsid w:val="3701431F"/>
    <w:rsid w:val="372414A2"/>
    <w:rsid w:val="373955BD"/>
    <w:rsid w:val="37694ED7"/>
    <w:rsid w:val="376D0FF4"/>
    <w:rsid w:val="377D3C48"/>
    <w:rsid w:val="37975954"/>
    <w:rsid w:val="37E201BA"/>
    <w:rsid w:val="37F33BD2"/>
    <w:rsid w:val="37F76381"/>
    <w:rsid w:val="381F04EA"/>
    <w:rsid w:val="38217830"/>
    <w:rsid w:val="382A184C"/>
    <w:rsid w:val="384B5C9D"/>
    <w:rsid w:val="386A4E3C"/>
    <w:rsid w:val="389941F9"/>
    <w:rsid w:val="38A6468F"/>
    <w:rsid w:val="38B24BD0"/>
    <w:rsid w:val="38C025B5"/>
    <w:rsid w:val="38E959B7"/>
    <w:rsid w:val="38FD586C"/>
    <w:rsid w:val="39011AA1"/>
    <w:rsid w:val="395F5166"/>
    <w:rsid w:val="398C189C"/>
    <w:rsid w:val="39B415A8"/>
    <w:rsid w:val="39BF6E83"/>
    <w:rsid w:val="39C75939"/>
    <w:rsid w:val="39D122CF"/>
    <w:rsid w:val="39FE638E"/>
    <w:rsid w:val="3A054912"/>
    <w:rsid w:val="3A0E2F69"/>
    <w:rsid w:val="3A1E08FF"/>
    <w:rsid w:val="3A63640C"/>
    <w:rsid w:val="3A834FFC"/>
    <w:rsid w:val="3AA54F3C"/>
    <w:rsid w:val="3AB23035"/>
    <w:rsid w:val="3ACB468D"/>
    <w:rsid w:val="3AD41129"/>
    <w:rsid w:val="3AE52B6C"/>
    <w:rsid w:val="3AEE39FD"/>
    <w:rsid w:val="3AFF6E27"/>
    <w:rsid w:val="3B223922"/>
    <w:rsid w:val="3B3F2C07"/>
    <w:rsid w:val="3B4B4DF9"/>
    <w:rsid w:val="3B5A1C91"/>
    <w:rsid w:val="3B5F13C7"/>
    <w:rsid w:val="3B626996"/>
    <w:rsid w:val="3B916E88"/>
    <w:rsid w:val="3B946F2F"/>
    <w:rsid w:val="3BAF3DFC"/>
    <w:rsid w:val="3BD52BC1"/>
    <w:rsid w:val="3BDC568D"/>
    <w:rsid w:val="3BF83D63"/>
    <w:rsid w:val="3CA16925"/>
    <w:rsid w:val="3CAB4D92"/>
    <w:rsid w:val="3CB856F5"/>
    <w:rsid w:val="3CCE2CB7"/>
    <w:rsid w:val="3CD632E5"/>
    <w:rsid w:val="3CE911D2"/>
    <w:rsid w:val="3CF459E2"/>
    <w:rsid w:val="3CFE3899"/>
    <w:rsid w:val="3D1A5197"/>
    <w:rsid w:val="3D247155"/>
    <w:rsid w:val="3D396467"/>
    <w:rsid w:val="3D443931"/>
    <w:rsid w:val="3D4C5916"/>
    <w:rsid w:val="3D5B7BDB"/>
    <w:rsid w:val="3D8D5834"/>
    <w:rsid w:val="3DA60B71"/>
    <w:rsid w:val="3DB039E8"/>
    <w:rsid w:val="3DB3594E"/>
    <w:rsid w:val="3DB90711"/>
    <w:rsid w:val="3DBF3C2B"/>
    <w:rsid w:val="3DC91E45"/>
    <w:rsid w:val="3DD115D8"/>
    <w:rsid w:val="3DE75F69"/>
    <w:rsid w:val="3DE84AC3"/>
    <w:rsid w:val="3E2F7601"/>
    <w:rsid w:val="3E3B11B9"/>
    <w:rsid w:val="3E3B5AD0"/>
    <w:rsid w:val="3E45681C"/>
    <w:rsid w:val="3E4D31C5"/>
    <w:rsid w:val="3E647E5F"/>
    <w:rsid w:val="3E6549E9"/>
    <w:rsid w:val="3E6F439C"/>
    <w:rsid w:val="3EC21CFE"/>
    <w:rsid w:val="3EC51715"/>
    <w:rsid w:val="3ECC0254"/>
    <w:rsid w:val="3EDF1377"/>
    <w:rsid w:val="3EF313C9"/>
    <w:rsid w:val="3EF4083E"/>
    <w:rsid w:val="3F5E4B09"/>
    <w:rsid w:val="3F7002FF"/>
    <w:rsid w:val="3F780496"/>
    <w:rsid w:val="3F7D75EF"/>
    <w:rsid w:val="3F9B00C9"/>
    <w:rsid w:val="3FA62662"/>
    <w:rsid w:val="3FEF2EFC"/>
    <w:rsid w:val="400B28C5"/>
    <w:rsid w:val="4013169F"/>
    <w:rsid w:val="40296871"/>
    <w:rsid w:val="402A39AB"/>
    <w:rsid w:val="40342377"/>
    <w:rsid w:val="40453B45"/>
    <w:rsid w:val="40471E8D"/>
    <w:rsid w:val="404932E4"/>
    <w:rsid w:val="40557713"/>
    <w:rsid w:val="40935EE5"/>
    <w:rsid w:val="40D32CD9"/>
    <w:rsid w:val="40DA6BB2"/>
    <w:rsid w:val="40E55133"/>
    <w:rsid w:val="40E67721"/>
    <w:rsid w:val="40ED6B03"/>
    <w:rsid w:val="41134C3D"/>
    <w:rsid w:val="41212B5A"/>
    <w:rsid w:val="41466299"/>
    <w:rsid w:val="414B0187"/>
    <w:rsid w:val="41916756"/>
    <w:rsid w:val="41973734"/>
    <w:rsid w:val="41A243F7"/>
    <w:rsid w:val="41A970CC"/>
    <w:rsid w:val="41BE0E59"/>
    <w:rsid w:val="41DF6685"/>
    <w:rsid w:val="41E5770E"/>
    <w:rsid w:val="41E9571B"/>
    <w:rsid w:val="41F84AF6"/>
    <w:rsid w:val="4212126A"/>
    <w:rsid w:val="4227428E"/>
    <w:rsid w:val="42455DA2"/>
    <w:rsid w:val="42735710"/>
    <w:rsid w:val="42934B55"/>
    <w:rsid w:val="429733C9"/>
    <w:rsid w:val="42BA7DA5"/>
    <w:rsid w:val="42C129C1"/>
    <w:rsid w:val="42DE4B54"/>
    <w:rsid w:val="42E74278"/>
    <w:rsid w:val="42E92F9B"/>
    <w:rsid w:val="42F27D13"/>
    <w:rsid w:val="42F97E10"/>
    <w:rsid w:val="43050BE7"/>
    <w:rsid w:val="430663C7"/>
    <w:rsid w:val="43113AF2"/>
    <w:rsid w:val="4368275B"/>
    <w:rsid w:val="43686B13"/>
    <w:rsid w:val="4368769D"/>
    <w:rsid w:val="437866CF"/>
    <w:rsid w:val="43796B02"/>
    <w:rsid w:val="437A2FED"/>
    <w:rsid w:val="43937D60"/>
    <w:rsid w:val="439711A6"/>
    <w:rsid w:val="439F48F0"/>
    <w:rsid w:val="445552E9"/>
    <w:rsid w:val="44562A45"/>
    <w:rsid w:val="44654875"/>
    <w:rsid w:val="446638D2"/>
    <w:rsid w:val="44744AA5"/>
    <w:rsid w:val="44784B70"/>
    <w:rsid w:val="448C05DF"/>
    <w:rsid w:val="44D633F0"/>
    <w:rsid w:val="44FC5765"/>
    <w:rsid w:val="44FD06A1"/>
    <w:rsid w:val="450C6279"/>
    <w:rsid w:val="4543023F"/>
    <w:rsid w:val="45603517"/>
    <w:rsid w:val="45943929"/>
    <w:rsid w:val="459C771C"/>
    <w:rsid w:val="45D830CA"/>
    <w:rsid w:val="4624050A"/>
    <w:rsid w:val="46453204"/>
    <w:rsid w:val="46642ADA"/>
    <w:rsid w:val="4682613E"/>
    <w:rsid w:val="46891D28"/>
    <w:rsid w:val="46995926"/>
    <w:rsid w:val="46A337CE"/>
    <w:rsid w:val="46D12A9A"/>
    <w:rsid w:val="46F27808"/>
    <w:rsid w:val="47471290"/>
    <w:rsid w:val="474F69C3"/>
    <w:rsid w:val="4770243A"/>
    <w:rsid w:val="47870E21"/>
    <w:rsid w:val="4789145F"/>
    <w:rsid w:val="47A6642F"/>
    <w:rsid w:val="47A76D05"/>
    <w:rsid w:val="47B93305"/>
    <w:rsid w:val="47D47206"/>
    <w:rsid w:val="47E0294D"/>
    <w:rsid w:val="47E53B37"/>
    <w:rsid w:val="480E1D79"/>
    <w:rsid w:val="48166B3E"/>
    <w:rsid w:val="48286330"/>
    <w:rsid w:val="487F52EE"/>
    <w:rsid w:val="48B545A9"/>
    <w:rsid w:val="48DA1807"/>
    <w:rsid w:val="48F94544"/>
    <w:rsid w:val="48FF50DD"/>
    <w:rsid w:val="490018F4"/>
    <w:rsid w:val="49004692"/>
    <w:rsid w:val="49423962"/>
    <w:rsid w:val="495C6658"/>
    <w:rsid w:val="49647119"/>
    <w:rsid w:val="499076F3"/>
    <w:rsid w:val="499310E5"/>
    <w:rsid w:val="49B6722B"/>
    <w:rsid w:val="49D3760B"/>
    <w:rsid w:val="4A041FE0"/>
    <w:rsid w:val="4A2F32A4"/>
    <w:rsid w:val="4A631581"/>
    <w:rsid w:val="4A6C1637"/>
    <w:rsid w:val="4A7F4D8B"/>
    <w:rsid w:val="4A87222F"/>
    <w:rsid w:val="4A8C3130"/>
    <w:rsid w:val="4AAE1623"/>
    <w:rsid w:val="4ACF415A"/>
    <w:rsid w:val="4ADD44AB"/>
    <w:rsid w:val="4AEC3D0C"/>
    <w:rsid w:val="4AFA0FC5"/>
    <w:rsid w:val="4B396366"/>
    <w:rsid w:val="4B3F2ED7"/>
    <w:rsid w:val="4B640698"/>
    <w:rsid w:val="4B643843"/>
    <w:rsid w:val="4B6A1066"/>
    <w:rsid w:val="4B907794"/>
    <w:rsid w:val="4BA426B2"/>
    <w:rsid w:val="4BC83E3F"/>
    <w:rsid w:val="4BD8152A"/>
    <w:rsid w:val="4BE14793"/>
    <w:rsid w:val="4BE60F1D"/>
    <w:rsid w:val="4C3B6F3E"/>
    <w:rsid w:val="4C87714C"/>
    <w:rsid w:val="4C8F2D15"/>
    <w:rsid w:val="4C9156FA"/>
    <w:rsid w:val="4CAE634F"/>
    <w:rsid w:val="4CC528E0"/>
    <w:rsid w:val="4CC62D66"/>
    <w:rsid w:val="4CE70FCB"/>
    <w:rsid w:val="4CFB35FE"/>
    <w:rsid w:val="4D1E58F7"/>
    <w:rsid w:val="4D203B0E"/>
    <w:rsid w:val="4D322D6F"/>
    <w:rsid w:val="4D3868FA"/>
    <w:rsid w:val="4D6323C8"/>
    <w:rsid w:val="4DE56877"/>
    <w:rsid w:val="4DE62AC0"/>
    <w:rsid w:val="4DFE60AA"/>
    <w:rsid w:val="4E030273"/>
    <w:rsid w:val="4E03563F"/>
    <w:rsid w:val="4E207128"/>
    <w:rsid w:val="4E727852"/>
    <w:rsid w:val="4EBB135E"/>
    <w:rsid w:val="4EE02ED4"/>
    <w:rsid w:val="4EE50E18"/>
    <w:rsid w:val="4F425B41"/>
    <w:rsid w:val="4F835110"/>
    <w:rsid w:val="4FA169B2"/>
    <w:rsid w:val="4FAA6F61"/>
    <w:rsid w:val="4FC563FF"/>
    <w:rsid w:val="4FC56BA9"/>
    <w:rsid w:val="4FCE41A2"/>
    <w:rsid w:val="4FEA2B77"/>
    <w:rsid w:val="4FF2163B"/>
    <w:rsid w:val="50041B77"/>
    <w:rsid w:val="500C54DB"/>
    <w:rsid w:val="5060699A"/>
    <w:rsid w:val="50637F25"/>
    <w:rsid w:val="50794DB2"/>
    <w:rsid w:val="507F780A"/>
    <w:rsid w:val="50880A40"/>
    <w:rsid w:val="5099655E"/>
    <w:rsid w:val="50B44F31"/>
    <w:rsid w:val="50BC15E5"/>
    <w:rsid w:val="50DE0415"/>
    <w:rsid w:val="50E91CE9"/>
    <w:rsid w:val="50F724B5"/>
    <w:rsid w:val="50FA6262"/>
    <w:rsid w:val="510A76EB"/>
    <w:rsid w:val="511958C5"/>
    <w:rsid w:val="5126512D"/>
    <w:rsid w:val="513A3F49"/>
    <w:rsid w:val="515E6842"/>
    <w:rsid w:val="518D1E65"/>
    <w:rsid w:val="51C1098B"/>
    <w:rsid w:val="51F90BF1"/>
    <w:rsid w:val="52030FB4"/>
    <w:rsid w:val="521A32B7"/>
    <w:rsid w:val="5249686C"/>
    <w:rsid w:val="524C4A08"/>
    <w:rsid w:val="526F35E2"/>
    <w:rsid w:val="52710738"/>
    <w:rsid w:val="52A12478"/>
    <w:rsid w:val="52AE160F"/>
    <w:rsid w:val="52CD2773"/>
    <w:rsid w:val="52ED648A"/>
    <w:rsid w:val="53192700"/>
    <w:rsid w:val="536F016D"/>
    <w:rsid w:val="539A629F"/>
    <w:rsid w:val="53A04679"/>
    <w:rsid w:val="53A80585"/>
    <w:rsid w:val="53BA196C"/>
    <w:rsid w:val="53D41543"/>
    <w:rsid w:val="53D4249D"/>
    <w:rsid w:val="53E86553"/>
    <w:rsid w:val="540C5B73"/>
    <w:rsid w:val="542639A3"/>
    <w:rsid w:val="54907C78"/>
    <w:rsid w:val="549D3941"/>
    <w:rsid w:val="54A24D38"/>
    <w:rsid w:val="54BB4257"/>
    <w:rsid w:val="54CA1D13"/>
    <w:rsid w:val="54CC3962"/>
    <w:rsid w:val="54EA455A"/>
    <w:rsid w:val="54FA34AF"/>
    <w:rsid w:val="55682E56"/>
    <w:rsid w:val="55825506"/>
    <w:rsid w:val="55825837"/>
    <w:rsid w:val="55A0548F"/>
    <w:rsid w:val="55A347AF"/>
    <w:rsid w:val="55AE4AF4"/>
    <w:rsid w:val="55BB2BA5"/>
    <w:rsid w:val="55C12931"/>
    <w:rsid w:val="55D64D41"/>
    <w:rsid w:val="560E5F24"/>
    <w:rsid w:val="563A0E37"/>
    <w:rsid w:val="56603B94"/>
    <w:rsid w:val="568A5694"/>
    <w:rsid w:val="56966052"/>
    <w:rsid w:val="56A36EEF"/>
    <w:rsid w:val="56D771D4"/>
    <w:rsid w:val="56E15F43"/>
    <w:rsid w:val="56E943C4"/>
    <w:rsid w:val="56FE1F46"/>
    <w:rsid w:val="57044DF1"/>
    <w:rsid w:val="570E30E9"/>
    <w:rsid w:val="578A7A95"/>
    <w:rsid w:val="57AD1BAE"/>
    <w:rsid w:val="57C632CB"/>
    <w:rsid w:val="580B5F45"/>
    <w:rsid w:val="582A360E"/>
    <w:rsid w:val="58577D28"/>
    <w:rsid w:val="58703165"/>
    <w:rsid w:val="58835A6E"/>
    <w:rsid w:val="58A61F72"/>
    <w:rsid w:val="58B13E67"/>
    <w:rsid w:val="58C50D98"/>
    <w:rsid w:val="58C57275"/>
    <w:rsid w:val="59172B7A"/>
    <w:rsid w:val="5941268A"/>
    <w:rsid w:val="59470E61"/>
    <w:rsid w:val="594D75A7"/>
    <w:rsid w:val="595B6A9F"/>
    <w:rsid w:val="596D28D9"/>
    <w:rsid w:val="597C5892"/>
    <w:rsid w:val="59931312"/>
    <w:rsid w:val="59B35965"/>
    <w:rsid w:val="59B83EF9"/>
    <w:rsid w:val="59E7778C"/>
    <w:rsid w:val="59F17385"/>
    <w:rsid w:val="59F30777"/>
    <w:rsid w:val="5A0C5F06"/>
    <w:rsid w:val="5A102EAE"/>
    <w:rsid w:val="5A2339C1"/>
    <w:rsid w:val="5A29301D"/>
    <w:rsid w:val="5A315266"/>
    <w:rsid w:val="5A3408AB"/>
    <w:rsid w:val="5A4E03B9"/>
    <w:rsid w:val="5A4E53D4"/>
    <w:rsid w:val="5A7A7400"/>
    <w:rsid w:val="5A7F0033"/>
    <w:rsid w:val="5A871B1D"/>
    <w:rsid w:val="5A8D72DC"/>
    <w:rsid w:val="5AA108E0"/>
    <w:rsid w:val="5AB77E9A"/>
    <w:rsid w:val="5AF00FCB"/>
    <w:rsid w:val="5AFA69C8"/>
    <w:rsid w:val="5B12373C"/>
    <w:rsid w:val="5B280C0A"/>
    <w:rsid w:val="5B3D49CB"/>
    <w:rsid w:val="5B433C96"/>
    <w:rsid w:val="5B763572"/>
    <w:rsid w:val="5BC622FC"/>
    <w:rsid w:val="5BE12BAE"/>
    <w:rsid w:val="5BE9171C"/>
    <w:rsid w:val="5BEA7046"/>
    <w:rsid w:val="5BFB463C"/>
    <w:rsid w:val="5BFF2FB1"/>
    <w:rsid w:val="5C0C3627"/>
    <w:rsid w:val="5C1C402F"/>
    <w:rsid w:val="5C577A69"/>
    <w:rsid w:val="5C5C37A8"/>
    <w:rsid w:val="5C6744C4"/>
    <w:rsid w:val="5C8E1C56"/>
    <w:rsid w:val="5C9169EF"/>
    <w:rsid w:val="5C987E77"/>
    <w:rsid w:val="5CCB0F81"/>
    <w:rsid w:val="5D0363D9"/>
    <w:rsid w:val="5D037223"/>
    <w:rsid w:val="5D1F0EC9"/>
    <w:rsid w:val="5D5E2925"/>
    <w:rsid w:val="5D68477D"/>
    <w:rsid w:val="5D7779BD"/>
    <w:rsid w:val="5DBA3BA0"/>
    <w:rsid w:val="5DEE30F9"/>
    <w:rsid w:val="5DF96E22"/>
    <w:rsid w:val="5DFC0644"/>
    <w:rsid w:val="5E2077AE"/>
    <w:rsid w:val="5E214454"/>
    <w:rsid w:val="5E2A53AD"/>
    <w:rsid w:val="5E367479"/>
    <w:rsid w:val="5E455499"/>
    <w:rsid w:val="5E500EAA"/>
    <w:rsid w:val="5E50345A"/>
    <w:rsid w:val="5ED5301A"/>
    <w:rsid w:val="5EDF6A29"/>
    <w:rsid w:val="5F0935C9"/>
    <w:rsid w:val="5F161F3F"/>
    <w:rsid w:val="5F1A4485"/>
    <w:rsid w:val="5F240814"/>
    <w:rsid w:val="5F480AF2"/>
    <w:rsid w:val="5F5C65A3"/>
    <w:rsid w:val="5FA05411"/>
    <w:rsid w:val="5FC626EC"/>
    <w:rsid w:val="600B062F"/>
    <w:rsid w:val="602D4CD0"/>
    <w:rsid w:val="605777D1"/>
    <w:rsid w:val="60AB68B1"/>
    <w:rsid w:val="60D102C5"/>
    <w:rsid w:val="613A0721"/>
    <w:rsid w:val="61493728"/>
    <w:rsid w:val="6154572E"/>
    <w:rsid w:val="616E1C11"/>
    <w:rsid w:val="61870AC5"/>
    <w:rsid w:val="61B95757"/>
    <w:rsid w:val="61C74917"/>
    <w:rsid w:val="61DB39B0"/>
    <w:rsid w:val="61E10759"/>
    <w:rsid w:val="61F97D34"/>
    <w:rsid w:val="61FF6EA3"/>
    <w:rsid w:val="62145403"/>
    <w:rsid w:val="62240EFB"/>
    <w:rsid w:val="623326A6"/>
    <w:rsid w:val="623B712D"/>
    <w:rsid w:val="626F45AC"/>
    <w:rsid w:val="62E3694A"/>
    <w:rsid w:val="62F03B99"/>
    <w:rsid w:val="62F16D8E"/>
    <w:rsid w:val="631E11FC"/>
    <w:rsid w:val="63354362"/>
    <w:rsid w:val="6397484B"/>
    <w:rsid w:val="639B1EFC"/>
    <w:rsid w:val="63AB5F89"/>
    <w:rsid w:val="63C079F8"/>
    <w:rsid w:val="63C65464"/>
    <w:rsid w:val="63CC1FC4"/>
    <w:rsid w:val="63CD0AFF"/>
    <w:rsid w:val="64133AAB"/>
    <w:rsid w:val="644963EC"/>
    <w:rsid w:val="64554884"/>
    <w:rsid w:val="645C5097"/>
    <w:rsid w:val="648835C6"/>
    <w:rsid w:val="64E53B81"/>
    <w:rsid w:val="64E83394"/>
    <w:rsid w:val="6509012E"/>
    <w:rsid w:val="65560F77"/>
    <w:rsid w:val="656D3D0E"/>
    <w:rsid w:val="65787710"/>
    <w:rsid w:val="659204E4"/>
    <w:rsid w:val="65943DCC"/>
    <w:rsid w:val="659B2DAF"/>
    <w:rsid w:val="65B80965"/>
    <w:rsid w:val="65CB6378"/>
    <w:rsid w:val="65D45547"/>
    <w:rsid w:val="65F657C5"/>
    <w:rsid w:val="66690A57"/>
    <w:rsid w:val="668975E1"/>
    <w:rsid w:val="66AE4F36"/>
    <w:rsid w:val="66D71D78"/>
    <w:rsid w:val="67070FB6"/>
    <w:rsid w:val="6749567B"/>
    <w:rsid w:val="67E365CA"/>
    <w:rsid w:val="67E5303E"/>
    <w:rsid w:val="67EC2054"/>
    <w:rsid w:val="67F24E85"/>
    <w:rsid w:val="67F61A72"/>
    <w:rsid w:val="67F859F1"/>
    <w:rsid w:val="67FE44C7"/>
    <w:rsid w:val="680C74D7"/>
    <w:rsid w:val="683B7DDA"/>
    <w:rsid w:val="68787011"/>
    <w:rsid w:val="688311B3"/>
    <w:rsid w:val="68A74AFF"/>
    <w:rsid w:val="68BA4E6C"/>
    <w:rsid w:val="68C15A65"/>
    <w:rsid w:val="68CC58FB"/>
    <w:rsid w:val="68D56D64"/>
    <w:rsid w:val="68D96200"/>
    <w:rsid w:val="68D97A74"/>
    <w:rsid w:val="68F52BAA"/>
    <w:rsid w:val="691D3637"/>
    <w:rsid w:val="695859F1"/>
    <w:rsid w:val="695E34A7"/>
    <w:rsid w:val="6979138F"/>
    <w:rsid w:val="697C6BB5"/>
    <w:rsid w:val="699A1229"/>
    <w:rsid w:val="69A9494F"/>
    <w:rsid w:val="69BA79F7"/>
    <w:rsid w:val="69C510BB"/>
    <w:rsid w:val="69D53F31"/>
    <w:rsid w:val="69DD5AAF"/>
    <w:rsid w:val="69F8072E"/>
    <w:rsid w:val="69FA7038"/>
    <w:rsid w:val="69FB58EE"/>
    <w:rsid w:val="6A02777A"/>
    <w:rsid w:val="6A283FCE"/>
    <w:rsid w:val="6A3D1143"/>
    <w:rsid w:val="6A5A4B58"/>
    <w:rsid w:val="6A5B6B4F"/>
    <w:rsid w:val="6A725F78"/>
    <w:rsid w:val="6A941444"/>
    <w:rsid w:val="6AA47497"/>
    <w:rsid w:val="6AA80369"/>
    <w:rsid w:val="6AB96162"/>
    <w:rsid w:val="6AD65AA7"/>
    <w:rsid w:val="6AD66691"/>
    <w:rsid w:val="6AED7F4E"/>
    <w:rsid w:val="6AFE1037"/>
    <w:rsid w:val="6B2D1DE1"/>
    <w:rsid w:val="6B7276D2"/>
    <w:rsid w:val="6B8E2139"/>
    <w:rsid w:val="6BDF5191"/>
    <w:rsid w:val="6BE006D7"/>
    <w:rsid w:val="6BEA06DC"/>
    <w:rsid w:val="6C312A28"/>
    <w:rsid w:val="6C4B58A2"/>
    <w:rsid w:val="6C536A26"/>
    <w:rsid w:val="6C541CFF"/>
    <w:rsid w:val="6C5C65DD"/>
    <w:rsid w:val="6C975E52"/>
    <w:rsid w:val="6C9D0B8C"/>
    <w:rsid w:val="6C9E3092"/>
    <w:rsid w:val="6CBD3CE8"/>
    <w:rsid w:val="6CD05F36"/>
    <w:rsid w:val="6CFE140F"/>
    <w:rsid w:val="6D027552"/>
    <w:rsid w:val="6D1B2D10"/>
    <w:rsid w:val="6D282C73"/>
    <w:rsid w:val="6D39095F"/>
    <w:rsid w:val="6D567859"/>
    <w:rsid w:val="6E33305A"/>
    <w:rsid w:val="6E4D308F"/>
    <w:rsid w:val="6E902A82"/>
    <w:rsid w:val="6EAA4E21"/>
    <w:rsid w:val="6EB11E1C"/>
    <w:rsid w:val="6EC018C6"/>
    <w:rsid w:val="6ED564BF"/>
    <w:rsid w:val="6F0233FF"/>
    <w:rsid w:val="6F0238A1"/>
    <w:rsid w:val="6F241291"/>
    <w:rsid w:val="6F49232A"/>
    <w:rsid w:val="6F743FC6"/>
    <w:rsid w:val="6FB310A4"/>
    <w:rsid w:val="6FCC6FA8"/>
    <w:rsid w:val="6FD521DB"/>
    <w:rsid w:val="6FF53743"/>
    <w:rsid w:val="70064842"/>
    <w:rsid w:val="704A53D0"/>
    <w:rsid w:val="704E6D6D"/>
    <w:rsid w:val="705362D1"/>
    <w:rsid w:val="7055204A"/>
    <w:rsid w:val="705D2659"/>
    <w:rsid w:val="70BB31EC"/>
    <w:rsid w:val="70C40620"/>
    <w:rsid w:val="70D26E62"/>
    <w:rsid w:val="70FE448F"/>
    <w:rsid w:val="713D75EA"/>
    <w:rsid w:val="71456753"/>
    <w:rsid w:val="716E01CA"/>
    <w:rsid w:val="718801FD"/>
    <w:rsid w:val="71DA0674"/>
    <w:rsid w:val="720674E4"/>
    <w:rsid w:val="72142516"/>
    <w:rsid w:val="721B51A7"/>
    <w:rsid w:val="72726A3E"/>
    <w:rsid w:val="729F0819"/>
    <w:rsid w:val="72A3647C"/>
    <w:rsid w:val="72D52EAB"/>
    <w:rsid w:val="72E14D23"/>
    <w:rsid w:val="730115D5"/>
    <w:rsid w:val="73510A88"/>
    <w:rsid w:val="73610998"/>
    <w:rsid w:val="739909F2"/>
    <w:rsid w:val="73AD7C0E"/>
    <w:rsid w:val="73BB16A7"/>
    <w:rsid w:val="73DC744B"/>
    <w:rsid w:val="73E07E7C"/>
    <w:rsid w:val="7411076F"/>
    <w:rsid w:val="7432773E"/>
    <w:rsid w:val="74341643"/>
    <w:rsid w:val="74382C5D"/>
    <w:rsid w:val="743F6901"/>
    <w:rsid w:val="745368A0"/>
    <w:rsid w:val="74673BB7"/>
    <w:rsid w:val="7482583C"/>
    <w:rsid w:val="748D1FD4"/>
    <w:rsid w:val="749A5B90"/>
    <w:rsid w:val="74AB34CE"/>
    <w:rsid w:val="74C20DA6"/>
    <w:rsid w:val="74C7170C"/>
    <w:rsid w:val="74DA33C1"/>
    <w:rsid w:val="74EB3842"/>
    <w:rsid w:val="752C70F1"/>
    <w:rsid w:val="753E2AAD"/>
    <w:rsid w:val="754624C6"/>
    <w:rsid w:val="757F10D1"/>
    <w:rsid w:val="75885B21"/>
    <w:rsid w:val="7593476F"/>
    <w:rsid w:val="759417F9"/>
    <w:rsid w:val="759C5309"/>
    <w:rsid w:val="75B2473A"/>
    <w:rsid w:val="75CD1336"/>
    <w:rsid w:val="75F249EA"/>
    <w:rsid w:val="75FB388F"/>
    <w:rsid w:val="76223A81"/>
    <w:rsid w:val="767A21E4"/>
    <w:rsid w:val="769358D8"/>
    <w:rsid w:val="769D4A3B"/>
    <w:rsid w:val="76C56BAB"/>
    <w:rsid w:val="770077C6"/>
    <w:rsid w:val="77185723"/>
    <w:rsid w:val="771D5608"/>
    <w:rsid w:val="772F0407"/>
    <w:rsid w:val="773F3E11"/>
    <w:rsid w:val="77480568"/>
    <w:rsid w:val="774978AB"/>
    <w:rsid w:val="774C6008"/>
    <w:rsid w:val="778A0F22"/>
    <w:rsid w:val="77E85409"/>
    <w:rsid w:val="78002FE8"/>
    <w:rsid w:val="78191571"/>
    <w:rsid w:val="7845271F"/>
    <w:rsid w:val="784B3C93"/>
    <w:rsid w:val="78721B6B"/>
    <w:rsid w:val="78936882"/>
    <w:rsid w:val="789F4DC5"/>
    <w:rsid w:val="78C0087D"/>
    <w:rsid w:val="78F25A57"/>
    <w:rsid w:val="791047DB"/>
    <w:rsid w:val="791110F3"/>
    <w:rsid w:val="792C7ED2"/>
    <w:rsid w:val="7940581D"/>
    <w:rsid w:val="79444437"/>
    <w:rsid w:val="79487FC5"/>
    <w:rsid w:val="79563C0B"/>
    <w:rsid w:val="795D3587"/>
    <w:rsid w:val="795F0010"/>
    <w:rsid w:val="796F42A0"/>
    <w:rsid w:val="797E5CBA"/>
    <w:rsid w:val="79807413"/>
    <w:rsid w:val="799174FE"/>
    <w:rsid w:val="79A10377"/>
    <w:rsid w:val="79A564D7"/>
    <w:rsid w:val="79AD5D5C"/>
    <w:rsid w:val="79CD1CEE"/>
    <w:rsid w:val="79DB70BE"/>
    <w:rsid w:val="79E51327"/>
    <w:rsid w:val="7A1436E1"/>
    <w:rsid w:val="7A22154A"/>
    <w:rsid w:val="7A266BDB"/>
    <w:rsid w:val="7A3D512B"/>
    <w:rsid w:val="7A9D572E"/>
    <w:rsid w:val="7A9D6C8F"/>
    <w:rsid w:val="7AD7079B"/>
    <w:rsid w:val="7B0F7659"/>
    <w:rsid w:val="7B1B11ED"/>
    <w:rsid w:val="7B2E42E6"/>
    <w:rsid w:val="7B384C48"/>
    <w:rsid w:val="7B454351"/>
    <w:rsid w:val="7B590558"/>
    <w:rsid w:val="7B600CBE"/>
    <w:rsid w:val="7B66335D"/>
    <w:rsid w:val="7B7216D8"/>
    <w:rsid w:val="7BAF0328"/>
    <w:rsid w:val="7BB5391F"/>
    <w:rsid w:val="7BC82AB0"/>
    <w:rsid w:val="7BCB7664"/>
    <w:rsid w:val="7BCD09BD"/>
    <w:rsid w:val="7BDC53CD"/>
    <w:rsid w:val="7BED43AA"/>
    <w:rsid w:val="7C1508DF"/>
    <w:rsid w:val="7C274FC6"/>
    <w:rsid w:val="7C287D71"/>
    <w:rsid w:val="7C3807BC"/>
    <w:rsid w:val="7C396A0C"/>
    <w:rsid w:val="7C8E4220"/>
    <w:rsid w:val="7CAE55E6"/>
    <w:rsid w:val="7CAF0395"/>
    <w:rsid w:val="7CBB6F16"/>
    <w:rsid w:val="7CC45464"/>
    <w:rsid w:val="7D027072"/>
    <w:rsid w:val="7D173E1A"/>
    <w:rsid w:val="7D294FDE"/>
    <w:rsid w:val="7D633555"/>
    <w:rsid w:val="7D6D4192"/>
    <w:rsid w:val="7D721B5E"/>
    <w:rsid w:val="7D752FE5"/>
    <w:rsid w:val="7D7678A2"/>
    <w:rsid w:val="7DBF48B1"/>
    <w:rsid w:val="7DEC5C4D"/>
    <w:rsid w:val="7DEF70C2"/>
    <w:rsid w:val="7DF14C43"/>
    <w:rsid w:val="7E4774FF"/>
    <w:rsid w:val="7E495C3A"/>
    <w:rsid w:val="7E5003C8"/>
    <w:rsid w:val="7E516E43"/>
    <w:rsid w:val="7E723AF0"/>
    <w:rsid w:val="7E7327BD"/>
    <w:rsid w:val="7E935DCB"/>
    <w:rsid w:val="7EB85104"/>
    <w:rsid w:val="7ED514F7"/>
    <w:rsid w:val="7EDD2A19"/>
    <w:rsid w:val="7EF10D69"/>
    <w:rsid w:val="7EF64D0C"/>
    <w:rsid w:val="7EF65518"/>
    <w:rsid w:val="7EF81923"/>
    <w:rsid w:val="7F1A37E8"/>
    <w:rsid w:val="7F465CF1"/>
    <w:rsid w:val="7FDD045C"/>
    <w:rsid w:val="7FF36FA6"/>
    <w:rsid w:val="7FFA6CA5"/>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ocked="1"/>
    <w:lsdException w:uiPriority="99" w:name="index 2" w:locked="1"/>
    <w:lsdException w:uiPriority="99" w:name="index 3" w:locked="1"/>
    <w:lsdException w:qFormat="1" w:unhideWhenUsed="0" w:uiPriority="0" w:semiHidden="0"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ocked="1"/>
    <w:lsdException w:qFormat="1" w:uiPriority="99" w:semiHidden="0" w:name="table of figures" w:locked="1"/>
    <w:lsdException w:uiPriority="99" w:name="envelope address" w:locked="1"/>
    <w:lsdException w:uiPriority="99" w:name="envelope return" w:locked="1"/>
    <w:lsdException w:qFormat="1" w:unhideWhenUsed="0" w:uiPriority="99" w:semiHidden="0"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qFormat="1" w:uiPriority="99" w:semiHidden="0" w:name="endnote reference" w:locked="1"/>
    <w:lsdException w:qFormat="1" w:unhideWhenUsed="0" w:uiPriority="0" w:semiHidden="0" w:name="endnote text"/>
    <w:lsdException w:uiPriority="99" w:name="table of authorities" w:locked="1"/>
    <w:lsdException w:uiPriority="99" w:name="macro" w:locked="1"/>
    <w:lsdException w:uiPriority="99" w:name="toa heading" w:locked="1"/>
    <w:lsdException w:qFormat="1" w:unhideWhenUsed="0" w:uiPriority="99" w:semiHidden="0" w:name="List" w:locked="1"/>
    <w:lsdException w:qFormat="1" w:unhideWhenUsed="0" w:uiPriority="99" w:semiHidden="0" w:name="List Bullet" w:locked="1"/>
    <w:lsdException w:qFormat="1" w:unhideWhenUsed="0" w:uiPriority="0" w:semiHidden="0" w:name="List Number" w:locked="1"/>
    <w:lsdException w:qFormat="1" w:unhideWhenUsed="0" w:uiPriority="99" w:semiHidden="0" w:name="List 2" w:locked="1"/>
    <w:lsdException w:qFormat="1" w:unhideWhenUsed="0" w:uiPriority="99" w:semiHidden="0" w:name="List 3" w:locked="1"/>
    <w:lsdException w:qFormat="1" w:unhideWhenUsed="0" w:uiPriority="99" w:semiHidden="0" w:name="List 4" w:locked="1"/>
    <w:lsdException w:qFormat="1" w:unhideWhenUsed="0" w:uiPriority="99" w:semiHidden="0" w:name="List 5" w:locked="1"/>
    <w:lsdException w:uiPriority="99" w:name="List Bullet 2" w:locked="1"/>
    <w:lsdException w:uiPriority="99" w:name="List Bullet 3" w:locked="1"/>
    <w:lsdException w:uiPriority="99" w:name="List Bullet 4" w:locked="1"/>
    <w:lsdException w:uiPriority="99" w:name="List Bullet 5" w:locked="1"/>
    <w:lsdException w:qFormat="1" w:unhideWhenUsed="0" w:uiPriority="0" w:semiHidden="0" w:name="List Number 2" w:locked="1"/>
    <w:lsdException w:qFormat="1" w:unhideWhenUsed="0" w:uiPriority="0" w:semiHidden="0" w:name="List Number 3" w:locked="1"/>
    <w:lsdException w:uiPriority="99" w:name="List Number 4" w:locked="1"/>
    <w:lsdException w:uiPriority="99" w:name="List Number 5" w:locked="1"/>
    <w:lsdException w:qFormat="1" w:unhideWhenUsed="0" w:uiPriority="99" w:semiHidden="0" w:name="Title" w:locked="1"/>
    <w:lsdException w:qFormat="1" w:unhideWhenUsed="0" w:uiPriority="0" w:semiHidden="0"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qFormat="1" w:unhideWhenUsed="0" w:uiPriority="99" w:semiHidden="0" w:name="List Continue" w:locked="1"/>
    <w:lsdException w:qFormat="1" w:unhideWhenUsed="0" w:uiPriority="99" w:semiHidden="0" w:name="List Continue 2" w:locked="1"/>
    <w:lsdException w:qFormat="1" w:unhideWhenUsed="0" w:uiPriority="99" w:semiHidden="0" w:name="List Continue 3" w:locked="1"/>
    <w:lsdException w:uiPriority="99" w:name="List Continue 4" w:locked="1"/>
    <w:lsdException w:uiPriority="99" w:name="List Continue 5" w:locked="1"/>
    <w:lsdException w:qFormat="1" w:unhideWhenUsed="0" w:uiPriority="99" w:semiHidden="0" w:name="Message Header" w:locked="1"/>
    <w:lsdException w:qFormat="1" w:unhideWhenUsed="0" w:uiPriority="0" w:semiHidden="0" w:name="Subtitle"/>
    <w:lsdException w:qFormat="1" w:unhideWhenUsed="0" w:uiPriority="0" w:semiHidden="0" w:name="Salutation" w:locked="1"/>
    <w:lsdException w:qFormat="1" w:unhideWhenUsed="0" w:uiPriority="99" w:semiHidden="0" w:name="Date"/>
    <w:lsdException w:qFormat="1" w:unhideWhenUsed="0" w:uiPriority="99" w:semiHidden="0" w:name="Body Text First Indent" w:locked="1"/>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qFormat="1" w:unhideWhenUsed="0" w:uiPriority="0" w:semiHidden="0" w:name="HTML Code" w:locked="1"/>
    <w:lsdException w:qFormat="1" w:unhideWhenUsed="0" w:uiPriority="0" w:semiHidden="0" w:name="HTML Definition" w:locked="1"/>
    <w:lsdException w:qFormat="1" w:unhideWhenUsed="0" w:uiPriority="0" w:semiHidden="0" w:name="HTML Keyboard" w:locked="1"/>
    <w:lsdException w:qFormat="1" w:unhideWhenUsed="0" w:uiPriority="99" w:semiHidden="0" w:name="HTML Preformatted" w:locked="1"/>
    <w:lsdException w:qFormat="1" w:unhideWhenUsed="0" w:uiPriority="0" w:semiHidden="0" w:name="HTML Sample" w:locked="1"/>
    <w:lsdException w:qFormat="1" w:unhideWhenUsed="0" w:uiPriority="0" w:semiHidden="0"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qFormat="1"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宋体" w:cs="Times New Roman"/>
      <w:sz w:val="24"/>
      <w:szCs w:val="24"/>
      <w:lang w:val="en-US" w:eastAsia="zh-CN" w:bidi="ar-SA"/>
    </w:rPr>
  </w:style>
  <w:style w:type="paragraph" w:styleId="2">
    <w:name w:val="heading 1"/>
    <w:basedOn w:val="1"/>
    <w:next w:val="1"/>
    <w:link w:val="112"/>
    <w:autoRedefine/>
    <w:qFormat/>
    <w:uiPriority w:val="0"/>
    <w:pPr>
      <w:keepNext/>
      <w:keepLines/>
      <w:widowControl w:val="0"/>
      <w:spacing w:beforeLines="100" w:afterLines="100" w:line="360" w:lineRule="auto"/>
      <w:ind w:left="-735"/>
      <w:jc w:val="center"/>
      <w:outlineLvl w:val="0"/>
    </w:pPr>
    <w:rPr>
      <w:rFonts w:ascii="宋体"/>
      <w:b/>
      <w:kern w:val="44"/>
      <w:sz w:val="30"/>
      <w:szCs w:val="20"/>
    </w:rPr>
  </w:style>
  <w:style w:type="paragraph" w:styleId="3">
    <w:name w:val="heading 2"/>
    <w:basedOn w:val="1"/>
    <w:next w:val="1"/>
    <w:link w:val="164"/>
    <w:autoRedefine/>
    <w:qFormat/>
    <w:uiPriority w:val="0"/>
    <w:pPr>
      <w:keepNext/>
      <w:widowControl w:val="0"/>
      <w:tabs>
        <w:tab w:val="left" w:pos="-735"/>
        <w:tab w:val="left" w:pos="840"/>
      </w:tabs>
      <w:spacing w:beforeLines="50" w:line="360" w:lineRule="auto"/>
      <w:ind w:left="65" w:hanging="692"/>
      <w:jc w:val="both"/>
      <w:outlineLvl w:val="1"/>
    </w:pPr>
    <w:rPr>
      <w:rFonts w:ascii="宋体" w:hAnsi="Arial"/>
      <w:b/>
      <w:sz w:val="20"/>
      <w:szCs w:val="20"/>
    </w:rPr>
  </w:style>
  <w:style w:type="paragraph" w:styleId="4">
    <w:name w:val="heading 3"/>
    <w:basedOn w:val="1"/>
    <w:next w:val="1"/>
    <w:link w:val="201"/>
    <w:autoRedefine/>
    <w:qFormat/>
    <w:uiPriority w:val="0"/>
    <w:pPr>
      <w:keepNext/>
      <w:keepLines/>
      <w:widowControl w:val="0"/>
      <w:tabs>
        <w:tab w:val="left" w:pos="2160"/>
      </w:tabs>
      <w:spacing w:before="120" w:line="312" w:lineRule="auto"/>
      <w:ind w:firstLine="422" w:firstLineChars="200"/>
      <w:jc w:val="center"/>
      <w:outlineLvl w:val="2"/>
    </w:pPr>
    <w:rPr>
      <w:b/>
      <w:sz w:val="20"/>
      <w:szCs w:val="20"/>
    </w:rPr>
  </w:style>
  <w:style w:type="paragraph" w:styleId="5">
    <w:name w:val="heading 4"/>
    <w:basedOn w:val="1"/>
    <w:next w:val="1"/>
    <w:link w:val="119"/>
    <w:autoRedefine/>
    <w:qFormat/>
    <w:uiPriority w:val="99"/>
    <w:pPr>
      <w:widowControl w:val="0"/>
      <w:spacing w:beforeLines="50" w:line="300" w:lineRule="auto"/>
      <w:jc w:val="both"/>
      <w:outlineLvl w:val="3"/>
    </w:pPr>
    <w:rPr>
      <w:rFonts w:ascii="宋体" w:hAnsi="Arial"/>
      <w:b/>
      <w:kern w:val="2"/>
      <w:szCs w:val="20"/>
    </w:rPr>
  </w:style>
  <w:style w:type="paragraph" w:styleId="6">
    <w:name w:val="heading 5"/>
    <w:basedOn w:val="3"/>
    <w:next w:val="1"/>
    <w:link w:val="196"/>
    <w:autoRedefine/>
    <w:qFormat/>
    <w:uiPriority w:val="99"/>
    <w:pPr>
      <w:keepLines/>
      <w:tabs>
        <w:tab w:val="clear" w:pos="840"/>
      </w:tabs>
      <w:adjustRightInd w:val="0"/>
      <w:spacing w:beforeLines="0" w:line="360" w:lineRule="atLeast"/>
      <w:ind w:left="0" w:firstLine="0"/>
      <w:textAlignment w:val="baseline"/>
      <w:outlineLvl w:val="4"/>
    </w:pPr>
    <w:rPr>
      <w:rFonts w:ascii="Times New Roman" w:hAnsi="Times New Roman"/>
      <w:b w:val="0"/>
      <w:sz w:val="24"/>
    </w:rPr>
  </w:style>
  <w:style w:type="paragraph" w:styleId="7">
    <w:name w:val="heading 6"/>
    <w:basedOn w:val="3"/>
    <w:next w:val="1"/>
    <w:link w:val="128"/>
    <w:autoRedefine/>
    <w:qFormat/>
    <w:uiPriority w:val="99"/>
    <w:pPr>
      <w:keepLines/>
      <w:tabs>
        <w:tab w:val="clear" w:pos="840"/>
      </w:tabs>
      <w:adjustRightInd w:val="0"/>
      <w:spacing w:beforeLines="0" w:line="360" w:lineRule="atLeast"/>
      <w:ind w:left="0" w:firstLine="0"/>
      <w:textAlignment w:val="baseline"/>
      <w:outlineLvl w:val="5"/>
    </w:pPr>
    <w:rPr>
      <w:rFonts w:ascii="Times New Roman" w:hAnsi="Times New Roman"/>
      <w:b w:val="0"/>
      <w:sz w:val="24"/>
    </w:rPr>
  </w:style>
  <w:style w:type="paragraph" w:styleId="8">
    <w:name w:val="heading 7"/>
    <w:basedOn w:val="1"/>
    <w:next w:val="1"/>
    <w:link w:val="129"/>
    <w:autoRedefine/>
    <w:qFormat/>
    <w:uiPriority w:val="99"/>
    <w:pPr>
      <w:keepNext/>
      <w:keepLines/>
      <w:widowControl w:val="0"/>
      <w:adjustRightInd w:val="0"/>
      <w:spacing w:line="360" w:lineRule="atLeast"/>
      <w:jc w:val="both"/>
      <w:textAlignment w:val="baseline"/>
      <w:outlineLvl w:val="6"/>
    </w:pPr>
    <w:rPr>
      <w:szCs w:val="20"/>
    </w:rPr>
  </w:style>
  <w:style w:type="paragraph" w:styleId="9">
    <w:name w:val="heading 8"/>
    <w:basedOn w:val="8"/>
    <w:next w:val="1"/>
    <w:link w:val="123"/>
    <w:autoRedefine/>
    <w:qFormat/>
    <w:uiPriority w:val="99"/>
    <w:pPr>
      <w:outlineLvl w:val="7"/>
    </w:pPr>
  </w:style>
  <w:style w:type="paragraph" w:styleId="10">
    <w:name w:val="heading 9"/>
    <w:basedOn w:val="1"/>
    <w:next w:val="1"/>
    <w:link w:val="116"/>
    <w:autoRedefine/>
    <w:qFormat/>
    <w:uiPriority w:val="99"/>
    <w:pPr>
      <w:keepNext/>
      <w:keepLines/>
      <w:widowControl w:val="0"/>
      <w:adjustRightInd w:val="0"/>
      <w:spacing w:line="360" w:lineRule="atLeast"/>
      <w:jc w:val="both"/>
      <w:textAlignment w:val="baseline"/>
      <w:outlineLvl w:val="8"/>
    </w:pPr>
    <w:rPr>
      <w:szCs w:val="20"/>
    </w:rPr>
  </w:style>
  <w:style w:type="character" w:default="1" w:styleId="66">
    <w:name w:val="Default Paragraph Font"/>
    <w:autoRedefine/>
    <w:semiHidden/>
    <w:unhideWhenUsed/>
    <w:qFormat/>
    <w:uiPriority w:val="1"/>
  </w:style>
  <w:style w:type="table" w:default="1" w:styleId="63">
    <w:name w:val="Normal Table"/>
    <w:autoRedefine/>
    <w:semiHidden/>
    <w:unhideWhenUsed/>
    <w:qFormat/>
    <w:uiPriority w:val="99"/>
    <w:tblPr>
      <w:tblCellMar>
        <w:top w:w="0" w:type="dxa"/>
        <w:left w:w="108" w:type="dxa"/>
        <w:bottom w:w="0" w:type="dxa"/>
        <w:right w:w="108" w:type="dxa"/>
      </w:tblCellMar>
    </w:tblPr>
  </w:style>
  <w:style w:type="paragraph" w:styleId="11">
    <w:name w:val="List 3"/>
    <w:basedOn w:val="1"/>
    <w:autoRedefine/>
    <w:qFormat/>
    <w:locked/>
    <w:uiPriority w:val="99"/>
    <w:pPr>
      <w:widowControl w:val="0"/>
      <w:ind w:left="100" w:leftChars="400" w:hanging="200" w:hangingChars="200"/>
      <w:jc w:val="both"/>
    </w:pPr>
    <w:rPr>
      <w:kern w:val="2"/>
      <w:sz w:val="21"/>
    </w:rPr>
  </w:style>
  <w:style w:type="paragraph" w:styleId="12">
    <w:name w:val="toc 7"/>
    <w:basedOn w:val="1"/>
    <w:next w:val="1"/>
    <w:autoRedefine/>
    <w:qFormat/>
    <w:uiPriority w:val="99"/>
    <w:pPr>
      <w:ind w:left="1440"/>
    </w:pPr>
    <w:rPr>
      <w:sz w:val="18"/>
      <w:szCs w:val="18"/>
    </w:rPr>
  </w:style>
  <w:style w:type="paragraph" w:styleId="13">
    <w:name w:val="List Number 2"/>
    <w:basedOn w:val="1"/>
    <w:autoRedefine/>
    <w:qFormat/>
    <w:locked/>
    <w:uiPriority w:val="0"/>
    <w:pPr>
      <w:tabs>
        <w:tab w:val="left" w:pos="1260"/>
        <w:tab w:val="left" w:pos="1680"/>
      </w:tabs>
      <w:spacing w:afterLines="50"/>
      <w:ind w:left="3360" w:hanging="420"/>
    </w:pPr>
    <w:rPr>
      <w:rFonts w:eastAsia="楷体_GB2312"/>
      <w:szCs w:val="20"/>
    </w:rPr>
  </w:style>
  <w:style w:type="paragraph" w:styleId="14">
    <w:name w:val="List Number"/>
    <w:basedOn w:val="1"/>
    <w:autoRedefine/>
    <w:qFormat/>
    <w:locked/>
    <w:uiPriority w:val="0"/>
    <w:pPr>
      <w:widowControl w:val="0"/>
      <w:tabs>
        <w:tab w:val="left" w:pos="840"/>
      </w:tabs>
      <w:ind w:left="840" w:hanging="420"/>
      <w:jc w:val="both"/>
    </w:pPr>
    <w:rPr>
      <w:rFonts w:eastAsia="楷体_GB2312"/>
      <w:kern w:val="2"/>
      <w:sz w:val="21"/>
      <w:szCs w:val="20"/>
    </w:rPr>
  </w:style>
  <w:style w:type="paragraph" w:styleId="15">
    <w:name w:val="Normal Indent"/>
    <w:basedOn w:val="1"/>
    <w:link w:val="374"/>
    <w:autoRedefine/>
    <w:qFormat/>
    <w:uiPriority w:val="99"/>
    <w:pPr>
      <w:ind w:firstLine="420"/>
    </w:pPr>
    <w:rPr>
      <w:sz w:val="20"/>
      <w:szCs w:val="20"/>
    </w:rPr>
  </w:style>
  <w:style w:type="paragraph" w:styleId="16">
    <w:name w:val="caption"/>
    <w:basedOn w:val="1"/>
    <w:next w:val="1"/>
    <w:autoRedefine/>
    <w:qFormat/>
    <w:locked/>
    <w:uiPriority w:val="99"/>
    <w:pPr>
      <w:widowControl w:val="0"/>
      <w:jc w:val="both"/>
    </w:pPr>
    <w:rPr>
      <w:rFonts w:ascii="Cambria" w:hAnsi="Cambria" w:eastAsia="黑体"/>
      <w:kern w:val="2"/>
      <w:sz w:val="20"/>
      <w:szCs w:val="20"/>
    </w:rPr>
  </w:style>
  <w:style w:type="paragraph" w:styleId="17">
    <w:name w:val="List Bullet"/>
    <w:basedOn w:val="1"/>
    <w:autoRedefine/>
    <w:qFormat/>
    <w:locked/>
    <w:uiPriority w:val="99"/>
    <w:pPr>
      <w:widowControl w:val="0"/>
      <w:tabs>
        <w:tab w:val="left" w:pos="360"/>
        <w:tab w:val="left" w:pos="432"/>
      </w:tabs>
      <w:ind w:left="432" w:hanging="432"/>
      <w:jc w:val="both"/>
    </w:pPr>
    <w:rPr>
      <w:kern w:val="2"/>
      <w:sz w:val="21"/>
    </w:rPr>
  </w:style>
  <w:style w:type="paragraph" w:styleId="18">
    <w:name w:val="Document Map"/>
    <w:basedOn w:val="1"/>
    <w:link w:val="125"/>
    <w:autoRedefine/>
    <w:qFormat/>
    <w:uiPriority w:val="99"/>
    <w:pPr>
      <w:widowControl w:val="0"/>
      <w:shd w:val="clear" w:color="auto" w:fill="000080"/>
      <w:jc w:val="both"/>
    </w:pPr>
    <w:rPr>
      <w:kern w:val="2"/>
      <w:szCs w:val="20"/>
    </w:rPr>
  </w:style>
  <w:style w:type="paragraph" w:styleId="19">
    <w:name w:val="annotation text"/>
    <w:basedOn w:val="1"/>
    <w:link w:val="150"/>
    <w:autoRedefine/>
    <w:qFormat/>
    <w:uiPriority w:val="0"/>
    <w:pPr>
      <w:widowControl w:val="0"/>
    </w:pPr>
    <w:rPr>
      <w:kern w:val="2"/>
    </w:rPr>
  </w:style>
  <w:style w:type="paragraph" w:styleId="20">
    <w:name w:val="Salutation"/>
    <w:basedOn w:val="1"/>
    <w:next w:val="1"/>
    <w:link w:val="375"/>
    <w:autoRedefine/>
    <w:qFormat/>
    <w:locked/>
    <w:uiPriority w:val="0"/>
    <w:pPr>
      <w:widowControl w:val="0"/>
      <w:jc w:val="both"/>
    </w:pPr>
    <w:rPr>
      <w:rFonts w:eastAsia="楷体_GB2312"/>
      <w:kern w:val="2"/>
      <w:szCs w:val="20"/>
    </w:rPr>
  </w:style>
  <w:style w:type="paragraph" w:styleId="21">
    <w:name w:val="Body Text 3"/>
    <w:basedOn w:val="1"/>
    <w:link w:val="126"/>
    <w:autoRedefine/>
    <w:qFormat/>
    <w:uiPriority w:val="99"/>
    <w:pPr>
      <w:widowControl w:val="0"/>
      <w:jc w:val="both"/>
    </w:pPr>
    <w:rPr>
      <w:rFonts w:ascii="宋体" w:hAnsi="宋体"/>
      <w:color w:val="0000FF"/>
      <w:kern w:val="2"/>
    </w:rPr>
  </w:style>
  <w:style w:type="paragraph" w:styleId="22">
    <w:name w:val="Closing"/>
    <w:basedOn w:val="1"/>
    <w:link w:val="376"/>
    <w:autoRedefine/>
    <w:qFormat/>
    <w:locked/>
    <w:uiPriority w:val="0"/>
    <w:pPr>
      <w:widowControl w:val="0"/>
      <w:ind w:left="100" w:leftChars="2100"/>
      <w:jc w:val="both"/>
    </w:pPr>
    <w:rPr>
      <w:rFonts w:eastAsia="楷体_GB2312"/>
      <w:kern w:val="2"/>
      <w:szCs w:val="20"/>
    </w:rPr>
  </w:style>
  <w:style w:type="paragraph" w:styleId="23">
    <w:name w:val="Body Text"/>
    <w:basedOn w:val="1"/>
    <w:link w:val="100"/>
    <w:autoRedefine/>
    <w:qFormat/>
    <w:uiPriority w:val="99"/>
    <w:pPr>
      <w:widowControl w:val="0"/>
      <w:jc w:val="both"/>
    </w:pPr>
    <w:rPr>
      <w:kern w:val="2"/>
      <w:szCs w:val="20"/>
    </w:rPr>
  </w:style>
  <w:style w:type="paragraph" w:styleId="24">
    <w:name w:val="Body Text Indent"/>
    <w:basedOn w:val="1"/>
    <w:link w:val="81"/>
    <w:autoRedefine/>
    <w:qFormat/>
    <w:uiPriority w:val="99"/>
    <w:pPr>
      <w:overflowPunct w:val="0"/>
      <w:autoSpaceDE w:val="0"/>
      <w:autoSpaceDN w:val="0"/>
      <w:adjustRightInd w:val="0"/>
      <w:spacing w:line="360" w:lineRule="auto"/>
      <w:ind w:firstLine="540"/>
      <w:jc w:val="both"/>
      <w:textAlignment w:val="baseline"/>
    </w:pPr>
    <w:rPr>
      <w:rFonts w:ascii="宋体" w:hAnsi="MS Sans Serif"/>
      <w:spacing w:val="12"/>
      <w:szCs w:val="20"/>
    </w:rPr>
  </w:style>
  <w:style w:type="paragraph" w:styleId="25">
    <w:name w:val="List Number 3"/>
    <w:basedOn w:val="1"/>
    <w:autoRedefine/>
    <w:qFormat/>
    <w:locked/>
    <w:uiPriority w:val="0"/>
    <w:pPr>
      <w:widowControl w:val="0"/>
      <w:tabs>
        <w:tab w:val="left" w:pos="360"/>
        <w:tab w:val="left" w:pos="1200"/>
      </w:tabs>
      <w:ind w:left="360" w:hanging="360"/>
      <w:jc w:val="both"/>
    </w:pPr>
    <w:rPr>
      <w:rFonts w:eastAsia="楷体_GB2312"/>
      <w:kern w:val="2"/>
      <w:sz w:val="21"/>
      <w:szCs w:val="20"/>
    </w:rPr>
  </w:style>
  <w:style w:type="paragraph" w:styleId="26">
    <w:name w:val="List 2"/>
    <w:basedOn w:val="1"/>
    <w:autoRedefine/>
    <w:qFormat/>
    <w:locked/>
    <w:uiPriority w:val="99"/>
    <w:pPr>
      <w:widowControl w:val="0"/>
      <w:ind w:left="100" w:leftChars="200" w:hanging="200" w:hangingChars="200"/>
      <w:jc w:val="both"/>
    </w:pPr>
    <w:rPr>
      <w:kern w:val="2"/>
      <w:sz w:val="21"/>
    </w:rPr>
  </w:style>
  <w:style w:type="paragraph" w:styleId="27">
    <w:name w:val="List Continue"/>
    <w:basedOn w:val="1"/>
    <w:autoRedefine/>
    <w:qFormat/>
    <w:locked/>
    <w:uiPriority w:val="99"/>
    <w:pPr>
      <w:widowControl w:val="0"/>
      <w:spacing w:after="120"/>
      <w:ind w:left="420" w:leftChars="200"/>
      <w:jc w:val="both"/>
    </w:pPr>
    <w:rPr>
      <w:kern w:val="2"/>
      <w:sz w:val="21"/>
    </w:rPr>
  </w:style>
  <w:style w:type="paragraph" w:styleId="28">
    <w:name w:val="Block Text"/>
    <w:basedOn w:val="1"/>
    <w:autoRedefine/>
    <w:qFormat/>
    <w:uiPriority w:val="99"/>
    <w:pPr>
      <w:widowControl w:val="0"/>
      <w:adjustRightInd w:val="0"/>
      <w:ind w:left="420" w:right="33"/>
      <w:textAlignment w:val="baseline"/>
    </w:pPr>
    <w:rPr>
      <w:szCs w:val="20"/>
    </w:rPr>
  </w:style>
  <w:style w:type="paragraph" w:styleId="29">
    <w:name w:val="index 4"/>
    <w:basedOn w:val="1"/>
    <w:next w:val="1"/>
    <w:autoRedefine/>
    <w:qFormat/>
    <w:locked/>
    <w:uiPriority w:val="0"/>
    <w:pPr>
      <w:widowControl w:val="0"/>
      <w:ind w:left="600" w:leftChars="600"/>
      <w:jc w:val="both"/>
    </w:pPr>
    <w:rPr>
      <w:kern w:val="2"/>
      <w:sz w:val="21"/>
    </w:rPr>
  </w:style>
  <w:style w:type="paragraph" w:styleId="30">
    <w:name w:val="toc 5"/>
    <w:basedOn w:val="1"/>
    <w:next w:val="1"/>
    <w:autoRedefine/>
    <w:qFormat/>
    <w:uiPriority w:val="99"/>
    <w:pPr>
      <w:ind w:left="960"/>
    </w:pPr>
    <w:rPr>
      <w:sz w:val="18"/>
      <w:szCs w:val="18"/>
    </w:rPr>
  </w:style>
  <w:style w:type="paragraph" w:styleId="31">
    <w:name w:val="toc 3"/>
    <w:basedOn w:val="1"/>
    <w:next w:val="1"/>
    <w:autoRedefine/>
    <w:qFormat/>
    <w:uiPriority w:val="39"/>
    <w:pPr>
      <w:ind w:left="480"/>
    </w:pPr>
    <w:rPr>
      <w:i/>
      <w:iCs/>
      <w:sz w:val="20"/>
      <w:szCs w:val="20"/>
    </w:rPr>
  </w:style>
  <w:style w:type="paragraph" w:styleId="32">
    <w:name w:val="Plain Text"/>
    <w:basedOn w:val="1"/>
    <w:link w:val="180"/>
    <w:autoRedefine/>
    <w:qFormat/>
    <w:uiPriority w:val="99"/>
    <w:pPr>
      <w:widowControl w:val="0"/>
      <w:jc w:val="both"/>
    </w:pPr>
    <w:rPr>
      <w:rFonts w:ascii="宋体" w:hAnsi="Courier New"/>
      <w:kern w:val="2"/>
      <w:sz w:val="21"/>
      <w:szCs w:val="20"/>
    </w:rPr>
  </w:style>
  <w:style w:type="paragraph" w:styleId="33">
    <w:name w:val="toc 8"/>
    <w:basedOn w:val="1"/>
    <w:next w:val="1"/>
    <w:autoRedefine/>
    <w:qFormat/>
    <w:uiPriority w:val="99"/>
    <w:pPr>
      <w:ind w:left="1680"/>
    </w:pPr>
    <w:rPr>
      <w:sz w:val="18"/>
      <w:szCs w:val="18"/>
    </w:rPr>
  </w:style>
  <w:style w:type="paragraph" w:styleId="34">
    <w:name w:val="Date"/>
    <w:basedOn w:val="1"/>
    <w:next w:val="1"/>
    <w:link w:val="115"/>
    <w:autoRedefine/>
    <w:qFormat/>
    <w:uiPriority w:val="99"/>
    <w:pPr>
      <w:widowControl w:val="0"/>
      <w:jc w:val="both"/>
    </w:pPr>
    <w:rPr>
      <w:kern w:val="2"/>
      <w:szCs w:val="20"/>
    </w:rPr>
  </w:style>
  <w:style w:type="paragraph" w:styleId="35">
    <w:name w:val="Body Text Indent 2"/>
    <w:basedOn w:val="1"/>
    <w:link w:val="155"/>
    <w:autoRedefine/>
    <w:qFormat/>
    <w:uiPriority w:val="99"/>
    <w:pPr>
      <w:widowControl w:val="0"/>
      <w:spacing w:line="360" w:lineRule="auto"/>
      <w:ind w:left="945" w:leftChars="450" w:firstLine="420"/>
      <w:jc w:val="both"/>
    </w:pPr>
    <w:rPr>
      <w:rFonts w:ascii="宋体"/>
      <w:kern w:val="2"/>
      <w:sz w:val="21"/>
      <w:szCs w:val="21"/>
    </w:rPr>
  </w:style>
  <w:style w:type="paragraph" w:styleId="36">
    <w:name w:val="endnote text"/>
    <w:basedOn w:val="1"/>
    <w:link w:val="88"/>
    <w:autoRedefine/>
    <w:qFormat/>
    <w:uiPriority w:val="0"/>
    <w:pPr>
      <w:snapToGrid w:val="0"/>
    </w:pPr>
  </w:style>
  <w:style w:type="paragraph" w:styleId="37">
    <w:name w:val="Balloon Text"/>
    <w:basedOn w:val="1"/>
    <w:link w:val="159"/>
    <w:autoRedefine/>
    <w:qFormat/>
    <w:uiPriority w:val="99"/>
    <w:rPr>
      <w:sz w:val="18"/>
      <w:szCs w:val="18"/>
    </w:rPr>
  </w:style>
  <w:style w:type="paragraph" w:styleId="38">
    <w:name w:val="footer"/>
    <w:basedOn w:val="1"/>
    <w:link w:val="118"/>
    <w:autoRedefine/>
    <w:qFormat/>
    <w:uiPriority w:val="99"/>
    <w:pPr>
      <w:widowControl w:val="0"/>
      <w:tabs>
        <w:tab w:val="center" w:pos="4153"/>
        <w:tab w:val="right" w:pos="8306"/>
      </w:tabs>
      <w:autoSpaceDE w:val="0"/>
      <w:autoSpaceDN w:val="0"/>
      <w:adjustRightInd w:val="0"/>
      <w:textAlignment w:val="baseline"/>
    </w:pPr>
    <w:rPr>
      <w:kern w:val="2"/>
      <w:sz w:val="18"/>
      <w:szCs w:val="20"/>
    </w:rPr>
  </w:style>
  <w:style w:type="paragraph" w:styleId="39">
    <w:name w:val="header"/>
    <w:basedOn w:val="1"/>
    <w:link w:val="169"/>
    <w:autoRedefine/>
    <w:qFormat/>
    <w:uiPriority w:val="99"/>
    <w:pPr>
      <w:widowControl w:val="0"/>
      <w:pBdr>
        <w:bottom w:val="single" w:color="auto" w:sz="6" w:space="1"/>
      </w:pBdr>
      <w:tabs>
        <w:tab w:val="center" w:pos="4153"/>
        <w:tab w:val="right" w:pos="8306"/>
      </w:tabs>
      <w:snapToGrid w:val="0"/>
      <w:ind w:left="450" w:leftChars="450"/>
      <w:jc w:val="center"/>
    </w:pPr>
    <w:rPr>
      <w:rFonts w:ascii="宋体"/>
      <w:kern w:val="2"/>
      <w:sz w:val="18"/>
      <w:szCs w:val="20"/>
    </w:rPr>
  </w:style>
  <w:style w:type="paragraph" w:styleId="40">
    <w:name w:val="toc 1"/>
    <w:basedOn w:val="1"/>
    <w:next w:val="1"/>
    <w:autoRedefine/>
    <w:qFormat/>
    <w:uiPriority w:val="39"/>
    <w:pPr>
      <w:spacing w:before="120" w:after="120"/>
    </w:pPr>
    <w:rPr>
      <w:b/>
      <w:bCs/>
      <w:caps/>
      <w:sz w:val="20"/>
      <w:szCs w:val="20"/>
    </w:rPr>
  </w:style>
  <w:style w:type="paragraph" w:styleId="41">
    <w:name w:val="toc 4"/>
    <w:basedOn w:val="1"/>
    <w:next w:val="1"/>
    <w:autoRedefine/>
    <w:qFormat/>
    <w:uiPriority w:val="99"/>
    <w:pPr>
      <w:ind w:left="720"/>
    </w:pPr>
    <w:rPr>
      <w:sz w:val="18"/>
      <w:szCs w:val="18"/>
    </w:rPr>
  </w:style>
  <w:style w:type="paragraph" w:styleId="42">
    <w:name w:val="Subtitle"/>
    <w:basedOn w:val="1"/>
    <w:link w:val="91"/>
    <w:autoRedefine/>
    <w:qFormat/>
    <w:uiPriority w:val="0"/>
    <w:pPr>
      <w:widowControl w:val="0"/>
      <w:spacing w:before="240" w:after="60" w:line="312" w:lineRule="auto"/>
      <w:jc w:val="center"/>
      <w:outlineLvl w:val="1"/>
    </w:pPr>
    <w:rPr>
      <w:rFonts w:ascii="Arial" w:hAnsi="Arial" w:cs="Arial"/>
      <w:b/>
      <w:bCs/>
      <w:kern w:val="28"/>
      <w:sz w:val="32"/>
      <w:szCs w:val="32"/>
    </w:rPr>
  </w:style>
  <w:style w:type="paragraph" w:styleId="43">
    <w:name w:val="List"/>
    <w:basedOn w:val="1"/>
    <w:autoRedefine/>
    <w:qFormat/>
    <w:locked/>
    <w:uiPriority w:val="99"/>
    <w:pPr>
      <w:widowControl w:val="0"/>
      <w:ind w:left="200" w:hanging="200" w:hangingChars="200"/>
      <w:jc w:val="both"/>
    </w:pPr>
    <w:rPr>
      <w:kern w:val="2"/>
      <w:sz w:val="21"/>
    </w:rPr>
  </w:style>
  <w:style w:type="paragraph" w:styleId="44">
    <w:name w:val="footnote text"/>
    <w:basedOn w:val="1"/>
    <w:link w:val="121"/>
    <w:autoRedefine/>
    <w:qFormat/>
    <w:uiPriority w:val="99"/>
    <w:pPr>
      <w:widowControl w:val="0"/>
      <w:adjustRightInd w:val="0"/>
      <w:spacing w:line="312" w:lineRule="atLeast"/>
      <w:textAlignment w:val="baseline"/>
    </w:pPr>
    <w:rPr>
      <w:sz w:val="18"/>
      <w:szCs w:val="18"/>
    </w:rPr>
  </w:style>
  <w:style w:type="paragraph" w:styleId="45">
    <w:name w:val="toc 6"/>
    <w:basedOn w:val="1"/>
    <w:next w:val="1"/>
    <w:autoRedefine/>
    <w:qFormat/>
    <w:uiPriority w:val="99"/>
    <w:pPr>
      <w:ind w:left="1200"/>
    </w:pPr>
    <w:rPr>
      <w:sz w:val="18"/>
      <w:szCs w:val="18"/>
    </w:rPr>
  </w:style>
  <w:style w:type="paragraph" w:styleId="46">
    <w:name w:val="List 5"/>
    <w:basedOn w:val="1"/>
    <w:autoRedefine/>
    <w:qFormat/>
    <w:locked/>
    <w:uiPriority w:val="99"/>
    <w:pPr>
      <w:widowControl w:val="0"/>
      <w:ind w:left="100" w:leftChars="800" w:hanging="200" w:hangingChars="200"/>
      <w:jc w:val="both"/>
    </w:pPr>
    <w:rPr>
      <w:kern w:val="2"/>
      <w:sz w:val="21"/>
    </w:rPr>
  </w:style>
  <w:style w:type="paragraph" w:styleId="47">
    <w:name w:val="Body Text Indent 3"/>
    <w:basedOn w:val="1"/>
    <w:link w:val="200"/>
    <w:autoRedefine/>
    <w:qFormat/>
    <w:uiPriority w:val="99"/>
    <w:pPr>
      <w:widowControl w:val="0"/>
      <w:spacing w:line="360" w:lineRule="auto"/>
      <w:ind w:left="945" w:leftChars="450"/>
      <w:jc w:val="both"/>
    </w:pPr>
    <w:rPr>
      <w:rFonts w:ascii="宋体"/>
      <w:kern w:val="2"/>
      <w:sz w:val="21"/>
      <w:szCs w:val="21"/>
    </w:rPr>
  </w:style>
  <w:style w:type="paragraph" w:styleId="48">
    <w:name w:val="table of figures"/>
    <w:basedOn w:val="1"/>
    <w:next w:val="1"/>
    <w:autoRedefine/>
    <w:unhideWhenUsed/>
    <w:qFormat/>
    <w:locked/>
    <w:uiPriority w:val="99"/>
    <w:pPr>
      <w:widowControl w:val="0"/>
      <w:ind w:left="200" w:leftChars="200" w:hanging="200" w:hangingChars="200"/>
      <w:jc w:val="both"/>
    </w:pPr>
    <w:rPr>
      <w:kern w:val="2"/>
      <w:sz w:val="21"/>
    </w:rPr>
  </w:style>
  <w:style w:type="paragraph" w:styleId="49">
    <w:name w:val="toc 2"/>
    <w:basedOn w:val="1"/>
    <w:next w:val="1"/>
    <w:autoRedefine/>
    <w:qFormat/>
    <w:uiPriority w:val="39"/>
    <w:pPr>
      <w:ind w:left="240"/>
    </w:pPr>
    <w:rPr>
      <w:smallCaps/>
      <w:sz w:val="20"/>
      <w:szCs w:val="20"/>
    </w:rPr>
  </w:style>
  <w:style w:type="paragraph" w:styleId="50">
    <w:name w:val="toc 9"/>
    <w:basedOn w:val="1"/>
    <w:next w:val="1"/>
    <w:autoRedefine/>
    <w:qFormat/>
    <w:uiPriority w:val="99"/>
    <w:pPr>
      <w:ind w:left="1920"/>
    </w:pPr>
    <w:rPr>
      <w:sz w:val="18"/>
      <w:szCs w:val="18"/>
    </w:rPr>
  </w:style>
  <w:style w:type="paragraph" w:styleId="51">
    <w:name w:val="Body Text 2"/>
    <w:basedOn w:val="1"/>
    <w:link w:val="203"/>
    <w:autoRedefine/>
    <w:qFormat/>
    <w:uiPriority w:val="99"/>
    <w:pPr>
      <w:widowControl w:val="0"/>
      <w:spacing w:line="560" w:lineRule="exact"/>
      <w:jc w:val="center"/>
    </w:pPr>
    <w:rPr>
      <w:rFonts w:ascii="宋体" w:hAnsi="宋体"/>
      <w:color w:val="000000"/>
      <w:kern w:val="2"/>
    </w:rPr>
  </w:style>
  <w:style w:type="paragraph" w:styleId="52">
    <w:name w:val="List 4"/>
    <w:basedOn w:val="1"/>
    <w:autoRedefine/>
    <w:qFormat/>
    <w:locked/>
    <w:uiPriority w:val="99"/>
    <w:pPr>
      <w:widowControl w:val="0"/>
      <w:ind w:left="100" w:leftChars="600" w:hanging="200" w:hangingChars="200"/>
      <w:jc w:val="both"/>
    </w:pPr>
    <w:rPr>
      <w:kern w:val="2"/>
      <w:sz w:val="21"/>
    </w:rPr>
  </w:style>
  <w:style w:type="paragraph" w:styleId="53">
    <w:name w:val="List Continue 2"/>
    <w:basedOn w:val="1"/>
    <w:autoRedefine/>
    <w:qFormat/>
    <w:locked/>
    <w:uiPriority w:val="99"/>
    <w:pPr>
      <w:widowControl w:val="0"/>
      <w:spacing w:after="120"/>
      <w:ind w:left="840" w:leftChars="400"/>
      <w:jc w:val="both"/>
    </w:pPr>
    <w:rPr>
      <w:kern w:val="2"/>
      <w:sz w:val="21"/>
    </w:rPr>
  </w:style>
  <w:style w:type="paragraph" w:styleId="54">
    <w:name w:val="Message Header"/>
    <w:basedOn w:val="23"/>
    <w:link w:val="562"/>
    <w:autoRedefine/>
    <w:qFormat/>
    <w:locked/>
    <w:uiPriority w:val="99"/>
    <w:pPr>
      <w:keepLines/>
      <w:widowControl/>
      <w:spacing w:after="40" w:line="140" w:lineRule="atLeast"/>
      <w:ind w:left="360"/>
      <w:jc w:val="left"/>
    </w:pPr>
    <w:rPr>
      <w:rFonts w:ascii="Garamond" w:hAnsi="Garamond"/>
      <w:spacing w:val="-5"/>
      <w:kern w:val="0"/>
      <w:sz w:val="18"/>
    </w:rPr>
  </w:style>
  <w:style w:type="paragraph" w:styleId="55">
    <w:name w:val="HTML Preformatted"/>
    <w:basedOn w:val="1"/>
    <w:link w:val="166"/>
    <w:autoRedefine/>
    <w:qFormat/>
    <w:lock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Calibri"/>
      <w:spacing w:val="4"/>
      <w:lang w:eastAsia="en-US"/>
    </w:rPr>
  </w:style>
  <w:style w:type="paragraph" w:styleId="56">
    <w:name w:val="Normal (Web)"/>
    <w:basedOn w:val="1"/>
    <w:autoRedefine/>
    <w:qFormat/>
    <w:uiPriority w:val="99"/>
    <w:pPr>
      <w:widowControl w:val="0"/>
      <w:jc w:val="both"/>
    </w:pPr>
    <w:rPr>
      <w:kern w:val="2"/>
    </w:rPr>
  </w:style>
  <w:style w:type="paragraph" w:styleId="57">
    <w:name w:val="List Continue 3"/>
    <w:basedOn w:val="1"/>
    <w:autoRedefine/>
    <w:qFormat/>
    <w:locked/>
    <w:uiPriority w:val="99"/>
    <w:pPr>
      <w:widowControl w:val="0"/>
      <w:spacing w:after="120"/>
      <w:ind w:left="1260" w:leftChars="600"/>
      <w:jc w:val="both"/>
    </w:pPr>
    <w:rPr>
      <w:kern w:val="2"/>
      <w:sz w:val="21"/>
    </w:rPr>
  </w:style>
  <w:style w:type="paragraph" w:styleId="58">
    <w:name w:val="index 1"/>
    <w:basedOn w:val="1"/>
    <w:next w:val="1"/>
    <w:autoRedefine/>
    <w:qFormat/>
    <w:locked/>
    <w:uiPriority w:val="99"/>
    <w:pPr>
      <w:widowControl w:val="0"/>
      <w:ind w:firstLine="480" w:firstLineChars="200"/>
      <w:jc w:val="center"/>
    </w:pPr>
    <w:rPr>
      <w:kern w:val="2"/>
    </w:rPr>
  </w:style>
  <w:style w:type="paragraph" w:styleId="59">
    <w:name w:val="Title"/>
    <w:basedOn w:val="1"/>
    <w:next w:val="1"/>
    <w:link w:val="377"/>
    <w:autoRedefine/>
    <w:qFormat/>
    <w:locked/>
    <w:uiPriority w:val="99"/>
    <w:pPr>
      <w:widowControl w:val="0"/>
      <w:adjustRightInd w:val="0"/>
      <w:spacing w:before="240" w:after="60"/>
      <w:jc w:val="center"/>
      <w:textAlignment w:val="baseline"/>
      <w:outlineLvl w:val="0"/>
    </w:pPr>
    <w:rPr>
      <w:rFonts w:ascii="Cambria" w:hAnsi="Cambria"/>
      <w:b/>
      <w:bCs/>
      <w:sz w:val="32"/>
      <w:szCs w:val="32"/>
    </w:rPr>
  </w:style>
  <w:style w:type="paragraph" w:styleId="60">
    <w:name w:val="annotation subject"/>
    <w:basedOn w:val="19"/>
    <w:next w:val="19"/>
    <w:link w:val="104"/>
    <w:autoRedefine/>
    <w:qFormat/>
    <w:uiPriority w:val="99"/>
    <w:pPr>
      <w:widowControl/>
    </w:pPr>
    <w:rPr>
      <w:rFonts w:ascii="宋体"/>
      <w:b/>
      <w:szCs w:val="20"/>
    </w:rPr>
  </w:style>
  <w:style w:type="paragraph" w:styleId="61">
    <w:name w:val="Body Text First Indent"/>
    <w:basedOn w:val="23"/>
    <w:next w:val="45"/>
    <w:link w:val="378"/>
    <w:autoRedefine/>
    <w:qFormat/>
    <w:locked/>
    <w:uiPriority w:val="99"/>
    <w:pPr>
      <w:spacing w:after="120"/>
      <w:ind w:firstLine="420" w:firstLineChars="100"/>
    </w:pPr>
    <w:rPr>
      <w:kern w:val="0"/>
      <w:sz w:val="20"/>
    </w:rPr>
  </w:style>
  <w:style w:type="paragraph" w:styleId="62">
    <w:name w:val="Body Text First Indent 2"/>
    <w:basedOn w:val="1"/>
    <w:link w:val="120"/>
    <w:autoRedefine/>
    <w:qFormat/>
    <w:uiPriority w:val="99"/>
    <w:pPr>
      <w:widowControl w:val="0"/>
      <w:spacing w:after="120"/>
      <w:ind w:left="420" w:leftChars="200" w:firstLine="420" w:firstLineChars="200"/>
    </w:pPr>
    <w:rPr>
      <w:kern w:val="2"/>
      <w:sz w:val="21"/>
    </w:rPr>
  </w:style>
  <w:style w:type="table" w:styleId="64">
    <w:name w:val="Table Grid"/>
    <w:basedOn w:val="63"/>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65">
    <w:name w:val="Table Theme"/>
    <w:basedOn w:val="63"/>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7">
    <w:name w:val="Strong"/>
    <w:basedOn w:val="66"/>
    <w:autoRedefine/>
    <w:qFormat/>
    <w:uiPriority w:val="99"/>
    <w:rPr>
      <w:rFonts w:cs="Times New Roman"/>
      <w:b/>
    </w:rPr>
  </w:style>
  <w:style w:type="character" w:styleId="68">
    <w:name w:val="endnote reference"/>
    <w:autoRedefine/>
    <w:unhideWhenUsed/>
    <w:qFormat/>
    <w:locked/>
    <w:uiPriority w:val="99"/>
    <w:rPr>
      <w:vertAlign w:val="superscript"/>
    </w:rPr>
  </w:style>
  <w:style w:type="character" w:styleId="69">
    <w:name w:val="page number"/>
    <w:autoRedefine/>
    <w:qFormat/>
    <w:uiPriority w:val="99"/>
    <w:rPr>
      <w:rFonts w:cs="Times New Roman"/>
      <w:sz w:val="20"/>
    </w:rPr>
  </w:style>
  <w:style w:type="character" w:styleId="70">
    <w:name w:val="FollowedHyperlink"/>
    <w:autoRedefine/>
    <w:qFormat/>
    <w:uiPriority w:val="99"/>
    <w:rPr>
      <w:rFonts w:cs="Times New Roman"/>
      <w:color w:val="800080"/>
      <w:u w:val="single"/>
    </w:rPr>
  </w:style>
  <w:style w:type="character" w:styleId="71">
    <w:name w:val="Emphasis"/>
    <w:autoRedefine/>
    <w:qFormat/>
    <w:locked/>
    <w:uiPriority w:val="0"/>
    <w:rPr>
      <w:i/>
      <w:iCs/>
    </w:rPr>
  </w:style>
  <w:style w:type="character" w:styleId="72">
    <w:name w:val="HTML Definition"/>
    <w:basedOn w:val="66"/>
    <w:autoRedefine/>
    <w:qFormat/>
    <w:locked/>
    <w:uiPriority w:val="0"/>
    <w:rPr>
      <w:i/>
      <w:iCs/>
    </w:rPr>
  </w:style>
  <w:style w:type="character" w:styleId="73">
    <w:name w:val="HTML Typewriter"/>
    <w:autoRedefine/>
    <w:qFormat/>
    <w:locked/>
    <w:uiPriority w:val="0"/>
    <w:rPr>
      <w:rFonts w:ascii="Courier New" w:hAnsi="Courier New" w:cs="Courier New"/>
      <w:sz w:val="20"/>
      <w:szCs w:val="20"/>
    </w:rPr>
  </w:style>
  <w:style w:type="character" w:styleId="74">
    <w:name w:val="Hyperlink"/>
    <w:autoRedefine/>
    <w:qFormat/>
    <w:uiPriority w:val="99"/>
    <w:rPr>
      <w:rFonts w:cs="Times New Roman"/>
      <w:color w:val="0000FF"/>
      <w:u w:val="single"/>
    </w:rPr>
  </w:style>
  <w:style w:type="character" w:styleId="75">
    <w:name w:val="HTML Code"/>
    <w:autoRedefine/>
    <w:qFormat/>
    <w:locked/>
    <w:uiPriority w:val="0"/>
    <w:rPr>
      <w:rFonts w:ascii="monospace" w:hAnsi="monospace" w:eastAsia="monospace" w:cs="monospace"/>
      <w:sz w:val="21"/>
      <w:szCs w:val="21"/>
    </w:rPr>
  </w:style>
  <w:style w:type="character" w:styleId="76">
    <w:name w:val="annotation reference"/>
    <w:autoRedefine/>
    <w:qFormat/>
    <w:uiPriority w:val="99"/>
    <w:rPr>
      <w:rFonts w:cs="Times New Roman"/>
      <w:sz w:val="21"/>
    </w:rPr>
  </w:style>
  <w:style w:type="character" w:styleId="77">
    <w:name w:val="footnote reference"/>
    <w:autoRedefine/>
    <w:qFormat/>
    <w:locked/>
    <w:uiPriority w:val="99"/>
    <w:rPr>
      <w:vertAlign w:val="superscript"/>
    </w:rPr>
  </w:style>
  <w:style w:type="character" w:styleId="78">
    <w:name w:val="HTML Keyboard"/>
    <w:autoRedefine/>
    <w:qFormat/>
    <w:locked/>
    <w:uiPriority w:val="0"/>
    <w:rPr>
      <w:rFonts w:hint="default" w:ascii="monospace" w:hAnsi="monospace" w:eastAsia="monospace" w:cs="monospace"/>
      <w:sz w:val="21"/>
      <w:szCs w:val="21"/>
    </w:rPr>
  </w:style>
  <w:style w:type="character" w:styleId="79">
    <w:name w:val="HTML Sample"/>
    <w:autoRedefine/>
    <w:qFormat/>
    <w:locked/>
    <w:uiPriority w:val="0"/>
    <w:rPr>
      <w:rFonts w:hint="default" w:ascii="monospace" w:hAnsi="monospace" w:eastAsia="monospace" w:cs="monospace"/>
      <w:sz w:val="21"/>
      <w:szCs w:val="21"/>
    </w:rPr>
  </w:style>
  <w:style w:type="character" w:customStyle="1" w:styleId="80">
    <w:name w:val="Heading 3 Char"/>
    <w:autoRedefine/>
    <w:qFormat/>
    <w:locked/>
    <w:uiPriority w:val="0"/>
    <w:rPr>
      <w:rFonts w:ascii="仿宋_GB2312" w:eastAsia="仿宋_GB2312" w:cs="Times New Roman"/>
      <w:b/>
      <w:sz w:val="28"/>
      <w:lang w:val="en-US" w:eastAsia="zh-CN"/>
    </w:rPr>
  </w:style>
  <w:style w:type="character" w:customStyle="1" w:styleId="81">
    <w:name w:val="正文文本缩进 Char"/>
    <w:link w:val="24"/>
    <w:autoRedefine/>
    <w:qFormat/>
    <w:locked/>
    <w:uiPriority w:val="99"/>
    <w:rPr>
      <w:rFonts w:ascii="宋体" w:hAnsi="MS Sans Serif" w:eastAsia="宋体" w:cs="Times New Roman"/>
      <w:spacing w:val="12"/>
      <w:sz w:val="24"/>
      <w:lang w:val="en-US" w:eastAsia="zh-CN" w:bidi="ar-SA"/>
    </w:rPr>
  </w:style>
  <w:style w:type="character" w:customStyle="1" w:styleId="82">
    <w:name w:val="样式5 Char Char"/>
    <w:link w:val="83"/>
    <w:autoRedefine/>
    <w:qFormat/>
    <w:locked/>
    <w:uiPriority w:val="0"/>
    <w:rPr>
      <w:rFonts w:ascii="黑体" w:eastAsia="黑体"/>
      <w:b/>
      <w:kern w:val="2"/>
      <w:sz w:val="32"/>
      <w:lang w:val="en-US" w:eastAsia="zh-CN"/>
    </w:rPr>
  </w:style>
  <w:style w:type="paragraph" w:customStyle="1" w:styleId="83">
    <w:name w:val="样式5 Char"/>
    <w:basedOn w:val="84"/>
    <w:link w:val="82"/>
    <w:autoRedefine/>
    <w:qFormat/>
    <w:uiPriority w:val="0"/>
    <w:pPr>
      <w:spacing w:beforeLines="80" w:afterLines="60"/>
      <w:ind w:firstLine="0" w:firstLineChars="0"/>
      <w:jc w:val="center"/>
    </w:pPr>
    <w:rPr>
      <w:rFonts w:ascii="黑体" w:eastAsia="黑体"/>
      <w:sz w:val="32"/>
    </w:rPr>
  </w:style>
  <w:style w:type="paragraph" w:customStyle="1" w:styleId="84">
    <w:name w:val="样式4 Char"/>
    <w:basedOn w:val="23"/>
    <w:link w:val="174"/>
    <w:autoRedefine/>
    <w:qFormat/>
    <w:uiPriority w:val="0"/>
    <w:pPr>
      <w:spacing w:line="500" w:lineRule="exact"/>
      <w:ind w:firstLine="480" w:firstLineChars="200"/>
    </w:pPr>
    <w:rPr>
      <w:rFonts w:ascii="宋体"/>
      <w:b/>
    </w:rPr>
  </w:style>
  <w:style w:type="character" w:customStyle="1" w:styleId="85">
    <w:name w:val="Char Char6"/>
    <w:autoRedefine/>
    <w:qFormat/>
    <w:uiPriority w:val="0"/>
    <w:rPr>
      <w:rFonts w:ascii="黑体" w:hAnsi="宋体" w:eastAsia="黑体"/>
      <w:kern w:val="2"/>
      <w:sz w:val="28"/>
      <w:lang w:val="en-US" w:eastAsia="zh-CN"/>
    </w:rPr>
  </w:style>
  <w:style w:type="character" w:customStyle="1" w:styleId="86">
    <w:name w:val="样式2-1 Char"/>
    <w:link w:val="87"/>
    <w:autoRedefine/>
    <w:qFormat/>
    <w:locked/>
    <w:uiPriority w:val="0"/>
    <w:rPr>
      <w:rFonts w:ascii="华文中宋" w:hAnsi="华文中宋" w:eastAsia="华文中宋"/>
      <w:b/>
      <w:color w:val="000000"/>
      <w:kern w:val="2"/>
      <w:sz w:val="44"/>
      <w:lang w:val="en-US" w:eastAsia="zh-CN"/>
    </w:rPr>
  </w:style>
  <w:style w:type="paragraph" w:customStyle="1" w:styleId="87">
    <w:name w:val="样式2-1"/>
    <w:basedOn w:val="1"/>
    <w:link w:val="86"/>
    <w:autoRedefine/>
    <w:qFormat/>
    <w:uiPriority w:val="0"/>
    <w:pPr>
      <w:widowControl w:val="0"/>
      <w:adjustRightInd w:val="0"/>
      <w:snapToGrid w:val="0"/>
      <w:spacing w:beforeLines="100" w:afterLines="100"/>
      <w:jc w:val="center"/>
      <w:outlineLvl w:val="1"/>
    </w:pPr>
    <w:rPr>
      <w:rFonts w:ascii="华文中宋" w:hAnsi="华文中宋" w:eastAsia="华文中宋"/>
      <w:b/>
      <w:color w:val="000000"/>
      <w:kern w:val="2"/>
      <w:sz w:val="44"/>
      <w:szCs w:val="20"/>
    </w:rPr>
  </w:style>
  <w:style w:type="character" w:customStyle="1" w:styleId="88">
    <w:name w:val="尾注文本 Char"/>
    <w:link w:val="36"/>
    <w:autoRedefine/>
    <w:qFormat/>
    <w:locked/>
    <w:uiPriority w:val="0"/>
    <w:rPr>
      <w:rFonts w:cs="Times New Roman"/>
      <w:kern w:val="0"/>
      <w:sz w:val="24"/>
      <w:szCs w:val="24"/>
    </w:rPr>
  </w:style>
  <w:style w:type="character" w:customStyle="1" w:styleId="89">
    <w:name w:val="Char Char61"/>
    <w:autoRedefine/>
    <w:qFormat/>
    <w:uiPriority w:val="0"/>
    <w:rPr>
      <w:rFonts w:ascii="黑体" w:hAnsi="宋体" w:eastAsia="黑体"/>
      <w:kern w:val="2"/>
      <w:sz w:val="28"/>
      <w:lang w:val="en-US" w:eastAsia="zh-CN"/>
    </w:rPr>
  </w:style>
  <w:style w:type="character" w:customStyle="1" w:styleId="90">
    <w:name w:val="2级标题（前附表） Char Char"/>
    <w:autoRedefine/>
    <w:qFormat/>
    <w:locked/>
    <w:uiPriority w:val="0"/>
    <w:rPr>
      <w:rFonts w:ascii="黑体" w:eastAsia="黑体"/>
      <w:color w:val="000000"/>
      <w:kern w:val="2"/>
      <w:sz w:val="28"/>
      <w:lang w:val="en-US" w:eastAsia="zh-CN"/>
    </w:rPr>
  </w:style>
  <w:style w:type="character" w:customStyle="1" w:styleId="91">
    <w:name w:val="副标题 Char"/>
    <w:link w:val="42"/>
    <w:autoRedefine/>
    <w:qFormat/>
    <w:locked/>
    <w:uiPriority w:val="0"/>
    <w:rPr>
      <w:rFonts w:ascii="Arial" w:hAnsi="Arial" w:eastAsia="宋体" w:cs="Arial"/>
      <w:b/>
      <w:bCs/>
      <w:kern w:val="28"/>
      <w:sz w:val="32"/>
      <w:szCs w:val="32"/>
      <w:lang w:val="en-US" w:eastAsia="zh-CN" w:bidi="ar-SA"/>
    </w:rPr>
  </w:style>
  <w:style w:type="character" w:customStyle="1" w:styleId="92">
    <w:name w:val="样式4-3 Char"/>
    <w:link w:val="93"/>
    <w:autoRedefine/>
    <w:qFormat/>
    <w:locked/>
    <w:uiPriority w:val="0"/>
    <w:rPr>
      <w:rFonts w:ascii="黑体" w:hAnsi="华文中宋" w:eastAsia="黑体" w:cs="Arial"/>
      <w:b/>
      <w:bCs/>
      <w:color w:val="000000"/>
      <w:sz w:val="32"/>
      <w:szCs w:val="32"/>
      <w:lang w:val="en-US" w:eastAsia="zh-CN" w:bidi="ar-SA"/>
    </w:rPr>
  </w:style>
  <w:style w:type="paragraph" w:customStyle="1" w:styleId="93">
    <w:name w:val="样式4-3"/>
    <w:basedOn w:val="94"/>
    <w:link w:val="92"/>
    <w:autoRedefine/>
    <w:qFormat/>
    <w:uiPriority w:val="0"/>
    <w:pPr>
      <w:ind w:firstLine="482" w:firstLineChars="200"/>
      <w:outlineLvl w:val="3"/>
    </w:pPr>
    <w:rPr>
      <w:rFonts w:cs="Arial"/>
      <w:bCs/>
      <w:szCs w:val="32"/>
    </w:rPr>
  </w:style>
  <w:style w:type="paragraph" w:customStyle="1" w:styleId="94">
    <w:name w:val="样式3-3"/>
    <w:basedOn w:val="95"/>
    <w:link w:val="148"/>
    <w:autoRedefine/>
    <w:qFormat/>
    <w:uiPriority w:val="0"/>
    <w:pPr>
      <w:spacing w:before="156" w:after="156"/>
    </w:pPr>
    <w:rPr>
      <w:rFonts w:ascii="黑体" w:hAnsi="华文中宋"/>
    </w:rPr>
  </w:style>
  <w:style w:type="paragraph" w:customStyle="1" w:styleId="95">
    <w:name w:val="样式3-1"/>
    <w:basedOn w:val="1"/>
    <w:link w:val="111"/>
    <w:autoRedefine/>
    <w:qFormat/>
    <w:uiPriority w:val="99"/>
    <w:pPr>
      <w:widowControl w:val="0"/>
      <w:autoSpaceDE w:val="0"/>
      <w:autoSpaceDN w:val="0"/>
      <w:adjustRightInd w:val="0"/>
      <w:snapToGrid w:val="0"/>
      <w:spacing w:beforeLines="50" w:afterLines="50"/>
      <w:outlineLvl w:val="2"/>
    </w:pPr>
    <w:rPr>
      <w:rFonts w:ascii="Arial" w:hAnsi="Arial" w:eastAsia="黑体"/>
      <w:b/>
      <w:color w:val="000000"/>
      <w:sz w:val="32"/>
      <w:szCs w:val="20"/>
    </w:rPr>
  </w:style>
  <w:style w:type="character" w:customStyle="1" w:styleId="96">
    <w:name w:val="Comment Subject Char"/>
    <w:autoRedefine/>
    <w:qFormat/>
    <w:locked/>
    <w:uiPriority w:val="99"/>
    <w:rPr>
      <w:rFonts w:ascii="宋体" w:eastAsia="宋体" w:cs="Times New Roman"/>
      <w:b/>
      <w:kern w:val="2"/>
      <w:sz w:val="24"/>
      <w:szCs w:val="24"/>
      <w:lang w:val="en-US" w:eastAsia="zh-CN" w:bidi="ar-SA"/>
    </w:rPr>
  </w:style>
  <w:style w:type="character" w:customStyle="1" w:styleId="97">
    <w:name w:val="样式正文-1 Char"/>
    <w:link w:val="98"/>
    <w:autoRedefine/>
    <w:qFormat/>
    <w:locked/>
    <w:uiPriority w:val="0"/>
    <w:rPr>
      <w:rFonts w:ascii="Calibri" w:hAnsi="Calibri" w:eastAsia="宋体"/>
      <w:kern w:val="2"/>
      <w:sz w:val="22"/>
      <w:lang w:val="en-US" w:eastAsia="zh-CN"/>
    </w:rPr>
  </w:style>
  <w:style w:type="paragraph" w:customStyle="1" w:styleId="98">
    <w:name w:val="样式正文-1"/>
    <w:basedOn w:val="1"/>
    <w:link w:val="97"/>
    <w:autoRedefine/>
    <w:qFormat/>
    <w:uiPriority w:val="0"/>
    <w:pPr>
      <w:widowControl w:val="0"/>
      <w:adjustRightInd w:val="0"/>
      <w:snapToGrid w:val="0"/>
      <w:spacing w:beforeLines="100" w:afterLines="100"/>
      <w:jc w:val="both"/>
    </w:pPr>
    <w:rPr>
      <w:rFonts w:ascii="Calibri" w:hAnsi="Calibri"/>
      <w:kern w:val="2"/>
      <w:sz w:val="22"/>
      <w:szCs w:val="20"/>
    </w:rPr>
  </w:style>
  <w:style w:type="character" w:customStyle="1" w:styleId="99">
    <w:name w:val="正文文本 Char"/>
    <w:autoRedefine/>
    <w:qFormat/>
    <w:uiPriority w:val="99"/>
    <w:rPr>
      <w:rFonts w:eastAsia="宋体"/>
      <w:kern w:val="2"/>
      <w:sz w:val="24"/>
      <w:lang w:val="en-US" w:eastAsia="zh-CN"/>
    </w:rPr>
  </w:style>
  <w:style w:type="character" w:customStyle="1" w:styleId="100">
    <w:name w:val="正文文本 Char1"/>
    <w:link w:val="23"/>
    <w:autoRedefine/>
    <w:qFormat/>
    <w:locked/>
    <w:uiPriority w:val="99"/>
    <w:rPr>
      <w:rFonts w:eastAsia="宋体"/>
      <w:kern w:val="2"/>
      <w:sz w:val="24"/>
      <w:lang w:val="en-US" w:eastAsia="zh-CN"/>
    </w:rPr>
  </w:style>
  <w:style w:type="character" w:customStyle="1" w:styleId="101">
    <w:name w:val="style11"/>
    <w:autoRedefine/>
    <w:qFormat/>
    <w:uiPriority w:val="0"/>
    <w:rPr>
      <w:b/>
    </w:rPr>
  </w:style>
  <w:style w:type="character" w:customStyle="1" w:styleId="102">
    <w:name w:val="Default Char Char"/>
    <w:autoRedefine/>
    <w:qFormat/>
    <w:locked/>
    <w:uiPriority w:val="0"/>
    <w:rPr>
      <w:rFonts w:ascii="宋体" w:hAnsi="Calibri"/>
      <w:color w:val="000000"/>
      <w:sz w:val="24"/>
      <w:lang w:val="en-US" w:eastAsia="zh-CN"/>
    </w:rPr>
  </w:style>
  <w:style w:type="character" w:customStyle="1" w:styleId="103">
    <w:name w:val="样式4 Char Char Char Char"/>
    <w:autoRedefine/>
    <w:qFormat/>
    <w:uiPriority w:val="0"/>
    <w:rPr>
      <w:rFonts w:ascii="宋体" w:eastAsia="宋体"/>
      <w:b/>
      <w:kern w:val="2"/>
      <w:sz w:val="24"/>
      <w:lang w:val="en-US" w:eastAsia="zh-CN"/>
    </w:rPr>
  </w:style>
  <w:style w:type="character" w:customStyle="1" w:styleId="104">
    <w:name w:val="批注主题 Char"/>
    <w:link w:val="60"/>
    <w:autoRedefine/>
    <w:qFormat/>
    <w:locked/>
    <w:uiPriority w:val="99"/>
    <w:rPr>
      <w:rFonts w:ascii="宋体" w:eastAsia="宋体"/>
      <w:b/>
      <w:kern w:val="2"/>
      <w:sz w:val="24"/>
      <w:lang w:val="en-US" w:eastAsia="zh-CN"/>
    </w:rPr>
  </w:style>
  <w:style w:type="character" w:customStyle="1" w:styleId="105">
    <w:name w:val="样式5-1 Char"/>
    <w:link w:val="106"/>
    <w:autoRedefine/>
    <w:qFormat/>
    <w:locked/>
    <w:uiPriority w:val="0"/>
    <w:rPr>
      <w:rFonts w:ascii="Calibri" w:hAnsi="Calibri" w:eastAsia="宋体"/>
      <w:b/>
      <w:kern w:val="2"/>
      <w:sz w:val="22"/>
      <w:lang w:val="en-US" w:eastAsia="zh-CN"/>
    </w:rPr>
  </w:style>
  <w:style w:type="paragraph" w:customStyle="1" w:styleId="106">
    <w:name w:val="样式5-1"/>
    <w:basedOn w:val="98"/>
    <w:link w:val="105"/>
    <w:autoRedefine/>
    <w:qFormat/>
    <w:uiPriority w:val="0"/>
    <w:pPr>
      <w:spacing w:before="240" w:after="240"/>
      <w:outlineLvl w:val="4"/>
    </w:pPr>
    <w:rPr>
      <w:b/>
    </w:rPr>
  </w:style>
  <w:style w:type="character" w:customStyle="1" w:styleId="107">
    <w:name w:val="样式3 Char"/>
    <w:link w:val="108"/>
    <w:autoRedefine/>
    <w:qFormat/>
    <w:locked/>
    <w:uiPriority w:val="0"/>
    <w:rPr>
      <w:rFonts w:eastAsia="黑体"/>
      <w:sz w:val="24"/>
      <w:lang w:val="en-US" w:eastAsia="zh-CN"/>
    </w:rPr>
  </w:style>
  <w:style w:type="paragraph" w:customStyle="1" w:styleId="108">
    <w:name w:val="样式3"/>
    <w:basedOn w:val="3"/>
    <w:link w:val="107"/>
    <w:autoRedefine/>
    <w:qFormat/>
    <w:uiPriority w:val="99"/>
    <w:pPr>
      <w:keepNext w:val="0"/>
      <w:widowControl/>
      <w:tabs>
        <w:tab w:val="left" w:pos="0"/>
        <w:tab w:val="clear" w:pos="840"/>
      </w:tabs>
      <w:spacing w:beforeLines="0" w:after="120" w:line="500" w:lineRule="atLeast"/>
      <w:ind w:left="0" w:firstLine="720" w:firstLineChars="300"/>
      <w:contextualSpacing/>
      <w:jc w:val="left"/>
    </w:pPr>
    <w:rPr>
      <w:rFonts w:ascii="Times New Roman" w:hAnsi="Times New Roman" w:eastAsia="黑体"/>
      <w:b w:val="0"/>
      <w:sz w:val="24"/>
    </w:rPr>
  </w:style>
  <w:style w:type="character" w:customStyle="1" w:styleId="109">
    <w:name w:val="2级标题（前附表） Char"/>
    <w:link w:val="110"/>
    <w:autoRedefine/>
    <w:qFormat/>
    <w:locked/>
    <w:uiPriority w:val="0"/>
    <w:rPr>
      <w:rFonts w:ascii="黑体" w:eastAsia="黑体"/>
      <w:color w:val="000000"/>
      <w:kern w:val="2"/>
      <w:sz w:val="28"/>
      <w:lang w:val="en-US" w:eastAsia="zh-CN"/>
    </w:rPr>
  </w:style>
  <w:style w:type="paragraph" w:customStyle="1" w:styleId="110">
    <w:name w:val="2级标题（前附表）"/>
    <w:basedOn w:val="1"/>
    <w:link w:val="109"/>
    <w:autoRedefine/>
    <w:qFormat/>
    <w:locked/>
    <w:uiPriority w:val="0"/>
    <w:pPr>
      <w:widowControl w:val="0"/>
      <w:jc w:val="both"/>
      <w:outlineLvl w:val="1"/>
    </w:pPr>
    <w:rPr>
      <w:rFonts w:ascii="黑体" w:eastAsia="黑体"/>
      <w:color w:val="000000"/>
      <w:kern w:val="2"/>
      <w:sz w:val="28"/>
      <w:szCs w:val="20"/>
    </w:rPr>
  </w:style>
  <w:style w:type="character" w:customStyle="1" w:styleId="111">
    <w:name w:val="样式3-1 Char"/>
    <w:link w:val="95"/>
    <w:autoRedefine/>
    <w:qFormat/>
    <w:locked/>
    <w:uiPriority w:val="0"/>
    <w:rPr>
      <w:rFonts w:ascii="Arial" w:hAnsi="Arial" w:eastAsia="黑体"/>
      <w:b/>
      <w:color w:val="000000"/>
      <w:sz w:val="32"/>
      <w:lang w:val="en-US" w:eastAsia="zh-CN"/>
    </w:rPr>
  </w:style>
  <w:style w:type="character" w:customStyle="1" w:styleId="112">
    <w:name w:val="标题 1 Char"/>
    <w:link w:val="2"/>
    <w:autoRedefine/>
    <w:qFormat/>
    <w:locked/>
    <w:uiPriority w:val="0"/>
    <w:rPr>
      <w:rFonts w:ascii="宋体" w:eastAsia="宋体"/>
      <w:b/>
      <w:kern w:val="44"/>
      <w:sz w:val="30"/>
      <w:lang w:val="en-US" w:eastAsia="zh-CN"/>
    </w:rPr>
  </w:style>
  <w:style w:type="character" w:customStyle="1" w:styleId="113">
    <w:name w:val="1级标题（第一卷） Char"/>
    <w:link w:val="114"/>
    <w:autoRedefine/>
    <w:qFormat/>
    <w:locked/>
    <w:uiPriority w:val="0"/>
    <w:rPr>
      <w:rFonts w:ascii="黑体" w:hAnsi="华文中宋" w:eastAsia="黑体"/>
      <w:b/>
      <w:kern w:val="2"/>
      <w:sz w:val="48"/>
      <w:lang w:val="en-US" w:eastAsia="zh-CN"/>
    </w:rPr>
  </w:style>
  <w:style w:type="paragraph" w:customStyle="1" w:styleId="114">
    <w:name w:val="1级标题（第一卷）"/>
    <w:basedOn w:val="1"/>
    <w:link w:val="113"/>
    <w:autoRedefine/>
    <w:qFormat/>
    <w:locked/>
    <w:uiPriority w:val="0"/>
    <w:pPr>
      <w:widowControl w:val="0"/>
      <w:adjustRightInd w:val="0"/>
      <w:snapToGrid w:val="0"/>
      <w:spacing w:beforeLines="100" w:afterLines="100"/>
      <w:jc w:val="center"/>
      <w:outlineLvl w:val="0"/>
    </w:pPr>
    <w:rPr>
      <w:rFonts w:ascii="黑体" w:hAnsi="华文中宋" w:eastAsia="黑体"/>
      <w:b/>
      <w:kern w:val="2"/>
      <w:sz w:val="48"/>
      <w:szCs w:val="20"/>
    </w:rPr>
  </w:style>
  <w:style w:type="character" w:customStyle="1" w:styleId="115">
    <w:name w:val="日期 Char"/>
    <w:link w:val="34"/>
    <w:autoRedefine/>
    <w:qFormat/>
    <w:locked/>
    <w:uiPriority w:val="99"/>
    <w:rPr>
      <w:rFonts w:eastAsia="宋体" w:cs="Times New Roman"/>
      <w:kern w:val="2"/>
      <w:sz w:val="24"/>
      <w:lang w:val="en-US" w:eastAsia="zh-CN" w:bidi="ar-SA"/>
    </w:rPr>
  </w:style>
  <w:style w:type="character" w:customStyle="1" w:styleId="116">
    <w:name w:val="标题 9 Char"/>
    <w:link w:val="10"/>
    <w:autoRedefine/>
    <w:qFormat/>
    <w:locked/>
    <w:uiPriority w:val="99"/>
    <w:rPr>
      <w:rFonts w:eastAsia="宋体" w:cs="Times New Roman"/>
      <w:sz w:val="24"/>
      <w:lang w:val="en-US" w:eastAsia="zh-CN" w:bidi="ar-SA"/>
    </w:rPr>
  </w:style>
  <w:style w:type="character" w:customStyle="1" w:styleId="117">
    <w:name w:val="样式5 Char Char Char Char"/>
    <w:autoRedefine/>
    <w:qFormat/>
    <w:uiPriority w:val="0"/>
    <w:rPr>
      <w:rFonts w:ascii="黑体" w:eastAsia="黑体"/>
      <w:kern w:val="2"/>
      <w:sz w:val="32"/>
      <w:lang w:val="en-US" w:eastAsia="zh-CN"/>
    </w:rPr>
  </w:style>
  <w:style w:type="character" w:customStyle="1" w:styleId="118">
    <w:name w:val="页脚 Char1"/>
    <w:link w:val="38"/>
    <w:autoRedefine/>
    <w:qFormat/>
    <w:locked/>
    <w:uiPriority w:val="99"/>
    <w:rPr>
      <w:rFonts w:eastAsia="宋体"/>
      <w:kern w:val="2"/>
      <w:sz w:val="18"/>
      <w:lang w:val="en-US" w:eastAsia="zh-CN"/>
    </w:rPr>
  </w:style>
  <w:style w:type="character" w:customStyle="1" w:styleId="119">
    <w:name w:val="标题 4 Char"/>
    <w:link w:val="5"/>
    <w:autoRedefine/>
    <w:qFormat/>
    <w:locked/>
    <w:uiPriority w:val="99"/>
    <w:rPr>
      <w:rFonts w:ascii="宋体" w:hAnsi="Arial" w:eastAsia="宋体"/>
      <w:b/>
      <w:kern w:val="2"/>
      <w:sz w:val="24"/>
      <w:lang w:val="en-US" w:eastAsia="zh-CN"/>
    </w:rPr>
  </w:style>
  <w:style w:type="character" w:customStyle="1" w:styleId="120">
    <w:name w:val="正文首行缩进 2 Char"/>
    <w:link w:val="62"/>
    <w:autoRedefine/>
    <w:qFormat/>
    <w:locked/>
    <w:uiPriority w:val="99"/>
    <w:rPr>
      <w:rFonts w:ascii="宋体" w:hAnsi="MS Sans Serif" w:eastAsia="宋体" w:cs="Times New Roman"/>
      <w:spacing w:val="12"/>
      <w:kern w:val="2"/>
      <w:sz w:val="21"/>
      <w:lang w:val="en-US" w:eastAsia="zh-CN" w:bidi="ar-SA"/>
    </w:rPr>
  </w:style>
  <w:style w:type="character" w:customStyle="1" w:styleId="121">
    <w:name w:val="脚注文本 Char"/>
    <w:link w:val="44"/>
    <w:autoRedefine/>
    <w:qFormat/>
    <w:locked/>
    <w:uiPriority w:val="99"/>
    <w:rPr>
      <w:rFonts w:cs="Times New Roman"/>
      <w:kern w:val="0"/>
      <w:sz w:val="18"/>
      <w:szCs w:val="18"/>
    </w:rPr>
  </w:style>
  <w:style w:type="character" w:customStyle="1" w:styleId="122">
    <w:name w:val="简述正文"/>
    <w:autoRedefine/>
    <w:qFormat/>
    <w:uiPriority w:val="0"/>
    <w:rPr>
      <w:sz w:val="23"/>
    </w:rPr>
  </w:style>
  <w:style w:type="character" w:customStyle="1" w:styleId="123">
    <w:name w:val="标题 8 Char"/>
    <w:link w:val="9"/>
    <w:autoRedefine/>
    <w:qFormat/>
    <w:locked/>
    <w:uiPriority w:val="99"/>
    <w:rPr>
      <w:rFonts w:eastAsia="宋体" w:cs="Times New Roman"/>
      <w:sz w:val="24"/>
      <w:lang w:val="en-US" w:eastAsia="zh-CN" w:bidi="ar-SA"/>
    </w:rPr>
  </w:style>
  <w:style w:type="character" w:customStyle="1" w:styleId="124">
    <w:name w:val="样式3-2 Char Char"/>
    <w:autoRedefine/>
    <w:qFormat/>
    <w:locked/>
    <w:uiPriority w:val="0"/>
    <w:rPr>
      <w:rFonts w:ascii="黑体" w:eastAsia="黑体"/>
      <w:b/>
      <w:sz w:val="32"/>
      <w:lang w:val="en-US" w:eastAsia="zh-CN"/>
    </w:rPr>
  </w:style>
  <w:style w:type="character" w:customStyle="1" w:styleId="125">
    <w:name w:val="文档结构图 Char"/>
    <w:link w:val="18"/>
    <w:autoRedefine/>
    <w:qFormat/>
    <w:locked/>
    <w:uiPriority w:val="99"/>
    <w:rPr>
      <w:rFonts w:eastAsia="宋体"/>
      <w:kern w:val="2"/>
      <w:sz w:val="24"/>
      <w:lang w:val="en-US" w:eastAsia="zh-CN"/>
    </w:rPr>
  </w:style>
  <w:style w:type="character" w:customStyle="1" w:styleId="126">
    <w:name w:val="正文文本 3 Char"/>
    <w:link w:val="21"/>
    <w:autoRedefine/>
    <w:qFormat/>
    <w:locked/>
    <w:uiPriority w:val="99"/>
    <w:rPr>
      <w:rFonts w:ascii="宋体" w:hAnsi="宋体" w:eastAsia="宋体" w:cs="Times New Roman"/>
      <w:color w:val="0000FF"/>
      <w:kern w:val="2"/>
      <w:sz w:val="24"/>
      <w:szCs w:val="24"/>
      <w:lang w:val="en-US" w:eastAsia="zh-CN" w:bidi="ar-SA"/>
    </w:rPr>
  </w:style>
  <w:style w:type="character" w:customStyle="1" w:styleId="127">
    <w:name w:val="样式5-2 Char Char"/>
    <w:autoRedefine/>
    <w:qFormat/>
    <w:locked/>
    <w:uiPriority w:val="0"/>
    <w:rPr>
      <w:rFonts w:ascii="Calibri" w:hAnsi="Calibri" w:eastAsia="宋体"/>
      <w:b/>
      <w:kern w:val="2"/>
      <w:sz w:val="22"/>
      <w:lang w:val="en-US" w:eastAsia="zh-CN"/>
    </w:rPr>
  </w:style>
  <w:style w:type="character" w:customStyle="1" w:styleId="128">
    <w:name w:val="标题 6 Char"/>
    <w:link w:val="7"/>
    <w:autoRedefine/>
    <w:qFormat/>
    <w:locked/>
    <w:uiPriority w:val="99"/>
    <w:rPr>
      <w:rFonts w:eastAsia="宋体" w:cs="Times New Roman"/>
      <w:sz w:val="24"/>
      <w:lang w:val="en-US" w:eastAsia="zh-CN" w:bidi="ar-SA"/>
    </w:rPr>
  </w:style>
  <w:style w:type="character" w:customStyle="1" w:styleId="129">
    <w:name w:val="标题 7 Char"/>
    <w:link w:val="8"/>
    <w:autoRedefine/>
    <w:qFormat/>
    <w:locked/>
    <w:uiPriority w:val="99"/>
    <w:rPr>
      <w:rFonts w:eastAsia="宋体" w:cs="Times New Roman"/>
      <w:sz w:val="24"/>
      <w:lang w:val="en-US" w:eastAsia="zh-CN" w:bidi="ar-SA"/>
    </w:rPr>
  </w:style>
  <w:style w:type="character" w:customStyle="1" w:styleId="130">
    <w:name w:val="Footer Char"/>
    <w:autoRedefine/>
    <w:qFormat/>
    <w:locked/>
    <w:uiPriority w:val="0"/>
    <w:rPr>
      <w:rFonts w:cs="Times New Roman"/>
      <w:sz w:val="18"/>
    </w:rPr>
  </w:style>
  <w:style w:type="character" w:customStyle="1" w:styleId="131">
    <w:name w:val="3级标题（总则） Char Char"/>
    <w:autoRedefine/>
    <w:qFormat/>
    <w:locked/>
    <w:uiPriority w:val="0"/>
    <w:rPr>
      <w:rFonts w:ascii="宋体" w:hAnsi="宋体" w:eastAsia="宋体"/>
      <w:b/>
      <w:kern w:val="2"/>
      <w:sz w:val="24"/>
      <w:lang w:val="en-US" w:eastAsia="zh-CN"/>
    </w:rPr>
  </w:style>
  <w:style w:type="character" w:customStyle="1" w:styleId="132">
    <w:name w:val="Heading 4 Char"/>
    <w:autoRedefine/>
    <w:qFormat/>
    <w:locked/>
    <w:uiPriority w:val="0"/>
    <w:rPr>
      <w:rFonts w:ascii="宋体" w:hAnsi="Arial" w:eastAsia="宋体" w:cs="Times New Roman"/>
      <w:b/>
      <w:kern w:val="2"/>
      <w:sz w:val="24"/>
      <w:lang w:val="en-US" w:eastAsia="zh-CN"/>
    </w:rPr>
  </w:style>
  <w:style w:type="character" w:customStyle="1" w:styleId="133">
    <w:name w:val="CM104 Char Char"/>
    <w:autoRedefine/>
    <w:qFormat/>
    <w:locked/>
    <w:uiPriority w:val="0"/>
    <w:rPr>
      <w:rFonts w:ascii="宋体" w:hAnsi="Calibri" w:cs="宋体"/>
      <w:color w:val="000000"/>
      <w:sz w:val="24"/>
      <w:szCs w:val="24"/>
      <w:lang w:val="en-US" w:eastAsia="zh-CN" w:bidi="ar-SA"/>
    </w:rPr>
  </w:style>
  <w:style w:type="character" w:customStyle="1" w:styleId="134">
    <w:name w:val="3级标题（总则） Char"/>
    <w:link w:val="135"/>
    <w:autoRedefine/>
    <w:qFormat/>
    <w:locked/>
    <w:uiPriority w:val="0"/>
    <w:rPr>
      <w:rFonts w:ascii="宋体" w:hAnsi="宋体" w:eastAsia="宋体"/>
      <w:b/>
      <w:kern w:val="2"/>
      <w:sz w:val="24"/>
      <w:lang w:val="en-US" w:eastAsia="zh-CN"/>
    </w:rPr>
  </w:style>
  <w:style w:type="paragraph" w:customStyle="1" w:styleId="135">
    <w:name w:val="3级标题（总则）"/>
    <w:basedOn w:val="136"/>
    <w:link w:val="134"/>
    <w:autoRedefine/>
    <w:qFormat/>
    <w:locked/>
    <w:uiPriority w:val="0"/>
    <w:pPr>
      <w:jc w:val="both"/>
      <w:outlineLvl w:val="2"/>
    </w:pPr>
    <w:rPr>
      <w:rFonts w:cs="Times New Roman"/>
      <w:b/>
      <w:kern w:val="2"/>
      <w:szCs w:val="20"/>
    </w:rPr>
  </w:style>
  <w:style w:type="paragraph" w:customStyle="1" w:styleId="136">
    <w:name w:val="样式2"/>
    <w:basedOn w:val="1"/>
    <w:next w:val="40"/>
    <w:link w:val="580"/>
    <w:autoRedefine/>
    <w:qFormat/>
    <w:uiPriority w:val="0"/>
    <w:pPr>
      <w:widowControl w:val="0"/>
      <w:spacing w:line="360" w:lineRule="auto"/>
      <w:jc w:val="center"/>
    </w:pPr>
    <w:rPr>
      <w:rFonts w:ascii="宋体" w:hAnsi="宋体" w:cs="宋体"/>
    </w:rPr>
  </w:style>
  <w:style w:type="character" w:customStyle="1" w:styleId="137">
    <w:name w:val="Body Text Char"/>
    <w:autoRedefine/>
    <w:qFormat/>
    <w:locked/>
    <w:uiPriority w:val="99"/>
    <w:rPr>
      <w:rFonts w:eastAsia="宋体" w:cs="Times New Roman"/>
      <w:kern w:val="2"/>
      <w:sz w:val="24"/>
      <w:lang w:val="en-US" w:eastAsia="zh-CN"/>
    </w:rPr>
  </w:style>
  <w:style w:type="character" w:customStyle="1" w:styleId="138">
    <w:name w:val="文章正文 Char"/>
    <w:link w:val="139"/>
    <w:autoRedefine/>
    <w:qFormat/>
    <w:locked/>
    <w:uiPriority w:val="0"/>
    <w:rPr>
      <w:rFonts w:ascii="宋体" w:hAnsi="宋体" w:eastAsia="宋体"/>
      <w:kern w:val="2"/>
      <w:sz w:val="21"/>
      <w:lang w:val="en-US" w:eastAsia="zh-CN"/>
    </w:rPr>
  </w:style>
  <w:style w:type="paragraph" w:customStyle="1" w:styleId="139">
    <w:name w:val="文章正文"/>
    <w:basedOn w:val="1"/>
    <w:link w:val="138"/>
    <w:autoRedefine/>
    <w:qFormat/>
    <w:locked/>
    <w:uiPriority w:val="0"/>
    <w:pPr>
      <w:widowControl w:val="0"/>
      <w:spacing w:line="360" w:lineRule="auto"/>
      <w:ind w:firstLine="420" w:firstLineChars="200"/>
      <w:jc w:val="both"/>
    </w:pPr>
    <w:rPr>
      <w:rFonts w:ascii="宋体" w:hAnsi="宋体"/>
      <w:kern w:val="2"/>
      <w:sz w:val="21"/>
      <w:szCs w:val="20"/>
    </w:rPr>
  </w:style>
  <w:style w:type="character" w:customStyle="1" w:styleId="140">
    <w:name w:val="Heading 2 Char"/>
    <w:autoRedefine/>
    <w:qFormat/>
    <w:locked/>
    <w:uiPriority w:val="0"/>
    <w:rPr>
      <w:rFonts w:ascii="宋体" w:hAnsi="Arial" w:cs="Times New Roman"/>
      <w:b/>
      <w:kern w:val="2"/>
      <w:sz w:val="24"/>
    </w:rPr>
  </w:style>
  <w:style w:type="character" w:customStyle="1" w:styleId="141">
    <w:name w:val="标题 3 Char"/>
    <w:autoRedefine/>
    <w:qFormat/>
    <w:uiPriority w:val="0"/>
    <w:rPr>
      <w:rFonts w:ascii="仿宋_GB2312" w:eastAsia="仿宋_GB2312"/>
      <w:b/>
      <w:sz w:val="28"/>
      <w:lang w:val="en-US" w:eastAsia="zh-CN"/>
    </w:rPr>
  </w:style>
  <w:style w:type="character" w:customStyle="1" w:styleId="142">
    <w:name w:val="样式正文-2 Char"/>
    <w:link w:val="143"/>
    <w:autoRedefine/>
    <w:qFormat/>
    <w:locked/>
    <w:uiPriority w:val="0"/>
    <w:rPr>
      <w:rFonts w:ascii="Arial" w:hAnsi="Arial"/>
      <w:color w:val="000000"/>
      <w:sz w:val="24"/>
      <w:lang w:val="en-US" w:eastAsia="zh-CN"/>
    </w:rPr>
  </w:style>
  <w:style w:type="paragraph" w:customStyle="1" w:styleId="143">
    <w:name w:val="样式正文-2"/>
    <w:basedOn w:val="144"/>
    <w:link w:val="142"/>
    <w:autoRedefine/>
    <w:qFormat/>
    <w:uiPriority w:val="0"/>
    <w:pPr>
      <w:snapToGrid w:val="0"/>
      <w:spacing w:beforeLines="50" w:line="360" w:lineRule="auto"/>
      <w:ind w:firstLine="480" w:firstLineChars="200"/>
    </w:pPr>
    <w:rPr>
      <w:rFonts w:ascii="Arial" w:hAnsi="Arial"/>
      <w:sz w:val="24"/>
      <w:szCs w:val="20"/>
    </w:rPr>
  </w:style>
  <w:style w:type="paragraph" w:customStyle="1" w:styleId="144">
    <w:name w:val="Default"/>
    <w:link w:val="184"/>
    <w:autoRedefine/>
    <w:qFormat/>
    <w:uiPriority w:val="99"/>
    <w:pPr>
      <w:widowControl w:val="0"/>
      <w:autoSpaceDE w:val="0"/>
      <w:autoSpaceDN w:val="0"/>
      <w:adjustRightInd w:val="0"/>
    </w:pPr>
    <w:rPr>
      <w:rFonts w:ascii="宋体" w:hAnsi="Calibri" w:eastAsia="宋体" w:cs="Times New Roman"/>
      <w:color w:val="000000"/>
      <w:sz w:val="22"/>
      <w:szCs w:val="22"/>
      <w:lang w:val="en-US" w:eastAsia="zh-CN" w:bidi="ar-SA"/>
    </w:rPr>
  </w:style>
  <w:style w:type="character" w:customStyle="1" w:styleId="145">
    <w:name w:val="4级标题（1.1项目概况) Char Char"/>
    <w:autoRedefine/>
    <w:qFormat/>
    <w:locked/>
    <w:uiPriority w:val="0"/>
    <w:rPr>
      <w:rFonts w:ascii="宋体" w:hAnsi="宋体" w:eastAsia="宋体"/>
      <w:b/>
      <w:kern w:val="2"/>
      <w:sz w:val="24"/>
      <w:lang w:val="en-US" w:eastAsia="zh-CN"/>
    </w:rPr>
  </w:style>
  <w:style w:type="character" w:customStyle="1" w:styleId="146">
    <w:name w:val="样式4-3 Char Char"/>
    <w:autoRedefine/>
    <w:qFormat/>
    <w:locked/>
    <w:uiPriority w:val="0"/>
    <w:rPr>
      <w:rFonts w:ascii="黑体" w:hAnsi="华文中宋" w:eastAsia="黑体" w:cs="Arial"/>
      <w:b/>
      <w:bCs/>
      <w:color w:val="000000"/>
      <w:sz w:val="32"/>
      <w:szCs w:val="32"/>
      <w:lang w:val="en-US" w:eastAsia="zh-CN" w:bidi="ar-SA"/>
    </w:rPr>
  </w:style>
  <w:style w:type="character" w:customStyle="1" w:styleId="147">
    <w:name w:val="Heading 1 Char"/>
    <w:autoRedefine/>
    <w:qFormat/>
    <w:locked/>
    <w:uiPriority w:val="0"/>
    <w:rPr>
      <w:rFonts w:ascii="宋体" w:eastAsia="宋体" w:cs="Times New Roman"/>
      <w:b/>
      <w:kern w:val="44"/>
      <w:sz w:val="30"/>
      <w:lang w:val="en-US" w:eastAsia="zh-CN"/>
    </w:rPr>
  </w:style>
  <w:style w:type="character" w:customStyle="1" w:styleId="148">
    <w:name w:val="样式3-3 Char"/>
    <w:link w:val="94"/>
    <w:autoRedefine/>
    <w:qFormat/>
    <w:locked/>
    <w:uiPriority w:val="0"/>
    <w:rPr>
      <w:rFonts w:ascii="黑体" w:hAnsi="华文中宋" w:eastAsia="黑体"/>
      <w:b/>
      <w:color w:val="000000"/>
      <w:sz w:val="32"/>
      <w:lang w:val="en-US" w:eastAsia="zh-CN"/>
    </w:rPr>
  </w:style>
  <w:style w:type="character" w:customStyle="1" w:styleId="149">
    <w:name w:val="样式2-1 Char Char"/>
    <w:autoRedefine/>
    <w:qFormat/>
    <w:locked/>
    <w:uiPriority w:val="0"/>
    <w:rPr>
      <w:rFonts w:ascii="华文中宋" w:hAnsi="华文中宋" w:eastAsia="华文中宋"/>
      <w:b/>
      <w:color w:val="000000"/>
      <w:kern w:val="2"/>
      <w:sz w:val="44"/>
      <w:lang w:val="en-US" w:eastAsia="zh-CN"/>
    </w:rPr>
  </w:style>
  <w:style w:type="character" w:customStyle="1" w:styleId="150">
    <w:name w:val="批注文字 Char"/>
    <w:link w:val="19"/>
    <w:autoRedefine/>
    <w:qFormat/>
    <w:locked/>
    <w:uiPriority w:val="99"/>
    <w:rPr>
      <w:rFonts w:eastAsia="宋体" w:cs="Times New Roman"/>
      <w:kern w:val="2"/>
      <w:sz w:val="24"/>
      <w:szCs w:val="24"/>
      <w:lang w:val="en-US" w:eastAsia="zh-CN" w:bidi="ar-SA"/>
    </w:rPr>
  </w:style>
  <w:style w:type="character" w:customStyle="1" w:styleId="151">
    <w:name w:val="CM104 Char"/>
    <w:link w:val="152"/>
    <w:autoRedefine/>
    <w:qFormat/>
    <w:locked/>
    <w:uiPriority w:val="0"/>
    <w:rPr>
      <w:rFonts w:ascii="宋体" w:hAnsi="Calibri" w:cs="宋体"/>
      <w:color w:val="000000"/>
      <w:sz w:val="24"/>
      <w:szCs w:val="24"/>
      <w:lang w:val="en-US" w:eastAsia="zh-CN" w:bidi="ar-SA"/>
    </w:rPr>
  </w:style>
  <w:style w:type="paragraph" w:customStyle="1" w:styleId="152">
    <w:name w:val="CM104"/>
    <w:basedOn w:val="144"/>
    <w:next w:val="144"/>
    <w:link w:val="151"/>
    <w:autoRedefine/>
    <w:qFormat/>
    <w:uiPriority w:val="0"/>
    <w:rPr>
      <w:rFonts w:cs="宋体"/>
      <w:sz w:val="24"/>
      <w:szCs w:val="24"/>
    </w:rPr>
  </w:style>
  <w:style w:type="character" w:customStyle="1" w:styleId="153">
    <w:name w:val="样式正文-1 Char Char"/>
    <w:autoRedefine/>
    <w:qFormat/>
    <w:locked/>
    <w:uiPriority w:val="0"/>
    <w:rPr>
      <w:rFonts w:ascii="Calibri" w:hAnsi="Calibri" w:eastAsia="宋体"/>
      <w:kern w:val="2"/>
      <w:sz w:val="22"/>
      <w:lang w:val="en-US" w:eastAsia="zh-CN"/>
    </w:rPr>
  </w:style>
  <w:style w:type="character" w:customStyle="1" w:styleId="154">
    <w:name w:val="标题 2 Char"/>
    <w:autoRedefine/>
    <w:qFormat/>
    <w:uiPriority w:val="0"/>
    <w:rPr>
      <w:sz w:val="28"/>
    </w:rPr>
  </w:style>
  <w:style w:type="character" w:customStyle="1" w:styleId="155">
    <w:name w:val="正文文本缩进 2 Char"/>
    <w:link w:val="35"/>
    <w:autoRedefine/>
    <w:qFormat/>
    <w:locked/>
    <w:uiPriority w:val="99"/>
    <w:rPr>
      <w:rFonts w:ascii="宋体" w:eastAsia="宋体" w:cs="Times New Roman"/>
      <w:kern w:val="2"/>
      <w:sz w:val="21"/>
      <w:szCs w:val="21"/>
      <w:lang w:val="en-US" w:eastAsia="zh-CN" w:bidi="ar-SA"/>
    </w:rPr>
  </w:style>
  <w:style w:type="character" w:customStyle="1" w:styleId="156">
    <w:name w:val="样式5-2 Char"/>
    <w:link w:val="157"/>
    <w:autoRedefine/>
    <w:qFormat/>
    <w:locked/>
    <w:uiPriority w:val="0"/>
    <w:rPr>
      <w:rFonts w:ascii="Calibri" w:hAnsi="Calibri" w:eastAsia="宋体"/>
      <w:b/>
      <w:kern w:val="2"/>
      <w:sz w:val="22"/>
      <w:lang w:val="en-US" w:eastAsia="zh-CN"/>
    </w:rPr>
  </w:style>
  <w:style w:type="paragraph" w:customStyle="1" w:styleId="157">
    <w:name w:val="样式5-2"/>
    <w:basedOn w:val="106"/>
    <w:link w:val="156"/>
    <w:autoRedefine/>
    <w:qFormat/>
    <w:uiPriority w:val="0"/>
    <w:pPr>
      <w:spacing w:before="312" w:after="312"/>
      <w:ind w:firstLine="482" w:firstLineChars="200"/>
    </w:pPr>
  </w:style>
  <w:style w:type="character" w:customStyle="1" w:styleId="158">
    <w:name w:val="样式4-2 Char Char"/>
    <w:autoRedefine/>
    <w:qFormat/>
    <w:locked/>
    <w:uiPriority w:val="0"/>
    <w:rPr>
      <w:rFonts w:ascii="Calibri" w:hAnsi="Calibri" w:eastAsia="宋体"/>
      <w:b/>
      <w:kern w:val="2"/>
      <w:sz w:val="22"/>
      <w:lang w:val="en-US" w:eastAsia="zh-CN"/>
    </w:rPr>
  </w:style>
  <w:style w:type="character" w:customStyle="1" w:styleId="159">
    <w:name w:val="批注框文本 Char"/>
    <w:link w:val="37"/>
    <w:autoRedefine/>
    <w:qFormat/>
    <w:locked/>
    <w:uiPriority w:val="99"/>
    <w:rPr>
      <w:rFonts w:eastAsia="宋体" w:cs="Times New Roman"/>
      <w:sz w:val="18"/>
      <w:szCs w:val="18"/>
      <w:lang w:val="en-US" w:eastAsia="zh-CN" w:bidi="ar-SA"/>
    </w:rPr>
  </w:style>
  <w:style w:type="character" w:customStyle="1" w:styleId="160">
    <w:name w:val="样式 段落编号 + (中文) 黑体 两端对齐 Char Char Char Char Char"/>
    <w:link w:val="161"/>
    <w:autoRedefine/>
    <w:qFormat/>
    <w:locked/>
    <w:uiPriority w:val="0"/>
    <w:rPr>
      <w:rFonts w:ascii="宋体" w:hAnsi="宋体" w:eastAsia="黑体"/>
      <w:kern w:val="2"/>
      <w:sz w:val="24"/>
      <w:lang w:val="en-US" w:eastAsia="zh-CN"/>
    </w:rPr>
  </w:style>
  <w:style w:type="paragraph" w:customStyle="1" w:styleId="161">
    <w:name w:val="样式 段落编号 + (中文) 黑体 两端对齐 Char Char Char Char"/>
    <w:basedOn w:val="1"/>
    <w:link w:val="160"/>
    <w:autoRedefine/>
    <w:qFormat/>
    <w:uiPriority w:val="0"/>
    <w:pPr>
      <w:widowControl w:val="0"/>
      <w:adjustRightInd w:val="0"/>
      <w:snapToGrid w:val="0"/>
      <w:spacing w:before="60" w:after="240" w:line="400" w:lineRule="exact"/>
      <w:ind w:left="482"/>
      <w:textAlignment w:val="baseline"/>
    </w:pPr>
    <w:rPr>
      <w:rFonts w:ascii="宋体" w:hAnsi="宋体" w:eastAsia="黑体"/>
      <w:kern w:val="2"/>
      <w:szCs w:val="20"/>
    </w:rPr>
  </w:style>
  <w:style w:type="character" w:customStyle="1" w:styleId="162">
    <w:name w:val="Document Map Char"/>
    <w:autoRedefine/>
    <w:qFormat/>
    <w:locked/>
    <w:uiPriority w:val="99"/>
    <w:rPr>
      <w:rFonts w:eastAsia="宋体" w:cs="Times New Roman"/>
      <w:kern w:val="2"/>
      <w:sz w:val="24"/>
      <w:lang w:val="en-US" w:eastAsia="zh-CN"/>
    </w:rPr>
  </w:style>
  <w:style w:type="character" w:customStyle="1" w:styleId="163">
    <w:name w:val="样式正文-2 Char Char"/>
    <w:autoRedefine/>
    <w:qFormat/>
    <w:locked/>
    <w:uiPriority w:val="0"/>
    <w:rPr>
      <w:rFonts w:ascii="Arial" w:hAnsi="Arial" w:eastAsia="宋体"/>
      <w:color w:val="000000"/>
      <w:sz w:val="24"/>
      <w:lang w:val="en-US" w:eastAsia="zh-CN"/>
    </w:rPr>
  </w:style>
  <w:style w:type="character" w:customStyle="1" w:styleId="164">
    <w:name w:val="标题 2 Char1"/>
    <w:link w:val="3"/>
    <w:autoRedefine/>
    <w:qFormat/>
    <w:locked/>
    <w:uiPriority w:val="0"/>
    <w:rPr>
      <w:rFonts w:ascii="宋体" w:hAnsi="Arial"/>
      <w:b/>
    </w:rPr>
  </w:style>
  <w:style w:type="character" w:customStyle="1" w:styleId="165">
    <w:name w:val="样式3-1 Char Char"/>
    <w:autoRedefine/>
    <w:qFormat/>
    <w:locked/>
    <w:uiPriority w:val="99"/>
    <w:rPr>
      <w:rFonts w:ascii="Arial" w:hAnsi="Arial" w:eastAsia="黑体"/>
      <w:b/>
      <w:color w:val="000000"/>
      <w:sz w:val="32"/>
      <w:lang w:val="en-US" w:eastAsia="zh-CN"/>
    </w:rPr>
  </w:style>
  <w:style w:type="character" w:customStyle="1" w:styleId="166">
    <w:name w:val="HTML 预设格式 Char"/>
    <w:link w:val="55"/>
    <w:autoRedefine/>
    <w:qFormat/>
    <w:uiPriority w:val="99"/>
    <w:rPr>
      <w:rFonts w:ascii="宋体" w:hAnsi="Calibri"/>
      <w:spacing w:val="4"/>
      <w:sz w:val="24"/>
      <w:szCs w:val="24"/>
      <w:lang w:eastAsia="en-US"/>
    </w:rPr>
  </w:style>
  <w:style w:type="character" w:customStyle="1" w:styleId="167">
    <w:name w:val="样式 段落编号 + (中文) 黑体 两端对齐 Char Char Char Char Char Char Char"/>
    <w:autoRedefine/>
    <w:qFormat/>
    <w:uiPriority w:val="0"/>
    <w:rPr>
      <w:rFonts w:ascii="宋体" w:hAnsi="宋体" w:eastAsia="黑体"/>
      <w:kern w:val="2"/>
      <w:sz w:val="24"/>
      <w:lang w:val="en-US" w:eastAsia="zh-CN"/>
    </w:rPr>
  </w:style>
  <w:style w:type="character" w:customStyle="1" w:styleId="168">
    <w:name w:val="Header Char"/>
    <w:autoRedefine/>
    <w:qFormat/>
    <w:locked/>
    <w:uiPriority w:val="0"/>
    <w:rPr>
      <w:rFonts w:ascii="宋体" w:eastAsia="宋体" w:cs="Times New Roman"/>
      <w:kern w:val="2"/>
      <w:sz w:val="18"/>
      <w:lang w:val="en-US" w:eastAsia="zh-CN"/>
    </w:rPr>
  </w:style>
  <w:style w:type="character" w:customStyle="1" w:styleId="169">
    <w:name w:val="页眉 Char"/>
    <w:link w:val="39"/>
    <w:autoRedefine/>
    <w:qFormat/>
    <w:locked/>
    <w:uiPriority w:val="99"/>
    <w:rPr>
      <w:rFonts w:ascii="宋体" w:eastAsia="宋体"/>
      <w:kern w:val="2"/>
      <w:sz w:val="18"/>
      <w:lang w:val="en-US" w:eastAsia="zh-CN"/>
    </w:rPr>
  </w:style>
  <w:style w:type="character" w:customStyle="1" w:styleId="170">
    <w:name w:val="样式3-2 Char"/>
    <w:link w:val="171"/>
    <w:autoRedefine/>
    <w:qFormat/>
    <w:locked/>
    <w:uiPriority w:val="0"/>
    <w:rPr>
      <w:rFonts w:ascii="黑体" w:eastAsia="黑体"/>
      <w:b/>
      <w:sz w:val="32"/>
      <w:lang w:val="en-US" w:eastAsia="zh-CN"/>
    </w:rPr>
  </w:style>
  <w:style w:type="paragraph" w:customStyle="1" w:styleId="171">
    <w:name w:val="样式3-2"/>
    <w:basedOn w:val="95"/>
    <w:link w:val="170"/>
    <w:autoRedefine/>
    <w:qFormat/>
    <w:uiPriority w:val="0"/>
    <w:pPr>
      <w:spacing w:beforeLines="100" w:afterLines="100"/>
      <w:jc w:val="center"/>
    </w:pPr>
    <w:rPr>
      <w:rFonts w:ascii="黑体" w:hAnsi="Times New Roman"/>
      <w:color w:val="auto"/>
    </w:rPr>
  </w:style>
  <w:style w:type="character" w:customStyle="1" w:styleId="172">
    <w:name w:val="HTML Markup"/>
    <w:autoRedefine/>
    <w:qFormat/>
    <w:uiPriority w:val="99"/>
    <w:rPr>
      <w:vanish/>
      <w:color w:val="FF0000"/>
    </w:rPr>
  </w:style>
  <w:style w:type="character" w:customStyle="1" w:styleId="173">
    <w:name w:val="样式3-3 Char Char"/>
    <w:autoRedefine/>
    <w:qFormat/>
    <w:locked/>
    <w:uiPriority w:val="0"/>
    <w:rPr>
      <w:rFonts w:ascii="黑体" w:hAnsi="华文中宋" w:eastAsia="黑体"/>
      <w:b/>
      <w:color w:val="000000"/>
      <w:sz w:val="32"/>
      <w:lang w:val="en-US" w:eastAsia="zh-CN"/>
    </w:rPr>
  </w:style>
  <w:style w:type="character" w:customStyle="1" w:styleId="174">
    <w:name w:val="样式4 Char Char"/>
    <w:link w:val="84"/>
    <w:autoRedefine/>
    <w:qFormat/>
    <w:locked/>
    <w:uiPriority w:val="0"/>
    <w:rPr>
      <w:rFonts w:ascii="宋体" w:eastAsia="宋体"/>
      <w:b/>
      <w:kern w:val="2"/>
      <w:sz w:val="24"/>
      <w:lang w:val="en-US" w:eastAsia="zh-CN"/>
    </w:rPr>
  </w:style>
  <w:style w:type="character" w:customStyle="1" w:styleId="175">
    <w:name w:val="样式4-1 Char"/>
    <w:link w:val="176"/>
    <w:autoRedefine/>
    <w:qFormat/>
    <w:locked/>
    <w:uiPriority w:val="0"/>
    <w:rPr>
      <w:rFonts w:ascii="Calibri" w:hAnsi="Calibri" w:eastAsia="宋体"/>
      <w:b/>
      <w:kern w:val="2"/>
      <w:sz w:val="22"/>
      <w:lang w:val="en-US" w:eastAsia="zh-CN"/>
    </w:rPr>
  </w:style>
  <w:style w:type="paragraph" w:customStyle="1" w:styleId="176">
    <w:name w:val="样式4-1"/>
    <w:basedOn w:val="98"/>
    <w:link w:val="175"/>
    <w:autoRedefine/>
    <w:qFormat/>
    <w:uiPriority w:val="99"/>
    <w:pPr>
      <w:spacing w:before="240" w:after="240"/>
      <w:outlineLvl w:val="3"/>
    </w:pPr>
    <w:rPr>
      <w:b/>
    </w:rPr>
  </w:style>
  <w:style w:type="character" w:customStyle="1" w:styleId="177">
    <w:name w:val="样式3 Char Char"/>
    <w:autoRedefine/>
    <w:qFormat/>
    <w:locked/>
    <w:uiPriority w:val="0"/>
    <w:rPr>
      <w:rFonts w:eastAsia="黑体"/>
      <w:sz w:val="24"/>
      <w:lang w:val="en-US" w:eastAsia="zh-CN"/>
    </w:rPr>
  </w:style>
  <w:style w:type="character" w:customStyle="1" w:styleId="178">
    <w:name w:val="样式 正文文本缩进 + 首行缩进:  2 字符 Char Char"/>
    <w:link w:val="179"/>
    <w:autoRedefine/>
    <w:qFormat/>
    <w:locked/>
    <w:uiPriority w:val="0"/>
    <w:rPr>
      <w:rFonts w:eastAsia="宋体"/>
      <w:sz w:val="24"/>
      <w:lang w:val="en-US" w:eastAsia="zh-CN"/>
    </w:rPr>
  </w:style>
  <w:style w:type="paragraph" w:customStyle="1" w:styleId="179">
    <w:name w:val="样式 正文文本缩进 + 首行缩进:  2 字符 Char"/>
    <w:basedOn w:val="24"/>
    <w:link w:val="178"/>
    <w:autoRedefine/>
    <w:qFormat/>
    <w:uiPriority w:val="0"/>
    <w:pPr>
      <w:widowControl w:val="0"/>
      <w:tabs>
        <w:tab w:val="left" w:pos="9016"/>
      </w:tabs>
      <w:overflowPunct/>
      <w:autoSpaceDE/>
      <w:autoSpaceDN/>
      <w:adjustRightInd/>
      <w:spacing w:line="500" w:lineRule="exact"/>
      <w:ind w:firstLine="480" w:firstLineChars="200"/>
      <w:jc w:val="left"/>
      <w:textAlignment w:val="auto"/>
    </w:pPr>
    <w:rPr>
      <w:rFonts w:ascii="Times New Roman" w:hAnsi="Times New Roman"/>
      <w:spacing w:val="0"/>
    </w:rPr>
  </w:style>
  <w:style w:type="character" w:customStyle="1" w:styleId="180">
    <w:name w:val="纯文本 Char"/>
    <w:link w:val="32"/>
    <w:autoRedefine/>
    <w:qFormat/>
    <w:locked/>
    <w:uiPriority w:val="99"/>
    <w:rPr>
      <w:rFonts w:ascii="宋体" w:hAnsi="Courier New" w:eastAsia="宋体" w:cs="Times New Roman"/>
      <w:kern w:val="2"/>
      <w:sz w:val="21"/>
      <w:lang w:val="en-US" w:eastAsia="zh-CN" w:bidi="ar-SA"/>
    </w:rPr>
  </w:style>
  <w:style w:type="character" w:customStyle="1" w:styleId="181">
    <w:name w:val="样式 黑体 小四 自定义颜色(RGB(1500))"/>
    <w:autoRedefine/>
    <w:qFormat/>
    <w:uiPriority w:val="0"/>
    <w:rPr>
      <w:rFonts w:ascii="Times New Roman" w:hAnsi="Times New Roman" w:eastAsia="黑体"/>
      <w:color w:val="0F0000"/>
      <w:kern w:val="0"/>
      <w:sz w:val="24"/>
    </w:rPr>
  </w:style>
  <w:style w:type="character" w:customStyle="1" w:styleId="182">
    <w:name w:val="明显引用 Char"/>
    <w:link w:val="183"/>
    <w:autoRedefine/>
    <w:qFormat/>
    <w:uiPriority w:val="0"/>
    <w:rPr>
      <w:i/>
      <w:iCs/>
      <w:color w:val="5B9BD5"/>
      <w:sz w:val="24"/>
      <w:szCs w:val="24"/>
    </w:rPr>
  </w:style>
  <w:style w:type="paragraph" w:styleId="183">
    <w:name w:val="Intense Quote"/>
    <w:basedOn w:val="1"/>
    <w:next w:val="1"/>
    <w:link w:val="182"/>
    <w:autoRedefine/>
    <w:qFormat/>
    <w:uiPriority w:val="0"/>
    <w:pPr>
      <w:pBdr>
        <w:top w:val="single" w:color="5B9BD5" w:sz="4" w:space="10"/>
        <w:bottom w:val="single" w:color="5B9BD5" w:sz="4" w:space="10"/>
      </w:pBdr>
      <w:spacing w:before="360" w:after="360"/>
      <w:ind w:left="864" w:right="864"/>
      <w:jc w:val="center"/>
    </w:pPr>
    <w:rPr>
      <w:i/>
      <w:iCs/>
      <w:color w:val="5B9BD5"/>
    </w:rPr>
  </w:style>
  <w:style w:type="character" w:customStyle="1" w:styleId="184">
    <w:name w:val="Default Char"/>
    <w:link w:val="144"/>
    <w:autoRedefine/>
    <w:qFormat/>
    <w:locked/>
    <w:uiPriority w:val="0"/>
    <w:rPr>
      <w:rFonts w:ascii="宋体" w:hAnsi="Calibri"/>
      <w:color w:val="000000"/>
      <w:sz w:val="22"/>
      <w:szCs w:val="22"/>
      <w:lang w:val="en-US" w:eastAsia="zh-CN" w:bidi="ar-SA"/>
    </w:rPr>
  </w:style>
  <w:style w:type="character" w:customStyle="1" w:styleId="185">
    <w:name w:val="4级标题（1.1项目概况) Char"/>
    <w:link w:val="186"/>
    <w:autoRedefine/>
    <w:qFormat/>
    <w:locked/>
    <w:uiPriority w:val="0"/>
    <w:rPr>
      <w:rFonts w:ascii="宋体" w:hAnsi="宋体" w:eastAsia="宋体"/>
      <w:b/>
      <w:kern w:val="2"/>
      <w:sz w:val="24"/>
      <w:lang w:val="en-US" w:eastAsia="zh-CN"/>
    </w:rPr>
  </w:style>
  <w:style w:type="paragraph" w:customStyle="1" w:styleId="186">
    <w:name w:val="4级标题（1.1项目概况)"/>
    <w:basedOn w:val="1"/>
    <w:link w:val="185"/>
    <w:autoRedefine/>
    <w:qFormat/>
    <w:locked/>
    <w:uiPriority w:val="0"/>
    <w:pPr>
      <w:widowControl w:val="0"/>
      <w:spacing w:line="360" w:lineRule="auto"/>
      <w:jc w:val="both"/>
      <w:outlineLvl w:val="3"/>
    </w:pPr>
    <w:rPr>
      <w:rFonts w:ascii="宋体" w:hAnsi="宋体"/>
      <w:b/>
      <w:kern w:val="2"/>
      <w:szCs w:val="20"/>
    </w:rPr>
  </w:style>
  <w:style w:type="character" w:customStyle="1" w:styleId="187">
    <w:name w:val="样式 正文文本缩进 + 首行缩进:  2 字符 Char Char Char Char"/>
    <w:autoRedefine/>
    <w:qFormat/>
    <w:uiPriority w:val="0"/>
    <w:rPr>
      <w:rFonts w:eastAsia="宋体"/>
      <w:sz w:val="24"/>
      <w:lang w:val="en-US" w:eastAsia="zh-CN"/>
    </w:rPr>
  </w:style>
  <w:style w:type="character" w:customStyle="1" w:styleId="188">
    <w:name w:val="1级标题（第一卷） Char Char"/>
    <w:autoRedefine/>
    <w:qFormat/>
    <w:locked/>
    <w:uiPriority w:val="0"/>
    <w:rPr>
      <w:rFonts w:ascii="黑体" w:hAnsi="华文中宋" w:eastAsia="黑体"/>
      <w:b/>
      <w:kern w:val="2"/>
      <w:sz w:val="48"/>
      <w:lang w:val="en-US" w:eastAsia="zh-CN"/>
    </w:rPr>
  </w:style>
  <w:style w:type="character" w:customStyle="1" w:styleId="189">
    <w:name w:val="HTML 预设格式 Char1"/>
    <w:autoRedefine/>
    <w:semiHidden/>
    <w:qFormat/>
    <w:uiPriority w:val="99"/>
    <w:rPr>
      <w:rFonts w:ascii="Courier New" w:hAnsi="Courier New" w:cs="Courier New"/>
    </w:rPr>
  </w:style>
  <w:style w:type="character" w:customStyle="1" w:styleId="190">
    <w:name w:val="标题 2 Char Char"/>
    <w:autoRedefine/>
    <w:qFormat/>
    <w:uiPriority w:val="0"/>
    <w:rPr>
      <w:sz w:val="28"/>
    </w:rPr>
  </w:style>
  <w:style w:type="character" w:customStyle="1" w:styleId="191">
    <w:name w:val="页脚 Char"/>
    <w:autoRedefine/>
    <w:qFormat/>
    <w:uiPriority w:val="99"/>
    <w:rPr>
      <w:sz w:val="18"/>
    </w:rPr>
  </w:style>
  <w:style w:type="character" w:customStyle="1" w:styleId="192">
    <w:name w:val="样式4-2 Char"/>
    <w:link w:val="193"/>
    <w:autoRedefine/>
    <w:qFormat/>
    <w:locked/>
    <w:uiPriority w:val="0"/>
    <w:rPr>
      <w:rFonts w:ascii="Calibri" w:hAnsi="Calibri" w:eastAsia="宋体"/>
      <w:b/>
      <w:kern w:val="2"/>
      <w:sz w:val="22"/>
      <w:lang w:val="en-US" w:eastAsia="zh-CN"/>
    </w:rPr>
  </w:style>
  <w:style w:type="paragraph" w:customStyle="1" w:styleId="193">
    <w:name w:val="样式4-2"/>
    <w:basedOn w:val="176"/>
    <w:link w:val="192"/>
    <w:autoRedefine/>
    <w:qFormat/>
    <w:uiPriority w:val="0"/>
    <w:pPr>
      <w:jc w:val="center"/>
    </w:pPr>
  </w:style>
  <w:style w:type="character" w:customStyle="1" w:styleId="194">
    <w:name w:val="样式1-1 Char"/>
    <w:link w:val="195"/>
    <w:autoRedefine/>
    <w:qFormat/>
    <w:locked/>
    <w:uiPriority w:val="0"/>
    <w:rPr>
      <w:rFonts w:ascii="华文中宋" w:hAnsi="华文中宋" w:eastAsia="华文中宋"/>
      <w:b/>
      <w:color w:val="000000"/>
      <w:sz w:val="52"/>
      <w:lang w:val="en-US" w:eastAsia="zh-CN"/>
    </w:rPr>
  </w:style>
  <w:style w:type="paragraph" w:customStyle="1" w:styleId="195">
    <w:name w:val="样式1-1"/>
    <w:basedOn w:val="1"/>
    <w:link w:val="194"/>
    <w:autoRedefine/>
    <w:qFormat/>
    <w:uiPriority w:val="0"/>
    <w:pPr>
      <w:widowControl w:val="0"/>
      <w:jc w:val="center"/>
      <w:outlineLvl w:val="0"/>
    </w:pPr>
    <w:rPr>
      <w:rFonts w:ascii="华文中宋" w:hAnsi="华文中宋" w:eastAsia="华文中宋"/>
      <w:b/>
      <w:color w:val="000000"/>
      <w:sz w:val="52"/>
      <w:szCs w:val="20"/>
    </w:rPr>
  </w:style>
  <w:style w:type="character" w:customStyle="1" w:styleId="196">
    <w:name w:val="标题 5 Char"/>
    <w:link w:val="6"/>
    <w:autoRedefine/>
    <w:qFormat/>
    <w:locked/>
    <w:uiPriority w:val="99"/>
    <w:rPr>
      <w:rFonts w:eastAsia="宋体" w:cs="Times New Roman"/>
      <w:sz w:val="24"/>
      <w:lang w:val="en-US" w:eastAsia="zh-CN" w:bidi="ar-SA"/>
    </w:rPr>
  </w:style>
  <w:style w:type="character" w:customStyle="1" w:styleId="197">
    <w:name w:val="样式5-1 Char Char"/>
    <w:autoRedefine/>
    <w:qFormat/>
    <w:locked/>
    <w:uiPriority w:val="0"/>
    <w:rPr>
      <w:rFonts w:ascii="Calibri" w:hAnsi="Calibri" w:eastAsia="宋体"/>
      <w:b/>
      <w:kern w:val="2"/>
      <w:sz w:val="22"/>
      <w:lang w:val="en-US" w:eastAsia="zh-CN"/>
    </w:rPr>
  </w:style>
  <w:style w:type="character" w:customStyle="1" w:styleId="198">
    <w:name w:val="样式1-1 Char Char"/>
    <w:autoRedefine/>
    <w:qFormat/>
    <w:locked/>
    <w:uiPriority w:val="0"/>
    <w:rPr>
      <w:rFonts w:ascii="华文中宋" w:hAnsi="华文中宋" w:eastAsia="华文中宋"/>
      <w:b/>
      <w:color w:val="000000"/>
      <w:sz w:val="52"/>
      <w:lang w:val="en-US" w:eastAsia="zh-CN"/>
    </w:rPr>
  </w:style>
  <w:style w:type="character" w:customStyle="1" w:styleId="199">
    <w:name w:val="文章正文 Char Char"/>
    <w:autoRedefine/>
    <w:qFormat/>
    <w:locked/>
    <w:uiPriority w:val="0"/>
    <w:rPr>
      <w:rFonts w:ascii="宋体" w:hAnsi="宋体" w:eastAsia="宋体"/>
      <w:kern w:val="2"/>
      <w:sz w:val="21"/>
      <w:lang w:val="en-US" w:eastAsia="zh-CN"/>
    </w:rPr>
  </w:style>
  <w:style w:type="character" w:customStyle="1" w:styleId="200">
    <w:name w:val="正文文本缩进 3 Char"/>
    <w:link w:val="47"/>
    <w:autoRedefine/>
    <w:qFormat/>
    <w:locked/>
    <w:uiPriority w:val="99"/>
    <w:rPr>
      <w:rFonts w:ascii="宋体" w:eastAsia="宋体" w:cs="Times New Roman"/>
      <w:kern w:val="2"/>
      <w:sz w:val="21"/>
      <w:szCs w:val="21"/>
      <w:lang w:val="en-US" w:eastAsia="zh-CN" w:bidi="ar-SA"/>
    </w:rPr>
  </w:style>
  <w:style w:type="character" w:customStyle="1" w:styleId="201">
    <w:name w:val="标题 3 Char1"/>
    <w:link w:val="4"/>
    <w:autoRedefine/>
    <w:qFormat/>
    <w:locked/>
    <w:uiPriority w:val="0"/>
    <w:rPr>
      <w:b/>
      <w:sz w:val="20"/>
    </w:rPr>
  </w:style>
  <w:style w:type="character" w:customStyle="1" w:styleId="202">
    <w:name w:val="样式4-1 Char Char"/>
    <w:autoRedefine/>
    <w:qFormat/>
    <w:locked/>
    <w:uiPriority w:val="99"/>
    <w:rPr>
      <w:rFonts w:ascii="Calibri" w:hAnsi="Calibri" w:eastAsia="宋体"/>
      <w:b/>
      <w:kern w:val="2"/>
      <w:sz w:val="22"/>
      <w:lang w:val="en-US" w:eastAsia="zh-CN"/>
    </w:rPr>
  </w:style>
  <w:style w:type="character" w:customStyle="1" w:styleId="203">
    <w:name w:val="正文文本 2 Char"/>
    <w:link w:val="51"/>
    <w:autoRedefine/>
    <w:qFormat/>
    <w:locked/>
    <w:uiPriority w:val="99"/>
    <w:rPr>
      <w:rFonts w:ascii="宋体" w:hAnsi="宋体" w:eastAsia="宋体" w:cs="Times New Roman"/>
      <w:color w:val="000000"/>
      <w:kern w:val="2"/>
      <w:sz w:val="24"/>
      <w:szCs w:val="24"/>
      <w:lang w:val="en-US" w:eastAsia="zh-CN" w:bidi="ar-SA"/>
    </w:rPr>
  </w:style>
  <w:style w:type="paragraph" w:customStyle="1" w:styleId="204">
    <w:name w:val="Char Char Char"/>
    <w:basedOn w:val="1"/>
    <w:autoRedefine/>
    <w:qFormat/>
    <w:uiPriority w:val="0"/>
    <w:pPr>
      <w:widowControl w:val="0"/>
      <w:ind w:left="432" w:hanging="432"/>
      <w:jc w:val="both"/>
    </w:pPr>
    <w:rPr>
      <w:kern w:val="2"/>
    </w:rPr>
  </w:style>
  <w:style w:type="paragraph" w:customStyle="1" w:styleId="205">
    <w:name w:val="CM17"/>
    <w:basedOn w:val="144"/>
    <w:next w:val="144"/>
    <w:autoRedefine/>
    <w:qFormat/>
    <w:uiPriority w:val="0"/>
    <w:rPr>
      <w:color w:val="auto"/>
    </w:rPr>
  </w:style>
  <w:style w:type="paragraph" w:customStyle="1" w:styleId="206">
    <w:name w:val="+标题1"/>
    <w:basedOn w:val="2"/>
    <w:autoRedefine/>
    <w:qFormat/>
    <w:uiPriority w:val="0"/>
    <w:pPr>
      <w:pageBreakBefore/>
      <w:tabs>
        <w:tab w:val="left" w:pos="927"/>
      </w:tabs>
      <w:spacing w:beforeLines="0" w:afterLines="0"/>
      <w:ind w:left="0" w:firstLine="567"/>
    </w:pPr>
    <w:rPr>
      <w:rFonts w:ascii="Times New Roman" w:eastAsia="黑体"/>
      <w:kern w:val="32"/>
      <w:sz w:val="32"/>
      <w:szCs w:val="32"/>
    </w:rPr>
  </w:style>
  <w:style w:type="paragraph" w:customStyle="1" w:styleId="207">
    <w:name w:val="CM126"/>
    <w:basedOn w:val="144"/>
    <w:next w:val="144"/>
    <w:autoRedefine/>
    <w:qFormat/>
    <w:uiPriority w:val="0"/>
    <w:rPr>
      <w:color w:val="auto"/>
    </w:rPr>
  </w:style>
  <w:style w:type="paragraph" w:customStyle="1" w:styleId="208">
    <w:name w:val="CM89"/>
    <w:basedOn w:val="144"/>
    <w:next w:val="144"/>
    <w:autoRedefine/>
    <w:qFormat/>
    <w:uiPriority w:val="0"/>
    <w:pPr>
      <w:spacing w:line="440" w:lineRule="atLeast"/>
    </w:pPr>
    <w:rPr>
      <w:color w:val="auto"/>
    </w:rPr>
  </w:style>
  <w:style w:type="paragraph" w:customStyle="1" w:styleId="209">
    <w:name w:val="样式 日期 + 黑体 三号"/>
    <w:basedOn w:val="34"/>
    <w:autoRedefine/>
    <w:qFormat/>
    <w:uiPriority w:val="0"/>
    <w:pPr>
      <w:spacing w:line="600" w:lineRule="exact"/>
    </w:pPr>
    <w:rPr>
      <w:rFonts w:ascii="黑体" w:hAnsi="黑体" w:eastAsia="黑体"/>
      <w:sz w:val="32"/>
      <w:szCs w:val="24"/>
    </w:rPr>
  </w:style>
  <w:style w:type="paragraph" w:customStyle="1" w:styleId="210">
    <w:name w:val="CM52"/>
    <w:basedOn w:val="144"/>
    <w:next w:val="144"/>
    <w:autoRedefine/>
    <w:qFormat/>
    <w:uiPriority w:val="0"/>
    <w:pPr>
      <w:spacing w:line="468" w:lineRule="atLeast"/>
    </w:pPr>
    <w:rPr>
      <w:color w:val="auto"/>
    </w:rPr>
  </w:style>
  <w:style w:type="paragraph" w:customStyle="1" w:styleId="211">
    <w:name w:val="第六行"/>
    <w:basedOn w:val="212"/>
    <w:autoRedefine/>
    <w:qFormat/>
    <w:uiPriority w:val="0"/>
    <w:pPr>
      <w:ind w:left="-200" w:leftChars="-200"/>
    </w:pPr>
  </w:style>
  <w:style w:type="paragraph" w:customStyle="1" w:styleId="212">
    <w:name w:val="样式 样式 样式 第五行 + 左侧:  -8 字符 段前: 2 行 + 左侧:  -6 字符 段前: 2 行 + 左侧:  -4..."/>
    <w:basedOn w:val="213"/>
    <w:autoRedefine/>
    <w:qFormat/>
    <w:uiPriority w:val="0"/>
    <w:rPr>
      <w:szCs w:val="28"/>
    </w:rPr>
  </w:style>
  <w:style w:type="paragraph" w:customStyle="1" w:styleId="213">
    <w:name w:val="样式 样式 第五行 + 左侧:  -8 字符 段前: 2 行 + 左侧:  -6 字符 段前: 2 行"/>
    <w:basedOn w:val="214"/>
    <w:autoRedefine/>
    <w:qFormat/>
    <w:uiPriority w:val="0"/>
    <w:pPr>
      <w:ind w:left="-400" w:leftChars="-400"/>
    </w:pPr>
  </w:style>
  <w:style w:type="paragraph" w:customStyle="1" w:styleId="214">
    <w:name w:val="样式 第五行 + 左侧:  -8 字符 段前: 2 行"/>
    <w:basedOn w:val="215"/>
    <w:autoRedefine/>
    <w:qFormat/>
    <w:uiPriority w:val="0"/>
    <w:pPr>
      <w:ind w:left="-600" w:leftChars="-600"/>
    </w:pPr>
    <w:rPr>
      <w:szCs w:val="20"/>
    </w:rPr>
  </w:style>
  <w:style w:type="paragraph" w:customStyle="1" w:styleId="215">
    <w:name w:val="第五行"/>
    <w:basedOn w:val="216"/>
    <w:autoRedefine/>
    <w:qFormat/>
    <w:uiPriority w:val="0"/>
    <w:pPr>
      <w:ind w:left="-800" w:leftChars="-800"/>
    </w:pPr>
  </w:style>
  <w:style w:type="paragraph" w:customStyle="1" w:styleId="216">
    <w:name w:val="第四行"/>
    <w:basedOn w:val="1"/>
    <w:autoRedefine/>
    <w:qFormat/>
    <w:uiPriority w:val="0"/>
    <w:pPr>
      <w:widowControl w:val="0"/>
      <w:spacing w:beforeLines="200" w:line="360" w:lineRule="auto"/>
      <w:ind w:left="-400" w:leftChars="-400"/>
      <w:jc w:val="center"/>
    </w:pPr>
    <w:rPr>
      <w:rFonts w:ascii="宋体"/>
      <w:b/>
      <w:bCs/>
      <w:kern w:val="2"/>
      <w:sz w:val="28"/>
      <w:szCs w:val="28"/>
    </w:rPr>
  </w:style>
  <w:style w:type="paragraph" w:customStyle="1" w:styleId="217">
    <w:name w:val="CM2"/>
    <w:basedOn w:val="144"/>
    <w:next w:val="144"/>
    <w:autoRedefine/>
    <w:qFormat/>
    <w:uiPriority w:val="0"/>
    <w:pPr>
      <w:spacing w:line="500" w:lineRule="atLeast"/>
    </w:pPr>
    <w:rPr>
      <w:color w:val="auto"/>
    </w:rPr>
  </w:style>
  <w:style w:type="paragraph" w:customStyle="1" w:styleId="218">
    <w:name w:val="CM59"/>
    <w:basedOn w:val="144"/>
    <w:next w:val="144"/>
    <w:autoRedefine/>
    <w:qFormat/>
    <w:uiPriority w:val="0"/>
    <w:rPr>
      <w:color w:val="auto"/>
    </w:rPr>
  </w:style>
  <w:style w:type="paragraph" w:customStyle="1" w:styleId="219">
    <w:name w:val="CM15"/>
    <w:basedOn w:val="144"/>
    <w:next w:val="144"/>
    <w:autoRedefine/>
    <w:qFormat/>
    <w:uiPriority w:val="0"/>
    <w:pPr>
      <w:spacing w:line="400" w:lineRule="atLeast"/>
    </w:pPr>
    <w:rPr>
      <w:color w:val="auto"/>
    </w:rPr>
  </w:style>
  <w:style w:type="paragraph" w:customStyle="1" w:styleId="220">
    <w:name w:val="CM106"/>
    <w:basedOn w:val="144"/>
    <w:next w:val="144"/>
    <w:autoRedefine/>
    <w:qFormat/>
    <w:uiPriority w:val="0"/>
    <w:rPr>
      <w:color w:val="auto"/>
    </w:rPr>
  </w:style>
  <w:style w:type="paragraph" w:customStyle="1" w:styleId="221">
    <w:name w:val="CM67"/>
    <w:basedOn w:val="144"/>
    <w:next w:val="144"/>
    <w:autoRedefine/>
    <w:qFormat/>
    <w:uiPriority w:val="0"/>
    <w:pPr>
      <w:spacing w:line="471" w:lineRule="atLeast"/>
    </w:pPr>
    <w:rPr>
      <w:color w:val="auto"/>
    </w:rPr>
  </w:style>
  <w:style w:type="paragraph" w:customStyle="1" w:styleId="222">
    <w:name w:val="CM122"/>
    <w:basedOn w:val="144"/>
    <w:next w:val="144"/>
    <w:autoRedefine/>
    <w:qFormat/>
    <w:uiPriority w:val="0"/>
    <w:rPr>
      <w:color w:val="auto"/>
    </w:rPr>
  </w:style>
  <w:style w:type="paragraph" w:customStyle="1" w:styleId="223">
    <w:name w:val="样式4"/>
    <w:basedOn w:val="23"/>
    <w:autoRedefine/>
    <w:qFormat/>
    <w:uiPriority w:val="99"/>
    <w:pPr>
      <w:spacing w:line="500" w:lineRule="exact"/>
      <w:ind w:firstLine="480" w:firstLineChars="200"/>
    </w:pPr>
  </w:style>
  <w:style w:type="paragraph" w:customStyle="1" w:styleId="224">
    <w:name w:val="CM50"/>
    <w:basedOn w:val="144"/>
    <w:next w:val="144"/>
    <w:autoRedefine/>
    <w:qFormat/>
    <w:uiPriority w:val="0"/>
    <w:rPr>
      <w:color w:val="auto"/>
    </w:rPr>
  </w:style>
  <w:style w:type="paragraph" w:customStyle="1" w:styleId="225">
    <w:name w:val="CM102"/>
    <w:basedOn w:val="144"/>
    <w:next w:val="144"/>
    <w:autoRedefine/>
    <w:qFormat/>
    <w:uiPriority w:val="0"/>
    <w:rPr>
      <w:color w:val="auto"/>
    </w:rPr>
  </w:style>
  <w:style w:type="paragraph" w:customStyle="1" w:styleId="226">
    <w:name w:val="p2"/>
    <w:basedOn w:val="1"/>
    <w:autoRedefine/>
    <w:qFormat/>
    <w:uiPriority w:val="0"/>
    <w:pPr>
      <w:spacing w:line="480" w:lineRule="auto"/>
      <w:ind w:firstLine="420"/>
    </w:pPr>
    <w:rPr>
      <w:rFonts w:ascii="宋体" w:hAnsi="宋体" w:cs="宋体"/>
      <w:szCs w:val="21"/>
    </w:rPr>
  </w:style>
  <w:style w:type="paragraph" w:customStyle="1" w:styleId="227">
    <w:name w:val="横表格"/>
    <w:basedOn w:val="228"/>
    <w:autoRedefine/>
    <w:qFormat/>
    <w:uiPriority w:val="0"/>
    <w:pPr>
      <w:spacing w:beforeLines="0" w:line="240" w:lineRule="auto"/>
    </w:pPr>
    <w:rPr>
      <w:b w:val="0"/>
    </w:rPr>
  </w:style>
  <w:style w:type="paragraph" w:customStyle="1" w:styleId="228">
    <w:name w:val="横表名"/>
    <w:basedOn w:val="1"/>
    <w:autoRedefine/>
    <w:qFormat/>
    <w:uiPriority w:val="0"/>
    <w:pPr>
      <w:widowControl w:val="0"/>
      <w:spacing w:beforeLines="50" w:line="360" w:lineRule="auto"/>
      <w:jc w:val="center"/>
    </w:pPr>
    <w:rPr>
      <w:rFonts w:ascii="宋体"/>
      <w:b/>
      <w:kern w:val="2"/>
      <w:sz w:val="21"/>
      <w:szCs w:val="21"/>
    </w:rPr>
  </w:style>
  <w:style w:type="paragraph" w:customStyle="1" w:styleId="229">
    <w:name w:val="正文1"/>
    <w:basedOn w:val="1"/>
    <w:autoRedefine/>
    <w:qFormat/>
    <w:uiPriority w:val="0"/>
    <w:pPr>
      <w:widowControl w:val="0"/>
      <w:spacing w:line="360" w:lineRule="auto"/>
      <w:ind w:firstLine="200" w:firstLineChars="200"/>
      <w:jc w:val="both"/>
    </w:pPr>
    <w:rPr>
      <w:rFonts w:ascii="宋体"/>
      <w:kern w:val="2"/>
      <w:sz w:val="21"/>
      <w:szCs w:val="21"/>
    </w:rPr>
  </w:style>
  <w:style w:type="paragraph" w:customStyle="1" w:styleId="230">
    <w:name w:val="菲页(卷)"/>
    <w:basedOn w:val="2"/>
    <w:next w:val="231"/>
    <w:autoRedefine/>
    <w:qFormat/>
    <w:uiPriority w:val="0"/>
    <w:pPr>
      <w:keepLines w:val="0"/>
      <w:widowControl/>
      <w:tabs>
        <w:tab w:val="left" w:pos="425"/>
      </w:tabs>
      <w:spacing w:beforeLines="0" w:afterLines="0" w:line="240" w:lineRule="auto"/>
      <w:ind w:left="425" w:hanging="425"/>
      <w:outlineLvl w:val="1"/>
    </w:pPr>
    <w:rPr>
      <w:rFonts w:ascii="黑体" w:eastAsia="黑体"/>
      <w:b w:val="0"/>
      <w:kern w:val="0"/>
      <w:sz w:val="52"/>
    </w:rPr>
  </w:style>
  <w:style w:type="paragraph" w:customStyle="1" w:styleId="231">
    <w:name w:val="正文3"/>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32">
    <w:name w:val="CM51"/>
    <w:basedOn w:val="144"/>
    <w:next w:val="144"/>
    <w:autoRedefine/>
    <w:qFormat/>
    <w:uiPriority w:val="0"/>
    <w:rPr>
      <w:color w:val="auto"/>
    </w:rPr>
  </w:style>
  <w:style w:type="paragraph" w:customStyle="1" w:styleId="233">
    <w:name w:val="1"/>
    <w:basedOn w:val="1"/>
    <w:next w:val="28"/>
    <w:autoRedefine/>
    <w:qFormat/>
    <w:uiPriority w:val="99"/>
    <w:pPr>
      <w:widowControl w:val="0"/>
      <w:adjustRightInd w:val="0"/>
      <w:ind w:left="420" w:right="33"/>
      <w:textAlignment w:val="baseline"/>
    </w:pPr>
    <w:rPr>
      <w:szCs w:val="20"/>
    </w:rPr>
  </w:style>
  <w:style w:type="paragraph" w:customStyle="1" w:styleId="234">
    <w:name w:val="样式 样式 样式 标题 3 + 首行缩进:  2 字符 + 首行缩进:  2 字符 + 首行缩进:  2 字符 Char"/>
    <w:basedOn w:val="1"/>
    <w:autoRedefine/>
    <w:qFormat/>
    <w:uiPriority w:val="0"/>
    <w:pPr>
      <w:keepNext/>
      <w:keepLines/>
      <w:widowControl w:val="0"/>
      <w:tabs>
        <w:tab w:val="left" w:pos="720"/>
        <w:tab w:val="left" w:pos="900"/>
        <w:tab w:val="left" w:pos="1350"/>
      </w:tabs>
      <w:adjustRightInd w:val="0"/>
      <w:snapToGrid w:val="0"/>
      <w:spacing w:before="120" w:after="120" w:line="500" w:lineRule="exact"/>
      <w:ind w:left="1189" w:hanging="1189"/>
      <w:textAlignment w:val="baseline"/>
      <w:outlineLvl w:val="2"/>
    </w:pPr>
    <w:rPr>
      <w:rFonts w:ascii="黑体" w:hAnsi="宋体" w:eastAsia="黑体" w:cs="宋体"/>
    </w:rPr>
  </w:style>
  <w:style w:type="paragraph" w:customStyle="1" w:styleId="235">
    <w:name w:val="样式6"/>
    <w:basedOn w:val="236"/>
    <w:autoRedefine/>
    <w:qFormat/>
    <w:uiPriority w:val="0"/>
  </w:style>
  <w:style w:type="paragraph" w:customStyle="1" w:styleId="236">
    <w:name w:val="表格内容"/>
    <w:basedOn w:val="1"/>
    <w:autoRedefine/>
    <w:qFormat/>
    <w:uiPriority w:val="0"/>
    <w:pPr>
      <w:spacing w:line="260" w:lineRule="exact"/>
      <w:jc w:val="center"/>
    </w:pPr>
    <w:rPr>
      <w:sz w:val="20"/>
      <w:szCs w:val="20"/>
    </w:rPr>
  </w:style>
  <w:style w:type="paragraph" w:customStyle="1" w:styleId="237">
    <w:name w:val="+标题3"/>
    <w:basedOn w:val="4"/>
    <w:autoRedefine/>
    <w:qFormat/>
    <w:uiPriority w:val="0"/>
    <w:pPr>
      <w:tabs>
        <w:tab w:val="left" w:pos="1260"/>
        <w:tab w:val="clear" w:pos="2160"/>
      </w:tabs>
      <w:spacing w:after="120" w:line="360" w:lineRule="auto"/>
      <w:ind w:left="1260" w:hanging="420" w:firstLineChars="0"/>
    </w:pPr>
    <w:rPr>
      <w:szCs w:val="28"/>
    </w:rPr>
  </w:style>
  <w:style w:type="paragraph" w:customStyle="1" w:styleId="238">
    <w:name w:val="CM27"/>
    <w:basedOn w:val="1"/>
    <w:next w:val="1"/>
    <w:autoRedefine/>
    <w:qFormat/>
    <w:uiPriority w:val="0"/>
    <w:pPr>
      <w:widowControl w:val="0"/>
      <w:autoSpaceDE w:val="0"/>
      <w:autoSpaceDN w:val="0"/>
      <w:adjustRightInd w:val="0"/>
      <w:spacing w:after="128"/>
    </w:pPr>
    <w:rPr>
      <w:rFonts w:ascii="宋体" w:cs="宋体"/>
    </w:rPr>
  </w:style>
  <w:style w:type="paragraph" w:customStyle="1" w:styleId="239">
    <w:name w:val="CM85"/>
    <w:basedOn w:val="144"/>
    <w:next w:val="144"/>
    <w:autoRedefine/>
    <w:qFormat/>
    <w:uiPriority w:val="0"/>
    <w:pPr>
      <w:spacing w:line="440" w:lineRule="atLeast"/>
    </w:pPr>
    <w:rPr>
      <w:color w:val="auto"/>
    </w:rPr>
  </w:style>
  <w:style w:type="paragraph" w:customStyle="1" w:styleId="240">
    <w:name w:val="CM114"/>
    <w:basedOn w:val="144"/>
    <w:next w:val="144"/>
    <w:autoRedefine/>
    <w:qFormat/>
    <w:uiPriority w:val="0"/>
    <w:rPr>
      <w:color w:val="auto"/>
    </w:rPr>
  </w:style>
  <w:style w:type="paragraph" w:customStyle="1" w:styleId="241">
    <w:name w:val="样式 第四行 + 左侧:  -4 字符 段前: 2 行"/>
    <w:basedOn w:val="216"/>
    <w:autoRedefine/>
    <w:qFormat/>
    <w:uiPriority w:val="0"/>
    <w:pPr>
      <w:ind w:left="-300" w:leftChars="-300"/>
    </w:pPr>
    <w:rPr>
      <w:szCs w:val="20"/>
    </w:rPr>
  </w:style>
  <w:style w:type="paragraph" w:customStyle="1" w:styleId="242">
    <w:name w:val="Char Char Char Char"/>
    <w:basedOn w:val="1"/>
    <w:autoRedefine/>
    <w:qFormat/>
    <w:uiPriority w:val="99"/>
    <w:pPr>
      <w:spacing w:after="160" w:line="240" w:lineRule="exact"/>
    </w:pPr>
    <w:rPr>
      <w:rFonts w:ascii="Verdana" w:hAnsi="Verdana" w:eastAsia="仿宋_GB2312"/>
      <w:szCs w:val="20"/>
      <w:lang w:eastAsia="en-US"/>
    </w:rPr>
  </w:style>
  <w:style w:type="paragraph" w:customStyle="1" w:styleId="243">
    <w:name w:val="CM18"/>
    <w:basedOn w:val="144"/>
    <w:next w:val="144"/>
    <w:autoRedefine/>
    <w:qFormat/>
    <w:uiPriority w:val="0"/>
    <w:pPr>
      <w:spacing w:line="400" w:lineRule="atLeast"/>
    </w:pPr>
    <w:rPr>
      <w:color w:val="auto"/>
    </w:rPr>
  </w:style>
  <w:style w:type="paragraph" w:customStyle="1" w:styleId="244">
    <w:name w:val="菲页1"/>
    <w:basedOn w:val="3"/>
    <w:autoRedefine/>
    <w:qFormat/>
    <w:uiPriority w:val="0"/>
    <w:pPr>
      <w:keepLines/>
      <w:widowControl/>
      <w:tabs>
        <w:tab w:val="clear" w:pos="840"/>
      </w:tabs>
      <w:spacing w:beforeLines="0" w:after="260" w:line="416" w:lineRule="auto"/>
      <w:ind w:left="0" w:firstLine="0"/>
      <w:jc w:val="center"/>
    </w:pPr>
    <w:rPr>
      <w:rFonts w:ascii="黑体" w:hAnsi="宋体" w:eastAsia="黑体"/>
      <w:b w:val="0"/>
      <w:sz w:val="52"/>
    </w:rPr>
  </w:style>
  <w:style w:type="paragraph" w:customStyle="1" w:styleId="245">
    <w:name w:val="CM86"/>
    <w:basedOn w:val="144"/>
    <w:next w:val="144"/>
    <w:autoRedefine/>
    <w:qFormat/>
    <w:uiPriority w:val="0"/>
    <w:pPr>
      <w:spacing w:line="440" w:lineRule="atLeast"/>
    </w:pPr>
    <w:rPr>
      <w:color w:val="auto"/>
    </w:rPr>
  </w:style>
  <w:style w:type="paragraph" w:customStyle="1" w:styleId="246">
    <w:name w:val="Char Char Char Char Char Char Char1"/>
    <w:basedOn w:val="1"/>
    <w:autoRedefine/>
    <w:qFormat/>
    <w:uiPriority w:val="0"/>
    <w:pPr>
      <w:spacing w:after="160" w:line="240" w:lineRule="exact"/>
    </w:pPr>
    <w:rPr>
      <w:kern w:val="2"/>
      <w:sz w:val="21"/>
    </w:rPr>
  </w:style>
  <w:style w:type="paragraph" w:customStyle="1" w:styleId="247">
    <w:name w:val="CM31"/>
    <w:basedOn w:val="144"/>
    <w:next w:val="144"/>
    <w:autoRedefine/>
    <w:qFormat/>
    <w:uiPriority w:val="0"/>
    <w:rPr>
      <w:color w:val="auto"/>
    </w:rPr>
  </w:style>
  <w:style w:type="paragraph" w:customStyle="1" w:styleId="248">
    <w:name w:val="第三行"/>
    <w:basedOn w:val="1"/>
    <w:autoRedefine/>
    <w:qFormat/>
    <w:uiPriority w:val="0"/>
    <w:pPr>
      <w:widowControl w:val="0"/>
      <w:spacing w:beforeLines="200" w:line="360" w:lineRule="auto"/>
      <w:jc w:val="center"/>
    </w:pPr>
    <w:rPr>
      <w:rFonts w:ascii="楷体_GB2312" w:eastAsia="楷体_GB2312"/>
      <w:b/>
      <w:bCs/>
      <w:kern w:val="2"/>
      <w:sz w:val="48"/>
      <w:szCs w:val="48"/>
    </w:rPr>
  </w:style>
  <w:style w:type="paragraph" w:customStyle="1" w:styleId="249">
    <w:name w:val="CM32"/>
    <w:basedOn w:val="144"/>
    <w:next w:val="144"/>
    <w:autoRedefine/>
    <w:qFormat/>
    <w:uiPriority w:val="0"/>
    <w:pPr>
      <w:spacing w:line="400" w:lineRule="atLeast"/>
    </w:pPr>
    <w:rPr>
      <w:color w:val="auto"/>
    </w:rPr>
  </w:style>
  <w:style w:type="paragraph" w:customStyle="1" w:styleId="250">
    <w:name w:val="CM109"/>
    <w:basedOn w:val="144"/>
    <w:next w:val="144"/>
    <w:autoRedefine/>
    <w:qFormat/>
    <w:uiPriority w:val="0"/>
    <w:rPr>
      <w:color w:val="auto"/>
    </w:rPr>
  </w:style>
  <w:style w:type="paragraph" w:customStyle="1" w:styleId="251">
    <w:name w:val="CM44"/>
    <w:basedOn w:val="144"/>
    <w:next w:val="144"/>
    <w:autoRedefine/>
    <w:qFormat/>
    <w:uiPriority w:val="0"/>
    <w:rPr>
      <w:color w:val="auto"/>
    </w:rPr>
  </w:style>
  <w:style w:type="paragraph" w:customStyle="1" w:styleId="252">
    <w:name w:val="CM91"/>
    <w:basedOn w:val="144"/>
    <w:next w:val="144"/>
    <w:autoRedefine/>
    <w:qFormat/>
    <w:uiPriority w:val="99"/>
    <w:pPr>
      <w:spacing w:line="443" w:lineRule="atLeast"/>
    </w:pPr>
    <w:rPr>
      <w:color w:val="auto"/>
    </w:rPr>
  </w:style>
  <w:style w:type="paragraph" w:customStyle="1" w:styleId="253">
    <w:name w:val="第1行"/>
    <w:basedOn w:val="1"/>
    <w:autoRedefine/>
    <w:qFormat/>
    <w:uiPriority w:val="0"/>
    <w:pPr>
      <w:widowControl w:val="0"/>
      <w:tabs>
        <w:tab w:val="left" w:pos="927"/>
      </w:tabs>
      <w:snapToGrid w:val="0"/>
      <w:spacing w:line="460" w:lineRule="exact"/>
      <w:ind w:firstLine="567"/>
      <w:jc w:val="both"/>
    </w:pPr>
    <w:rPr>
      <w:rFonts w:ascii="宋体" w:hAnsi="宋体"/>
      <w:kern w:val="2"/>
      <w:sz w:val="21"/>
      <w:szCs w:val="28"/>
    </w:rPr>
  </w:style>
  <w:style w:type="paragraph" w:customStyle="1" w:styleId="254">
    <w:name w:val="CM47"/>
    <w:basedOn w:val="144"/>
    <w:next w:val="144"/>
    <w:autoRedefine/>
    <w:qFormat/>
    <w:uiPriority w:val="0"/>
    <w:pPr>
      <w:spacing w:line="400" w:lineRule="atLeast"/>
    </w:pPr>
    <w:rPr>
      <w:color w:val="auto"/>
    </w:rPr>
  </w:style>
  <w:style w:type="paragraph" w:customStyle="1" w:styleId="255">
    <w:name w:val="CM3"/>
    <w:basedOn w:val="144"/>
    <w:next w:val="144"/>
    <w:autoRedefine/>
    <w:qFormat/>
    <w:uiPriority w:val="0"/>
    <w:pPr>
      <w:spacing w:line="433" w:lineRule="atLeast"/>
    </w:pPr>
    <w:rPr>
      <w:color w:val="auto"/>
    </w:rPr>
  </w:style>
  <w:style w:type="paragraph" w:customStyle="1" w:styleId="256">
    <w:name w:val="CM62"/>
    <w:basedOn w:val="144"/>
    <w:next w:val="144"/>
    <w:autoRedefine/>
    <w:qFormat/>
    <w:uiPriority w:val="0"/>
    <w:pPr>
      <w:spacing w:line="468" w:lineRule="atLeast"/>
    </w:pPr>
    <w:rPr>
      <w:color w:val="auto"/>
    </w:rPr>
  </w:style>
  <w:style w:type="paragraph" w:customStyle="1" w:styleId="257">
    <w:name w:val="CM112"/>
    <w:basedOn w:val="144"/>
    <w:next w:val="144"/>
    <w:autoRedefine/>
    <w:qFormat/>
    <w:uiPriority w:val="0"/>
    <w:rPr>
      <w:color w:val="auto"/>
    </w:rPr>
  </w:style>
  <w:style w:type="paragraph" w:customStyle="1" w:styleId="258">
    <w:name w:val="样式 样式 样式 第六行 + 左侧:  -2 字符 段前: 2 行 + 左侧:  -10 字符 段前: 2 行 + 左侧:  -..."/>
    <w:basedOn w:val="259"/>
    <w:autoRedefine/>
    <w:qFormat/>
    <w:uiPriority w:val="0"/>
    <w:pPr>
      <w:ind w:left="-1200" w:leftChars="-1200"/>
    </w:pPr>
    <w:rPr>
      <w:szCs w:val="20"/>
    </w:rPr>
  </w:style>
  <w:style w:type="paragraph" w:customStyle="1" w:styleId="259">
    <w:name w:val="样式 样式 第六行 + 左侧:  -2 字符 段前: 2 行 + 左侧:  -10 字符 段前: 2 行"/>
    <w:basedOn w:val="260"/>
    <w:autoRedefine/>
    <w:qFormat/>
    <w:uiPriority w:val="0"/>
    <w:pPr>
      <w:ind w:left="-1100" w:leftChars="-1100"/>
    </w:pPr>
    <w:rPr>
      <w:szCs w:val="28"/>
    </w:rPr>
  </w:style>
  <w:style w:type="paragraph" w:customStyle="1" w:styleId="260">
    <w:name w:val="样式 第六行 + 左侧:  -2 字符 段前: 2 行"/>
    <w:basedOn w:val="211"/>
    <w:autoRedefine/>
    <w:qFormat/>
    <w:uiPriority w:val="0"/>
    <w:pPr>
      <w:ind w:left="-1000" w:leftChars="-1000"/>
    </w:pPr>
    <w:rPr>
      <w:szCs w:val="20"/>
    </w:rPr>
  </w:style>
  <w:style w:type="paragraph" w:customStyle="1" w:styleId="261">
    <w:name w:val="Char Char Char1"/>
    <w:basedOn w:val="1"/>
    <w:autoRedefine/>
    <w:qFormat/>
    <w:uiPriority w:val="0"/>
    <w:pPr>
      <w:widowControl w:val="0"/>
      <w:ind w:left="432" w:hanging="432"/>
      <w:jc w:val="both"/>
    </w:pPr>
    <w:rPr>
      <w:kern w:val="2"/>
    </w:rPr>
  </w:style>
  <w:style w:type="paragraph" w:customStyle="1" w:styleId="262">
    <w:name w:val="Char2"/>
    <w:basedOn w:val="1"/>
    <w:autoRedefine/>
    <w:qFormat/>
    <w:uiPriority w:val="99"/>
    <w:pPr>
      <w:widowControl w:val="0"/>
      <w:ind w:left="432" w:hanging="432"/>
      <w:jc w:val="both"/>
    </w:pPr>
    <w:rPr>
      <w:kern w:val="2"/>
    </w:rPr>
  </w:style>
  <w:style w:type="paragraph" w:customStyle="1" w:styleId="263">
    <w:name w:val="CM97"/>
    <w:basedOn w:val="144"/>
    <w:next w:val="144"/>
    <w:autoRedefine/>
    <w:qFormat/>
    <w:uiPriority w:val="0"/>
    <w:pPr>
      <w:spacing w:line="440" w:lineRule="atLeast"/>
    </w:pPr>
    <w:rPr>
      <w:color w:val="auto"/>
    </w:rPr>
  </w:style>
  <w:style w:type="paragraph" w:customStyle="1" w:styleId="264">
    <w:name w:val="CM54"/>
    <w:basedOn w:val="144"/>
    <w:next w:val="144"/>
    <w:autoRedefine/>
    <w:qFormat/>
    <w:uiPriority w:val="0"/>
    <w:pPr>
      <w:spacing w:line="468" w:lineRule="atLeast"/>
    </w:pPr>
    <w:rPr>
      <w:color w:val="auto"/>
    </w:rPr>
  </w:style>
  <w:style w:type="paragraph" w:customStyle="1" w:styleId="265">
    <w:name w:val="正文21"/>
    <w:basedOn w:val="1"/>
    <w:autoRedefine/>
    <w:qFormat/>
    <w:uiPriority w:val="0"/>
    <w:pPr>
      <w:widowControl w:val="0"/>
      <w:spacing w:line="360" w:lineRule="auto"/>
      <w:ind w:right="200" w:rightChars="200"/>
      <w:jc w:val="right"/>
    </w:pPr>
    <w:rPr>
      <w:rFonts w:ascii="宋体"/>
      <w:kern w:val="2"/>
      <w:sz w:val="21"/>
      <w:szCs w:val="21"/>
    </w:rPr>
  </w:style>
  <w:style w:type="paragraph" w:customStyle="1" w:styleId="266">
    <w:name w:val="样式9"/>
    <w:basedOn w:val="4"/>
    <w:autoRedefine/>
    <w:qFormat/>
    <w:uiPriority w:val="0"/>
    <w:pPr>
      <w:widowControl/>
      <w:tabs>
        <w:tab w:val="left" w:pos="3660"/>
        <w:tab w:val="clear" w:pos="2160"/>
      </w:tabs>
      <w:spacing w:before="160" w:after="120" w:line="500" w:lineRule="exact"/>
      <w:ind w:left="3660" w:hanging="720"/>
      <w:jc w:val="left"/>
    </w:pPr>
    <w:rPr>
      <w:rFonts w:eastAsia="黑体"/>
    </w:rPr>
  </w:style>
  <w:style w:type="paragraph" w:customStyle="1" w:styleId="267">
    <w:name w:val="CM96"/>
    <w:basedOn w:val="144"/>
    <w:next w:val="144"/>
    <w:autoRedefine/>
    <w:qFormat/>
    <w:uiPriority w:val="0"/>
    <w:pPr>
      <w:spacing w:line="626" w:lineRule="atLeast"/>
    </w:pPr>
    <w:rPr>
      <w:color w:val="auto"/>
    </w:rPr>
  </w:style>
  <w:style w:type="paragraph" w:customStyle="1" w:styleId="268">
    <w:name w:val="Char"/>
    <w:basedOn w:val="1"/>
    <w:autoRedefine/>
    <w:qFormat/>
    <w:uiPriority w:val="0"/>
    <w:pPr>
      <w:widowControl w:val="0"/>
      <w:ind w:left="432" w:hanging="432"/>
      <w:jc w:val="both"/>
    </w:pPr>
    <w:rPr>
      <w:kern w:val="2"/>
    </w:rPr>
  </w:style>
  <w:style w:type="paragraph" w:customStyle="1" w:styleId="269">
    <w:name w:val="CM23"/>
    <w:basedOn w:val="144"/>
    <w:next w:val="144"/>
    <w:autoRedefine/>
    <w:qFormat/>
    <w:uiPriority w:val="0"/>
    <w:pPr>
      <w:spacing w:line="400" w:lineRule="atLeast"/>
    </w:pPr>
    <w:rPr>
      <w:color w:val="auto"/>
    </w:rPr>
  </w:style>
  <w:style w:type="paragraph" w:customStyle="1" w:styleId="270">
    <w:name w:val="Char11"/>
    <w:basedOn w:val="1"/>
    <w:autoRedefine/>
    <w:qFormat/>
    <w:uiPriority w:val="0"/>
    <w:pPr>
      <w:widowControl w:val="0"/>
      <w:jc w:val="both"/>
    </w:pPr>
    <w:rPr>
      <w:kern w:val="2"/>
      <w:sz w:val="21"/>
    </w:rPr>
  </w:style>
  <w:style w:type="paragraph" w:customStyle="1" w:styleId="271">
    <w:name w:val="CM4"/>
    <w:basedOn w:val="144"/>
    <w:next w:val="272"/>
    <w:autoRedefine/>
    <w:qFormat/>
    <w:uiPriority w:val="0"/>
    <w:pPr>
      <w:spacing w:line="433" w:lineRule="atLeast"/>
    </w:pPr>
    <w:rPr>
      <w:color w:val="auto"/>
    </w:rPr>
  </w:style>
  <w:style w:type="paragraph" w:customStyle="1" w:styleId="272">
    <w:name w:val="Normal_0"/>
    <w:autoRedefine/>
    <w:qFormat/>
    <w:uiPriority w:val="0"/>
    <w:pPr>
      <w:widowControl w:val="0"/>
      <w:jc w:val="both"/>
    </w:pPr>
    <w:rPr>
      <w:rFonts w:ascii="Times New Roman" w:hAnsi="Times New Roman" w:eastAsia="宋体" w:cs="Times New Roman"/>
      <w:lang w:val="en-US" w:eastAsia="zh-CN" w:bidi="ar-SA"/>
    </w:rPr>
  </w:style>
  <w:style w:type="paragraph" w:customStyle="1" w:styleId="273">
    <w:name w:val="第二行"/>
    <w:basedOn w:val="1"/>
    <w:autoRedefine/>
    <w:qFormat/>
    <w:uiPriority w:val="0"/>
    <w:pPr>
      <w:widowControl w:val="0"/>
      <w:spacing w:beforeLines="100" w:line="360" w:lineRule="auto"/>
      <w:jc w:val="center"/>
    </w:pPr>
    <w:rPr>
      <w:rFonts w:ascii="宋体"/>
      <w:b/>
      <w:bCs/>
      <w:kern w:val="2"/>
      <w:sz w:val="36"/>
      <w:szCs w:val="36"/>
    </w:rPr>
  </w:style>
  <w:style w:type="paragraph" w:styleId="274">
    <w:name w:val="List Paragraph"/>
    <w:basedOn w:val="1"/>
    <w:autoRedefine/>
    <w:qFormat/>
    <w:uiPriority w:val="34"/>
    <w:pPr>
      <w:widowControl w:val="0"/>
      <w:ind w:firstLine="420" w:firstLineChars="200"/>
      <w:jc w:val="both"/>
    </w:pPr>
    <w:rPr>
      <w:rFonts w:ascii="Calibri" w:hAnsi="Calibri"/>
      <w:kern w:val="2"/>
      <w:sz w:val="21"/>
      <w:szCs w:val="22"/>
    </w:rPr>
  </w:style>
  <w:style w:type="paragraph" w:customStyle="1" w:styleId="275">
    <w:name w:val="样式 表格内容 + 居中"/>
    <w:basedOn w:val="236"/>
    <w:autoRedefine/>
    <w:qFormat/>
    <w:uiPriority w:val="0"/>
    <w:rPr>
      <w:rFonts w:cs="宋体"/>
    </w:rPr>
  </w:style>
  <w:style w:type="paragraph" w:customStyle="1" w:styleId="276">
    <w:name w:val="+标题4"/>
    <w:basedOn w:val="5"/>
    <w:autoRedefine/>
    <w:qFormat/>
    <w:uiPriority w:val="0"/>
    <w:pPr>
      <w:keepNext/>
      <w:keepLines/>
      <w:tabs>
        <w:tab w:val="left" w:pos="1680"/>
      </w:tabs>
      <w:spacing w:beforeLines="0" w:after="120" w:line="360" w:lineRule="auto"/>
      <w:ind w:left="1680" w:hanging="420"/>
    </w:pPr>
    <w:rPr>
      <w:rFonts w:ascii="Times New Roman" w:hAnsi="Times New Roman"/>
      <w:szCs w:val="28"/>
    </w:rPr>
  </w:style>
  <w:style w:type="paragraph" w:customStyle="1" w:styleId="277">
    <w:name w:val="表标题"/>
    <w:basedOn w:val="1"/>
    <w:autoRedefine/>
    <w:qFormat/>
    <w:uiPriority w:val="0"/>
    <w:pPr>
      <w:spacing w:beforeLines="100" w:line="280" w:lineRule="exact"/>
      <w:ind w:firstLine="50" w:firstLineChars="50"/>
    </w:pPr>
    <w:rPr>
      <w:rFonts w:eastAsia="黑体"/>
    </w:rPr>
  </w:style>
  <w:style w:type="paragraph" w:customStyle="1" w:styleId="278">
    <w:name w:val="CM36"/>
    <w:basedOn w:val="144"/>
    <w:next w:val="144"/>
    <w:autoRedefine/>
    <w:qFormat/>
    <w:uiPriority w:val="0"/>
    <w:pPr>
      <w:spacing w:line="400" w:lineRule="atLeast"/>
    </w:pPr>
    <w:rPr>
      <w:color w:val="auto"/>
    </w:rPr>
  </w:style>
  <w:style w:type="paragraph" w:customStyle="1" w:styleId="279">
    <w:name w:val="目录"/>
    <w:basedOn w:val="1"/>
    <w:autoRedefine/>
    <w:qFormat/>
    <w:uiPriority w:val="99"/>
    <w:pPr>
      <w:jc w:val="center"/>
    </w:pPr>
    <w:rPr>
      <w:rFonts w:ascii="宋体"/>
      <w:b/>
      <w:sz w:val="36"/>
      <w:szCs w:val="20"/>
    </w:rPr>
  </w:style>
  <w:style w:type="paragraph" w:customStyle="1" w:styleId="280">
    <w:name w:val="样式5"/>
    <w:basedOn w:val="223"/>
    <w:autoRedefine/>
    <w:qFormat/>
    <w:uiPriority w:val="0"/>
    <w:pPr>
      <w:spacing w:beforeLines="80" w:afterLines="60"/>
      <w:ind w:firstLine="0" w:firstLineChars="0"/>
      <w:jc w:val="center"/>
    </w:pPr>
    <w:rPr>
      <w:rFonts w:ascii="黑体" w:eastAsia="黑体"/>
      <w:sz w:val="32"/>
      <w:szCs w:val="32"/>
    </w:rPr>
  </w:style>
  <w:style w:type="paragraph" w:customStyle="1" w:styleId="281">
    <w:name w:val="TOC 标题1"/>
    <w:basedOn w:val="2"/>
    <w:next w:val="1"/>
    <w:autoRedefine/>
    <w:qFormat/>
    <w:uiPriority w:val="0"/>
    <w:pPr>
      <w:widowControl/>
      <w:spacing w:beforeLines="0" w:afterLines="0" w:line="276" w:lineRule="auto"/>
      <w:ind w:left="0"/>
      <w:jc w:val="left"/>
      <w:outlineLvl w:val="9"/>
    </w:pPr>
    <w:rPr>
      <w:rFonts w:ascii="Cambria" w:hAnsi="Cambria"/>
      <w:color w:val="365F91"/>
      <w:kern w:val="0"/>
      <w:sz w:val="28"/>
      <w:szCs w:val="28"/>
    </w:rPr>
  </w:style>
  <w:style w:type="paragraph" w:customStyle="1" w:styleId="282">
    <w:name w:val="CM108"/>
    <w:basedOn w:val="144"/>
    <w:next w:val="144"/>
    <w:autoRedefine/>
    <w:qFormat/>
    <w:uiPriority w:val="0"/>
    <w:rPr>
      <w:color w:val="auto"/>
    </w:rPr>
  </w:style>
  <w:style w:type="paragraph" w:customStyle="1" w:styleId="283">
    <w:name w:val="Preformatted"/>
    <w:basedOn w:val="1"/>
    <w:autoRedefine/>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sz w:val="20"/>
      <w:szCs w:val="20"/>
    </w:rPr>
  </w:style>
  <w:style w:type="paragraph" w:customStyle="1" w:styleId="284">
    <w:name w:val="样式 正文文本缩进 + 首行缩进:  2 字符"/>
    <w:basedOn w:val="24"/>
    <w:autoRedefine/>
    <w:qFormat/>
    <w:uiPriority w:val="0"/>
    <w:pPr>
      <w:widowControl w:val="0"/>
      <w:tabs>
        <w:tab w:val="left" w:pos="9016"/>
      </w:tabs>
      <w:overflowPunct/>
      <w:autoSpaceDE/>
      <w:autoSpaceDN/>
      <w:adjustRightInd/>
      <w:spacing w:line="500" w:lineRule="exact"/>
      <w:ind w:firstLine="480" w:firstLineChars="200"/>
      <w:jc w:val="left"/>
      <w:textAlignment w:val="auto"/>
    </w:pPr>
    <w:rPr>
      <w:rFonts w:ascii="Times New Roman" w:hAnsi="Times New Roman" w:cs="宋体"/>
      <w:spacing w:val="0"/>
      <w:szCs w:val="24"/>
    </w:rPr>
  </w:style>
  <w:style w:type="paragraph" w:customStyle="1" w:styleId="285">
    <w:name w:val="Char1"/>
    <w:basedOn w:val="1"/>
    <w:autoRedefine/>
    <w:qFormat/>
    <w:uiPriority w:val="99"/>
    <w:pPr>
      <w:widowControl w:val="0"/>
      <w:jc w:val="both"/>
    </w:pPr>
    <w:rPr>
      <w:kern w:val="2"/>
      <w:sz w:val="21"/>
    </w:rPr>
  </w:style>
  <w:style w:type="paragraph" w:customStyle="1" w:styleId="286">
    <w:name w:val="样式 第五行 + 左侧:  -8 字符 段前: 2 行1"/>
    <w:basedOn w:val="215"/>
    <w:autoRedefine/>
    <w:qFormat/>
    <w:uiPriority w:val="0"/>
    <w:pPr>
      <w:ind w:left="-300" w:leftChars="-300"/>
    </w:pPr>
    <w:rPr>
      <w:szCs w:val="20"/>
    </w:rPr>
  </w:style>
  <w:style w:type="paragraph" w:customStyle="1" w:styleId="287">
    <w:name w:val="+正文"/>
    <w:basedOn w:val="1"/>
    <w:autoRedefine/>
    <w:qFormat/>
    <w:uiPriority w:val="0"/>
    <w:pPr>
      <w:widowControl w:val="0"/>
      <w:spacing w:line="360" w:lineRule="auto"/>
      <w:ind w:firstLine="200" w:firstLineChars="200"/>
      <w:jc w:val="both"/>
    </w:pPr>
    <w:rPr>
      <w:kern w:val="2"/>
      <w:szCs w:val="28"/>
    </w:rPr>
  </w:style>
  <w:style w:type="paragraph" w:customStyle="1" w:styleId="288">
    <w:name w:val="CM10"/>
    <w:basedOn w:val="144"/>
    <w:next w:val="144"/>
    <w:autoRedefine/>
    <w:qFormat/>
    <w:uiPriority w:val="0"/>
    <w:rPr>
      <w:color w:val="auto"/>
    </w:rPr>
  </w:style>
  <w:style w:type="paragraph" w:customStyle="1" w:styleId="289">
    <w:name w:val="菲页2"/>
    <w:basedOn w:val="4"/>
    <w:autoRedefine/>
    <w:qFormat/>
    <w:uiPriority w:val="0"/>
    <w:pPr>
      <w:widowControl/>
      <w:tabs>
        <w:tab w:val="left" w:pos="425"/>
        <w:tab w:val="clear" w:pos="2160"/>
      </w:tabs>
      <w:spacing w:after="120"/>
      <w:ind w:left="425" w:hanging="425"/>
    </w:pPr>
    <w:rPr>
      <w:rFonts w:ascii="黑体" w:eastAsia="黑体"/>
      <w:sz w:val="44"/>
    </w:rPr>
  </w:style>
  <w:style w:type="paragraph" w:customStyle="1" w:styleId="290">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paragraph" w:customStyle="1" w:styleId="291">
    <w:name w:val="CM87"/>
    <w:basedOn w:val="144"/>
    <w:next w:val="144"/>
    <w:autoRedefine/>
    <w:qFormat/>
    <w:uiPriority w:val="0"/>
    <w:pPr>
      <w:spacing w:line="440" w:lineRule="atLeast"/>
    </w:pPr>
    <w:rPr>
      <w:color w:val="auto"/>
    </w:rPr>
  </w:style>
  <w:style w:type="paragraph" w:customStyle="1" w:styleId="292">
    <w:name w:val="Char Char Char Char Char Char Char Char Char Char1"/>
    <w:basedOn w:val="1"/>
    <w:autoRedefine/>
    <w:qFormat/>
    <w:uiPriority w:val="99"/>
    <w:pPr>
      <w:widowControl w:val="0"/>
      <w:tabs>
        <w:tab w:val="left" w:pos="425"/>
      </w:tabs>
      <w:ind w:left="425" w:hanging="425"/>
      <w:jc w:val="both"/>
    </w:pPr>
    <w:rPr>
      <w:rFonts w:ascii="Arial" w:hAnsi="Arial" w:eastAsia="黑体" w:cs="宋体"/>
      <w:b/>
      <w:bCs/>
      <w:kern w:val="2"/>
      <w:sz w:val="32"/>
      <w:szCs w:val="32"/>
    </w:rPr>
  </w:style>
  <w:style w:type="paragraph" w:customStyle="1" w:styleId="293">
    <w:name w:val="样式1-标题1"/>
    <w:basedOn w:val="1"/>
    <w:next w:val="1"/>
    <w:autoRedefine/>
    <w:qFormat/>
    <w:uiPriority w:val="0"/>
    <w:pPr>
      <w:widowControl w:val="0"/>
      <w:spacing w:beforeLines="100" w:afterLines="100"/>
      <w:jc w:val="center"/>
      <w:outlineLvl w:val="0"/>
    </w:pPr>
    <w:rPr>
      <w:rFonts w:ascii="华文中宋" w:hAnsi="华文中宋" w:eastAsia="华文中宋"/>
      <w:b/>
      <w:kern w:val="2"/>
      <w:sz w:val="36"/>
    </w:rPr>
  </w:style>
  <w:style w:type="paragraph" w:customStyle="1" w:styleId="294">
    <w:name w:val="样式 样式 样式5 + 首行缩进:  2 字符 + 首行缩进:  2 字符 段前: 0.8 行 段后: 0.6 行"/>
    <w:basedOn w:val="295"/>
    <w:autoRedefine/>
    <w:qFormat/>
    <w:uiPriority w:val="0"/>
    <w:pPr>
      <w:spacing w:beforeLines="0" w:afterLines="0"/>
      <w:ind w:firstLine="0" w:firstLineChars="0"/>
    </w:pPr>
    <w:rPr>
      <w:rFonts w:ascii="仿宋_GB2312" w:hAnsi="仿宋" w:eastAsia="仿宋_GB2312"/>
      <w:b w:val="0"/>
      <w:sz w:val="20"/>
      <w:szCs w:val="20"/>
    </w:rPr>
  </w:style>
  <w:style w:type="paragraph" w:customStyle="1" w:styleId="295">
    <w:name w:val="样式 样式5 + 首行缩进:  2 字符"/>
    <w:basedOn w:val="83"/>
    <w:autoRedefine/>
    <w:qFormat/>
    <w:uiPriority w:val="0"/>
    <w:pPr>
      <w:ind w:firstLine="200" w:firstLineChars="200"/>
      <w:jc w:val="both"/>
    </w:pPr>
    <w:rPr>
      <w:rFonts w:ascii="Times New Roman" w:eastAsia="宋体" w:cs="宋体"/>
      <w:sz w:val="24"/>
      <w:szCs w:val="24"/>
    </w:rPr>
  </w:style>
  <w:style w:type="paragraph" w:customStyle="1" w:styleId="296">
    <w:name w:val="抬头"/>
    <w:basedOn w:val="1"/>
    <w:autoRedefine/>
    <w:qFormat/>
    <w:uiPriority w:val="0"/>
    <w:pPr>
      <w:widowControl w:val="0"/>
      <w:spacing w:line="360" w:lineRule="auto"/>
      <w:jc w:val="both"/>
    </w:pPr>
    <w:rPr>
      <w:rFonts w:ascii="宋体"/>
      <w:kern w:val="2"/>
      <w:sz w:val="21"/>
      <w:szCs w:val="21"/>
    </w:rPr>
  </w:style>
  <w:style w:type="paragraph" w:customStyle="1" w:styleId="297">
    <w:name w:val="样式8"/>
    <w:basedOn w:val="4"/>
    <w:autoRedefine/>
    <w:qFormat/>
    <w:uiPriority w:val="0"/>
    <w:pPr>
      <w:widowControl/>
      <w:tabs>
        <w:tab w:val="left" w:pos="3660"/>
        <w:tab w:val="clear" w:pos="2160"/>
      </w:tabs>
      <w:spacing w:before="160" w:after="240" w:line="500" w:lineRule="exact"/>
      <w:ind w:left="3660" w:hanging="720"/>
      <w:jc w:val="left"/>
    </w:pPr>
    <w:rPr>
      <w:rFonts w:eastAsia="黑体"/>
    </w:rPr>
  </w:style>
  <w:style w:type="paragraph" w:customStyle="1" w:styleId="298">
    <w:name w:val="正文-宋4行25"/>
    <w:basedOn w:val="1"/>
    <w:autoRedefine/>
    <w:qFormat/>
    <w:uiPriority w:val="0"/>
    <w:pPr>
      <w:widowControl w:val="0"/>
      <w:adjustRightInd w:val="0"/>
      <w:snapToGrid w:val="0"/>
      <w:spacing w:line="400" w:lineRule="exact"/>
      <w:ind w:left="406" w:leftChars="169" w:firstLine="480" w:firstLineChars="200"/>
      <w:jc w:val="both"/>
      <w:textAlignment w:val="baseline"/>
    </w:pPr>
    <w:rPr>
      <w:rFonts w:ascii="宋体"/>
      <w:bCs/>
      <w:szCs w:val="20"/>
    </w:rPr>
  </w:style>
  <w:style w:type="paragraph" w:customStyle="1" w:styleId="299">
    <w:name w:val="样式1-正文-缩进"/>
    <w:basedOn w:val="1"/>
    <w:autoRedefine/>
    <w:qFormat/>
    <w:uiPriority w:val="0"/>
    <w:pPr>
      <w:widowControl w:val="0"/>
      <w:spacing w:line="360" w:lineRule="auto"/>
      <w:ind w:firstLine="480" w:firstLineChars="200"/>
      <w:jc w:val="both"/>
    </w:pPr>
    <w:rPr>
      <w:kern w:val="2"/>
    </w:rPr>
  </w:style>
  <w:style w:type="paragraph" w:customStyle="1" w:styleId="300">
    <w:name w:val="+列表1"/>
    <w:basedOn w:val="1"/>
    <w:autoRedefine/>
    <w:qFormat/>
    <w:uiPriority w:val="0"/>
    <w:pPr>
      <w:widowControl w:val="0"/>
      <w:jc w:val="center"/>
    </w:pPr>
    <w:rPr>
      <w:kern w:val="2"/>
      <w:sz w:val="21"/>
    </w:rPr>
  </w:style>
  <w:style w:type="paragraph" w:customStyle="1" w:styleId="301">
    <w:name w:val="CM103"/>
    <w:basedOn w:val="144"/>
    <w:next w:val="144"/>
    <w:autoRedefine/>
    <w:qFormat/>
    <w:uiPriority w:val="0"/>
    <w:rPr>
      <w:color w:val="auto"/>
    </w:rPr>
  </w:style>
  <w:style w:type="paragraph" w:customStyle="1" w:styleId="302">
    <w:name w:val="Char Char2 Char Char Char Char Char Char Char Char Char Char Char Char Char1"/>
    <w:basedOn w:val="1"/>
    <w:autoRedefine/>
    <w:qFormat/>
    <w:uiPriority w:val="0"/>
    <w:pPr>
      <w:widowControl w:val="0"/>
      <w:ind w:firstLine="360" w:firstLineChars="150"/>
      <w:jc w:val="both"/>
    </w:pPr>
    <w:rPr>
      <w:rFonts w:ascii="Tahoma" w:hAnsi="Tahoma"/>
      <w:kern w:val="2"/>
      <w:szCs w:val="20"/>
    </w:rPr>
  </w:style>
  <w:style w:type="paragraph" w:customStyle="1" w:styleId="303">
    <w:name w:val="scc"/>
    <w:basedOn w:val="1"/>
    <w:autoRedefine/>
    <w:qFormat/>
    <w:uiPriority w:val="0"/>
    <w:pPr>
      <w:widowControl w:val="0"/>
      <w:adjustRightInd w:val="0"/>
      <w:spacing w:line="400" w:lineRule="atLeast"/>
      <w:jc w:val="center"/>
      <w:textAlignment w:val="baseline"/>
    </w:pPr>
    <w:rPr>
      <w:rFonts w:eastAsia="楷体_GB2312"/>
      <w:b/>
      <w:szCs w:val="20"/>
    </w:rPr>
  </w:style>
  <w:style w:type="paragraph" w:customStyle="1" w:styleId="304">
    <w:name w:val="CM29"/>
    <w:basedOn w:val="144"/>
    <w:next w:val="144"/>
    <w:autoRedefine/>
    <w:qFormat/>
    <w:uiPriority w:val="0"/>
    <w:rPr>
      <w:color w:val="auto"/>
    </w:rPr>
  </w:style>
  <w:style w:type="paragraph" w:customStyle="1" w:styleId="305">
    <w:name w:val="Char3"/>
    <w:basedOn w:val="1"/>
    <w:autoRedefine/>
    <w:qFormat/>
    <w:uiPriority w:val="0"/>
    <w:pPr>
      <w:widowControl w:val="0"/>
      <w:ind w:left="432" w:hanging="432"/>
      <w:jc w:val="both"/>
    </w:pPr>
    <w:rPr>
      <w:kern w:val="2"/>
    </w:rPr>
  </w:style>
  <w:style w:type="paragraph" w:customStyle="1" w:styleId="306">
    <w:name w:val="第一行"/>
    <w:basedOn w:val="1"/>
    <w:autoRedefine/>
    <w:qFormat/>
    <w:uiPriority w:val="0"/>
    <w:pPr>
      <w:widowControl w:val="0"/>
      <w:spacing w:beforeLines="100" w:line="360" w:lineRule="auto"/>
      <w:jc w:val="center"/>
    </w:pPr>
    <w:rPr>
      <w:rFonts w:ascii="宋体"/>
      <w:b/>
      <w:bCs/>
      <w:kern w:val="2"/>
      <w:sz w:val="32"/>
      <w:szCs w:val="32"/>
    </w:rPr>
  </w:style>
  <w:style w:type="paragraph" w:customStyle="1" w:styleId="307">
    <w:name w:val="CM41"/>
    <w:basedOn w:val="144"/>
    <w:next w:val="144"/>
    <w:autoRedefine/>
    <w:qFormat/>
    <w:uiPriority w:val="0"/>
    <w:pPr>
      <w:spacing w:line="400" w:lineRule="atLeast"/>
    </w:pPr>
    <w:rPr>
      <w:color w:val="auto"/>
    </w:rPr>
  </w:style>
  <w:style w:type="paragraph" w:customStyle="1" w:styleId="308">
    <w:name w:val="Char Char Char Char Char Char Char"/>
    <w:basedOn w:val="1"/>
    <w:autoRedefine/>
    <w:qFormat/>
    <w:uiPriority w:val="0"/>
    <w:pPr>
      <w:spacing w:after="160" w:line="240" w:lineRule="exact"/>
    </w:pPr>
    <w:rPr>
      <w:kern w:val="2"/>
      <w:sz w:val="21"/>
    </w:rPr>
  </w:style>
  <w:style w:type="paragraph" w:customStyle="1" w:styleId="309">
    <w:name w:val="Blockquote"/>
    <w:basedOn w:val="1"/>
    <w:autoRedefine/>
    <w:qFormat/>
    <w:uiPriority w:val="99"/>
    <w:pPr>
      <w:widowControl w:val="0"/>
      <w:autoSpaceDE w:val="0"/>
      <w:autoSpaceDN w:val="0"/>
      <w:adjustRightInd w:val="0"/>
      <w:spacing w:before="100" w:after="100"/>
      <w:ind w:left="360" w:right="360"/>
    </w:pPr>
    <w:rPr>
      <w:szCs w:val="20"/>
    </w:rPr>
  </w:style>
  <w:style w:type="paragraph" w:customStyle="1" w:styleId="310">
    <w:name w:val="默认段落字体 Para Char Char Char Char"/>
    <w:basedOn w:val="1"/>
    <w:autoRedefine/>
    <w:qFormat/>
    <w:uiPriority w:val="0"/>
    <w:pPr>
      <w:widowControl w:val="0"/>
      <w:jc w:val="both"/>
    </w:pPr>
    <w:rPr>
      <w:kern w:val="2"/>
      <w:sz w:val="21"/>
    </w:rPr>
  </w:style>
  <w:style w:type="paragraph" w:customStyle="1" w:styleId="311">
    <w:name w:val="样式 段落编号 + (中文) 黑体 两端对齐 Char Char Char"/>
    <w:basedOn w:val="1"/>
    <w:autoRedefine/>
    <w:qFormat/>
    <w:uiPriority w:val="0"/>
    <w:pPr>
      <w:widowControl w:val="0"/>
      <w:adjustRightInd w:val="0"/>
      <w:snapToGrid w:val="0"/>
      <w:spacing w:before="60" w:after="240" w:line="400" w:lineRule="exact"/>
      <w:ind w:left="482"/>
      <w:textAlignment w:val="baseline"/>
    </w:pPr>
    <w:rPr>
      <w:rFonts w:ascii="宋体" w:hAnsi="宋体" w:eastAsia="黑体" w:cs="宋体"/>
      <w:kern w:val="2"/>
    </w:rPr>
  </w:style>
  <w:style w:type="paragraph" w:customStyle="1" w:styleId="312">
    <w:name w:val="CM105"/>
    <w:basedOn w:val="144"/>
    <w:next w:val="144"/>
    <w:autoRedefine/>
    <w:qFormat/>
    <w:uiPriority w:val="0"/>
    <w:rPr>
      <w:color w:val="auto"/>
    </w:rPr>
  </w:style>
  <w:style w:type="paragraph" w:customStyle="1" w:styleId="313">
    <w:name w:val="编号（1）"/>
    <w:basedOn w:val="1"/>
    <w:autoRedefine/>
    <w:qFormat/>
    <w:uiPriority w:val="0"/>
    <w:pPr>
      <w:widowControl w:val="0"/>
      <w:tabs>
        <w:tab w:val="left" w:pos="420"/>
      </w:tabs>
      <w:spacing w:line="360" w:lineRule="auto"/>
      <w:ind w:left="450" w:leftChars="200" w:hanging="200" w:hangingChars="200"/>
      <w:jc w:val="both"/>
    </w:pPr>
    <w:rPr>
      <w:rFonts w:ascii="宋体"/>
      <w:kern w:val="2"/>
      <w:sz w:val="21"/>
      <w:szCs w:val="21"/>
    </w:rPr>
  </w:style>
  <w:style w:type="paragraph" w:customStyle="1" w:styleId="314">
    <w:name w:val="CM11"/>
    <w:basedOn w:val="144"/>
    <w:next w:val="144"/>
    <w:autoRedefine/>
    <w:qFormat/>
    <w:uiPriority w:val="0"/>
    <w:pPr>
      <w:spacing w:line="403" w:lineRule="atLeast"/>
    </w:pPr>
    <w:rPr>
      <w:color w:val="auto"/>
    </w:rPr>
  </w:style>
  <w:style w:type="paragraph" w:customStyle="1" w:styleId="315">
    <w:name w:val="CM9"/>
    <w:basedOn w:val="144"/>
    <w:next w:val="144"/>
    <w:autoRedefine/>
    <w:qFormat/>
    <w:uiPriority w:val="0"/>
    <w:pPr>
      <w:spacing w:line="400" w:lineRule="atLeast"/>
    </w:pPr>
    <w:rPr>
      <w:color w:val="auto"/>
    </w:rPr>
  </w:style>
  <w:style w:type="paragraph" w:customStyle="1" w:styleId="316">
    <w:name w:val="样式 样式 样式 第四行 + 左侧:  -4 字符 段前: 2 行 + 左侧:  -3 字符 段前: 2 行 + 左侧:  -2..."/>
    <w:basedOn w:val="317"/>
    <w:autoRedefine/>
    <w:qFormat/>
    <w:uiPriority w:val="0"/>
    <w:pPr>
      <w:ind w:left="0" w:leftChars="0"/>
    </w:pPr>
  </w:style>
  <w:style w:type="paragraph" w:customStyle="1" w:styleId="317">
    <w:name w:val="样式 样式 第四行 + 左侧:  -4 字符 段前: 2 行 + 左侧:  -3 字符 段前: 2 行"/>
    <w:basedOn w:val="241"/>
    <w:autoRedefine/>
    <w:qFormat/>
    <w:uiPriority w:val="0"/>
    <w:pPr>
      <w:ind w:left="-200" w:leftChars="-200"/>
    </w:pPr>
  </w:style>
  <w:style w:type="paragraph" w:customStyle="1" w:styleId="318">
    <w:name w:val="CM111"/>
    <w:basedOn w:val="144"/>
    <w:next w:val="144"/>
    <w:autoRedefine/>
    <w:qFormat/>
    <w:uiPriority w:val="0"/>
    <w:rPr>
      <w:color w:val="auto"/>
    </w:rPr>
  </w:style>
  <w:style w:type="paragraph" w:customStyle="1" w:styleId="319">
    <w:name w:val="修订1"/>
    <w:autoRedefine/>
    <w:qFormat/>
    <w:uiPriority w:val="99"/>
    <w:rPr>
      <w:rFonts w:ascii="Times New Roman" w:hAnsi="Times New Roman" w:eastAsia="宋体" w:cs="Times New Roman"/>
      <w:sz w:val="24"/>
      <w:szCs w:val="24"/>
      <w:lang w:val="en-US" w:eastAsia="zh-CN" w:bidi="ar-SA"/>
    </w:rPr>
  </w:style>
  <w:style w:type="paragraph" w:customStyle="1" w:styleId="320">
    <w:name w:val="CM24"/>
    <w:basedOn w:val="144"/>
    <w:next w:val="144"/>
    <w:autoRedefine/>
    <w:qFormat/>
    <w:uiPriority w:val="0"/>
    <w:pPr>
      <w:spacing w:line="400" w:lineRule="atLeast"/>
    </w:pPr>
    <w:rPr>
      <w:color w:val="auto"/>
    </w:rPr>
  </w:style>
  <w:style w:type="paragraph" w:customStyle="1" w:styleId="321">
    <w:name w:val="CM99"/>
    <w:basedOn w:val="144"/>
    <w:next w:val="144"/>
    <w:autoRedefine/>
    <w:qFormat/>
    <w:uiPriority w:val="0"/>
    <w:rPr>
      <w:color w:val="auto"/>
    </w:rPr>
  </w:style>
  <w:style w:type="paragraph" w:customStyle="1" w:styleId="322">
    <w:name w:val="Char Char Char Char Char Char Char Char Char Char11"/>
    <w:basedOn w:val="1"/>
    <w:autoRedefine/>
    <w:qFormat/>
    <w:uiPriority w:val="0"/>
    <w:pPr>
      <w:widowControl w:val="0"/>
      <w:tabs>
        <w:tab w:val="left" w:pos="425"/>
      </w:tabs>
      <w:ind w:left="425" w:hanging="425"/>
      <w:jc w:val="both"/>
    </w:pPr>
    <w:rPr>
      <w:rFonts w:ascii="Arial" w:hAnsi="Arial" w:eastAsia="黑体" w:cs="宋体"/>
      <w:b/>
      <w:bCs/>
      <w:kern w:val="2"/>
      <w:sz w:val="32"/>
      <w:szCs w:val="32"/>
    </w:rPr>
  </w:style>
  <w:style w:type="paragraph" w:customStyle="1" w:styleId="323">
    <w:name w:val="样式1"/>
    <w:basedOn w:val="1"/>
    <w:link w:val="561"/>
    <w:autoRedefine/>
    <w:qFormat/>
    <w:uiPriority w:val="99"/>
    <w:pPr>
      <w:widowControl w:val="0"/>
      <w:spacing w:before="120" w:after="120" w:line="300" w:lineRule="auto"/>
      <w:jc w:val="both"/>
    </w:pPr>
    <w:rPr>
      <w:rFonts w:ascii="宋体" w:hAnsi="宋体"/>
      <w:b/>
      <w:kern w:val="2"/>
      <w:szCs w:val="20"/>
    </w:rPr>
  </w:style>
  <w:style w:type="paragraph" w:customStyle="1" w:styleId="324">
    <w:name w:val="CM5"/>
    <w:basedOn w:val="144"/>
    <w:next w:val="144"/>
    <w:autoRedefine/>
    <w:qFormat/>
    <w:uiPriority w:val="0"/>
    <w:pPr>
      <w:spacing w:line="313" w:lineRule="atLeast"/>
    </w:pPr>
    <w:rPr>
      <w:color w:val="auto"/>
    </w:rPr>
  </w:style>
  <w:style w:type="paragraph" w:customStyle="1" w:styleId="325">
    <w:name w:val="CM45"/>
    <w:basedOn w:val="144"/>
    <w:next w:val="144"/>
    <w:autoRedefine/>
    <w:qFormat/>
    <w:uiPriority w:val="0"/>
    <w:pPr>
      <w:spacing w:line="443" w:lineRule="atLeast"/>
    </w:pPr>
    <w:rPr>
      <w:color w:val="auto"/>
    </w:rPr>
  </w:style>
  <w:style w:type="paragraph" w:customStyle="1" w:styleId="326">
    <w:name w:val="CM21"/>
    <w:basedOn w:val="144"/>
    <w:next w:val="144"/>
    <w:autoRedefine/>
    <w:qFormat/>
    <w:uiPriority w:val="0"/>
    <w:pPr>
      <w:spacing w:line="400" w:lineRule="atLeast"/>
    </w:pPr>
    <w:rPr>
      <w:color w:val="auto"/>
    </w:rPr>
  </w:style>
  <w:style w:type="paragraph" w:customStyle="1" w:styleId="327">
    <w:name w:val="CM71"/>
    <w:basedOn w:val="144"/>
    <w:next w:val="144"/>
    <w:autoRedefine/>
    <w:qFormat/>
    <w:uiPriority w:val="0"/>
    <w:pPr>
      <w:spacing w:line="468" w:lineRule="atLeast"/>
    </w:pPr>
    <w:rPr>
      <w:color w:val="auto"/>
    </w:rPr>
  </w:style>
  <w:style w:type="paragraph" w:customStyle="1" w:styleId="328">
    <w:name w:val="CM63"/>
    <w:basedOn w:val="144"/>
    <w:next w:val="144"/>
    <w:autoRedefine/>
    <w:qFormat/>
    <w:uiPriority w:val="0"/>
    <w:pPr>
      <w:spacing w:line="468" w:lineRule="atLeast"/>
    </w:pPr>
    <w:rPr>
      <w:color w:val="auto"/>
    </w:rPr>
  </w:style>
  <w:style w:type="paragraph" w:customStyle="1" w:styleId="329">
    <w:name w:val="Char Char2 Char Char Char Char Char Char Char Char Char Char Char Char Char"/>
    <w:basedOn w:val="1"/>
    <w:autoRedefine/>
    <w:qFormat/>
    <w:uiPriority w:val="0"/>
    <w:pPr>
      <w:widowControl w:val="0"/>
      <w:ind w:firstLine="360" w:firstLineChars="150"/>
      <w:jc w:val="both"/>
    </w:pPr>
    <w:rPr>
      <w:rFonts w:ascii="Tahoma" w:hAnsi="Tahoma"/>
      <w:kern w:val="2"/>
      <w:szCs w:val="20"/>
    </w:rPr>
  </w:style>
  <w:style w:type="paragraph" w:customStyle="1" w:styleId="330">
    <w:name w:val="默认段落字体 Para Char"/>
    <w:basedOn w:val="1"/>
    <w:autoRedefine/>
    <w:qFormat/>
    <w:uiPriority w:val="99"/>
    <w:pPr>
      <w:widowControl w:val="0"/>
      <w:jc w:val="both"/>
    </w:pPr>
    <w:rPr>
      <w:kern w:val="2"/>
      <w:sz w:val="21"/>
      <w:szCs w:val="20"/>
    </w:rPr>
  </w:style>
  <w:style w:type="paragraph" w:customStyle="1" w:styleId="331">
    <w:name w:val="CM113"/>
    <w:basedOn w:val="144"/>
    <w:next w:val="144"/>
    <w:autoRedefine/>
    <w:qFormat/>
    <w:uiPriority w:val="0"/>
    <w:rPr>
      <w:color w:val="auto"/>
    </w:rPr>
  </w:style>
  <w:style w:type="paragraph" w:customStyle="1" w:styleId="332">
    <w:name w:val="CM92"/>
    <w:basedOn w:val="144"/>
    <w:next w:val="144"/>
    <w:autoRedefine/>
    <w:qFormat/>
    <w:uiPriority w:val="0"/>
    <w:pPr>
      <w:spacing w:line="440" w:lineRule="atLeast"/>
    </w:pPr>
    <w:rPr>
      <w:color w:val="auto"/>
    </w:rPr>
  </w:style>
  <w:style w:type="paragraph" w:customStyle="1" w:styleId="333">
    <w:name w:val="目录文字"/>
    <w:basedOn w:val="1"/>
    <w:autoRedefine/>
    <w:qFormat/>
    <w:uiPriority w:val="99"/>
    <w:pPr>
      <w:spacing w:line="480" w:lineRule="auto"/>
    </w:pPr>
    <w:rPr>
      <w:rFonts w:ascii="宋体" w:hAnsi="宋体"/>
      <w:szCs w:val="20"/>
    </w:rPr>
  </w:style>
  <w:style w:type="paragraph" w:customStyle="1" w:styleId="334">
    <w:name w:val="CM46"/>
    <w:basedOn w:val="144"/>
    <w:next w:val="144"/>
    <w:autoRedefine/>
    <w:qFormat/>
    <w:uiPriority w:val="0"/>
    <w:pPr>
      <w:spacing w:line="440" w:lineRule="atLeast"/>
    </w:pPr>
    <w:rPr>
      <w:color w:val="auto"/>
    </w:rPr>
  </w:style>
  <w:style w:type="paragraph" w:customStyle="1" w:styleId="335">
    <w:name w:val="CM110"/>
    <w:basedOn w:val="144"/>
    <w:next w:val="144"/>
    <w:autoRedefine/>
    <w:qFormat/>
    <w:uiPriority w:val="0"/>
    <w:rPr>
      <w:color w:val="auto"/>
    </w:rPr>
  </w:style>
  <w:style w:type="paragraph" w:customStyle="1" w:styleId="336">
    <w:name w:val="CM56"/>
    <w:basedOn w:val="144"/>
    <w:next w:val="144"/>
    <w:autoRedefine/>
    <w:qFormat/>
    <w:uiPriority w:val="0"/>
    <w:pPr>
      <w:spacing w:line="468" w:lineRule="atLeast"/>
    </w:pPr>
    <w:rPr>
      <w:color w:val="auto"/>
    </w:rPr>
  </w:style>
  <w:style w:type="paragraph" w:customStyle="1" w:styleId="337">
    <w:name w:val="样式1-正文-缩进-加粗"/>
    <w:basedOn w:val="1"/>
    <w:autoRedefine/>
    <w:qFormat/>
    <w:uiPriority w:val="0"/>
    <w:pPr>
      <w:widowControl w:val="0"/>
      <w:spacing w:line="360" w:lineRule="auto"/>
      <w:ind w:firstLine="482"/>
      <w:jc w:val="both"/>
    </w:pPr>
    <w:rPr>
      <w:b/>
      <w:bCs/>
      <w:kern w:val="2"/>
    </w:rPr>
  </w:style>
  <w:style w:type="paragraph" w:customStyle="1" w:styleId="338">
    <w:name w:val="样式 (中文) 华文仿宋 四号 首行缩进:  0.74 厘米"/>
    <w:basedOn w:val="1"/>
    <w:autoRedefine/>
    <w:qFormat/>
    <w:uiPriority w:val="0"/>
    <w:pPr>
      <w:widowControl w:val="0"/>
      <w:snapToGrid w:val="0"/>
      <w:spacing w:line="360" w:lineRule="auto"/>
      <w:ind w:firstLine="420"/>
      <w:jc w:val="both"/>
    </w:pPr>
    <w:rPr>
      <w:rFonts w:ascii="宋体" w:hAnsi="宋体"/>
      <w:kern w:val="2"/>
      <w:szCs w:val="20"/>
    </w:rPr>
  </w:style>
  <w:style w:type="paragraph" w:customStyle="1" w:styleId="339">
    <w:name w:val="+标题2"/>
    <w:basedOn w:val="3"/>
    <w:autoRedefine/>
    <w:qFormat/>
    <w:uiPriority w:val="0"/>
    <w:pPr>
      <w:keepLines/>
      <w:spacing w:beforeLines="0" w:after="120"/>
      <w:ind w:left="840" w:hanging="420"/>
    </w:pPr>
    <w:rPr>
      <w:rFonts w:ascii="Times New Roman" w:hAnsi="Times New Roman"/>
      <w:szCs w:val="28"/>
    </w:rPr>
  </w:style>
  <w:style w:type="paragraph" w:customStyle="1" w:styleId="340">
    <w:name w:val="样式 样式 样式 样式 第六行 + 左侧:  -2 字符 段前: 2 行 + 左侧:  -10 字符 段前: 2 行 + 左侧:..."/>
    <w:basedOn w:val="258"/>
    <w:autoRedefine/>
    <w:qFormat/>
    <w:uiPriority w:val="0"/>
    <w:pPr>
      <w:ind w:left="-1000" w:leftChars="-1000"/>
    </w:pPr>
  </w:style>
  <w:style w:type="paragraph" w:customStyle="1" w:styleId="341">
    <w:name w:val="CM1"/>
    <w:basedOn w:val="144"/>
    <w:next w:val="144"/>
    <w:autoRedefine/>
    <w:qFormat/>
    <w:uiPriority w:val="0"/>
    <w:rPr>
      <w:color w:val="auto"/>
    </w:rPr>
  </w:style>
  <w:style w:type="paragraph" w:customStyle="1" w:styleId="342">
    <w:name w:val="Char Char Char Char1"/>
    <w:basedOn w:val="1"/>
    <w:autoRedefine/>
    <w:qFormat/>
    <w:uiPriority w:val="0"/>
    <w:pPr>
      <w:widowControl w:val="0"/>
      <w:jc w:val="both"/>
    </w:pPr>
    <w:rPr>
      <w:kern w:val="2"/>
      <w:sz w:val="21"/>
    </w:rPr>
  </w:style>
  <w:style w:type="paragraph" w:customStyle="1" w:styleId="343">
    <w:name w:val="普通 (Web)"/>
    <w:basedOn w:val="1"/>
    <w:autoRedefine/>
    <w:qFormat/>
    <w:uiPriority w:val="0"/>
    <w:pPr>
      <w:spacing w:before="100" w:beforeAutospacing="1" w:after="100" w:afterAutospacing="1"/>
    </w:pPr>
    <w:rPr>
      <w:rFonts w:ascii="宋体" w:hAnsi="宋体"/>
    </w:rPr>
  </w:style>
  <w:style w:type="paragraph" w:customStyle="1" w:styleId="344">
    <w:name w:val="CM66"/>
    <w:basedOn w:val="144"/>
    <w:next w:val="144"/>
    <w:autoRedefine/>
    <w:qFormat/>
    <w:uiPriority w:val="0"/>
    <w:rPr>
      <w:color w:val="auto"/>
    </w:rPr>
  </w:style>
  <w:style w:type="paragraph" w:customStyle="1" w:styleId="345">
    <w:name w:val="样式 标题 2 + 左侧:  0 厘米 首行缩进:  0 厘米"/>
    <w:basedOn w:val="3"/>
    <w:autoRedefine/>
    <w:qFormat/>
    <w:uiPriority w:val="0"/>
    <w:pPr>
      <w:keepLines/>
      <w:tabs>
        <w:tab w:val="left" w:pos="600"/>
        <w:tab w:val="clear" w:pos="840"/>
      </w:tabs>
      <w:adjustRightInd w:val="0"/>
      <w:snapToGrid w:val="0"/>
      <w:spacing w:beforeLines="0" w:after="160" w:line="240" w:lineRule="auto"/>
      <w:ind w:left="707" w:hanging="707"/>
      <w:jc w:val="left"/>
      <w:textAlignment w:val="baseline"/>
    </w:pPr>
    <w:rPr>
      <w:rFonts w:hAnsi="宋体" w:eastAsia="黑体" w:cs="宋体"/>
      <w:spacing w:val="4"/>
      <w:sz w:val="28"/>
      <w:szCs w:val="28"/>
    </w:rPr>
  </w:style>
  <w:style w:type="paragraph" w:customStyle="1" w:styleId="346">
    <w:name w:val="1级标题（第一章）"/>
    <w:basedOn w:val="1"/>
    <w:autoRedefine/>
    <w:qFormat/>
    <w:locked/>
    <w:uiPriority w:val="0"/>
    <w:pPr>
      <w:widowControl w:val="0"/>
      <w:spacing w:beforeLines="50" w:afterLines="50"/>
      <w:jc w:val="center"/>
      <w:outlineLvl w:val="0"/>
    </w:pPr>
    <w:rPr>
      <w:rFonts w:ascii="黑体" w:hAnsi="宋体" w:eastAsia="黑体"/>
      <w:kern w:val="2"/>
      <w:sz w:val="32"/>
      <w:szCs w:val="32"/>
    </w:rPr>
  </w:style>
  <w:style w:type="paragraph" w:customStyle="1" w:styleId="347">
    <w:name w:val="样式7"/>
    <w:basedOn w:val="236"/>
    <w:autoRedefine/>
    <w:qFormat/>
    <w:uiPriority w:val="0"/>
  </w:style>
  <w:style w:type="paragraph" w:customStyle="1" w:styleId="348">
    <w:name w:val="CM14"/>
    <w:basedOn w:val="144"/>
    <w:next w:val="144"/>
    <w:autoRedefine/>
    <w:qFormat/>
    <w:uiPriority w:val="0"/>
    <w:pPr>
      <w:spacing w:line="400" w:lineRule="atLeast"/>
    </w:pPr>
    <w:rPr>
      <w:color w:val="auto"/>
    </w:rPr>
  </w:style>
  <w:style w:type="paragraph" w:customStyle="1" w:styleId="349">
    <w:name w:val="正文2"/>
    <w:basedOn w:val="1"/>
    <w:autoRedefine/>
    <w:qFormat/>
    <w:uiPriority w:val="0"/>
    <w:pPr>
      <w:widowControl w:val="0"/>
      <w:spacing w:line="360" w:lineRule="auto"/>
      <w:ind w:right="200" w:rightChars="200"/>
      <w:jc w:val="right"/>
    </w:pPr>
    <w:rPr>
      <w:rFonts w:ascii="宋体"/>
      <w:kern w:val="2"/>
      <w:sz w:val="21"/>
      <w:szCs w:val="21"/>
    </w:rPr>
  </w:style>
  <w:style w:type="paragraph" w:customStyle="1" w:styleId="350">
    <w:name w:val="CM107"/>
    <w:basedOn w:val="144"/>
    <w:next w:val="144"/>
    <w:autoRedefine/>
    <w:qFormat/>
    <w:uiPriority w:val="0"/>
    <w:rPr>
      <w:color w:val="auto"/>
    </w:rPr>
  </w:style>
  <w:style w:type="paragraph" w:customStyle="1" w:styleId="351">
    <w:name w:val="CM43"/>
    <w:basedOn w:val="144"/>
    <w:next w:val="144"/>
    <w:autoRedefine/>
    <w:qFormat/>
    <w:uiPriority w:val="0"/>
    <w:pPr>
      <w:spacing w:line="440" w:lineRule="atLeast"/>
    </w:pPr>
    <w:rPr>
      <w:color w:val="auto"/>
    </w:rPr>
  </w:style>
  <w:style w:type="paragraph" w:customStyle="1" w:styleId="352">
    <w:name w:val="CM37"/>
    <w:basedOn w:val="144"/>
    <w:next w:val="144"/>
    <w:autoRedefine/>
    <w:qFormat/>
    <w:uiPriority w:val="0"/>
    <w:rPr>
      <w:color w:val="auto"/>
    </w:rPr>
  </w:style>
  <w:style w:type="paragraph" w:customStyle="1" w:styleId="353">
    <w:name w:val="CM121"/>
    <w:basedOn w:val="144"/>
    <w:next w:val="144"/>
    <w:autoRedefine/>
    <w:qFormat/>
    <w:uiPriority w:val="0"/>
    <w:rPr>
      <w:color w:val="auto"/>
    </w:rPr>
  </w:style>
  <w:style w:type="paragraph" w:customStyle="1" w:styleId="354">
    <w:name w:val="CM116"/>
    <w:basedOn w:val="144"/>
    <w:next w:val="144"/>
    <w:autoRedefine/>
    <w:qFormat/>
    <w:uiPriority w:val="0"/>
    <w:rPr>
      <w:color w:val="auto"/>
    </w:rPr>
  </w:style>
  <w:style w:type="paragraph" w:customStyle="1" w:styleId="355">
    <w:name w:val="TOC 标题11"/>
    <w:basedOn w:val="2"/>
    <w:next w:val="1"/>
    <w:autoRedefine/>
    <w:qFormat/>
    <w:uiPriority w:val="39"/>
    <w:pPr>
      <w:widowControl/>
      <w:spacing w:beforeLines="0" w:afterLines="0" w:line="276" w:lineRule="auto"/>
      <w:ind w:left="0"/>
      <w:jc w:val="left"/>
      <w:outlineLvl w:val="9"/>
    </w:pPr>
    <w:rPr>
      <w:rFonts w:ascii="Cambria" w:hAnsi="Cambria"/>
      <w:color w:val="365F91"/>
      <w:kern w:val="0"/>
      <w:sz w:val="28"/>
      <w:szCs w:val="28"/>
    </w:rPr>
  </w:style>
  <w:style w:type="paragraph" w:customStyle="1" w:styleId="356">
    <w:name w:val="CM6"/>
    <w:basedOn w:val="144"/>
    <w:next w:val="144"/>
    <w:autoRedefine/>
    <w:qFormat/>
    <w:uiPriority w:val="0"/>
    <w:pPr>
      <w:spacing w:line="313" w:lineRule="atLeast"/>
    </w:pPr>
    <w:rPr>
      <w:color w:val="auto"/>
    </w:rPr>
  </w:style>
  <w:style w:type="paragraph" w:customStyle="1" w:styleId="357">
    <w:name w:val="CM117"/>
    <w:basedOn w:val="144"/>
    <w:next w:val="144"/>
    <w:autoRedefine/>
    <w:qFormat/>
    <w:uiPriority w:val="0"/>
    <w:rPr>
      <w:color w:val="auto"/>
    </w:rPr>
  </w:style>
  <w:style w:type="paragraph" w:customStyle="1" w:styleId="358">
    <w:name w:val="CM16"/>
    <w:basedOn w:val="144"/>
    <w:next w:val="144"/>
    <w:autoRedefine/>
    <w:qFormat/>
    <w:uiPriority w:val="0"/>
    <w:pPr>
      <w:spacing w:line="440" w:lineRule="atLeast"/>
    </w:pPr>
    <w:rPr>
      <w:color w:val="auto"/>
    </w:rPr>
  </w:style>
  <w:style w:type="paragraph" w:customStyle="1" w:styleId="359">
    <w:name w:val="1级"/>
    <w:basedOn w:val="1"/>
    <w:autoRedefine/>
    <w:qFormat/>
    <w:uiPriority w:val="0"/>
    <w:pPr>
      <w:widowControl w:val="0"/>
      <w:jc w:val="both"/>
    </w:pPr>
    <w:rPr>
      <w:rFonts w:ascii="Arial" w:hAnsi="Arial" w:cs="Arial"/>
      <w:bCs/>
      <w:kern w:val="2"/>
      <w:sz w:val="30"/>
      <w:szCs w:val="21"/>
    </w:rPr>
  </w:style>
  <w:style w:type="paragraph" w:customStyle="1" w:styleId="360">
    <w:name w:val="gloss"/>
    <w:basedOn w:val="1"/>
    <w:autoRedefine/>
    <w:qFormat/>
    <w:uiPriority w:val="0"/>
    <w:rPr>
      <w:rFonts w:ascii="Arial" w:hAnsi="Arial"/>
      <w:sz w:val="20"/>
      <w:szCs w:val="20"/>
      <w:lang w:val="en-GB"/>
    </w:rPr>
  </w:style>
  <w:style w:type="paragraph" w:customStyle="1" w:styleId="361">
    <w:name w:val="首行缩进"/>
    <w:basedOn w:val="1"/>
    <w:autoRedefine/>
    <w:qFormat/>
    <w:uiPriority w:val="0"/>
    <w:pPr>
      <w:widowControl w:val="0"/>
      <w:spacing w:line="300" w:lineRule="auto"/>
      <w:ind w:firstLine="420" w:firstLineChars="200"/>
      <w:jc w:val="both"/>
    </w:pPr>
    <w:rPr>
      <w:rFonts w:ascii="Calibri" w:hAnsi="Calibri" w:eastAsia="方正书宋简体"/>
      <w:sz w:val="20"/>
      <w:szCs w:val="20"/>
    </w:rPr>
  </w:style>
  <w:style w:type="paragraph" w:customStyle="1" w:styleId="362">
    <w:name w:val="二级条标题"/>
    <w:basedOn w:val="1"/>
    <w:next w:val="363"/>
    <w:autoRedefine/>
    <w:qFormat/>
    <w:uiPriority w:val="0"/>
    <w:pPr>
      <w:numPr>
        <w:ilvl w:val="3"/>
        <w:numId w:val="1"/>
      </w:numPr>
      <w:jc w:val="both"/>
      <w:outlineLvl w:val="3"/>
    </w:pPr>
    <w:rPr>
      <w:rFonts w:ascii="黑体" w:hAnsi="宋体" w:eastAsia="黑体"/>
      <w:sz w:val="30"/>
      <w:szCs w:val="20"/>
    </w:rPr>
  </w:style>
  <w:style w:type="paragraph" w:customStyle="1" w:styleId="363">
    <w:name w:val="段"/>
    <w:autoRedefine/>
    <w:qFormat/>
    <w:uiPriority w:val="0"/>
    <w:pPr>
      <w:ind w:firstLine="200" w:firstLineChars="200"/>
      <w:jc w:val="both"/>
    </w:pPr>
    <w:rPr>
      <w:rFonts w:ascii="宋体" w:hAnsi="Times New Roman" w:eastAsia="宋体" w:cs="Times New Roman"/>
      <w:sz w:val="21"/>
      <w:lang w:val="en-US" w:eastAsia="zh-CN" w:bidi="ar-SA"/>
    </w:rPr>
  </w:style>
  <w:style w:type="paragraph" w:customStyle="1" w:styleId="364">
    <w:name w:val="三级条标题"/>
    <w:basedOn w:val="362"/>
    <w:next w:val="363"/>
    <w:autoRedefine/>
    <w:qFormat/>
    <w:uiPriority w:val="0"/>
    <w:pPr>
      <w:numPr>
        <w:ilvl w:val="4"/>
      </w:numPr>
      <w:outlineLvl w:val="4"/>
    </w:pPr>
  </w:style>
  <w:style w:type="paragraph" w:customStyle="1" w:styleId="365">
    <w:name w:val="正文表标题"/>
    <w:next w:val="363"/>
    <w:autoRedefine/>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366">
    <w:name w:val="一级条标题"/>
    <w:basedOn w:val="367"/>
    <w:next w:val="363"/>
    <w:autoRedefine/>
    <w:qFormat/>
    <w:uiPriority w:val="0"/>
    <w:pPr>
      <w:numPr>
        <w:ilvl w:val="2"/>
      </w:numPr>
      <w:spacing w:beforeLines="0" w:afterLines="0"/>
      <w:outlineLvl w:val="2"/>
    </w:pPr>
  </w:style>
  <w:style w:type="paragraph" w:customStyle="1" w:styleId="367">
    <w:name w:val="章标题"/>
    <w:next w:val="363"/>
    <w:autoRedefine/>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368">
    <w:name w:val="四级条标题"/>
    <w:basedOn w:val="364"/>
    <w:next w:val="363"/>
    <w:autoRedefine/>
    <w:qFormat/>
    <w:uiPriority w:val="0"/>
    <w:pPr>
      <w:numPr>
        <w:ilvl w:val="5"/>
      </w:numPr>
      <w:outlineLvl w:val="5"/>
    </w:pPr>
  </w:style>
  <w:style w:type="paragraph" w:customStyle="1" w:styleId="369">
    <w:name w:val="列出段落111"/>
    <w:basedOn w:val="1"/>
    <w:autoRedefine/>
    <w:qFormat/>
    <w:uiPriority w:val="34"/>
    <w:pPr>
      <w:widowControl w:val="0"/>
      <w:ind w:firstLine="420" w:firstLineChars="200"/>
      <w:jc w:val="both"/>
    </w:pPr>
    <w:rPr>
      <w:rFonts w:ascii="宋体" w:hAnsi="宋体"/>
      <w:kern w:val="2"/>
      <w:sz w:val="30"/>
      <w:szCs w:val="20"/>
    </w:rPr>
  </w:style>
  <w:style w:type="paragraph" w:customStyle="1" w:styleId="370">
    <w:name w:val="p0"/>
    <w:basedOn w:val="1"/>
    <w:autoRedefine/>
    <w:qFormat/>
    <w:uiPriority w:val="99"/>
    <w:pPr>
      <w:spacing w:after="200" w:line="273" w:lineRule="auto"/>
    </w:pPr>
    <w:rPr>
      <w:rFonts w:ascii="Calibri" w:hAnsi="Calibri" w:cs="Calibri"/>
      <w:sz w:val="22"/>
      <w:szCs w:val="22"/>
    </w:rPr>
  </w:style>
  <w:style w:type="paragraph" w:customStyle="1" w:styleId="371">
    <w:name w:val="WPSOffice手动目录 1"/>
    <w:autoRedefine/>
    <w:qFormat/>
    <w:uiPriority w:val="0"/>
    <w:rPr>
      <w:rFonts w:ascii="Calibri" w:hAnsi="Calibri" w:eastAsia="宋体" w:cs="Times New Roman"/>
      <w:lang w:val="en-US" w:eastAsia="zh-CN" w:bidi="ar-SA"/>
    </w:rPr>
  </w:style>
  <w:style w:type="paragraph" w:customStyle="1" w:styleId="372">
    <w:name w:val="WPSOffice手动目录 2"/>
    <w:autoRedefine/>
    <w:qFormat/>
    <w:uiPriority w:val="0"/>
    <w:pPr>
      <w:ind w:left="200" w:leftChars="200"/>
    </w:pPr>
    <w:rPr>
      <w:rFonts w:ascii="Calibri" w:hAnsi="Calibri" w:eastAsia="宋体" w:cs="Times New Roman"/>
      <w:lang w:val="en-US" w:eastAsia="zh-CN" w:bidi="ar-SA"/>
    </w:rPr>
  </w:style>
  <w:style w:type="paragraph" w:customStyle="1" w:styleId="373">
    <w:name w:val="Normal_1"/>
    <w:next w:val="23"/>
    <w:autoRedefine/>
    <w:qFormat/>
    <w:uiPriority w:val="0"/>
    <w:pPr>
      <w:widowControl w:val="0"/>
      <w:jc w:val="both"/>
    </w:pPr>
    <w:rPr>
      <w:rFonts w:ascii="Times New Roman" w:hAnsi="Times New Roman" w:eastAsia="宋体" w:cs="Times New Roman"/>
      <w:lang w:val="en-US" w:eastAsia="zh-CN" w:bidi="ar-SA"/>
    </w:rPr>
  </w:style>
  <w:style w:type="character" w:customStyle="1" w:styleId="374">
    <w:name w:val="正文缩进 Char"/>
    <w:link w:val="15"/>
    <w:autoRedefine/>
    <w:qFormat/>
    <w:uiPriority w:val="99"/>
  </w:style>
  <w:style w:type="character" w:customStyle="1" w:styleId="375">
    <w:name w:val="称呼 Char"/>
    <w:basedOn w:val="66"/>
    <w:link w:val="20"/>
    <w:autoRedefine/>
    <w:qFormat/>
    <w:uiPriority w:val="0"/>
    <w:rPr>
      <w:rFonts w:eastAsia="楷体_GB2312"/>
      <w:kern w:val="2"/>
      <w:sz w:val="24"/>
    </w:rPr>
  </w:style>
  <w:style w:type="character" w:customStyle="1" w:styleId="376">
    <w:name w:val="结束语 Char"/>
    <w:basedOn w:val="66"/>
    <w:link w:val="22"/>
    <w:autoRedefine/>
    <w:qFormat/>
    <w:uiPriority w:val="0"/>
    <w:rPr>
      <w:rFonts w:eastAsia="楷体_GB2312"/>
      <w:kern w:val="2"/>
      <w:sz w:val="24"/>
    </w:rPr>
  </w:style>
  <w:style w:type="character" w:customStyle="1" w:styleId="377">
    <w:name w:val="标题 Char"/>
    <w:basedOn w:val="66"/>
    <w:link w:val="59"/>
    <w:autoRedefine/>
    <w:qFormat/>
    <w:uiPriority w:val="99"/>
    <w:rPr>
      <w:rFonts w:ascii="Cambria" w:hAnsi="Cambria"/>
      <w:b/>
      <w:bCs/>
      <w:sz w:val="32"/>
      <w:szCs w:val="32"/>
    </w:rPr>
  </w:style>
  <w:style w:type="character" w:customStyle="1" w:styleId="378">
    <w:name w:val="正文首行缩进 Char"/>
    <w:basedOn w:val="100"/>
    <w:link w:val="61"/>
    <w:autoRedefine/>
    <w:qFormat/>
    <w:uiPriority w:val="99"/>
    <w:rPr>
      <w:rFonts w:eastAsia="宋体"/>
      <w:kern w:val="2"/>
      <w:sz w:val="24"/>
      <w:lang w:val="en-US" w:eastAsia="zh-CN"/>
    </w:rPr>
  </w:style>
  <w:style w:type="character" w:customStyle="1" w:styleId="379">
    <w:name w:val="样式 Char"/>
    <w:link w:val="380"/>
    <w:autoRedefine/>
    <w:qFormat/>
    <w:uiPriority w:val="0"/>
    <w:rPr>
      <w:rFonts w:ascii="宋体" w:hAnsi="宋体" w:cs="宋体"/>
      <w:sz w:val="24"/>
      <w:szCs w:val="24"/>
    </w:rPr>
  </w:style>
  <w:style w:type="paragraph" w:customStyle="1" w:styleId="380">
    <w:name w:val="样式"/>
    <w:link w:val="379"/>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81">
    <w:name w:val="标题5 Char Char"/>
    <w:link w:val="382"/>
    <w:autoRedefine/>
    <w:qFormat/>
    <w:uiPriority w:val="0"/>
    <w:rPr>
      <w:bCs/>
      <w:sz w:val="24"/>
      <w:szCs w:val="32"/>
    </w:rPr>
  </w:style>
  <w:style w:type="paragraph" w:customStyle="1" w:styleId="382">
    <w:name w:val="标题5"/>
    <w:basedOn w:val="1"/>
    <w:link w:val="381"/>
    <w:autoRedefine/>
    <w:qFormat/>
    <w:uiPriority w:val="0"/>
    <w:pPr>
      <w:widowControl w:val="0"/>
      <w:tabs>
        <w:tab w:val="left" w:pos="900"/>
      </w:tabs>
      <w:spacing w:line="360" w:lineRule="auto"/>
      <w:ind w:left="900" w:right="31" w:rightChars="13" w:hanging="420" w:firstLineChars="200"/>
      <w:jc w:val="both"/>
    </w:pPr>
    <w:rPr>
      <w:bCs/>
      <w:szCs w:val="32"/>
    </w:rPr>
  </w:style>
  <w:style w:type="character" w:customStyle="1" w:styleId="383">
    <w:name w:val="报告正文 Char"/>
    <w:link w:val="384"/>
    <w:autoRedefine/>
    <w:qFormat/>
    <w:uiPriority w:val="0"/>
    <w:rPr>
      <w:rFonts w:eastAsia="楷体_GB2312"/>
      <w:bCs/>
      <w:spacing w:val="14"/>
      <w:sz w:val="24"/>
      <w:szCs w:val="24"/>
    </w:rPr>
  </w:style>
  <w:style w:type="paragraph" w:customStyle="1" w:styleId="384">
    <w:name w:val="报告正文"/>
    <w:basedOn w:val="1"/>
    <w:link w:val="383"/>
    <w:autoRedefine/>
    <w:qFormat/>
    <w:uiPriority w:val="0"/>
    <w:pPr>
      <w:widowControl w:val="0"/>
      <w:tabs>
        <w:tab w:val="left" w:pos="4080"/>
      </w:tabs>
      <w:topLinePunct/>
      <w:spacing w:line="360" w:lineRule="auto"/>
      <w:ind w:firstLine="200" w:firstLineChars="200"/>
    </w:pPr>
    <w:rPr>
      <w:rFonts w:eastAsia="楷体_GB2312"/>
      <w:bCs/>
      <w:spacing w:val="14"/>
    </w:rPr>
  </w:style>
  <w:style w:type="character" w:customStyle="1" w:styleId="385">
    <w:name w:val="引用 Char"/>
    <w:link w:val="386"/>
    <w:autoRedefine/>
    <w:qFormat/>
    <w:uiPriority w:val="0"/>
    <w:rPr>
      <w:i/>
      <w:iCs/>
      <w:color w:val="000000"/>
    </w:rPr>
  </w:style>
  <w:style w:type="paragraph" w:customStyle="1" w:styleId="386">
    <w:name w:val="_Style 87"/>
    <w:basedOn w:val="1"/>
    <w:next w:val="1"/>
    <w:link w:val="385"/>
    <w:autoRedefine/>
    <w:qFormat/>
    <w:uiPriority w:val="0"/>
    <w:pPr>
      <w:widowControl w:val="0"/>
      <w:jc w:val="both"/>
    </w:pPr>
    <w:rPr>
      <w:i/>
      <w:iCs/>
      <w:color w:val="000000"/>
      <w:sz w:val="20"/>
      <w:szCs w:val="20"/>
    </w:rPr>
  </w:style>
  <w:style w:type="character" w:customStyle="1" w:styleId="387">
    <w:name w:val="纯文本 Char1"/>
    <w:autoRedefine/>
    <w:qFormat/>
    <w:uiPriority w:val="99"/>
    <w:rPr>
      <w:rFonts w:ascii="宋体" w:hAnsi="Courier New" w:cs="Courier New"/>
      <w:sz w:val="21"/>
      <w:szCs w:val="21"/>
    </w:rPr>
  </w:style>
  <w:style w:type="character" w:customStyle="1" w:styleId="388">
    <w:name w:val="Char Char18"/>
    <w:autoRedefine/>
    <w:qFormat/>
    <w:uiPriority w:val="0"/>
    <w:rPr>
      <w:rFonts w:ascii="Cambria" w:hAnsi="Cambria" w:eastAsia="宋体" w:cs="Times New Roman"/>
      <w:b/>
      <w:bCs/>
      <w:kern w:val="2"/>
      <w:sz w:val="32"/>
      <w:szCs w:val="32"/>
    </w:rPr>
  </w:style>
  <w:style w:type="character" w:customStyle="1" w:styleId="389">
    <w:name w:val="apple-style-span"/>
    <w:autoRedefine/>
    <w:qFormat/>
    <w:uiPriority w:val="0"/>
  </w:style>
  <w:style w:type="character" w:customStyle="1" w:styleId="390">
    <w:name w:val="批注文字 Char1"/>
    <w:autoRedefine/>
    <w:qFormat/>
    <w:uiPriority w:val="99"/>
    <w:rPr>
      <w:sz w:val="24"/>
    </w:rPr>
  </w:style>
  <w:style w:type="character" w:customStyle="1" w:styleId="391">
    <w:name w:val="g1"/>
    <w:autoRedefine/>
    <w:qFormat/>
    <w:uiPriority w:val="0"/>
    <w:rPr>
      <w:color w:val="008000"/>
    </w:rPr>
  </w:style>
  <w:style w:type="character" w:customStyle="1" w:styleId="392">
    <w:name w:val="javascript"/>
    <w:autoRedefine/>
    <w:qFormat/>
    <w:uiPriority w:val="0"/>
  </w:style>
  <w:style w:type="character" w:customStyle="1" w:styleId="393">
    <w:name w:val="标题 3 Char Char"/>
    <w:autoRedefine/>
    <w:qFormat/>
    <w:uiPriority w:val="99"/>
    <w:rPr>
      <w:rFonts w:eastAsia="宋体"/>
      <w:b/>
      <w:bCs/>
      <w:kern w:val="2"/>
      <w:sz w:val="32"/>
      <w:szCs w:val="32"/>
      <w:lang w:val="en-US" w:eastAsia="zh-CN" w:bidi="ar-SA"/>
    </w:rPr>
  </w:style>
  <w:style w:type="character" w:customStyle="1" w:styleId="394">
    <w:name w:val="标题 2XW Char2"/>
    <w:autoRedefine/>
    <w:semiHidden/>
    <w:qFormat/>
    <w:uiPriority w:val="9"/>
    <w:rPr>
      <w:rFonts w:ascii="Cambria" w:hAnsi="Cambria" w:eastAsia="宋体" w:cs="Times New Roman"/>
      <w:b/>
      <w:bCs/>
      <w:sz w:val="32"/>
      <w:szCs w:val="32"/>
    </w:rPr>
  </w:style>
  <w:style w:type="character" w:customStyle="1" w:styleId="395">
    <w:name w:val="纯文本 字符"/>
    <w:autoRedefine/>
    <w:qFormat/>
    <w:uiPriority w:val="0"/>
    <w:rPr>
      <w:rFonts w:ascii="宋体" w:hAnsi="Courier New" w:eastAsia="宋体" w:cs="Courier New"/>
      <w:szCs w:val="21"/>
    </w:rPr>
  </w:style>
  <w:style w:type="character" w:customStyle="1" w:styleId="396">
    <w:name w:val="more"/>
    <w:autoRedefine/>
    <w:qFormat/>
    <w:uiPriority w:val="0"/>
  </w:style>
  <w:style w:type="character" w:customStyle="1" w:styleId="397">
    <w:name w:val="正文文本 Char2"/>
    <w:autoRedefine/>
    <w:qFormat/>
    <w:uiPriority w:val="0"/>
  </w:style>
  <w:style w:type="character" w:customStyle="1" w:styleId="398">
    <w:name w:val="biaoti1"/>
    <w:autoRedefine/>
    <w:qFormat/>
    <w:uiPriority w:val="0"/>
    <w:rPr>
      <w:rFonts w:hint="eastAsia" w:ascii="宋体" w:hAnsi="宋体" w:eastAsia="宋体"/>
      <w:sz w:val="32"/>
      <w:szCs w:val="32"/>
      <w:u w:val="none"/>
    </w:rPr>
  </w:style>
  <w:style w:type="character" w:customStyle="1" w:styleId="399">
    <w:name w:val="_Style 241"/>
    <w:autoRedefine/>
    <w:semiHidden/>
    <w:qFormat/>
    <w:uiPriority w:val="99"/>
    <w:rPr>
      <w:color w:val="808080"/>
    </w:rPr>
  </w:style>
  <w:style w:type="character" w:customStyle="1" w:styleId="400">
    <w:name w:val="text1"/>
    <w:autoRedefine/>
    <w:qFormat/>
    <w:uiPriority w:val="0"/>
    <w:rPr>
      <w:rFonts w:hint="default" w:ascii="Arial" w:hAnsi="Arial" w:eastAsia="宋体" w:cs="Arial"/>
      <w:color w:val="666666"/>
      <w:kern w:val="2"/>
      <w:sz w:val="22"/>
      <w:szCs w:val="22"/>
      <w:u w:val="none"/>
      <w:lang w:val="en-US" w:eastAsia="zh-CN" w:bidi="ar-SA"/>
    </w:rPr>
  </w:style>
  <w:style w:type="character" w:customStyle="1" w:styleId="401">
    <w:name w:val="标题 1 字符"/>
    <w:autoRedefine/>
    <w:qFormat/>
    <w:uiPriority w:val="0"/>
    <w:rPr>
      <w:rFonts w:ascii="Times New Roman" w:hAnsi="Times New Roman" w:eastAsia="宋体" w:cs="Times New Roman"/>
      <w:b/>
      <w:bCs/>
      <w:kern w:val="44"/>
      <w:sz w:val="44"/>
      <w:szCs w:val="44"/>
    </w:rPr>
  </w:style>
  <w:style w:type="character" w:customStyle="1" w:styleId="402">
    <w:name w:val="引用 Char1"/>
    <w:autoRedefine/>
    <w:qFormat/>
    <w:uiPriority w:val="29"/>
    <w:rPr>
      <w:i/>
      <w:iCs/>
      <w:color w:val="000000"/>
    </w:rPr>
  </w:style>
  <w:style w:type="character" w:customStyle="1" w:styleId="403">
    <w:name w:val="标题 2 字符"/>
    <w:autoRedefine/>
    <w:qFormat/>
    <w:uiPriority w:val="0"/>
    <w:rPr>
      <w:rFonts w:ascii="Arial" w:hAnsi="Arial" w:eastAsia="黑体" w:cs="Times New Roman"/>
      <w:b/>
      <w:bCs/>
      <w:kern w:val="0"/>
      <w:sz w:val="32"/>
      <w:szCs w:val="32"/>
    </w:rPr>
  </w:style>
  <w:style w:type="character" w:customStyle="1" w:styleId="404">
    <w:name w:val="lemmatitleh11"/>
    <w:autoRedefine/>
    <w:qFormat/>
    <w:uiPriority w:val="0"/>
  </w:style>
  <w:style w:type="character" w:customStyle="1" w:styleId="405">
    <w:name w:val="textcontents"/>
    <w:autoRedefine/>
    <w:qFormat/>
    <w:uiPriority w:val="0"/>
    <w:rPr>
      <w:rFonts w:cs="Times New Roman"/>
    </w:rPr>
  </w:style>
  <w:style w:type="character" w:customStyle="1" w:styleId="406">
    <w:name w:val="文档结构图 Char1"/>
    <w:autoRedefine/>
    <w:qFormat/>
    <w:uiPriority w:val="0"/>
    <w:rPr>
      <w:rFonts w:ascii="宋体" w:hAnsi="Times New Roman" w:eastAsia="宋体" w:cs="Times New Roman"/>
      <w:kern w:val="0"/>
      <w:sz w:val="18"/>
      <w:szCs w:val="18"/>
    </w:rPr>
  </w:style>
  <w:style w:type="character" w:customStyle="1" w:styleId="407">
    <w:name w:val="Char Char8"/>
    <w:autoRedefine/>
    <w:qFormat/>
    <w:uiPriority w:val="0"/>
    <w:rPr>
      <w:rFonts w:hint="default" w:ascii="Arial" w:hAnsi="Arial" w:eastAsia="黑体" w:cs="Arial"/>
      <w:b/>
      <w:bCs/>
      <w:kern w:val="2"/>
      <w:sz w:val="32"/>
      <w:szCs w:val="32"/>
      <w:lang w:val="en-US" w:eastAsia="zh-CN" w:bidi="ar-SA"/>
    </w:rPr>
  </w:style>
  <w:style w:type="character" w:customStyle="1" w:styleId="408">
    <w:name w:val="无间隔 Char"/>
    <w:link w:val="409"/>
    <w:autoRedefine/>
    <w:qFormat/>
    <w:uiPriority w:val="99"/>
    <w:rPr>
      <w:rFonts w:ascii="Calibri" w:hAnsi="Calibri"/>
      <w:sz w:val="22"/>
    </w:rPr>
  </w:style>
  <w:style w:type="paragraph" w:customStyle="1" w:styleId="409">
    <w:name w:val="_Style 176"/>
    <w:link w:val="408"/>
    <w:autoRedefine/>
    <w:qFormat/>
    <w:uiPriority w:val="99"/>
    <w:rPr>
      <w:rFonts w:ascii="Calibri" w:hAnsi="Calibri" w:eastAsia="宋体" w:cs="Times New Roman"/>
      <w:sz w:val="22"/>
      <w:lang w:val="en-US" w:eastAsia="zh-CN" w:bidi="ar-SA"/>
    </w:rPr>
  </w:style>
  <w:style w:type="character" w:customStyle="1" w:styleId="410">
    <w:name w:val="Char Char10"/>
    <w:autoRedefine/>
    <w:qFormat/>
    <w:uiPriority w:val="0"/>
    <w:rPr>
      <w:kern w:val="2"/>
      <w:sz w:val="21"/>
      <w:szCs w:val="22"/>
    </w:rPr>
  </w:style>
  <w:style w:type="paragraph" w:customStyle="1" w:styleId="411">
    <w:name w:val="_Style 181"/>
    <w:basedOn w:val="1"/>
    <w:next w:val="1"/>
    <w:autoRedefine/>
    <w:qFormat/>
    <w:uiPriority w:val="0"/>
    <w:pPr>
      <w:widowControl w:val="0"/>
      <w:pBdr>
        <w:bottom w:val="single" w:color="4F81BD" w:sz="4" w:space="4"/>
      </w:pBdr>
      <w:spacing w:before="200" w:after="280"/>
      <w:ind w:left="936" w:right="936"/>
      <w:jc w:val="both"/>
    </w:pPr>
    <w:rPr>
      <w:rFonts w:asciiTheme="minorHAnsi" w:hAnsiTheme="minorHAnsi" w:eastAsiaTheme="minorEastAsia" w:cstheme="minorBidi"/>
      <w:b/>
      <w:bCs/>
      <w:i/>
      <w:iCs/>
      <w:color w:val="4F81BD"/>
      <w:kern w:val="2"/>
      <w:sz w:val="21"/>
      <w:szCs w:val="22"/>
    </w:rPr>
  </w:style>
  <w:style w:type="character" w:customStyle="1" w:styleId="412">
    <w:name w:val="_Style 202"/>
    <w:autoRedefine/>
    <w:qFormat/>
    <w:uiPriority w:val="0"/>
    <w:rPr>
      <w:b/>
      <w:bCs/>
      <w:smallCaps/>
      <w:color w:val="C0504D"/>
      <w:spacing w:val="5"/>
      <w:u w:val="single"/>
    </w:rPr>
  </w:style>
  <w:style w:type="character" w:customStyle="1" w:styleId="413">
    <w:name w:val="正文文本 3 Char1"/>
    <w:autoRedefine/>
    <w:qFormat/>
    <w:uiPriority w:val="99"/>
    <w:rPr>
      <w:sz w:val="16"/>
      <w:szCs w:val="16"/>
    </w:rPr>
  </w:style>
  <w:style w:type="character" w:customStyle="1" w:styleId="414">
    <w:name w:val="标题 Char1"/>
    <w:autoRedefine/>
    <w:qFormat/>
    <w:uiPriority w:val="10"/>
    <w:rPr>
      <w:rFonts w:ascii="Cambria" w:hAnsi="Cambria" w:cs="Times New Roman"/>
      <w:b/>
      <w:bCs/>
      <w:sz w:val="32"/>
      <w:szCs w:val="32"/>
    </w:rPr>
  </w:style>
  <w:style w:type="character" w:customStyle="1" w:styleId="415">
    <w:name w:val="_Style 210"/>
    <w:autoRedefine/>
    <w:qFormat/>
    <w:uiPriority w:val="0"/>
    <w:rPr>
      <w:b/>
      <w:bCs/>
      <w:i/>
      <w:iCs/>
      <w:color w:val="4F81BD"/>
    </w:rPr>
  </w:style>
  <w:style w:type="character" w:customStyle="1" w:styleId="416">
    <w:name w:val="日期 Char1"/>
    <w:autoRedefine/>
    <w:qFormat/>
    <w:uiPriority w:val="0"/>
    <w:rPr>
      <w:kern w:val="2"/>
      <w:sz w:val="21"/>
      <w:szCs w:val="22"/>
    </w:rPr>
  </w:style>
  <w:style w:type="character" w:customStyle="1" w:styleId="417">
    <w:name w:val="明显引用 Char1"/>
    <w:autoRedefine/>
    <w:qFormat/>
    <w:uiPriority w:val="30"/>
    <w:rPr>
      <w:b/>
      <w:bCs/>
      <w:i/>
      <w:iCs/>
      <w:color w:val="4F81BD"/>
    </w:rPr>
  </w:style>
  <w:style w:type="character" w:customStyle="1" w:styleId="418">
    <w:name w:val="批注文字 Char Char"/>
    <w:autoRedefine/>
    <w:qFormat/>
    <w:uiPriority w:val="0"/>
    <w:rPr>
      <w:rFonts w:ascii="宋体" w:hAnsi="Times New Roman" w:eastAsia="宋体" w:cs="Times New Roman"/>
      <w:sz w:val="28"/>
      <w:szCs w:val="20"/>
    </w:rPr>
  </w:style>
  <w:style w:type="character" w:customStyle="1" w:styleId="419">
    <w:name w:val="样式 批注引用 + 绿色"/>
    <w:autoRedefine/>
    <w:qFormat/>
    <w:uiPriority w:val="0"/>
    <w:rPr>
      <w:rFonts w:ascii="Tahoma" w:hAnsi="Tahoma" w:eastAsia="宋体"/>
      <w:color w:val="FF0000"/>
      <w:kern w:val="2"/>
      <w:sz w:val="21"/>
      <w:szCs w:val="21"/>
      <w:lang w:val="en-US" w:eastAsia="zh-CN" w:bidi="ar-SA"/>
    </w:rPr>
  </w:style>
  <w:style w:type="character" w:customStyle="1" w:styleId="420">
    <w:name w:val="脚注文本 Char1"/>
    <w:autoRedefine/>
    <w:qFormat/>
    <w:uiPriority w:val="99"/>
    <w:rPr>
      <w:sz w:val="18"/>
      <w:szCs w:val="18"/>
    </w:rPr>
  </w:style>
  <w:style w:type="character" w:customStyle="1" w:styleId="421">
    <w:name w:val="文档结构图 字符"/>
    <w:autoRedefine/>
    <w:qFormat/>
    <w:uiPriority w:val="0"/>
    <w:rPr>
      <w:rFonts w:ascii="宋体" w:hAnsi="Times New Roman" w:eastAsia="宋体" w:cs="Times New Roman"/>
      <w:kern w:val="0"/>
      <w:sz w:val="18"/>
      <w:szCs w:val="18"/>
    </w:rPr>
  </w:style>
  <w:style w:type="character" w:customStyle="1" w:styleId="422">
    <w:name w:val="unnamed1"/>
    <w:autoRedefine/>
    <w:qFormat/>
    <w:uiPriority w:val="0"/>
    <w:rPr>
      <w:rFonts w:ascii="Tahoma" w:hAnsi="Tahoma" w:eastAsia="宋体"/>
      <w:kern w:val="2"/>
      <w:sz w:val="24"/>
      <w:lang w:val="en-US" w:eastAsia="zh-CN" w:bidi="ar-SA"/>
    </w:rPr>
  </w:style>
  <w:style w:type="character" w:customStyle="1" w:styleId="423">
    <w:name w:val="apple-converted-space"/>
    <w:autoRedefine/>
    <w:qFormat/>
    <w:uiPriority w:val="0"/>
  </w:style>
  <w:style w:type="character" w:customStyle="1" w:styleId="424">
    <w:name w:val="页脚 字符"/>
    <w:autoRedefine/>
    <w:qFormat/>
    <w:uiPriority w:val="99"/>
    <w:rPr>
      <w:rFonts w:ascii="Times New Roman" w:hAnsi="Times New Roman" w:eastAsia="宋体" w:cs="Times New Roman"/>
      <w:kern w:val="0"/>
      <w:sz w:val="18"/>
      <w:szCs w:val="18"/>
    </w:rPr>
  </w:style>
  <w:style w:type="character" w:customStyle="1" w:styleId="425">
    <w:name w:val="批注框文本 字符"/>
    <w:autoRedefine/>
    <w:semiHidden/>
    <w:qFormat/>
    <w:uiPriority w:val="0"/>
    <w:rPr>
      <w:rFonts w:ascii="Times New Roman" w:hAnsi="Times New Roman" w:eastAsia="宋体" w:cs="Times New Roman"/>
      <w:kern w:val="0"/>
      <w:sz w:val="18"/>
      <w:szCs w:val="18"/>
    </w:rPr>
  </w:style>
  <w:style w:type="character" w:customStyle="1" w:styleId="426">
    <w:name w:val="tabtitle"/>
    <w:autoRedefine/>
    <w:qFormat/>
    <w:uiPriority w:val="0"/>
    <w:rPr>
      <w:b/>
      <w:color w:val="4371A0"/>
      <w:sz w:val="18"/>
      <w:szCs w:val="18"/>
      <w:bdr w:val="single" w:color="B3C8DB" w:sz="6" w:space="0"/>
    </w:rPr>
  </w:style>
  <w:style w:type="character" w:customStyle="1" w:styleId="427">
    <w:name w:val="正文缩进 字符"/>
    <w:autoRedefine/>
    <w:qFormat/>
    <w:uiPriority w:val="0"/>
    <w:rPr>
      <w:rFonts w:ascii="Times New Roman" w:hAnsi="Times New Roman" w:eastAsia="宋体" w:cs="Times New Roman"/>
      <w:kern w:val="0"/>
      <w:sz w:val="20"/>
      <w:szCs w:val="20"/>
    </w:rPr>
  </w:style>
  <w:style w:type="character" w:customStyle="1" w:styleId="428">
    <w:name w:val="日期 字符"/>
    <w:autoRedefine/>
    <w:qFormat/>
    <w:uiPriority w:val="0"/>
    <w:rPr>
      <w:rFonts w:ascii="Times New Roman" w:hAnsi="Times New Roman" w:eastAsia="宋体" w:cs="Times New Roman"/>
      <w:kern w:val="0"/>
      <w:sz w:val="20"/>
      <w:szCs w:val="20"/>
    </w:rPr>
  </w:style>
  <w:style w:type="character" w:customStyle="1" w:styleId="429">
    <w:name w:val="标题 3 字符"/>
    <w:autoRedefine/>
    <w:qFormat/>
    <w:uiPriority w:val="0"/>
    <w:rPr>
      <w:rFonts w:ascii="Times New Roman" w:hAnsi="Times New Roman" w:eastAsia="宋体" w:cs="Times New Roman"/>
      <w:b/>
      <w:bCs/>
      <w:kern w:val="0"/>
      <w:sz w:val="32"/>
      <w:szCs w:val="32"/>
    </w:rPr>
  </w:style>
  <w:style w:type="character" w:customStyle="1" w:styleId="430">
    <w:name w:val="Char Char7"/>
    <w:autoRedefine/>
    <w:qFormat/>
    <w:uiPriority w:val="99"/>
    <w:rPr>
      <w:rFonts w:hint="default" w:ascii="Arial" w:hAnsi="Arial" w:eastAsia="黑体" w:cs="Arial"/>
      <w:b/>
      <w:bCs/>
      <w:kern w:val="2"/>
      <w:sz w:val="32"/>
      <w:szCs w:val="32"/>
      <w:lang w:val="en-US" w:eastAsia="zh-CN" w:bidi="ar-SA"/>
    </w:rPr>
  </w:style>
  <w:style w:type="character" w:customStyle="1" w:styleId="431">
    <w:name w:val="批注主题 Char1"/>
    <w:autoRedefine/>
    <w:qFormat/>
    <w:uiPriority w:val="0"/>
    <w:rPr>
      <w:b/>
      <w:bCs/>
      <w:sz w:val="24"/>
    </w:rPr>
  </w:style>
  <w:style w:type="character" w:customStyle="1" w:styleId="432">
    <w:name w:val="Char Char3"/>
    <w:autoRedefine/>
    <w:qFormat/>
    <w:uiPriority w:val="99"/>
    <w:rPr>
      <w:sz w:val="18"/>
    </w:rPr>
  </w:style>
  <w:style w:type="character" w:customStyle="1" w:styleId="433">
    <w:name w:val="页眉 字符"/>
    <w:autoRedefine/>
    <w:qFormat/>
    <w:uiPriority w:val="0"/>
    <w:rPr>
      <w:rFonts w:ascii="Times New Roman" w:hAnsi="Times New Roman" w:eastAsia="宋体" w:cs="Times New Roman"/>
      <w:kern w:val="0"/>
      <w:sz w:val="18"/>
      <w:szCs w:val="18"/>
    </w:rPr>
  </w:style>
  <w:style w:type="character" w:customStyle="1" w:styleId="434">
    <w:name w:val="_Style 238"/>
    <w:autoRedefine/>
    <w:qFormat/>
    <w:uiPriority w:val="0"/>
    <w:rPr>
      <w:i/>
      <w:iCs/>
      <w:color w:val="808080"/>
    </w:rPr>
  </w:style>
  <w:style w:type="character" w:customStyle="1" w:styleId="435">
    <w:name w:val="right2"/>
    <w:autoRedefine/>
    <w:qFormat/>
    <w:uiPriority w:val="0"/>
  </w:style>
  <w:style w:type="character" w:customStyle="1" w:styleId="436">
    <w:name w:val="批注主题 字符"/>
    <w:autoRedefine/>
    <w:qFormat/>
    <w:uiPriority w:val="0"/>
    <w:rPr>
      <w:rFonts w:ascii="Times New Roman" w:hAnsi="Times New Roman" w:eastAsia="宋体" w:cs="Times New Roman"/>
      <w:b/>
      <w:bCs/>
      <w:kern w:val="0"/>
      <w:sz w:val="20"/>
      <w:szCs w:val="20"/>
    </w:rPr>
  </w:style>
  <w:style w:type="character" w:customStyle="1" w:styleId="437">
    <w:name w:val="标题 4 字符"/>
    <w:autoRedefine/>
    <w:qFormat/>
    <w:uiPriority w:val="0"/>
    <w:rPr>
      <w:rFonts w:ascii="Arial" w:hAnsi="Arial" w:eastAsia="黑体" w:cs="Times New Roman"/>
      <w:b/>
      <w:bCs/>
      <w:kern w:val="0"/>
      <w:sz w:val="28"/>
      <w:szCs w:val="28"/>
    </w:rPr>
  </w:style>
  <w:style w:type="character" w:customStyle="1" w:styleId="438">
    <w:name w:val="批注框文本 Char1"/>
    <w:autoRedefine/>
    <w:qFormat/>
    <w:uiPriority w:val="0"/>
    <w:rPr>
      <w:kern w:val="2"/>
      <w:sz w:val="18"/>
      <w:szCs w:val="18"/>
    </w:rPr>
  </w:style>
  <w:style w:type="character" w:customStyle="1" w:styleId="439">
    <w:name w:val="标题 5 字符"/>
    <w:autoRedefine/>
    <w:qFormat/>
    <w:uiPriority w:val="0"/>
    <w:rPr>
      <w:rFonts w:ascii="Times New Roman" w:hAnsi="Times New Roman" w:eastAsia="宋体" w:cs="Times New Roman"/>
      <w:b/>
      <w:bCs/>
      <w:kern w:val="0"/>
      <w:sz w:val="28"/>
      <w:szCs w:val="28"/>
    </w:rPr>
  </w:style>
  <w:style w:type="character" w:customStyle="1" w:styleId="440">
    <w:name w:val="正文首行缩进 Char1"/>
    <w:autoRedefine/>
    <w:qFormat/>
    <w:uiPriority w:val="99"/>
    <w:rPr>
      <w:rFonts w:eastAsia="宋体"/>
      <w:lang w:val="en-US" w:eastAsia="zh-CN" w:bidi="ar-SA"/>
    </w:rPr>
  </w:style>
  <w:style w:type="character" w:customStyle="1" w:styleId="441">
    <w:name w:val="Para head"/>
    <w:autoRedefine/>
    <w:qFormat/>
    <w:uiPriority w:val="0"/>
    <w:rPr>
      <w:rFonts w:ascii="Arial" w:hAnsi="Arial" w:eastAsia="Times New Roman"/>
      <w:sz w:val="20"/>
    </w:rPr>
  </w:style>
  <w:style w:type="character" w:customStyle="1" w:styleId="442">
    <w:name w:val="正文文本缩进 3 字符"/>
    <w:autoRedefine/>
    <w:qFormat/>
    <w:uiPriority w:val="0"/>
    <w:rPr>
      <w:rFonts w:ascii="Times New Roman" w:hAnsi="Times New Roman" w:eastAsia="宋体" w:cs="Times New Roman"/>
      <w:kern w:val="0"/>
      <w:sz w:val="16"/>
      <w:szCs w:val="16"/>
    </w:rPr>
  </w:style>
  <w:style w:type="character" w:customStyle="1" w:styleId="443">
    <w:name w:val="_Style 266"/>
    <w:autoRedefine/>
    <w:qFormat/>
    <w:uiPriority w:val="0"/>
    <w:rPr>
      <w:b/>
      <w:bCs/>
      <w:smallCaps/>
      <w:spacing w:val="5"/>
    </w:rPr>
  </w:style>
  <w:style w:type="character" w:customStyle="1" w:styleId="444">
    <w:name w:val="正文文本缩进 字符"/>
    <w:autoRedefine/>
    <w:qFormat/>
    <w:uiPriority w:val="0"/>
    <w:rPr>
      <w:rFonts w:ascii="Times New Roman" w:hAnsi="Times New Roman" w:eastAsia="宋体" w:cs="Times New Roman"/>
      <w:kern w:val="0"/>
      <w:sz w:val="20"/>
      <w:szCs w:val="20"/>
    </w:rPr>
  </w:style>
  <w:style w:type="character" w:customStyle="1" w:styleId="445">
    <w:name w:val="Char Char2"/>
    <w:autoRedefine/>
    <w:qFormat/>
    <w:uiPriority w:val="0"/>
    <w:rPr>
      <w:rFonts w:eastAsia="宋体"/>
      <w:b/>
      <w:bCs/>
      <w:kern w:val="44"/>
      <w:sz w:val="32"/>
      <w:szCs w:val="44"/>
      <w:lang w:val="en-US" w:eastAsia="zh-CN" w:bidi="ar-SA"/>
    </w:rPr>
  </w:style>
  <w:style w:type="character" w:customStyle="1" w:styleId="446">
    <w:name w:val="副标题 Char1"/>
    <w:autoRedefine/>
    <w:qFormat/>
    <w:uiPriority w:val="11"/>
    <w:rPr>
      <w:rFonts w:ascii="Cambria" w:hAnsi="Cambria" w:cs="Times New Roman"/>
      <w:b/>
      <w:bCs/>
      <w:kern w:val="28"/>
      <w:sz w:val="32"/>
      <w:szCs w:val="32"/>
    </w:rPr>
  </w:style>
  <w:style w:type="character" w:customStyle="1" w:styleId="447">
    <w:name w:val="正文文本 字符"/>
    <w:autoRedefine/>
    <w:qFormat/>
    <w:uiPriority w:val="0"/>
    <w:rPr>
      <w:rFonts w:ascii="Times New Roman" w:hAnsi="Times New Roman" w:eastAsia="宋体" w:cs="Times New Roman"/>
      <w:kern w:val="0"/>
      <w:sz w:val="20"/>
      <w:szCs w:val="20"/>
    </w:rPr>
  </w:style>
  <w:style w:type="character" w:customStyle="1" w:styleId="448">
    <w:name w:val="font161"/>
    <w:autoRedefine/>
    <w:qFormat/>
    <w:uiPriority w:val="99"/>
    <w:rPr>
      <w:b/>
      <w:bCs/>
      <w:sz w:val="32"/>
      <w:szCs w:val="32"/>
    </w:rPr>
  </w:style>
  <w:style w:type="character" w:customStyle="1" w:styleId="449">
    <w:name w:val="批注文字 字符"/>
    <w:autoRedefine/>
    <w:qFormat/>
    <w:uiPriority w:val="0"/>
    <w:rPr>
      <w:rFonts w:ascii="Times New Roman" w:hAnsi="Times New Roman" w:eastAsia="宋体" w:cs="Times New Roman"/>
      <w:kern w:val="0"/>
      <w:sz w:val="24"/>
      <w:szCs w:val="20"/>
    </w:rPr>
  </w:style>
  <w:style w:type="character" w:customStyle="1" w:styleId="450">
    <w:name w:val="_Style 301"/>
    <w:autoRedefine/>
    <w:qFormat/>
    <w:uiPriority w:val="0"/>
    <w:rPr>
      <w:smallCaps/>
      <w:color w:val="C0504D"/>
      <w:u w:val="single"/>
    </w:rPr>
  </w:style>
  <w:style w:type="character" w:customStyle="1" w:styleId="451">
    <w:name w:val="zbggmain style9"/>
    <w:autoRedefine/>
    <w:qFormat/>
    <w:uiPriority w:val="0"/>
  </w:style>
  <w:style w:type="paragraph" w:customStyle="1" w:styleId="452">
    <w:name w:val="font6"/>
    <w:basedOn w:val="1"/>
    <w:autoRedefine/>
    <w:qFormat/>
    <w:uiPriority w:val="0"/>
    <w:pPr>
      <w:spacing w:before="100" w:beforeAutospacing="1" w:after="100" w:afterAutospacing="1"/>
    </w:pPr>
    <w:rPr>
      <w:rFonts w:eastAsia="楷体_GB2312"/>
    </w:rPr>
  </w:style>
  <w:style w:type="paragraph" w:customStyle="1" w:styleId="453">
    <w:name w:val="xl51"/>
    <w:basedOn w:val="1"/>
    <w:autoRedefine/>
    <w:qFormat/>
    <w:uiPriority w:val="99"/>
    <w:pPr>
      <w:pBdr>
        <w:bottom w:val="single" w:color="auto" w:sz="4" w:space="0"/>
      </w:pBdr>
      <w:spacing w:before="100" w:beforeAutospacing="1" w:after="100" w:afterAutospacing="1"/>
      <w:jc w:val="center"/>
      <w:textAlignment w:val="center"/>
    </w:pPr>
    <w:rPr>
      <w:rFonts w:ascii="宋体" w:hAnsi="宋体"/>
      <w:b/>
      <w:bCs/>
      <w:sz w:val="32"/>
      <w:szCs w:val="32"/>
    </w:rPr>
  </w:style>
  <w:style w:type="paragraph" w:customStyle="1" w:styleId="454">
    <w:name w:val="xl24"/>
    <w:basedOn w:val="1"/>
    <w:autoRedefine/>
    <w:qFormat/>
    <w:uiPriority w:val="0"/>
    <w:pPr>
      <w:spacing w:before="100" w:beforeAutospacing="1" w:after="100" w:afterAutospacing="1"/>
    </w:pPr>
    <w:rPr>
      <w:rFonts w:ascii="宋体" w:hAnsi="宋体" w:eastAsia="楷体_GB2312"/>
      <w:sz w:val="36"/>
      <w:szCs w:val="36"/>
    </w:rPr>
  </w:style>
  <w:style w:type="paragraph" w:customStyle="1" w:styleId="455">
    <w:name w:val="正文1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56">
    <w:name w:val="样式 标题 3 + (中文) 黑体 小四 非加粗 段前: 7.8 磅 段后: 0 磅 行距: 固定值 20 磅"/>
    <w:basedOn w:val="4"/>
    <w:autoRedefine/>
    <w:qFormat/>
    <w:uiPriority w:val="99"/>
    <w:pPr>
      <w:tabs>
        <w:tab w:val="clear" w:pos="2160"/>
      </w:tabs>
      <w:spacing w:before="0" w:line="400" w:lineRule="exact"/>
      <w:ind w:firstLine="0" w:firstLineChars="0"/>
      <w:jc w:val="both"/>
    </w:pPr>
    <w:rPr>
      <w:rFonts w:eastAsia="黑体" w:cs="宋体"/>
      <w:b w:val="0"/>
      <w:kern w:val="2"/>
      <w:sz w:val="24"/>
    </w:rPr>
  </w:style>
  <w:style w:type="paragraph" w:customStyle="1" w:styleId="457">
    <w:name w:val="样式 样式 标题 3 + 居中 左侧:  3.06 厘米 首行缩进:  1.18 厘米 段前: 1.5 行 段后: 6 磅 .....1"/>
    <w:basedOn w:val="458"/>
    <w:autoRedefine/>
    <w:qFormat/>
    <w:uiPriority w:val="0"/>
    <w:pPr>
      <w:tabs>
        <w:tab w:val="left" w:pos="360"/>
        <w:tab w:val="left" w:pos="720"/>
      </w:tabs>
      <w:spacing w:beforeLines="0"/>
    </w:pPr>
  </w:style>
  <w:style w:type="paragraph" w:customStyle="1" w:styleId="458">
    <w:name w:val="样式 标题 3 + 居中 左侧:  3.06 厘米 首行缩进:  1.18 厘米 段前: 1.5 行 段后: 6 磅 ..."/>
    <w:basedOn w:val="4"/>
    <w:autoRedefine/>
    <w:qFormat/>
    <w:uiPriority w:val="0"/>
    <w:pPr>
      <w:tabs>
        <w:tab w:val="left" w:pos="360"/>
        <w:tab w:val="clear" w:pos="2160"/>
      </w:tabs>
      <w:adjustRightInd w:val="0"/>
      <w:snapToGrid w:val="0"/>
      <w:spacing w:beforeLines="150" w:after="120" w:line="413" w:lineRule="auto"/>
      <w:ind w:firstLine="0" w:firstLineChars="0"/>
    </w:pPr>
    <w:rPr>
      <w:rFonts w:ascii="Arial" w:hAnsi="Arial" w:cs="宋体"/>
      <w:bCs/>
      <w:kern w:val="28"/>
      <w:sz w:val="24"/>
    </w:rPr>
  </w:style>
  <w:style w:type="paragraph" w:customStyle="1" w:styleId="459">
    <w:name w:val="3"/>
    <w:basedOn w:val="1"/>
    <w:next w:val="32"/>
    <w:autoRedefine/>
    <w:qFormat/>
    <w:uiPriority w:val="0"/>
    <w:pPr>
      <w:widowControl w:val="0"/>
      <w:jc w:val="both"/>
    </w:pPr>
    <w:rPr>
      <w:rFonts w:ascii="宋体" w:hAnsi="Courier New" w:eastAsia="楷体_GB2312"/>
      <w:kern w:val="2"/>
      <w:sz w:val="21"/>
      <w:szCs w:val="20"/>
    </w:rPr>
  </w:style>
  <w:style w:type="paragraph" w:customStyle="1" w:styleId="460">
    <w:name w:val="xl37"/>
    <w:basedOn w:val="1"/>
    <w:autoRedefine/>
    <w:qFormat/>
    <w:uiPriority w:val="0"/>
    <w:pPr>
      <w:spacing w:before="100" w:beforeAutospacing="1" w:after="100" w:afterAutospacing="1"/>
      <w:jc w:val="center"/>
    </w:pPr>
    <w:rPr>
      <w:rFonts w:eastAsia="楷体_GB2312"/>
      <w:b/>
      <w:bCs/>
      <w:sz w:val="40"/>
      <w:szCs w:val="40"/>
    </w:rPr>
  </w:style>
  <w:style w:type="paragraph" w:customStyle="1" w:styleId="461">
    <w:name w:val="Char Char Char Char Char Char"/>
    <w:basedOn w:val="1"/>
    <w:autoRedefine/>
    <w:qFormat/>
    <w:uiPriority w:val="0"/>
    <w:pPr>
      <w:widowControl w:val="0"/>
      <w:jc w:val="both"/>
    </w:pPr>
    <w:rPr>
      <w:rFonts w:ascii="Tahoma" w:hAnsi="Tahoma" w:eastAsia="楷体_GB2312"/>
      <w:kern w:val="2"/>
      <w:szCs w:val="20"/>
    </w:rPr>
  </w:style>
  <w:style w:type="paragraph" w:customStyle="1" w:styleId="462">
    <w:name w:val="xl48"/>
    <w:basedOn w:val="1"/>
    <w:autoRedefine/>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eastAsia="楷体_GB2312"/>
    </w:rPr>
  </w:style>
  <w:style w:type="paragraph" w:customStyle="1" w:styleId="463">
    <w:name w:val="标题4"/>
    <w:basedOn w:val="1"/>
    <w:next w:val="5"/>
    <w:autoRedefine/>
    <w:qFormat/>
    <w:uiPriority w:val="99"/>
    <w:rPr>
      <w:rFonts w:ascii="黑体" w:eastAsia="黑体"/>
      <w:szCs w:val="30"/>
    </w:rPr>
  </w:style>
  <w:style w:type="paragraph" w:customStyle="1" w:styleId="464">
    <w:name w:val="xl52"/>
    <w:basedOn w:val="1"/>
    <w:autoRedefine/>
    <w:qFormat/>
    <w:uiPriority w:val="0"/>
    <w:pPr>
      <w:spacing w:before="100" w:beforeAutospacing="1" w:after="100" w:afterAutospacing="1"/>
    </w:pPr>
    <w:rPr>
      <w:rFonts w:eastAsia="楷体_GB2312"/>
      <w:b/>
      <w:bCs/>
      <w:sz w:val="40"/>
      <w:szCs w:val="40"/>
    </w:rPr>
  </w:style>
  <w:style w:type="paragraph" w:customStyle="1" w:styleId="465">
    <w:name w:val="4"/>
    <w:basedOn w:val="1"/>
    <w:next w:val="32"/>
    <w:autoRedefine/>
    <w:qFormat/>
    <w:uiPriority w:val="0"/>
    <w:pPr>
      <w:widowControl w:val="0"/>
      <w:jc w:val="both"/>
    </w:pPr>
    <w:rPr>
      <w:rFonts w:ascii="宋体" w:hAnsi="Courier New" w:eastAsia="楷体_GB2312"/>
      <w:kern w:val="2"/>
      <w:sz w:val="21"/>
      <w:szCs w:val="20"/>
    </w:rPr>
  </w:style>
  <w:style w:type="paragraph" w:customStyle="1" w:styleId="466">
    <w:name w:val="font9"/>
    <w:basedOn w:val="1"/>
    <w:autoRedefine/>
    <w:qFormat/>
    <w:uiPriority w:val="0"/>
    <w:pPr>
      <w:spacing w:before="100" w:beforeAutospacing="1" w:after="100" w:afterAutospacing="1"/>
    </w:pPr>
    <w:rPr>
      <w:rFonts w:eastAsia="楷体_GB2312"/>
    </w:rPr>
  </w:style>
  <w:style w:type="paragraph" w:customStyle="1" w:styleId="467">
    <w:name w:val="表格cacc"/>
    <w:basedOn w:val="1"/>
    <w:autoRedefine/>
    <w:qFormat/>
    <w:uiPriority w:val="0"/>
    <w:pPr>
      <w:widowControl w:val="0"/>
      <w:spacing w:line="240" w:lineRule="atLeast"/>
    </w:pPr>
    <w:rPr>
      <w:kern w:val="2"/>
      <w:sz w:val="21"/>
      <w:szCs w:val="21"/>
    </w:rPr>
  </w:style>
  <w:style w:type="paragraph" w:customStyle="1" w:styleId="468">
    <w:name w:val="reader-word-layer reader-word-s1-5"/>
    <w:basedOn w:val="1"/>
    <w:autoRedefine/>
    <w:qFormat/>
    <w:uiPriority w:val="99"/>
    <w:pPr>
      <w:spacing w:before="100" w:beforeAutospacing="1" w:after="100" w:afterAutospacing="1"/>
    </w:pPr>
    <w:rPr>
      <w:rFonts w:ascii="宋体" w:hAnsi="宋体" w:cs="宋体"/>
    </w:rPr>
  </w:style>
  <w:style w:type="paragraph" w:customStyle="1" w:styleId="469">
    <w:name w:val="font10"/>
    <w:basedOn w:val="1"/>
    <w:autoRedefine/>
    <w:qFormat/>
    <w:uiPriority w:val="0"/>
    <w:pPr>
      <w:spacing w:before="100" w:beforeAutospacing="1" w:after="100" w:afterAutospacing="1"/>
    </w:pPr>
    <w:rPr>
      <w:rFonts w:eastAsia="楷体_GB2312"/>
      <w:sz w:val="20"/>
      <w:szCs w:val="20"/>
    </w:rPr>
  </w:style>
  <w:style w:type="paragraph" w:customStyle="1" w:styleId="470">
    <w:name w:val="Char Char Char Char Char Char Char Char Char Char Char Char Char Char Char Char Char Char Char Char Char Char Char Char Char Char Char Char"/>
    <w:basedOn w:val="1"/>
    <w:autoRedefine/>
    <w:qFormat/>
    <w:uiPriority w:val="0"/>
    <w:pPr>
      <w:spacing w:after="160" w:line="240" w:lineRule="exact"/>
    </w:pPr>
    <w:rPr>
      <w:rFonts w:ascii="Verdana" w:hAnsi="Verdana" w:eastAsia="仿宋_GB2312"/>
      <w:szCs w:val="20"/>
      <w:lang w:eastAsia="en-US"/>
    </w:rPr>
  </w:style>
  <w:style w:type="paragraph" w:customStyle="1" w:styleId="471">
    <w:name w:val="noindent"/>
    <w:basedOn w:val="1"/>
    <w:autoRedefine/>
    <w:qFormat/>
    <w:uiPriority w:val="99"/>
    <w:pPr>
      <w:spacing w:before="100" w:beforeAutospacing="1" w:after="100" w:afterAutospacing="1"/>
    </w:pPr>
    <w:rPr>
      <w:rFonts w:ascii="宋体" w:hAnsi="宋体" w:cs="宋体"/>
    </w:rPr>
  </w:style>
  <w:style w:type="paragraph" w:customStyle="1" w:styleId="472">
    <w:name w:val="xl49"/>
    <w:basedOn w:val="1"/>
    <w:autoRedefine/>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pPr>
    <w:rPr>
      <w:rFonts w:eastAsia="楷体_GB2312"/>
    </w:rPr>
  </w:style>
  <w:style w:type="paragraph" w:customStyle="1" w:styleId="473">
    <w:name w:val="6'"/>
    <w:basedOn w:val="1"/>
    <w:autoRedefine/>
    <w:qFormat/>
    <w:uiPriority w:val="99"/>
    <w:pPr>
      <w:widowControl w:val="0"/>
      <w:autoSpaceDE w:val="0"/>
      <w:autoSpaceDN w:val="0"/>
      <w:adjustRightInd w:val="0"/>
      <w:snapToGrid w:val="0"/>
      <w:spacing w:line="320" w:lineRule="exact"/>
      <w:jc w:val="center"/>
      <w:textAlignment w:val="baseline"/>
    </w:pPr>
    <w:rPr>
      <w:spacing w:val="20"/>
      <w:kern w:val="28"/>
      <w:sz w:val="21"/>
      <w:szCs w:val="20"/>
    </w:rPr>
  </w:style>
  <w:style w:type="paragraph" w:customStyle="1" w:styleId="474">
    <w:name w:val="xl46"/>
    <w:basedOn w:val="1"/>
    <w:autoRedefine/>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eastAsia="楷体_GB2312"/>
    </w:rPr>
  </w:style>
  <w:style w:type="paragraph" w:customStyle="1" w:styleId="475">
    <w:name w:val="xl54"/>
    <w:basedOn w:val="1"/>
    <w:autoRedefine/>
    <w:qFormat/>
    <w:uiPriority w:val="0"/>
    <w:pPr>
      <w:pBdr>
        <w:top w:val="single" w:color="auto" w:sz="4" w:space="0"/>
        <w:left w:val="single" w:color="auto" w:sz="4" w:space="0"/>
        <w:bottom w:val="single" w:color="auto" w:sz="8" w:space="0"/>
        <w:right w:val="single" w:color="auto" w:sz="8" w:space="0"/>
      </w:pBdr>
      <w:spacing w:before="100" w:beforeAutospacing="1" w:after="100" w:afterAutospacing="1"/>
    </w:pPr>
    <w:rPr>
      <w:rFonts w:ascii="宋体" w:hAnsi="宋体" w:eastAsia="楷体_GB2312"/>
    </w:rPr>
  </w:style>
  <w:style w:type="paragraph" w:customStyle="1" w:styleId="476">
    <w:name w:val="_Style 27"/>
    <w:basedOn w:val="1"/>
    <w:next w:val="28"/>
    <w:autoRedefine/>
    <w:qFormat/>
    <w:uiPriority w:val="0"/>
    <w:pPr>
      <w:widowControl w:val="0"/>
      <w:adjustRightInd w:val="0"/>
      <w:ind w:left="420" w:right="33"/>
      <w:textAlignment w:val="baseline"/>
    </w:pPr>
    <w:rPr>
      <w:szCs w:val="20"/>
    </w:rPr>
  </w:style>
  <w:style w:type="paragraph" w:customStyle="1" w:styleId="477">
    <w:name w:val="Char Char Char Char Char Char Char Char Char Char Char Char Char Char Char Char Char Char Char Char Char Char"/>
    <w:basedOn w:val="1"/>
    <w:autoRedefine/>
    <w:qFormat/>
    <w:uiPriority w:val="99"/>
    <w:pPr>
      <w:spacing w:after="160" w:line="240" w:lineRule="exact"/>
    </w:pPr>
    <w:rPr>
      <w:rFonts w:ascii="Verdana" w:hAnsi="Verdana" w:eastAsia="仿宋_GB2312"/>
      <w:szCs w:val="20"/>
      <w:lang w:eastAsia="en-US"/>
    </w:rPr>
  </w:style>
  <w:style w:type="paragraph" w:customStyle="1" w:styleId="478">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楷体_GB2312"/>
    </w:rPr>
  </w:style>
  <w:style w:type="paragraph" w:customStyle="1" w:styleId="479">
    <w:name w:val="reader-word-layer"/>
    <w:basedOn w:val="1"/>
    <w:autoRedefine/>
    <w:qFormat/>
    <w:uiPriority w:val="0"/>
    <w:pPr>
      <w:spacing w:before="100" w:beforeAutospacing="1" w:after="100" w:afterAutospacing="1"/>
    </w:pPr>
    <w:rPr>
      <w:rFonts w:ascii="宋体" w:hAnsi="宋体" w:cs="宋体"/>
    </w:rPr>
  </w:style>
  <w:style w:type="paragraph" w:customStyle="1" w:styleId="480">
    <w:name w:val="unnamed11"/>
    <w:basedOn w:val="1"/>
    <w:autoRedefine/>
    <w:qFormat/>
    <w:uiPriority w:val="0"/>
    <w:pPr>
      <w:spacing w:before="100" w:beforeAutospacing="1" w:after="100" w:afterAutospacing="1"/>
    </w:pPr>
    <w:rPr>
      <w:rFonts w:ascii="宋体" w:hAnsi="宋体" w:eastAsia="楷体_GB2312"/>
    </w:rPr>
  </w:style>
  <w:style w:type="paragraph" w:customStyle="1" w:styleId="481">
    <w:name w:val="font12"/>
    <w:basedOn w:val="1"/>
    <w:autoRedefine/>
    <w:qFormat/>
    <w:uiPriority w:val="0"/>
    <w:pPr>
      <w:spacing w:before="100" w:beforeAutospacing="1" w:after="100" w:afterAutospacing="1"/>
    </w:pPr>
    <w:rPr>
      <w:rFonts w:hint="eastAsia" w:ascii="宋体" w:hAnsi="宋体" w:eastAsia="楷体_GB2312"/>
    </w:rPr>
  </w:style>
  <w:style w:type="paragraph" w:customStyle="1" w:styleId="482">
    <w:name w:val="_Style 99"/>
    <w:basedOn w:val="2"/>
    <w:next w:val="1"/>
    <w:autoRedefine/>
    <w:qFormat/>
    <w:uiPriority w:val="0"/>
    <w:pPr>
      <w:widowControl/>
      <w:spacing w:beforeLines="0" w:afterLines="0" w:line="578" w:lineRule="auto"/>
      <w:ind w:left="0"/>
      <w:jc w:val="left"/>
      <w:outlineLvl w:val="9"/>
    </w:pPr>
    <w:rPr>
      <w:rFonts w:ascii="Times New Roman"/>
      <w:bCs/>
      <w:sz w:val="44"/>
      <w:szCs w:val="44"/>
    </w:rPr>
  </w:style>
  <w:style w:type="paragraph" w:customStyle="1" w:styleId="483">
    <w:name w:val="_Style 100"/>
    <w:autoRedefine/>
    <w:qFormat/>
    <w:uiPriority w:val="99"/>
    <w:rPr>
      <w:rFonts w:ascii="Times New Roman" w:hAnsi="Times New Roman" w:eastAsia="宋体" w:cs="Times New Roman"/>
      <w:kern w:val="2"/>
      <w:sz w:val="21"/>
      <w:szCs w:val="24"/>
      <w:lang w:val="en-US" w:eastAsia="zh-CN" w:bidi="ar-SA"/>
    </w:rPr>
  </w:style>
  <w:style w:type="paragraph" w:customStyle="1" w:styleId="484">
    <w:name w:val="样式 bszw + 首行缩进:  2 字符"/>
    <w:basedOn w:val="1"/>
    <w:autoRedefine/>
    <w:qFormat/>
    <w:uiPriority w:val="0"/>
    <w:pPr>
      <w:widowControl w:val="0"/>
      <w:spacing w:line="360" w:lineRule="auto"/>
      <w:ind w:firstLine="420" w:firstLineChars="200"/>
      <w:jc w:val="both"/>
    </w:pPr>
    <w:rPr>
      <w:rFonts w:eastAsia="楷体_GB2312" w:cs="宋体"/>
    </w:rPr>
  </w:style>
  <w:style w:type="paragraph" w:customStyle="1" w:styleId="485">
    <w:name w:val="样式 标题 2"/>
    <w:basedOn w:val="1"/>
    <w:next w:val="4"/>
    <w:autoRedefine/>
    <w:qFormat/>
    <w:uiPriority w:val="0"/>
    <w:pPr>
      <w:widowControl w:val="0"/>
      <w:snapToGrid w:val="0"/>
      <w:spacing w:line="360" w:lineRule="auto"/>
      <w:ind w:firstLine="200" w:firstLineChars="200"/>
      <w:jc w:val="both"/>
    </w:pPr>
    <w:rPr>
      <w:rFonts w:eastAsia="仿宋_GB2312"/>
      <w:kern w:val="2"/>
      <w:sz w:val="32"/>
      <w:szCs w:val="32"/>
    </w:rPr>
  </w:style>
  <w:style w:type="paragraph" w:customStyle="1" w:styleId="486">
    <w:name w:val="Char Char Char Char Char Char Char Char Char Char Char Char Char Char Char Char Char Char Char Char Char Char Char Char Char Char Char Char Char Char"/>
    <w:basedOn w:val="1"/>
    <w:autoRedefine/>
    <w:qFormat/>
    <w:uiPriority w:val="0"/>
    <w:pPr>
      <w:spacing w:after="160" w:line="240" w:lineRule="exact"/>
    </w:pPr>
    <w:rPr>
      <w:rFonts w:ascii="Verdana" w:hAnsi="Verdana" w:eastAsia="仿宋_GB2312"/>
      <w:szCs w:val="20"/>
      <w:lang w:eastAsia="en-US"/>
    </w:rPr>
  </w:style>
  <w:style w:type="paragraph" w:customStyle="1" w:styleId="487">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楷体_GB2312"/>
    </w:rPr>
  </w:style>
  <w:style w:type="paragraph" w:customStyle="1" w:styleId="488">
    <w:name w:val="font11"/>
    <w:basedOn w:val="1"/>
    <w:autoRedefine/>
    <w:qFormat/>
    <w:uiPriority w:val="0"/>
    <w:pPr>
      <w:spacing w:before="100" w:beforeAutospacing="1" w:after="100" w:afterAutospacing="1"/>
    </w:pPr>
    <w:rPr>
      <w:rFonts w:eastAsia="楷体_GB2312"/>
      <w:sz w:val="18"/>
      <w:szCs w:val="18"/>
    </w:rPr>
  </w:style>
  <w:style w:type="paragraph" w:customStyle="1" w:styleId="489">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楷体_GB2312"/>
    </w:rPr>
  </w:style>
  <w:style w:type="paragraph" w:customStyle="1" w:styleId="490">
    <w:name w:val="pa-15"/>
    <w:basedOn w:val="1"/>
    <w:autoRedefine/>
    <w:qFormat/>
    <w:uiPriority w:val="0"/>
    <w:pPr>
      <w:spacing w:line="320" w:lineRule="atLeast"/>
      <w:jc w:val="both"/>
    </w:pPr>
    <w:rPr>
      <w:rFonts w:ascii="宋体" w:hAnsi="宋体" w:cs="宋体"/>
    </w:rPr>
  </w:style>
  <w:style w:type="paragraph" w:customStyle="1" w:styleId="491">
    <w:name w:val="reader-word-layer reader-word-s1-6"/>
    <w:basedOn w:val="1"/>
    <w:autoRedefine/>
    <w:qFormat/>
    <w:uiPriority w:val="99"/>
    <w:pPr>
      <w:spacing w:before="100" w:beforeAutospacing="1" w:after="100" w:afterAutospacing="1"/>
    </w:pPr>
    <w:rPr>
      <w:rFonts w:ascii="宋体" w:hAnsi="宋体" w:cs="宋体"/>
    </w:rPr>
  </w:style>
  <w:style w:type="paragraph" w:customStyle="1" w:styleId="492">
    <w:name w:val="reader-word-layer reader-word-s19-1"/>
    <w:basedOn w:val="1"/>
    <w:autoRedefine/>
    <w:qFormat/>
    <w:uiPriority w:val="99"/>
    <w:pPr>
      <w:spacing w:before="100" w:beforeAutospacing="1" w:after="100" w:afterAutospacing="1"/>
    </w:pPr>
    <w:rPr>
      <w:rFonts w:ascii="宋体" w:hAnsi="宋体" w:cs="宋体"/>
    </w:rPr>
  </w:style>
  <w:style w:type="paragraph" w:customStyle="1" w:styleId="493">
    <w:name w:val="Body Text(ch)"/>
    <w:basedOn w:val="1"/>
    <w:next w:val="23"/>
    <w:autoRedefine/>
    <w:qFormat/>
    <w:uiPriority w:val="0"/>
    <w:pPr>
      <w:widowControl w:val="0"/>
      <w:spacing w:line="500" w:lineRule="exact"/>
      <w:jc w:val="center"/>
    </w:pPr>
    <w:rPr>
      <w:rFonts w:eastAsia="楷体_GB2312"/>
      <w:kern w:val="2"/>
      <w:sz w:val="21"/>
    </w:rPr>
  </w:style>
  <w:style w:type="paragraph" w:customStyle="1" w:styleId="494">
    <w:name w:val="正文段"/>
    <w:basedOn w:val="1"/>
    <w:autoRedefine/>
    <w:qFormat/>
    <w:uiPriority w:val="0"/>
    <w:pPr>
      <w:snapToGrid w:val="0"/>
      <w:spacing w:afterLines="50"/>
      <w:ind w:firstLine="200" w:firstLineChars="200"/>
      <w:jc w:val="both"/>
    </w:pPr>
    <w:rPr>
      <w:rFonts w:eastAsia="楷体_GB2312"/>
      <w:szCs w:val="20"/>
    </w:rPr>
  </w:style>
  <w:style w:type="paragraph" w:customStyle="1" w:styleId="495">
    <w:name w:val="样式 标题 3 + 居中 左侧:  0 厘米 首行缩进:  1.18 厘米 段前: 1.5 行 段后: 6 磅 行距:..."/>
    <w:basedOn w:val="4"/>
    <w:autoRedefine/>
    <w:qFormat/>
    <w:uiPriority w:val="0"/>
    <w:pPr>
      <w:tabs>
        <w:tab w:val="left" w:pos="360"/>
        <w:tab w:val="left" w:pos="720"/>
        <w:tab w:val="clear" w:pos="2160"/>
      </w:tabs>
      <w:adjustRightInd w:val="0"/>
      <w:snapToGrid w:val="0"/>
      <w:spacing w:beforeLines="150" w:after="120" w:line="413" w:lineRule="auto"/>
      <w:ind w:firstLine="0" w:firstLineChars="0"/>
    </w:pPr>
    <w:rPr>
      <w:rFonts w:ascii="Arial" w:hAnsi="Arial" w:cs="宋体"/>
      <w:bCs/>
      <w:kern w:val="28"/>
      <w:sz w:val="24"/>
    </w:rPr>
  </w:style>
  <w:style w:type="paragraph" w:customStyle="1" w:styleId="496">
    <w:name w:val="Char6 Char Char Char"/>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Cs w:val="20"/>
      <w:lang w:val="en-GB"/>
    </w:rPr>
  </w:style>
  <w:style w:type="paragraph" w:customStyle="1" w:styleId="497">
    <w:name w:val="flNote"/>
    <w:basedOn w:val="1"/>
    <w:autoRedefine/>
    <w:qFormat/>
    <w:uiPriority w:val="0"/>
    <w:pPr>
      <w:widowControl w:val="0"/>
      <w:adjustRightInd w:val="0"/>
      <w:spacing w:before="320" w:after="160" w:line="360" w:lineRule="atLeast"/>
      <w:jc w:val="center"/>
      <w:textAlignment w:val="baseline"/>
    </w:pPr>
    <w:rPr>
      <w:rFonts w:ascii="Arial" w:eastAsia="黑体"/>
      <w:sz w:val="30"/>
      <w:szCs w:val="20"/>
    </w:rPr>
  </w:style>
  <w:style w:type="paragraph" w:customStyle="1" w:styleId="498">
    <w:name w:val="表格"/>
    <w:basedOn w:val="1"/>
    <w:autoRedefine/>
    <w:qFormat/>
    <w:uiPriority w:val="99"/>
    <w:pPr>
      <w:widowControl w:val="0"/>
      <w:jc w:val="center"/>
      <w:textAlignment w:val="center"/>
    </w:pPr>
    <w:rPr>
      <w:rFonts w:ascii="华文细黑" w:hAnsi="华文细黑"/>
      <w:sz w:val="21"/>
      <w:szCs w:val="20"/>
    </w:rPr>
  </w:style>
  <w:style w:type="paragraph" w:customStyle="1" w:styleId="499">
    <w:name w:val="样式 正文段 + 段后: 0.5 行 首行缩进:  0 字符"/>
    <w:basedOn w:val="494"/>
    <w:autoRedefine/>
    <w:qFormat/>
    <w:uiPriority w:val="0"/>
    <w:pPr>
      <w:spacing w:afterLines="0"/>
      <w:ind w:firstLine="0" w:firstLineChars="0"/>
    </w:pPr>
    <w:rPr>
      <w:rFonts w:cs="宋体"/>
    </w:rPr>
  </w:style>
  <w:style w:type="paragraph" w:customStyle="1" w:styleId="500">
    <w:name w:val="Char Char"/>
    <w:basedOn w:val="1"/>
    <w:autoRedefine/>
    <w:qFormat/>
    <w:uiPriority w:val="0"/>
    <w:pPr>
      <w:widowControl w:val="0"/>
      <w:jc w:val="both"/>
    </w:pPr>
    <w:rPr>
      <w:rFonts w:ascii="Tahoma" w:hAnsi="Tahoma" w:eastAsia="楷体_GB2312"/>
      <w:kern w:val="2"/>
      <w:szCs w:val="20"/>
    </w:rPr>
  </w:style>
  <w:style w:type="paragraph" w:customStyle="1" w:styleId="501">
    <w:name w:val="Char6 Char Char Char1"/>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Cs w:val="20"/>
      <w:lang w:val="en-GB"/>
    </w:rPr>
  </w:style>
  <w:style w:type="paragraph" w:customStyle="1" w:styleId="502">
    <w:name w:val="xl45"/>
    <w:basedOn w:val="1"/>
    <w:autoRedefine/>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eastAsia="楷体_GB2312"/>
    </w:rPr>
  </w:style>
  <w:style w:type="paragraph" w:customStyle="1" w:styleId="503">
    <w:name w:val="xl50"/>
    <w:basedOn w:val="1"/>
    <w:autoRedefine/>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eastAsia="楷体_GB2312"/>
    </w:rPr>
  </w:style>
  <w:style w:type="paragraph" w:customStyle="1" w:styleId="50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楷体_GB2312"/>
      <w:sz w:val="20"/>
      <w:szCs w:val="20"/>
    </w:rPr>
  </w:style>
  <w:style w:type="paragraph" w:customStyle="1" w:styleId="505">
    <w:name w:val="Char Char Char Char Char Char Char Char Char Char Char"/>
    <w:autoRedefine/>
    <w:qFormat/>
    <w:uiPriority w:val="0"/>
    <w:pPr>
      <w:widowControl w:val="0"/>
      <w:spacing w:line="300" w:lineRule="auto"/>
      <w:ind w:firstLine="480" w:firstLineChars="200"/>
      <w:jc w:val="both"/>
    </w:pPr>
    <w:rPr>
      <w:rFonts w:ascii="Times New Roman" w:hAnsi="Times New Roman" w:eastAsia="宋体" w:cs="Times New Roman"/>
      <w:kern w:val="2"/>
      <w:sz w:val="21"/>
      <w:szCs w:val="24"/>
      <w:lang w:val="en-US" w:eastAsia="zh-CN" w:bidi="ar-SA"/>
    </w:rPr>
  </w:style>
  <w:style w:type="paragraph" w:customStyle="1" w:styleId="506">
    <w:name w:val="样式 标题 4 + 段前: 1 行"/>
    <w:basedOn w:val="5"/>
    <w:autoRedefine/>
    <w:qFormat/>
    <w:uiPriority w:val="0"/>
    <w:pPr>
      <w:keepNext/>
      <w:keepLines/>
      <w:adjustRightInd w:val="0"/>
      <w:snapToGrid w:val="0"/>
      <w:spacing w:beforeLines="100" w:line="240" w:lineRule="auto"/>
    </w:pPr>
    <w:rPr>
      <w:rFonts w:ascii="Arial" w:cs="宋体"/>
      <w:bCs/>
      <w:kern w:val="28"/>
      <w:sz w:val="28"/>
    </w:rPr>
  </w:style>
  <w:style w:type="paragraph" w:customStyle="1" w:styleId="507">
    <w:name w:val="Char Char Char Char Char Char Char Char Char Char Char Char Char Char Char Char Char Char Char Char Char Char1"/>
    <w:basedOn w:val="1"/>
    <w:autoRedefine/>
    <w:qFormat/>
    <w:uiPriority w:val="0"/>
    <w:pPr>
      <w:spacing w:after="160" w:line="240" w:lineRule="exact"/>
    </w:pPr>
    <w:rPr>
      <w:rFonts w:ascii="Verdana" w:hAnsi="Verdana" w:eastAsia="仿宋_GB2312"/>
      <w:szCs w:val="20"/>
      <w:lang w:eastAsia="en-US"/>
    </w:rPr>
  </w:style>
  <w:style w:type="paragraph" w:customStyle="1" w:styleId="508">
    <w:name w:val="样式 样式 标题 1 + 黑体 + 居中 段前: 0 磅 段后: 0 磅"/>
    <w:basedOn w:val="1"/>
    <w:autoRedefine/>
    <w:qFormat/>
    <w:uiPriority w:val="0"/>
    <w:pPr>
      <w:keepNext/>
      <w:keepLines/>
      <w:widowControl w:val="0"/>
      <w:autoSpaceDE w:val="0"/>
      <w:autoSpaceDN w:val="0"/>
      <w:adjustRightInd w:val="0"/>
      <w:spacing w:beforeLines="50" w:afterLines="50"/>
      <w:jc w:val="center"/>
      <w:outlineLvl w:val="0"/>
    </w:pPr>
    <w:rPr>
      <w:rFonts w:ascii="黑体" w:hAnsi="黑体" w:eastAsia="黑体" w:cs="宋体"/>
      <w:b/>
      <w:bCs/>
      <w:kern w:val="44"/>
      <w:sz w:val="32"/>
      <w:szCs w:val="20"/>
    </w:rPr>
  </w:style>
  <w:style w:type="paragraph" w:customStyle="1" w:styleId="509">
    <w:name w:val="font13"/>
    <w:basedOn w:val="1"/>
    <w:autoRedefine/>
    <w:qFormat/>
    <w:uiPriority w:val="0"/>
    <w:pPr>
      <w:spacing w:before="100" w:beforeAutospacing="1" w:after="100" w:afterAutospacing="1"/>
    </w:pPr>
    <w:rPr>
      <w:rFonts w:hint="eastAsia" w:ascii="宋体" w:hAnsi="宋体" w:eastAsia="楷体_GB2312"/>
    </w:rPr>
  </w:style>
  <w:style w:type="paragraph" w:customStyle="1" w:styleId="510">
    <w:name w:val="样式 样式 标题 3 + 居中 左侧:  0 厘米 首行缩进:  1.18 厘米 段前: 1.5 行 段后: 6 磅 行距:....."/>
    <w:basedOn w:val="495"/>
    <w:autoRedefine/>
    <w:qFormat/>
    <w:uiPriority w:val="0"/>
    <w:pPr>
      <w:spacing w:beforeLines="0"/>
    </w:pPr>
  </w:style>
  <w:style w:type="paragraph" w:customStyle="1" w:styleId="511">
    <w:name w:val="xl40"/>
    <w:basedOn w:val="1"/>
    <w:autoRedefine/>
    <w:qFormat/>
    <w:uiPriority w:val="0"/>
    <w:pPr>
      <w:pBdr>
        <w:top w:val="single" w:color="auto" w:sz="8" w:space="0"/>
        <w:left w:val="single" w:color="auto" w:sz="4" w:space="0"/>
        <w:bottom w:val="single" w:color="auto" w:sz="4" w:space="0"/>
        <w:right w:val="single" w:color="auto" w:sz="8" w:space="0"/>
      </w:pBdr>
      <w:spacing w:before="100" w:beforeAutospacing="1" w:after="100" w:afterAutospacing="1"/>
    </w:pPr>
    <w:rPr>
      <w:rFonts w:eastAsia="楷体_GB2312"/>
    </w:rPr>
  </w:style>
  <w:style w:type="paragraph" w:customStyle="1" w:styleId="512">
    <w:name w:val="font1"/>
    <w:basedOn w:val="1"/>
    <w:autoRedefine/>
    <w:qFormat/>
    <w:uiPriority w:val="0"/>
    <w:pPr>
      <w:spacing w:before="100" w:beforeAutospacing="1" w:after="100" w:afterAutospacing="1"/>
    </w:pPr>
    <w:rPr>
      <w:rFonts w:hint="eastAsia" w:ascii="宋体" w:hAnsi="宋体" w:eastAsia="楷体_GB2312"/>
    </w:rPr>
  </w:style>
  <w:style w:type="paragraph" w:customStyle="1" w:styleId="513">
    <w:name w:val="xl31"/>
    <w:basedOn w:val="1"/>
    <w:autoRedefine/>
    <w:qFormat/>
    <w:uiPriority w:val="0"/>
    <w:pPr>
      <w:spacing w:before="100" w:beforeAutospacing="1" w:after="100" w:afterAutospacing="1"/>
    </w:pPr>
    <w:rPr>
      <w:rFonts w:ascii="宋体" w:hAnsi="宋体" w:eastAsia="楷体_GB2312"/>
    </w:rPr>
  </w:style>
  <w:style w:type="paragraph" w:customStyle="1" w:styleId="514">
    <w:name w:val="xl53"/>
    <w:basedOn w:val="1"/>
    <w:autoRedefine/>
    <w:qFormat/>
    <w:uiPriority w:val="0"/>
    <w:pPr>
      <w:spacing w:before="100" w:beforeAutospacing="1" w:after="100" w:afterAutospacing="1"/>
    </w:pPr>
    <w:rPr>
      <w:rFonts w:ascii="宋体" w:hAnsi="宋体" w:eastAsia="楷体_GB2312"/>
      <w:b/>
      <w:bCs/>
      <w:sz w:val="40"/>
      <w:szCs w:val="40"/>
    </w:rPr>
  </w:style>
  <w:style w:type="paragraph" w:customStyle="1" w:styleId="515">
    <w:name w:val="xl41"/>
    <w:basedOn w:val="1"/>
    <w:autoRedefine/>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eastAsia="楷体_GB2312"/>
    </w:rPr>
  </w:style>
  <w:style w:type="paragraph" w:customStyle="1" w:styleId="516">
    <w:name w:val="样式 标题 2 + Times New Roman 四号 非加粗 段前: 5 磅 段后: 0 磅 行距: 固定值 20..."/>
    <w:basedOn w:val="3"/>
    <w:autoRedefine/>
    <w:qFormat/>
    <w:uiPriority w:val="99"/>
    <w:pPr>
      <w:keepLines/>
      <w:tabs>
        <w:tab w:val="clear" w:pos="-735"/>
        <w:tab w:val="clear" w:pos="840"/>
      </w:tabs>
      <w:spacing w:beforeLines="0" w:line="400" w:lineRule="exact"/>
      <w:ind w:left="0" w:firstLine="0"/>
    </w:pPr>
    <w:rPr>
      <w:rFonts w:ascii="Times New Roman" w:hAnsi="Times New Roman" w:eastAsia="黑体" w:cs="宋体"/>
      <w:b w:val="0"/>
      <w:kern w:val="2"/>
      <w:sz w:val="28"/>
    </w:rPr>
  </w:style>
  <w:style w:type="paragraph" w:customStyle="1" w:styleId="517">
    <w:name w:val="font0"/>
    <w:basedOn w:val="1"/>
    <w:autoRedefine/>
    <w:qFormat/>
    <w:uiPriority w:val="0"/>
    <w:pPr>
      <w:spacing w:before="100" w:beforeAutospacing="1" w:after="100" w:afterAutospacing="1"/>
    </w:pPr>
    <w:rPr>
      <w:rFonts w:hint="eastAsia" w:ascii="宋体" w:hAnsi="宋体" w:eastAsia="楷体_GB2312"/>
    </w:rPr>
  </w:style>
  <w:style w:type="paragraph" w:customStyle="1" w:styleId="518">
    <w:name w:val="正文_5"/>
    <w:autoRedefine/>
    <w:qFormat/>
    <w:uiPriority w:val="0"/>
    <w:rPr>
      <w:rFonts w:ascii="Times New Roman" w:hAnsi="Times New Roman" w:eastAsia="宋体" w:cs="Times New Roman"/>
      <w:sz w:val="21"/>
      <w:szCs w:val="22"/>
      <w:lang w:val="en-US" w:eastAsia="zh-CN" w:bidi="ar-SA"/>
    </w:rPr>
  </w:style>
  <w:style w:type="paragraph" w:customStyle="1" w:styleId="519">
    <w:name w:val="xl56"/>
    <w:basedOn w:val="1"/>
    <w:autoRedefine/>
    <w:qFormat/>
    <w:uiPriority w:val="0"/>
    <w:pPr>
      <w:spacing w:before="100" w:beforeAutospacing="1" w:after="100" w:afterAutospacing="1"/>
    </w:pPr>
    <w:rPr>
      <w:rFonts w:ascii="宋体" w:hAnsi="宋体" w:eastAsia="楷体_GB2312"/>
      <w:b/>
      <w:bCs/>
      <w:sz w:val="40"/>
      <w:szCs w:val="40"/>
    </w:rPr>
  </w:style>
  <w:style w:type="paragraph" w:customStyle="1" w:styleId="520">
    <w:name w:val="xl55"/>
    <w:basedOn w:val="1"/>
    <w:autoRedefine/>
    <w:qFormat/>
    <w:uiPriority w:val="0"/>
    <w:pPr>
      <w:spacing w:before="100" w:beforeAutospacing="1" w:after="100" w:afterAutospacing="1"/>
    </w:pPr>
    <w:rPr>
      <w:rFonts w:eastAsia="楷体_GB2312"/>
      <w:b/>
      <w:bCs/>
      <w:sz w:val="40"/>
      <w:szCs w:val="40"/>
    </w:rPr>
  </w:style>
  <w:style w:type="paragraph" w:customStyle="1" w:styleId="521">
    <w:name w:val="表格样式2"/>
    <w:basedOn w:val="1"/>
    <w:autoRedefine/>
    <w:qFormat/>
    <w:uiPriority w:val="0"/>
    <w:pPr>
      <w:spacing w:line="276" w:lineRule="auto"/>
    </w:pPr>
    <w:rPr>
      <w:rFonts w:ascii="仿宋_GB2312" w:eastAsia="仿宋_GB2312"/>
      <w:sz w:val="18"/>
      <w:szCs w:val="18"/>
      <w:lang w:bidi="en-US"/>
    </w:rPr>
  </w:style>
  <w:style w:type="paragraph" w:customStyle="1" w:styleId="522">
    <w:name w:val="样式 目录 3 + 左侧:  4 字符 首行缩进:  2 字符1"/>
    <w:basedOn w:val="31"/>
    <w:autoRedefine/>
    <w:qFormat/>
    <w:uiPriority w:val="0"/>
    <w:pPr>
      <w:widowControl w:val="0"/>
      <w:tabs>
        <w:tab w:val="left" w:pos="2520"/>
        <w:tab w:val="right" w:leader="dot" w:pos="9060"/>
      </w:tabs>
      <w:ind w:left="960" w:leftChars="400" w:firstLine="480" w:firstLineChars="200"/>
      <w:jc w:val="both"/>
    </w:pPr>
    <w:rPr>
      <w:rFonts w:cs="宋体"/>
      <w:i w:val="0"/>
      <w:iCs w:val="0"/>
      <w:kern w:val="28"/>
      <w:sz w:val="24"/>
      <w:szCs w:val="24"/>
    </w:rPr>
  </w:style>
  <w:style w:type="paragraph" w:customStyle="1" w:styleId="523">
    <w:name w:val="样式 首行缩进:  2 字符2"/>
    <w:basedOn w:val="1"/>
    <w:autoRedefine/>
    <w:qFormat/>
    <w:uiPriority w:val="0"/>
    <w:pPr>
      <w:widowControl w:val="0"/>
      <w:spacing w:line="300" w:lineRule="auto"/>
      <w:ind w:firstLine="200" w:firstLineChars="200"/>
      <w:jc w:val="both"/>
    </w:pPr>
    <w:rPr>
      <w:rFonts w:cs="宋体"/>
      <w:kern w:val="28"/>
    </w:rPr>
  </w:style>
  <w:style w:type="paragraph" w:customStyle="1" w:styleId="524">
    <w:name w:val="xl44"/>
    <w:basedOn w:val="1"/>
    <w:autoRedefine/>
    <w:qFormat/>
    <w:uiPriority w:val="99"/>
    <w:pPr>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eastAsia="楷体_GB2312"/>
    </w:rPr>
  </w:style>
  <w:style w:type="paragraph" w:customStyle="1" w:styleId="525">
    <w:name w:val="xl25"/>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楷体_GB2312"/>
    </w:rPr>
  </w:style>
  <w:style w:type="paragraph" w:customStyle="1" w:styleId="526">
    <w:name w:val="Char Char1"/>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eastAsia="楷体_GB2312"/>
      <w:kern w:val="2"/>
      <w:sz w:val="21"/>
      <w:szCs w:val="20"/>
    </w:rPr>
  </w:style>
  <w:style w:type="paragraph" w:customStyle="1" w:styleId="527">
    <w:name w:val="xl47"/>
    <w:basedOn w:val="1"/>
    <w:autoRedefine/>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eastAsia="楷体_GB2312"/>
    </w:rPr>
  </w:style>
  <w:style w:type="paragraph" w:customStyle="1" w:styleId="528">
    <w:name w:val="样式 首行缩进:  2 字符 Char"/>
    <w:basedOn w:val="1"/>
    <w:autoRedefine/>
    <w:qFormat/>
    <w:uiPriority w:val="0"/>
    <w:pPr>
      <w:widowControl w:val="0"/>
      <w:spacing w:before="120" w:after="120" w:line="348" w:lineRule="auto"/>
      <w:ind w:firstLine="200" w:firstLineChars="200"/>
      <w:jc w:val="both"/>
    </w:pPr>
    <w:rPr>
      <w:kern w:val="11"/>
      <w:szCs w:val="28"/>
    </w:rPr>
  </w:style>
  <w:style w:type="paragraph" w:customStyle="1" w:styleId="529">
    <w:name w:val="xl23"/>
    <w:basedOn w:val="1"/>
    <w:autoRedefine/>
    <w:qFormat/>
    <w:uiPriority w:val="0"/>
    <w:pPr>
      <w:spacing w:before="100" w:beforeAutospacing="1" w:after="100" w:afterAutospacing="1"/>
      <w:jc w:val="center"/>
    </w:pPr>
    <w:rPr>
      <w:rFonts w:ascii="Arial Unicode MS" w:hAnsi="Arial Unicode MS" w:eastAsia="Arial Unicode MS"/>
    </w:rPr>
  </w:style>
  <w:style w:type="paragraph" w:customStyle="1" w:styleId="530">
    <w:name w:val="样式 样式 样式 宋体 小四 黑色 两端对齐 + 首行缩进:  2 字符 + 五号 首行缩进:  2 字符"/>
    <w:basedOn w:val="1"/>
    <w:autoRedefine/>
    <w:qFormat/>
    <w:uiPriority w:val="99"/>
    <w:pPr>
      <w:spacing w:line="340" w:lineRule="exact"/>
      <w:ind w:firstLine="200" w:firstLineChars="200"/>
      <w:jc w:val="both"/>
    </w:pPr>
    <w:rPr>
      <w:rFonts w:ascii="宋体" w:hAnsi="宋体"/>
      <w:color w:val="000000"/>
      <w:sz w:val="21"/>
      <w:szCs w:val="20"/>
    </w:rPr>
  </w:style>
  <w:style w:type="paragraph" w:customStyle="1" w:styleId="531">
    <w:name w:val="font7"/>
    <w:basedOn w:val="1"/>
    <w:autoRedefine/>
    <w:qFormat/>
    <w:uiPriority w:val="0"/>
    <w:pPr>
      <w:spacing w:before="100" w:beforeAutospacing="1" w:after="100" w:afterAutospacing="1"/>
    </w:pPr>
    <w:rPr>
      <w:rFonts w:eastAsia="楷体_GB2312"/>
      <w:b/>
      <w:bCs/>
      <w:sz w:val="40"/>
      <w:szCs w:val="40"/>
    </w:rPr>
  </w:style>
  <w:style w:type="paragraph" w:customStyle="1" w:styleId="532">
    <w:name w:val="_Style 16"/>
    <w:basedOn w:val="1"/>
    <w:next w:val="32"/>
    <w:autoRedefine/>
    <w:qFormat/>
    <w:uiPriority w:val="0"/>
    <w:pPr>
      <w:widowControl w:val="0"/>
      <w:jc w:val="both"/>
    </w:pPr>
    <w:rPr>
      <w:rFonts w:ascii="宋体" w:hAnsi="Courier New"/>
      <w:kern w:val="2"/>
      <w:szCs w:val="20"/>
    </w:rPr>
  </w:style>
  <w:style w:type="paragraph" w:customStyle="1" w:styleId="533">
    <w:name w:val="font5"/>
    <w:basedOn w:val="1"/>
    <w:autoRedefine/>
    <w:qFormat/>
    <w:uiPriority w:val="0"/>
    <w:pPr>
      <w:spacing w:before="100" w:beforeAutospacing="1" w:after="100" w:afterAutospacing="1"/>
    </w:pPr>
    <w:rPr>
      <w:rFonts w:hint="eastAsia" w:ascii="宋体" w:hAnsi="宋体" w:eastAsia="楷体_GB2312"/>
      <w:sz w:val="18"/>
      <w:szCs w:val="18"/>
    </w:rPr>
  </w:style>
  <w:style w:type="paragraph" w:customStyle="1" w:styleId="534">
    <w:name w:val="7"/>
    <w:basedOn w:val="1"/>
    <w:autoRedefine/>
    <w:qFormat/>
    <w:uiPriority w:val="99"/>
    <w:pPr>
      <w:tabs>
        <w:tab w:val="left" w:pos="425"/>
      </w:tabs>
      <w:spacing w:beforeLines="100" w:after="160" w:line="240" w:lineRule="exact"/>
      <w:ind w:left="425" w:hanging="425"/>
    </w:pPr>
    <w:rPr>
      <w:rFonts w:ascii="Verdana" w:hAnsi="Verdana" w:eastAsia="黑体"/>
      <w:sz w:val="20"/>
      <w:szCs w:val="20"/>
      <w:lang w:eastAsia="en-US"/>
    </w:rPr>
  </w:style>
  <w:style w:type="paragraph" w:customStyle="1" w:styleId="535">
    <w:name w:val="表格内文字"/>
    <w:basedOn w:val="1"/>
    <w:autoRedefine/>
    <w:qFormat/>
    <w:uiPriority w:val="0"/>
    <w:pPr>
      <w:widowControl w:val="0"/>
      <w:adjustRightInd w:val="0"/>
      <w:snapToGrid w:val="0"/>
      <w:spacing w:line="240" w:lineRule="atLeast"/>
      <w:jc w:val="center"/>
    </w:pPr>
    <w:rPr>
      <w:kern w:val="28"/>
      <w:szCs w:val="20"/>
    </w:rPr>
  </w:style>
  <w:style w:type="paragraph" w:customStyle="1" w:styleId="536">
    <w:name w:val="xl39"/>
    <w:basedOn w:val="1"/>
    <w:autoRedefine/>
    <w:qFormat/>
    <w:uiPriority w:val="0"/>
    <w:pPr>
      <w:pBdr>
        <w:top w:val="single" w:color="auto" w:sz="8" w:space="0"/>
        <w:left w:val="single" w:color="auto" w:sz="4" w:space="0"/>
        <w:bottom w:val="single" w:color="auto" w:sz="4" w:space="0"/>
        <w:right w:val="single" w:color="auto" w:sz="4" w:space="0"/>
      </w:pBdr>
      <w:spacing w:before="100" w:beforeAutospacing="1" w:after="100" w:afterAutospacing="1"/>
    </w:pPr>
    <w:rPr>
      <w:rFonts w:eastAsia="楷体_GB2312"/>
    </w:rPr>
  </w:style>
  <w:style w:type="paragraph" w:customStyle="1" w:styleId="537">
    <w:name w:val="Char Char Char Char Char Char Char Char Char Char Char Char"/>
    <w:basedOn w:val="1"/>
    <w:autoRedefine/>
    <w:qFormat/>
    <w:uiPriority w:val="0"/>
    <w:pPr>
      <w:widowControl w:val="0"/>
      <w:spacing w:line="240" w:lineRule="atLeast"/>
      <w:ind w:left="420" w:firstLine="420"/>
      <w:jc w:val="both"/>
    </w:pPr>
    <w:rPr>
      <w:sz w:val="21"/>
      <w:szCs w:val="21"/>
    </w:rPr>
  </w:style>
  <w:style w:type="paragraph" w:customStyle="1" w:styleId="538">
    <w:name w:val="样式 表格文字 + 首行缩进:  2 字符"/>
    <w:basedOn w:val="15"/>
    <w:autoRedefine/>
    <w:qFormat/>
    <w:uiPriority w:val="0"/>
    <w:pPr>
      <w:widowControl w:val="0"/>
      <w:ind w:firstLine="0"/>
      <w:jc w:val="center"/>
    </w:pPr>
    <w:rPr>
      <w:rFonts w:ascii="宋体" w:cs="宋体"/>
      <w:kern w:val="11"/>
      <w:sz w:val="24"/>
      <w:szCs w:val="24"/>
    </w:rPr>
  </w:style>
  <w:style w:type="paragraph" w:customStyle="1" w:styleId="539">
    <w:name w:val="Char Char Char Char Char Char Char Char Char Char Char Char Char Char Char Char Char Char Char Char Char Char Char Char Char Char Char Char Char Char Char"/>
    <w:basedOn w:val="1"/>
    <w:autoRedefine/>
    <w:qFormat/>
    <w:uiPriority w:val="0"/>
    <w:pPr>
      <w:spacing w:after="160" w:line="240" w:lineRule="exact"/>
    </w:pPr>
    <w:rPr>
      <w:rFonts w:ascii="Verdana" w:hAnsi="Verdana" w:eastAsia="仿宋_GB2312"/>
      <w:szCs w:val="20"/>
      <w:lang w:eastAsia="en-US"/>
    </w:rPr>
  </w:style>
  <w:style w:type="paragraph" w:customStyle="1" w:styleId="540">
    <w:name w:val="_Style 170"/>
    <w:basedOn w:val="1"/>
    <w:autoRedefine/>
    <w:qFormat/>
    <w:uiPriority w:val="0"/>
    <w:pPr>
      <w:widowControl w:val="0"/>
      <w:ind w:firstLine="420" w:firstLineChars="200"/>
      <w:jc w:val="both"/>
    </w:pPr>
    <w:rPr>
      <w:rFonts w:ascii="Calibri" w:hAnsi="Calibri"/>
      <w:kern w:val="2"/>
      <w:sz w:val="21"/>
      <w:szCs w:val="22"/>
    </w:rPr>
  </w:style>
  <w:style w:type="paragraph" w:customStyle="1" w:styleId="541">
    <w:name w:val="xl43"/>
    <w:basedOn w:val="1"/>
    <w:autoRedefine/>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pPr>
    <w:rPr>
      <w:rFonts w:ascii="宋体" w:hAnsi="宋体" w:eastAsia="楷体_GB2312"/>
    </w:rPr>
  </w:style>
  <w:style w:type="paragraph" w:customStyle="1" w:styleId="542">
    <w:name w:val="opening2"/>
    <w:basedOn w:val="1"/>
    <w:autoRedefine/>
    <w:qFormat/>
    <w:uiPriority w:val="99"/>
    <w:pPr>
      <w:spacing w:before="100" w:beforeAutospacing="1" w:after="100" w:afterAutospacing="1"/>
    </w:pPr>
    <w:rPr>
      <w:rFonts w:ascii="宋体" w:hAnsi="宋体" w:cs="宋体"/>
      <w:color w:val="000000"/>
      <w:sz w:val="23"/>
      <w:szCs w:val="23"/>
    </w:rPr>
  </w:style>
  <w:style w:type="paragraph" w:customStyle="1" w:styleId="543">
    <w:name w:val="xl2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楷体_GB2312"/>
    </w:rPr>
  </w:style>
  <w:style w:type="paragraph" w:customStyle="1" w:styleId="544">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楷体_GB2312"/>
      <w:sz w:val="20"/>
      <w:szCs w:val="20"/>
    </w:rPr>
  </w:style>
  <w:style w:type="paragraph" w:customStyle="1" w:styleId="545">
    <w:name w:val="xl38"/>
    <w:basedOn w:val="1"/>
    <w:autoRedefine/>
    <w:qFormat/>
    <w:uiPriority w:val="0"/>
    <w:pPr>
      <w:spacing w:before="100" w:beforeAutospacing="1" w:after="100" w:afterAutospacing="1"/>
      <w:jc w:val="center"/>
    </w:pPr>
    <w:rPr>
      <w:rFonts w:ascii="宋体" w:hAnsi="宋体" w:eastAsia="楷体_GB2312"/>
      <w:b/>
      <w:bCs/>
      <w:sz w:val="40"/>
      <w:szCs w:val="40"/>
    </w:rPr>
  </w:style>
  <w:style w:type="paragraph" w:customStyle="1" w:styleId="546">
    <w:name w:val="xl32"/>
    <w:basedOn w:val="1"/>
    <w:autoRedefine/>
    <w:qFormat/>
    <w:uiPriority w:val="0"/>
    <w:pPr>
      <w:spacing w:before="100" w:beforeAutospacing="1" w:after="100" w:afterAutospacing="1"/>
      <w:jc w:val="center"/>
    </w:pPr>
    <w:rPr>
      <w:rFonts w:ascii="宋体" w:hAnsi="宋体" w:eastAsia="楷体_GB2312"/>
      <w:sz w:val="36"/>
      <w:szCs w:val="36"/>
    </w:rPr>
  </w:style>
  <w:style w:type="paragraph" w:customStyle="1" w:styleId="547">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楷体_GB2312"/>
      <w:sz w:val="20"/>
      <w:szCs w:val="20"/>
    </w:rPr>
  </w:style>
  <w:style w:type="paragraph" w:customStyle="1" w:styleId="548">
    <w:name w:val="空半行"/>
    <w:basedOn w:val="1"/>
    <w:autoRedefine/>
    <w:qFormat/>
    <w:uiPriority w:val="0"/>
    <w:pPr>
      <w:widowControl w:val="0"/>
      <w:adjustRightInd w:val="0"/>
      <w:spacing w:line="120" w:lineRule="exact"/>
      <w:jc w:val="both"/>
      <w:textAlignment w:val="baseline"/>
    </w:pPr>
    <w:rPr>
      <w:rFonts w:eastAsia="仿宋_GB2312"/>
      <w:color w:val="FFFFFF"/>
      <w:sz w:val="30"/>
      <w:szCs w:val="20"/>
    </w:rPr>
  </w:style>
  <w:style w:type="paragraph" w:customStyle="1" w:styleId="549">
    <w:name w:val="Char31"/>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Cs w:val="20"/>
      <w:lang w:val="en-GB"/>
    </w:rPr>
  </w:style>
  <w:style w:type="paragraph" w:customStyle="1" w:styleId="550">
    <w:name w:val="Char Char Char Char1 Char Char Char"/>
    <w:basedOn w:val="1"/>
    <w:autoRedefine/>
    <w:qFormat/>
    <w:uiPriority w:val="0"/>
    <w:pPr>
      <w:widowControl w:val="0"/>
      <w:spacing w:line="240" w:lineRule="atLeast"/>
      <w:ind w:left="420" w:firstLine="420"/>
      <w:jc w:val="both"/>
    </w:pPr>
    <w:rPr>
      <w:rFonts w:eastAsia="楷体_GB2312"/>
      <w:sz w:val="21"/>
      <w:szCs w:val="21"/>
    </w:rPr>
  </w:style>
  <w:style w:type="paragraph" w:customStyle="1" w:styleId="551">
    <w:name w:val="xl42"/>
    <w:basedOn w:val="1"/>
    <w:autoRedefine/>
    <w:qFormat/>
    <w:uiPriority w:val="99"/>
    <w:pPr>
      <w:pBdr>
        <w:top w:val="single" w:color="auto" w:sz="4" w:space="0"/>
        <w:left w:val="single" w:color="auto" w:sz="4" w:space="0"/>
        <w:bottom w:val="single" w:color="auto" w:sz="4" w:space="0"/>
        <w:right w:val="single" w:color="auto" w:sz="8" w:space="0"/>
      </w:pBdr>
      <w:spacing w:before="100" w:beforeAutospacing="1" w:after="100" w:afterAutospacing="1"/>
    </w:pPr>
    <w:rPr>
      <w:rFonts w:ascii="宋体" w:hAnsi="宋体" w:eastAsia="楷体_GB2312"/>
    </w:rPr>
  </w:style>
  <w:style w:type="paragraph" w:customStyle="1" w:styleId="552">
    <w:name w:val="font8"/>
    <w:basedOn w:val="1"/>
    <w:autoRedefine/>
    <w:qFormat/>
    <w:uiPriority w:val="0"/>
    <w:pPr>
      <w:spacing w:before="100" w:beforeAutospacing="1" w:after="100" w:afterAutospacing="1"/>
    </w:pPr>
    <w:rPr>
      <w:rFonts w:hint="eastAsia" w:ascii="宋体" w:hAnsi="宋体" w:eastAsia="楷体_GB2312"/>
      <w:b/>
      <w:bCs/>
      <w:sz w:val="40"/>
      <w:szCs w:val="40"/>
    </w:rPr>
  </w:style>
  <w:style w:type="paragraph" w:customStyle="1" w:styleId="553">
    <w:name w:val="Char Char Char Char1 Char Char Char Char Char1 Char"/>
    <w:basedOn w:val="1"/>
    <w:autoRedefine/>
    <w:qFormat/>
    <w:uiPriority w:val="0"/>
    <w:pPr>
      <w:widowControl w:val="0"/>
      <w:spacing w:line="240" w:lineRule="atLeast"/>
      <w:ind w:left="420" w:firstLine="420"/>
      <w:jc w:val="both"/>
    </w:pPr>
    <w:rPr>
      <w:sz w:val="21"/>
      <w:szCs w:val="21"/>
    </w:rPr>
  </w:style>
  <w:style w:type="paragraph" w:customStyle="1" w:styleId="554">
    <w:name w:val="列出段落2"/>
    <w:basedOn w:val="1"/>
    <w:autoRedefine/>
    <w:qFormat/>
    <w:uiPriority w:val="99"/>
    <w:pPr>
      <w:widowControl w:val="0"/>
      <w:ind w:firstLine="420" w:firstLineChars="200"/>
      <w:jc w:val="both"/>
    </w:pPr>
    <w:rPr>
      <w:rFonts w:ascii="Calibri" w:hAnsi="Calibri"/>
      <w:kern w:val="2"/>
      <w:sz w:val="21"/>
      <w:szCs w:val="22"/>
    </w:rPr>
  </w:style>
  <w:style w:type="paragraph" w:customStyle="1" w:styleId="555">
    <w:name w:val="样式 标题 1 + 黑体 三号 非加粗 居中 段前: 6 磅 段后: 6 磅 行距: 固定值 20 磅"/>
    <w:basedOn w:val="2"/>
    <w:autoRedefine/>
    <w:qFormat/>
    <w:uiPriority w:val="99"/>
    <w:pPr>
      <w:spacing w:beforeLines="0" w:afterLines="0" w:line="400" w:lineRule="exact"/>
      <w:ind w:left="0"/>
    </w:pPr>
    <w:rPr>
      <w:rFonts w:ascii="黑体" w:hAnsi="黑体" w:eastAsia="黑体" w:cs="宋体"/>
      <w:b w:val="0"/>
      <w:sz w:val="32"/>
    </w:rPr>
  </w:style>
  <w:style w:type="paragraph" w:customStyle="1" w:styleId="556">
    <w:name w:val="xl27"/>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楷体_GB2312"/>
    </w:rPr>
  </w:style>
  <w:style w:type="paragraph" w:customStyle="1" w:styleId="557">
    <w:name w:val="正文_4_0"/>
    <w:autoRedefine/>
    <w:qFormat/>
    <w:uiPriority w:val="0"/>
    <w:rPr>
      <w:rFonts w:ascii="Calibri" w:hAnsi="Calibri" w:eastAsia="宋体" w:cs="Times New Roman"/>
      <w:sz w:val="21"/>
      <w:szCs w:val="22"/>
      <w:lang w:val="en-US" w:eastAsia="zh-CN" w:bidi="ar-SA"/>
    </w:rPr>
  </w:style>
  <w:style w:type="paragraph" w:customStyle="1" w:styleId="558">
    <w:name w:val="p1"/>
    <w:basedOn w:val="1"/>
    <w:autoRedefine/>
    <w:qFormat/>
    <w:uiPriority w:val="0"/>
    <w:pPr>
      <w:spacing w:line="30" w:lineRule="atLeast"/>
      <w:jc w:val="center"/>
    </w:pPr>
    <w:rPr>
      <w:rFonts w:hint="eastAsia" w:ascii="宋体" w:hAnsi="宋体"/>
      <w:sz w:val="28"/>
      <w:szCs w:val="28"/>
    </w:rPr>
  </w:style>
  <w:style w:type="character" w:customStyle="1" w:styleId="559">
    <w:name w:val="underlinespan"/>
    <w:basedOn w:val="66"/>
    <w:autoRedefine/>
    <w:qFormat/>
    <w:uiPriority w:val="0"/>
  </w:style>
  <w:style w:type="paragraph" w:customStyle="1" w:styleId="560">
    <w:name w:val="Main Title"/>
    <w:next w:val="1"/>
    <w:autoRedefine/>
    <w:qFormat/>
    <w:uiPriority w:val="0"/>
    <w:pPr>
      <w:adjustRightInd w:val="0"/>
      <w:snapToGrid w:val="0"/>
      <w:spacing w:afterLines="50" w:line="360" w:lineRule="auto"/>
      <w:jc w:val="center"/>
    </w:pPr>
    <w:rPr>
      <w:rFonts w:ascii="黑体" w:hAnsi="黑体" w:eastAsia="黑体" w:cs="Times New Roman"/>
      <w:b/>
      <w:kern w:val="2"/>
      <w:sz w:val="36"/>
      <w:szCs w:val="22"/>
      <w:lang w:val="zh-CN" w:eastAsia="zh-CN" w:bidi="ar-SA"/>
    </w:rPr>
  </w:style>
  <w:style w:type="character" w:customStyle="1" w:styleId="561">
    <w:name w:val="样式1 Char Char"/>
    <w:link w:val="323"/>
    <w:autoRedefine/>
    <w:qFormat/>
    <w:uiPriority w:val="99"/>
    <w:rPr>
      <w:rFonts w:ascii="宋体" w:hAnsi="宋体"/>
      <w:b/>
      <w:kern w:val="2"/>
      <w:sz w:val="24"/>
    </w:rPr>
  </w:style>
  <w:style w:type="character" w:customStyle="1" w:styleId="562">
    <w:name w:val="信息标题 Char"/>
    <w:basedOn w:val="66"/>
    <w:link w:val="54"/>
    <w:autoRedefine/>
    <w:qFormat/>
    <w:uiPriority w:val="99"/>
    <w:rPr>
      <w:rFonts w:ascii="Garamond" w:hAnsi="Garamond"/>
      <w:spacing w:val="-5"/>
      <w:sz w:val="18"/>
    </w:rPr>
  </w:style>
  <w:style w:type="character" w:customStyle="1" w:styleId="563">
    <w:name w:val="Body Text 3 Char"/>
    <w:autoRedefine/>
    <w:qFormat/>
    <w:locked/>
    <w:uiPriority w:val="99"/>
    <w:rPr>
      <w:rFonts w:ascii="宋体"/>
      <w:sz w:val="24"/>
    </w:rPr>
  </w:style>
  <w:style w:type="character" w:customStyle="1" w:styleId="564">
    <w:name w:val="Title Header2 Char"/>
    <w:autoRedefine/>
    <w:qFormat/>
    <w:uiPriority w:val="0"/>
    <w:rPr>
      <w:rFonts w:ascii="Arial" w:hAnsi="Arial" w:eastAsia="黑体"/>
      <w:b/>
      <w:bCs/>
      <w:sz w:val="32"/>
      <w:szCs w:val="32"/>
    </w:rPr>
  </w:style>
  <w:style w:type="character" w:customStyle="1" w:styleId="565">
    <w:name w:val="font41"/>
    <w:basedOn w:val="66"/>
    <w:autoRedefine/>
    <w:qFormat/>
    <w:uiPriority w:val="0"/>
    <w:rPr>
      <w:rFonts w:hint="eastAsia" w:ascii="宋体" w:hAnsi="宋体" w:eastAsia="宋体" w:cs="宋体"/>
      <w:color w:val="000000"/>
      <w:spacing w:val="4"/>
      <w:sz w:val="20"/>
      <w:szCs w:val="20"/>
      <w:u w:val="none"/>
      <w:lang w:eastAsia="en-US"/>
    </w:rPr>
  </w:style>
  <w:style w:type="character" w:customStyle="1" w:styleId="566">
    <w:name w:val="小标题 Char"/>
    <w:link w:val="567"/>
    <w:autoRedefine/>
    <w:qFormat/>
    <w:uiPriority w:val="0"/>
    <w:rPr>
      <w:rFonts w:ascii="Cambria" w:hAnsi="Cambria"/>
      <w:b/>
      <w:bCs/>
      <w:sz w:val="24"/>
      <w:szCs w:val="32"/>
    </w:rPr>
  </w:style>
  <w:style w:type="paragraph" w:customStyle="1" w:styleId="567">
    <w:name w:val="小标题"/>
    <w:basedOn w:val="59"/>
    <w:link w:val="566"/>
    <w:autoRedefine/>
    <w:qFormat/>
    <w:uiPriority w:val="0"/>
    <w:pPr>
      <w:adjustRightInd/>
      <w:spacing w:before="60"/>
      <w:ind w:firstLine="422"/>
      <w:jc w:val="left"/>
      <w:textAlignment w:val="auto"/>
    </w:pPr>
    <w:rPr>
      <w:sz w:val="24"/>
    </w:rPr>
  </w:style>
  <w:style w:type="character" w:customStyle="1" w:styleId="568">
    <w:name w:val="标题 Char2"/>
    <w:autoRedefine/>
    <w:qFormat/>
    <w:uiPriority w:val="10"/>
    <w:rPr>
      <w:rFonts w:hint="default" w:ascii="Cambria" w:hAnsi="Cambria" w:cs="Times New Roman"/>
      <w:b/>
      <w:bCs/>
      <w:spacing w:val="4"/>
      <w:sz w:val="32"/>
      <w:szCs w:val="32"/>
      <w:lang w:eastAsia="en-US"/>
    </w:rPr>
  </w:style>
  <w:style w:type="character" w:customStyle="1" w:styleId="569">
    <w:name w:val="样式 样式 样式 纯文本 + 楷体_GB2312 四号 浅蓝 首行缩进:  1.1 厘米 行距: 1.5 倍行距 + 首行缩进:... Char Char"/>
    <w:link w:val="570"/>
    <w:autoRedefine/>
    <w:qFormat/>
    <w:locked/>
    <w:uiPriority w:val="0"/>
    <w:rPr>
      <w:rFonts w:ascii="宋体"/>
      <w:sz w:val="30"/>
    </w:rPr>
  </w:style>
  <w:style w:type="paragraph" w:customStyle="1" w:styleId="570">
    <w:name w:val="样式 样式 样式 纯文本 + 楷体_GB2312 四号 浅蓝 首行缩进:  1.1 厘米 行距: 1.5 倍行距 + 首行缩进:..."/>
    <w:basedOn w:val="571"/>
    <w:link w:val="569"/>
    <w:autoRedefine/>
    <w:qFormat/>
    <w:uiPriority w:val="0"/>
    <w:pPr>
      <w:ind w:firstLine="607" w:firstLineChars="200"/>
      <w:jc w:val="left"/>
    </w:pPr>
  </w:style>
  <w:style w:type="paragraph" w:customStyle="1" w:styleId="571">
    <w:name w:val="样式 样式 纯文本 + 楷体_GB2312 四号 浅蓝 首行缩进:  1.1 厘米 行距: 1.5 倍行距 + 首行缩进:  4..."/>
    <w:basedOn w:val="1"/>
    <w:link w:val="572"/>
    <w:autoRedefine/>
    <w:qFormat/>
    <w:uiPriority w:val="99"/>
    <w:pPr>
      <w:widowControl w:val="0"/>
      <w:spacing w:line="360" w:lineRule="auto"/>
      <w:ind w:firstLine="300" w:firstLineChars="100"/>
      <w:jc w:val="both"/>
    </w:pPr>
    <w:rPr>
      <w:rFonts w:ascii="宋体"/>
      <w:sz w:val="30"/>
      <w:szCs w:val="20"/>
    </w:rPr>
  </w:style>
  <w:style w:type="character" w:customStyle="1" w:styleId="572">
    <w:name w:val="样式 样式 纯文本 + 楷体_GB2312 四号 浅蓝 首行缩进:  1.1 厘米 行距: 1.5 倍行距 + 首行缩进:  4... Char Char"/>
    <w:link w:val="571"/>
    <w:autoRedefine/>
    <w:qFormat/>
    <w:locked/>
    <w:uiPriority w:val="99"/>
    <w:rPr>
      <w:rFonts w:ascii="宋体"/>
      <w:sz w:val="30"/>
    </w:rPr>
  </w:style>
  <w:style w:type="character" w:customStyle="1" w:styleId="573">
    <w:name w:val="Body Text Char1"/>
    <w:autoRedefine/>
    <w:semiHidden/>
    <w:qFormat/>
    <w:uiPriority w:val="99"/>
    <w:rPr>
      <w:rFonts w:ascii="Times New Roman" w:hAnsi="Times New Roman"/>
      <w:spacing w:val="4"/>
      <w:sz w:val="24"/>
      <w:szCs w:val="24"/>
      <w:lang w:eastAsia="en-US"/>
    </w:rPr>
  </w:style>
  <w:style w:type="character" w:customStyle="1" w:styleId="574">
    <w:name w:val="Balloon Text Char"/>
    <w:autoRedefine/>
    <w:qFormat/>
    <w:locked/>
    <w:uiPriority w:val="99"/>
    <w:rPr>
      <w:sz w:val="18"/>
    </w:rPr>
  </w:style>
  <w:style w:type="character" w:customStyle="1" w:styleId="575">
    <w:name w:val="Title Char"/>
    <w:autoRedefine/>
    <w:qFormat/>
    <w:locked/>
    <w:uiPriority w:val="99"/>
    <w:rPr>
      <w:rFonts w:ascii="Arial" w:hAnsi="Arial"/>
      <w:b/>
      <w:sz w:val="32"/>
    </w:rPr>
  </w:style>
  <w:style w:type="character" w:customStyle="1" w:styleId="576">
    <w:name w:val="Date Char"/>
    <w:autoRedefine/>
    <w:qFormat/>
    <w:locked/>
    <w:uiPriority w:val="99"/>
    <w:rPr>
      <w:sz w:val="24"/>
    </w:rPr>
  </w:style>
  <w:style w:type="character" w:customStyle="1" w:styleId="577">
    <w:name w:val="Body Text Indent 2 Char"/>
    <w:autoRedefine/>
    <w:qFormat/>
    <w:locked/>
    <w:uiPriority w:val="99"/>
    <w:rPr>
      <w:sz w:val="24"/>
    </w:rPr>
  </w:style>
  <w:style w:type="character" w:customStyle="1" w:styleId="578">
    <w:name w:val="Document Map Char1"/>
    <w:autoRedefine/>
    <w:semiHidden/>
    <w:qFormat/>
    <w:uiPriority w:val="99"/>
    <w:rPr>
      <w:rFonts w:ascii="Times New Roman" w:hAnsi="Times New Roman"/>
      <w:spacing w:val="4"/>
      <w:sz w:val="16"/>
      <w:szCs w:val="16"/>
      <w:lang w:eastAsia="en-US"/>
    </w:rPr>
  </w:style>
  <w:style w:type="character" w:customStyle="1" w:styleId="579">
    <w:name w:val="HTML Preformatted Char1"/>
    <w:autoRedefine/>
    <w:semiHidden/>
    <w:qFormat/>
    <w:uiPriority w:val="99"/>
    <w:rPr>
      <w:rFonts w:ascii="Courier New" w:hAnsi="Courier New" w:cs="Courier New"/>
      <w:spacing w:val="4"/>
      <w:sz w:val="20"/>
      <w:szCs w:val="20"/>
      <w:lang w:eastAsia="en-US"/>
    </w:rPr>
  </w:style>
  <w:style w:type="character" w:customStyle="1" w:styleId="580">
    <w:name w:val="样式2 Char Char"/>
    <w:link w:val="136"/>
    <w:autoRedefine/>
    <w:qFormat/>
    <w:uiPriority w:val="0"/>
    <w:rPr>
      <w:rFonts w:ascii="宋体" w:hAnsi="宋体" w:cs="宋体"/>
      <w:sz w:val="24"/>
      <w:szCs w:val="24"/>
    </w:rPr>
  </w:style>
  <w:style w:type="character" w:customStyle="1" w:styleId="581">
    <w:name w:val="Title Char1"/>
    <w:autoRedefine/>
    <w:qFormat/>
    <w:uiPriority w:val="10"/>
    <w:rPr>
      <w:rFonts w:ascii="Cambria" w:hAnsi="Cambria" w:cs="Times New Roman"/>
      <w:b/>
      <w:bCs/>
      <w:spacing w:val="4"/>
      <w:sz w:val="32"/>
      <w:szCs w:val="32"/>
      <w:lang w:eastAsia="en-US"/>
    </w:rPr>
  </w:style>
  <w:style w:type="character" w:customStyle="1" w:styleId="582">
    <w:name w:val="Body Text 3 Char1"/>
    <w:autoRedefine/>
    <w:semiHidden/>
    <w:qFormat/>
    <w:uiPriority w:val="99"/>
    <w:rPr>
      <w:rFonts w:ascii="Times New Roman" w:hAnsi="Times New Roman"/>
      <w:spacing w:val="4"/>
      <w:sz w:val="16"/>
      <w:szCs w:val="16"/>
      <w:lang w:eastAsia="en-US"/>
    </w:rPr>
  </w:style>
  <w:style w:type="character" w:customStyle="1" w:styleId="583">
    <w:name w:val="msobodytext"/>
    <w:basedOn w:val="66"/>
    <w:autoRedefine/>
    <w:qFormat/>
    <w:uiPriority w:val="0"/>
    <w:rPr>
      <w:rFonts w:ascii="宋体" w:hAnsi="宋体"/>
      <w:spacing w:val="4"/>
      <w:sz w:val="24"/>
      <w:szCs w:val="24"/>
      <w:lang w:eastAsia="en-US"/>
    </w:rPr>
  </w:style>
  <w:style w:type="character" w:customStyle="1" w:styleId="584">
    <w:name w:val="Balloon Text Char1"/>
    <w:autoRedefine/>
    <w:semiHidden/>
    <w:qFormat/>
    <w:uiPriority w:val="99"/>
    <w:rPr>
      <w:rFonts w:ascii="Times New Roman" w:hAnsi="Times New Roman"/>
      <w:spacing w:val="4"/>
      <w:sz w:val="16"/>
      <w:szCs w:val="16"/>
      <w:lang w:eastAsia="en-US"/>
    </w:rPr>
  </w:style>
  <w:style w:type="character" w:customStyle="1" w:styleId="585">
    <w:name w:val="江建权 Char1"/>
    <w:link w:val="586"/>
    <w:autoRedefine/>
    <w:qFormat/>
    <w:uiPriority w:val="0"/>
    <w:rPr>
      <w:sz w:val="24"/>
    </w:rPr>
  </w:style>
  <w:style w:type="paragraph" w:customStyle="1" w:styleId="586">
    <w:name w:val="江建权"/>
    <w:basedOn w:val="1"/>
    <w:link w:val="585"/>
    <w:autoRedefine/>
    <w:qFormat/>
    <w:uiPriority w:val="0"/>
    <w:pPr>
      <w:widowControl w:val="0"/>
      <w:spacing w:line="360" w:lineRule="auto"/>
      <w:ind w:firstLine="200" w:firstLineChars="200"/>
      <w:jc w:val="both"/>
    </w:pPr>
    <w:rPr>
      <w:szCs w:val="20"/>
    </w:rPr>
  </w:style>
  <w:style w:type="character" w:customStyle="1" w:styleId="587">
    <w:name w:val="正文文本缩进 Char2"/>
    <w:autoRedefine/>
    <w:semiHidden/>
    <w:qFormat/>
    <w:uiPriority w:val="99"/>
    <w:rPr>
      <w:rFonts w:hint="eastAsia" w:ascii="宋体" w:hAnsi="宋体" w:eastAsia="宋体"/>
      <w:spacing w:val="4"/>
      <w:sz w:val="24"/>
      <w:szCs w:val="24"/>
      <w:lang w:eastAsia="en-US"/>
    </w:rPr>
  </w:style>
  <w:style w:type="character" w:customStyle="1" w:styleId="588">
    <w:name w:val="Keyboard"/>
    <w:autoRedefine/>
    <w:qFormat/>
    <w:uiPriority w:val="0"/>
    <w:rPr>
      <w:rFonts w:ascii="Courier New" w:hAnsi="Courier New"/>
      <w:b/>
      <w:sz w:val="20"/>
    </w:rPr>
  </w:style>
  <w:style w:type="character" w:customStyle="1" w:styleId="589">
    <w:name w:val="普通文字1 Char1"/>
    <w:autoRedefine/>
    <w:qFormat/>
    <w:uiPriority w:val="99"/>
    <w:rPr>
      <w:rFonts w:ascii="宋体" w:hAnsi="Courier New" w:eastAsia="宋体"/>
      <w:kern w:val="2"/>
      <w:sz w:val="21"/>
      <w:lang w:val="en-US" w:eastAsia="zh-CN"/>
    </w:rPr>
  </w:style>
  <w:style w:type="character" w:customStyle="1" w:styleId="590">
    <w:name w:val="Body Text 2 Char1"/>
    <w:autoRedefine/>
    <w:semiHidden/>
    <w:qFormat/>
    <w:uiPriority w:val="99"/>
    <w:rPr>
      <w:rFonts w:ascii="Times New Roman" w:hAnsi="Times New Roman"/>
      <w:spacing w:val="4"/>
      <w:sz w:val="24"/>
      <w:szCs w:val="24"/>
      <w:lang w:eastAsia="en-US"/>
    </w:rPr>
  </w:style>
  <w:style w:type="character" w:customStyle="1" w:styleId="591">
    <w:name w:val="Comment Subject Char1"/>
    <w:autoRedefine/>
    <w:semiHidden/>
    <w:qFormat/>
    <w:uiPriority w:val="99"/>
    <w:rPr>
      <w:rFonts w:ascii="Times New Roman" w:hAnsi="Times New Roman" w:cs="Times New Roman"/>
      <w:b/>
      <w:bCs/>
      <w:spacing w:val="4"/>
      <w:kern w:val="2"/>
      <w:sz w:val="24"/>
      <w:szCs w:val="24"/>
      <w:lang w:eastAsia="en-US"/>
    </w:rPr>
  </w:style>
  <w:style w:type="character" w:customStyle="1" w:styleId="592">
    <w:name w:val="Body Text Indent 3 Char1"/>
    <w:autoRedefine/>
    <w:semiHidden/>
    <w:qFormat/>
    <w:uiPriority w:val="99"/>
    <w:rPr>
      <w:rFonts w:ascii="Times New Roman" w:hAnsi="Times New Roman"/>
      <w:spacing w:val="4"/>
      <w:sz w:val="16"/>
      <w:szCs w:val="16"/>
      <w:lang w:eastAsia="en-US"/>
    </w:rPr>
  </w:style>
  <w:style w:type="character" w:customStyle="1" w:styleId="593">
    <w:name w:val="tpc_content1"/>
    <w:autoRedefine/>
    <w:qFormat/>
    <w:uiPriority w:val="99"/>
    <w:rPr>
      <w:sz w:val="20"/>
    </w:rPr>
  </w:style>
  <w:style w:type="character" w:customStyle="1" w:styleId="594">
    <w:name w:val="Variable"/>
    <w:autoRedefine/>
    <w:qFormat/>
    <w:uiPriority w:val="0"/>
    <w:rPr>
      <w:i/>
    </w:rPr>
  </w:style>
  <w:style w:type="character" w:customStyle="1" w:styleId="595">
    <w:name w:val="正文样式 Char"/>
    <w:link w:val="596"/>
    <w:autoRedefine/>
    <w:qFormat/>
    <w:locked/>
    <w:uiPriority w:val="0"/>
    <w:rPr>
      <w:rFonts w:ascii="宋体" w:hAnsi="宋体" w:cs="宋体"/>
      <w:b/>
      <w:sz w:val="24"/>
      <w:szCs w:val="24"/>
    </w:rPr>
  </w:style>
  <w:style w:type="paragraph" w:customStyle="1" w:styleId="596">
    <w:name w:val="正文样式"/>
    <w:basedOn w:val="1"/>
    <w:link w:val="595"/>
    <w:autoRedefine/>
    <w:qFormat/>
    <w:uiPriority w:val="0"/>
    <w:pPr>
      <w:widowControl w:val="0"/>
      <w:spacing w:line="500" w:lineRule="exact"/>
      <w:ind w:firstLine="482" w:firstLineChars="200"/>
    </w:pPr>
    <w:rPr>
      <w:rFonts w:ascii="宋体" w:hAnsi="宋体" w:cs="宋体"/>
      <w:b/>
    </w:rPr>
  </w:style>
  <w:style w:type="character" w:customStyle="1" w:styleId="597">
    <w:name w:val="HTML Preformatted Char"/>
    <w:autoRedefine/>
    <w:qFormat/>
    <w:locked/>
    <w:uiPriority w:val="99"/>
    <w:rPr>
      <w:rFonts w:ascii="宋体" w:eastAsia="宋体"/>
      <w:sz w:val="24"/>
    </w:rPr>
  </w:style>
  <w:style w:type="character" w:customStyle="1" w:styleId="598">
    <w:name w:val="Body Text Indent 3 Char"/>
    <w:autoRedefine/>
    <w:qFormat/>
    <w:locked/>
    <w:uiPriority w:val="99"/>
    <w:rPr>
      <w:sz w:val="16"/>
    </w:rPr>
  </w:style>
  <w:style w:type="character" w:customStyle="1" w:styleId="599">
    <w:name w:val="Typewriter"/>
    <w:autoRedefine/>
    <w:qFormat/>
    <w:uiPriority w:val="0"/>
    <w:rPr>
      <w:rFonts w:ascii="Courier New" w:hAnsi="Courier New"/>
      <w:sz w:val="20"/>
    </w:rPr>
  </w:style>
  <w:style w:type="character" w:customStyle="1" w:styleId="600">
    <w:name w:val="Sample"/>
    <w:autoRedefine/>
    <w:qFormat/>
    <w:uiPriority w:val="0"/>
    <w:rPr>
      <w:rFonts w:ascii="Courier New" w:hAnsi="Courier New"/>
    </w:rPr>
  </w:style>
  <w:style w:type="character" w:customStyle="1" w:styleId="601">
    <w:name w:val="Comment"/>
    <w:autoRedefine/>
    <w:qFormat/>
    <w:uiPriority w:val="0"/>
    <w:rPr>
      <w:vanish/>
    </w:rPr>
  </w:style>
  <w:style w:type="character" w:customStyle="1" w:styleId="602">
    <w:name w:val="列出段落 Char Char"/>
    <w:link w:val="603"/>
    <w:autoRedefine/>
    <w:qFormat/>
    <w:uiPriority w:val="0"/>
    <w:rPr>
      <w:rFonts w:ascii="Calibri" w:hAnsi="Calibri"/>
    </w:rPr>
  </w:style>
  <w:style w:type="paragraph" w:customStyle="1" w:styleId="603">
    <w:name w:val="列出段落1"/>
    <w:basedOn w:val="1"/>
    <w:link w:val="602"/>
    <w:autoRedefine/>
    <w:qFormat/>
    <w:uiPriority w:val="0"/>
    <w:pPr>
      <w:widowControl w:val="0"/>
      <w:ind w:firstLine="420" w:firstLineChars="200"/>
      <w:jc w:val="both"/>
    </w:pPr>
    <w:rPr>
      <w:rFonts w:ascii="Calibri" w:hAnsi="Calibri"/>
      <w:sz w:val="20"/>
      <w:szCs w:val="20"/>
    </w:rPr>
  </w:style>
  <w:style w:type="character" w:customStyle="1" w:styleId="604">
    <w:name w:val="通用web正文1"/>
    <w:autoRedefine/>
    <w:qFormat/>
    <w:uiPriority w:val="99"/>
    <w:rPr>
      <w:rFonts w:ascii="宋体" w:hAnsi="宋体" w:eastAsia="宋体"/>
      <w:sz w:val="18"/>
    </w:rPr>
  </w:style>
  <w:style w:type="character" w:customStyle="1" w:styleId="605">
    <w:name w:val="Body Text First Indent 2 Char"/>
    <w:autoRedefine/>
    <w:qFormat/>
    <w:locked/>
    <w:uiPriority w:val="99"/>
    <w:rPr>
      <w:rFonts w:ascii="Times New Roman" w:hAnsi="Times New Roman" w:eastAsia="宋体" w:cs="Times New Roman"/>
      <w:sz w:val="24"/>
      <w:szCs w:val="24"/>
    </w:rPr>
  </w:style>
  <w:style w:type="character" w:customStyle="1" w:styleId="606">
    <w:name w:val="font31"/>
    <w:basedOn w:val="66"/>
    <w:autoRedefine/>
    <w:qFormat/>
    <w:uiPriority w:val="0"/>
    <w:rPr>
      <w:rFonts w:hint="default" w:ascii="Calibri" w:hAnsi="Calibri" w:cs="Calibri"/>
      <w:color w:val="000000"/>
      <w:spacing w:val="4"/>
      <w:sz w:val="21"/>
      <w:szCs w:val="21"/>
      <w:u w:val="none"/>
      <w:lang w:eastAsia="en-US"/>
    </w:rPr>
  </w:style>
  <w:style w:type="character" w:customStyle="1" w:styleId="607">
    <w:name w:val="Plain Text Char"/>
    <w:autoRedefine/>
    <w:qFormat/>
    <w:locked/>
    <w:uiPriority w:val="99"/>
    <w:rPr>
      <w:rFonts w:ascii="宋体" w:hAnsi="Courier New"/>
    </w:rPr>
  </w:style>
  <w:style w:type="character" w:customStyle="1" w:styleId="608">
    <w:name w:val="Body Text First Indent 2 Char1"/>
    <w:autoRedefine/>
    <w:semiHidden/>
    <w:qFormat/>
    <w:uiPriority w:val="99"/>
    <w:rPr>
      <w:rFonts w:ascii="Times New Roman" w:hAnsi="Times New Roman" w:eastAsia="宋体" w:cs="Times New Roman"/>
      <w:spacing w:val="4"/>
      <w:kern w:val="2"/>
      <w:sz w:val="24"/>
      <w:szCs w:val="24"/>
      <w:lang w:eastAsia="en-US"/>
    </w:rPr>
  </w:style>
  <w:style w:type="character" w:customStyle="1" w:styleId="609">
    <w:name w:val="CODE"/>
    <w:autoRedefine/>
    <w:qFormat/>
    <w:uiPriority w:val="0"/>
    <w:rPr>
      <w:rFonts w:ascii="Courier New" w:hAnsi="Courier New"/>
      <w:sz w:val="20"/>
    </w:rPr>
  </w:style>
  <w:style w:type="character" w:customStyle="1" w:styleId="610">
    <w:name w:val="正文文本缩进 Char1"/>
    <w:autoRedefine/>
    <w:qFormat/>
    <w:uiPriority w:val="99"/>
    <w:rPr>
      <w:rFonts w:ascii="Times New Roman" w:hAnsi="Times New Roman"/>
      <w:spacing w:val="4"/>
      <w:kern w:val="2"/>
      <w:sz w:val="21"/>
      <w:szCs w:val="24"/>
      <w:lang w:eastAsia="en-US"/>
    </w:rPr>
  </w:style>
  <w:style w:type="character" w:customStyle="1" w:styleId="611">
    <w:name w:val="批注文字 Char2"/>
    <w:autoRedefine/>
    <w:semiHidden/>
    <w:qFormat/>
    <w:locked/>
    <w:uiPriority w:val="99"/>
    <w:rPr>
      <w:rFonts w:ascii="Times New Roman" w:hAnsi="Times New Roman" w:eastAsia="宋体" w:cs="Times New Roman"/>
      <w:spacing w:val="4"/>
      <w:kern w:val="0"/>
      <w:sz w:val="20"/>
      <w:szCs w:val="20"/>
      <w:lang w:eastAsia="en-US"/>
    </w:rPr>
  </w:style>
  <w:style w:type="character" w:customStyle="1" w:styleId="612">
    <w:name w:val="Footnote Text Char1"/>
    <w:autoRedefine/>
    <w:semiHidden/>
    <w:qFormat/>
    <w:uiPriority w:val="99"/>
    <w:rPr>
      <w:rFonts w:ascii="Times New Roman" w:hAnsi="Times New Roman"/>
      <w:spacing w:val="4"/>
      <w:sz w:val="18"/>
      <w:szCs w:val="18"/>
      <w:lang w:eastAsia="en-US"/>
    </w:rPr>
  </w:style>
  <w:style w:type="character" w:customStyle="1" w:styleId="613">
    <w:name w:val="Body Text First Indent Char1"/>
    <w:autoRedefine/>
    <w:semiHidden/>
    <w:qFormat/>
    <w:uiPriority w:val="99"/>
    <w:rPr>
      <w:rFonts w:eastAsia="宋体" w:cs="Times New Roman"/>
      <w:sz w:val="24"/>
      <w:lang w:val="en-US" w:eastAsia="zh-CN" w:bidi="ar-SA"/>
    </w:rPr>
  </w:style>
  <w:style w:type="character" w:customStyle="1" w:styleId="614">
    <w:name w:val="Body Text First Indent Char"/>
    <w:autoRedefine/>
    <w:qFormat/>
    <w:locked/>
    <w:uiPriority w:val="99"/>
    <w:rPr>
      <w:rFonts w:eastAsia="宋体" w:cs="Times New Roman"/>
      <w:sz w:val="24"/>
      <w:szCs w:val="24"/>
    </w:rPr>
  </w:style>
  <w:style w:type="character" w:customStyle="1" w:styleId="615">
    <w:name w:val="Footnote Text Char"/>
    <w:autoRedefine/>
    <w:qFormat/>
    <w:locked/>
    <w:uiPriority w:val="99"/>
    <w:rPr>
      <w:sz w:val="18"/>
    </w:rPr>
  </w:style>
  <w:style w:type="character" w:customStyle="1" w:styleId="616">
    <w:name w:val="CITE"/>
    <w:autoRedefine/>
    <w:qFormat/>
    <w:uiPriority w:val="0"/>
    <w:rPr>
      <w:i/>
    </w:rPr>
  </w:style>
  <w:style w:type="character" w:customStyle="1" w:styleId="617">
    <w:name w:val="Plain Text Char1"/>
    <w:autoRedefine/>
    <w:semiHidden/>
    <w:qFormat/>
    <w:uiPriority w:val="99"/>
    <w:rPr>
      <w:rFonts w:ascii="宋体" w:hAnsi="Courier New" w:cs="Courier New"/>
      <w:spacing w:val="4"/>
      <w:sz w:val="24"/>
      <w:szCs w:val="21"/>
      <w:lang w:eastAsia="en-US"/>
    </w:rPr>
  </w:style>
  <w:style w:type="character" w:customStyle="1" w:styleId="618">
    <w:name w:val="Definition"/>
    <w:autoRedefine/>
    <w:qFormat/>
    <w:uiPriority w:val="0"/>
    <w:rPr>
      <w:i/>
    </w:rPr>
  </w:style>
  <w:style w:type="character" w:customStyle="1" w:styleId="619">
    <w:name w:val="Char Char5"/>
    <w:autoRedefine/>
    <w:qFormat/>
    <w:uiPriority w:val="99"/>
    <w:rPr>
      <w:rFonts w:eastAsia="宋体"/>
      <w:kern w:val="2"/>
      <w:sz w:val="24"/>
      <w:lang w:val="en-US" w:eastAsia="zh-CN"/>
    </w:rPr>
  </w:style>
  <w:style w:type="character" w:customStyle="1" w:styleId="620">
    <w:name w:val="font21"/>
    <w:basedOn w:val="66"/>
    <w:autoRedefine/>
    <w:qFormat/>
    <w:uiPriority w:val="0"/>
    <w:rPr>
      <w:rFonts w:hint="eastAsia" w:ascii="宋体" w:hAnsi="宋体" w:eastAsia="宋体" w:cs="宋体"/>
      <w:color w:val="000000"/>
      <w:spacing w:val="4"/>
      <w:sz w:val="21"/>
      <w:szCs w:val="21"/>
      <w:u w:val="none"/>
      <w:lang w:eastAsia="en-US"/>
    </w:rPr>
  </w:style>
  <w:style w:type="character" w:customStyle="1" w:styleId="621">
    <w:name w:val="Body Text 2 Char"/>
    <w:autoRedefine/>
    <w:qFormat/>
    <w:locked/>
    <w:uiPriority w:val="99"/>
    <w:rPr>
      <w:sz w:val="24"/>
    </w:rPr>
  </w:style>
  <w:style w:type="character" w:customStyle="1" w:styleId="622">
    <w:name w:val="Date Char1"/>
    <w:autoRedefine/>
    <w:semiHidden/>
    <w:qFormat/>
    <w:uiPriority w:val="99"/>
    <w:rPr>
      <w:rFonts w:ascii="Times New Roman" w:hAnsi="Times New Roman"/>
      <w:spacing w:val="4"/>
      <w:sz w:val="24"/>
      <w:szCs w:val="24"/>
      <w:lang w:eastAsia="en-US"/>
    </w:rPr>
  </w:style>
  <w:style w:type="character" w:customStyle="1" w:styleId="623">
    <w:name w:val="Body Text Indent 2 Char1"/>
    <w:autoRedefine/>
    <w:semiHidden/>
    <w:qFormat/>
    <w:uiPriority w:val="99"/>
    <w:rPr>
      <w:rFonts w:ascii="Times New Roman" w:hAnsi="Times New Roman"/>
      <w:spacing w:val="4"/>
      <w:sz w:val="24"/>
      <w:szCs w:val="24"/>
      <w:lang w:eastAsia="en-US"/>
    </w:rPr>
  </w:style>
  <w:style w:type="paragraph" w:customStyle="1" w:styleId="624">
    <w:name w:val="段落"/>
    <w:basedOn w:val="1"/>
    <w:autoRedefine/>
    <w:qFormat/>
    <w:uiPriority w:val="99"/>
    <w:pPr>
      <w:spacing w:before="180" w:line="360" w:lineRule="auto"/>
      <w:ind w:firstLine="480" w:firstLineChars="200"/>
      <w:jc w:val="both"/>
    </w:pPr>
    <w:rPr>
      <w:rFonts w:ascii="Arial" w:hAnsi="Arial"/>
      <w:szCs w:val="20"/>
    </w:rPr>
  </w:style>
  <w:style w:type="paragraph" w:customStyle="1" w:styleId="625">
    <w:name w:val="尾消息标题"/>
    <w:basedOn w:val="54"/>
    <w:next w:val="23"/>
    <w:autoRedefine/>
    <w:qFormat/>
    <w:uiPriority w:val="99"/>
    <w:pPr>
      <w:pBdr>
        <w:top w:val="double" w:color="auto" w:sz="6" w:space="18"/>
        <w:bottom w:val="double" w:color="auto" w:sz="6" w:space="18"/>
        <w:between w:val="single" w:color="auto" w:sz="6" w:space="18"/>
      </w:pBdr>
      <w:tabs>
        <w:tab w:val="left" w:pos="1279"/>
        <w:tab w:val="left" w:pos="2940"/>
        <w:tab w:val="left" w:pos="5100"/>
        <w:tab w:val="right" w:pos="8640"/>
      </w:tabs>
      <w:spacing w:before="13"/>
      <w:ind w:left="0"/>
    </w:pPr>
  </w:style>
  <w:style w:type="paragraph" w:customStyle="1" w:styleId="626">
    <w:name w:val="表格文字"/>
    <w:basedOn w:val="1"/>
    <w:autoRedefine/>
    <w:qFormat/>
    <w:uiPriority w:val="99"/>
    <w:pPr>
      <w:widowControl w:val="0"/>
      <w:adjustRightInd w:val="0"/>
      <w:spacing w:line="420" w:lineRule="atLeast"/>
      <w:textAlignment w:val="baseline"/>
    </w:pPr>
    <w:rPr>
      <w:sz w:val="21"/>
      <w:szCs w:val="20"/>
    </w:rPr>
  </w:style>
  <w:style w:type="paragraph" w:customStyle="1" w:styleId="627">
    <w:name w:val="文档标签"/>
    <w:next w:val="1"/>
    <w:autoRedefine/>
    <w:qFormat/>
    <w:uiPriority w:val="99"/>
    <w:pPr>
      <w:pBdr>
        <w:top w:val="double" w:color="auto" w:sz="6" w:space="8"/>
        <w:bottom w:val="double" w:color="auto" w:sz="6" w:space="8"/>
      </w:pBdr>
      <w:spacing w:after="40" w:line="240" w:lineRule="atLeast"/>
      <w:jc w:val="center"/>
    </w:pPr>
    <w:rPr>
      <w:rFonts w:ascii="Garamond" w:hAnsi="Garamond" w:eastAsia="宋体" w:cs="Times New Roman"/>
      <w:b/>
      <w:caps/>
      <w:spacing w:val="20"/>
      <w:sz w:val="18"/>
      <w:lang w:val="en-US" w:eastAsia="zh-CN" w:bidi="ar-SA"/>
    </w:rPr>
  </w:style>
  <w:style w:type="paragraph" w:customStyle="1" w:styleId="628">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29">
    <w:name w:val="z-Top of Form"/>
    <w:next w:val="1"/>
    <w:autoRedefine/>
    <w:qFormat/>
    <w:uiPriority w:val="99"/>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630">
    <w:name w:val="p37"/>
    <w:basedOn w:val="1"/>
    <w:autoRedefine/>
    <w:qFormat/>
    <w:uiPriority w:val="99"/>
    <w:rPr>
      <w:rFonts w:ascii="宋体" w:hAnsi="宋体" w:cs="宋体"/>
      <w:sz w:val="21"/>
      <w:szCs w:val="21"/>
    </w:rPr>
  </w:style>
  <w:style w:type="paragraph" w:customStyle="1" w:styleId="631">
    <w:name w:val="专用标题2"/>
    <w:basedOn w:val="3"/>
    <w:next w:val="1"/>
    <w:autoRedefine/>
    <w:qFormat/>
    <w:uiPriority w:val="0"/>
    <w:pPr>
      <w:keepNext w:val="0"/>
      <w:widowControl/>
      <w:tabs>
        <w:tab w:val="left" w:pos="993"/>
        <w:tab w:val="clear" w:pos="-735"/>
        <w:tab w:val="clear" w:pos="840"/>
      </w:tabs>
      <w:spacing w:beforeLines="0" w:after="260"/>
      <w:ind w:left="0" w:firstLine="0"/>
      <w:jc w:val="left"/>
    </w:pPr>
    <w:rPr>
      <w:rFonts w:hAnsi="宋体" w:cs="Times"/>
      <w:bCs/>
      <w:sz w:val="32"/>
      <w:szCs w:val="32"/>
    </w:rPr>
  </w:style>
  <w:style w:type="paragraph" w:customStyle="1" w:styleId="632">
    <w:name w:val="p132"/>
    <w:basedOn w:val="1"/>
    <w:autoRedefine/>
    <w:qFormat/>
    <w:uiPriority w:val="99"/>
    <w:pPr>
      <w:jc w:val="center"/>
    </w:pPr>
    <w:rPr>
      <w:rFonts w:ascii="黑体" w:hAnsi="黑体" w:eastAsia="黑体" w:cs="宋体"/>
      <w:sz w:val="28"/>
      <w:szCs w:val="28"/>
    </w:rPr>
  </w:style>
  <w:style w:type="paragraph" w:customStyle="1" w:styleId="633">
    <w:name w:val="公司名称"/>
    <w:basedOn w:val="23"/>
    <w:autoRedefine/>
    <w:qFormat/>
    <w:uiPriority w:val="99"/>
    <w:pPr>
      <w:keepLines/>
      <w:widowControl/>
      <w:spacing w:after="80" w:line="240" w:lineRule="atLeast"/>
      <w:jc w:val="center"/>
    </w:pPr>
    <w:rPr>
      <w:rFonts w:ascii="Garamond" w:hAnsi="Garamond" w:eastAsia="隶书"/>
      <w:caps/>
      <w:spacing w:val="75"/>
      <w:kern w:val="0"/>
      <w:sz w:val="32"/>
    </w:rPr>
  </w:style>
  <w:style w:type="paragraph" w:customStyle="1" w:styleId="634">
    <w:name w:val="通用标题3"/>
    <w:next w:val="1"/>
    <w:autoRedefine/>
    <w:qFormat/>
    <w:uiPriority w:val="0"/>
    <w:pPr>
      <w:widowControl w:val="0"/>
      <w:tabs>
        <w:tab w:val="left" w:pos="851"/>
      </w:tabs>
      <w:adjustRightInd w:val="0"/>
      <w:snapToGrid w:val="0"/>
      <w:spacing w:afterLines="50" w:line="360" w:lineRule="auto"/>
      <w:ind w:left="1843"/>
      <w:jc w:val="both"/>
      <w:outlineLvl w:val="2"/>
    </w:pPr>
    <w:rPr>
      <w:rFonts w:ascii="黑体" w:hAnsi="黑体" w:eastAsia="黑体" w:cs="Times New Roman"/>
      <w:b/>
      <w:kern w:val="2"/>
      <w:sz w:val="24"/>
      <w:szCs w:val="24"/>
      <w:lang w:val="en-US" w:eastAsia="zh-CN" w:bidi="ar-SA"/>
    </w:rPr>
  </w:style>
  <w:style w:type="paragraph" w:customStyle="1" w:styleId="635">
    <w:name w:val="列出段落11"/>
    <w:basedOn w:val="1"/>
    <w:autoRedefine/>
    <w:qFormat/>
    <w:uiPriority w:val="99"/>
    <w:pPr>
      <w:ind w:firstLine="420" w:firstLineChars="200"/>
    </w:pPr>
    <w:rPr>
      <w:rFonts w:ascii="Calibri" w:hAnsi="Calibri"/>
      <w:sz w:val="20"/>
      <w:szCs w:val="20"/>
    </w:rPr>
  </w:style>
  <w:style w:type="paragraph" w:customStyle="1" w:styleId="636">
    <w:name w:val="附件标题1"/>
    <w:next w:val="1"/>
    <w:autoRedefine/>
    <w:qFormat/>
    <w:uiPriority w:val="0"/>
    <w:pPr>
      <w:numPr>
        <w:ilvl w:val="0"/>
        <w:numId w:val="2"/>
      </w:numPr>
      <w:tabs>
        <w:tab w:val="left" w:pos="567"/>
      </w:tabs>
      <w:adjustRightInd w:val="0"/>
      <w:snapToGrid w:val="0"/>
      <w:spacing w:afterLines="50" w:line="312" w:lineRule="auto"/>
    </w:pPr>
    <w:rPr>
      <w:rFonts w:ascii="黑体" w:hAnsi="黑体" w:eastAsia="黑体" w:cs="Times New Roman"/>
      <w:b/>
      <w:kern w:val="2"/>
      <w:sz w:val="24"/>
      <w:szCs w:val="24"/>
      <w:lang w:val="en-US" w:eastAsia="zh-CN" w:bidi="ar-SA"/>
    </w:rPr>
  </w:style>
  <w:style w:type="paragraph" w:customStyle="1" w:styleId="637">
    <w:name w:val="正文_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38">
    <w:name w:val="juzhong"/>
    <w:basedOn w:val="1"/>
    <w:autoRedefine/>
    <w:qFormat/>
    <w:uiPriority w:val="99"/>
    <w:pPr>
      <w:spacing w:before="100" w:beforeAutospacing="1" w:after="100" w:afterAutospacing="1"/>
    </w:pPr>
    <w:rPr>
      <w:rFonts w:ascii="宋体" w:hAnsi="宋体" w:cs="宋体"/>
    </w:rPr>
  </w:style>
  <w:style w:type="paragraph" w:customStyle="1" w:styleId="639">
    <w:name w:val="TOC 标题2"/>
    <w:basedOn w:val="2"/>
    <w:next w:val="1"/>
    <w:autoRedefine/>
    <w:qFormat/>
    <w:uiPriority w:val="0"/>
    <w:pPr>
      <w:spacing w:beforeLines="0" w:afterLines="0" w:line="413" w:lineRule="auto"/>
      <w:ind w:left="0"/>
      <w:jc w:val="left"/>
    </w:pPr>
    <w:rPr>
      <w:rFonts w:hAnsi="宋体"/>
      <w:b w:val="0"/>
      <w:bCs/>
      <w:spacing w:val="4"/>
      <w:sz w:val="36"/>
      <w:szCs w:val="44"/>
      <w:lang w:val="zh-CN" w:eastAsia="en-US"/>
    </w:rPr>
  </w:style>
  <w:style w:type="paragraph" w:customStyle="1" w:styleId="640">
    <w:name w:val="z-Bottom of Form"/>
    <w:next w:val="1"/>
    <w:autoRedefine/>
    <w:qFormat/>
    <w:uiPriority w:val="99"/>
    <w:pPr>
      <w:widowControl w:val="0"/>
      <w:pBdr>
        <w:top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641">
    <w:name w:val="p14"/>
    <w:basedOn w:val="1"/>
    <w:autoRedefine/>
    <w:qFormat/>
    <w:uiPriority w:val="99"/>
    <w:pPr>
      <w:spacing w:line="480" w:lineRule="auto"/>
    </w:pPr>
    <w:rPr>
      <w:rFonts w:ascii="宋体" w:hAnsi="宋体" w:cs="宋体"/>
      <w:sz w:val="21"/>
      <w:szCs w:val="21"/>
    </w:rPr>
  </w:style>
  <w:style w:type="paragraph" w:customStyle="1" w:styleId="642">
    <w:name w:val="p217"/>
    <w:basedOn w:val="1"/>
    <w:autoRedefine/>
    <w:qFormat/>
    <w:uiPriority w:val="99"/>
    <w:pPr>
      <w:jc w:val="right"/>
    </w:pPr>
    <w:rPr>
      <w:rFonts w:ascii="宋体" w:hAnsi="宋体" w:cs="宋体"/>
      <w:sz w:val="21"/>
      <w:szCs w:val="21"/>
    </w:rPr>
  </w:style>
  <w:style w:type="paragraph" w:customStyle="1" w:styleId="643">
    <w:name w:val="+正文 Char5"/>
    <w:basedOn w:val="1"/>
    <w:autoRedefine/>
    <w:qFormat/>
    <w:uiPriority w:val="0"/>
    <w:pPr>
      <w:ind w:firstLine="200"/>
    </w:pPr>
    <w:rPr>
      <w:sz w:val="20"/>
      <w:szCs w:val="28"/>
    </w:rPr>
  </w:style>
  <w:style w:type="paragraph" w:customStyle="1" w:styleId="644">
    <w:name w:val="table"/>
    <w:autoRedefin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645">
    <w:name w:val="通用标题5"/>
    <w:autoRedefine/>
    <w:qFormat/>
    <w:uiPriority w:val="0"/>
    <w:pPr>
      <w:widowControl w:val="0"/>
      <w:tabs>
        <w:tab w:val="left" w:pos="1134"/>
      </w:tabs>
      <w:autoSpaceDE w:val="0"/>
      <w:autoSpaceDN w:val="0"/>
      <w:adjustRightInd w:val="0"/>
      <w:snapToGrid w:val="0"/>
      <w:spacing w:afterLines="50" w:line="360" w:lineRule="auto"/>
      <w:ind w:left="710"/>
      <w:jc w:val="both"/>
    </w:pPr>
    <w:rPr>
      <w:rFonts w:ascii="宋体" w:hAnsi="宋体" w:eastAsia="宋体" w:cs="Times New Roman"/>
      <w:kern w:val="2"/>
      <w:sz w:val="24"/>
      <w:szCs w:val="21"/>
      <w:lang w:val="en-US" w:eastAsia="zh-CN" w:bidi="ar-SA"/>
    </w:rPr>
  </w:style>
  <w:style w:type="paragraph" w:customStyle="1" w:styleId="646">
    <w:name w:val="简单回函地址"/>
    <w:basedOn w:val="1"/>
    <w:autoRedefine/>
    <w:qFormat/>
    <w:uiPriority w:val="99"/>
    <w:pPr>
      <w:widowControl w:val="0"/>
      <w:jc w:val="both"/>
    </w:pPr>
    <w:rPr>
      <w:kern w:val="2"/>
      <w:sz w:val="21"/>
    </w:rPr>
  </w:style>
  <w:style w:type="paragraph" w:customStyle="1" w:styleId="647">
    <w:name w:val="消息标题标签"/>
    <w:basedOn w:val="54"/>
    <w:next w:val="54"/>
    <w:autoRedefine/>
    <w:qFormat/>
    <w:uiPriority w:val="99"/>
    <w:pPr>
      <w:spacing w:before="40" w:after="0"/>
      <w:ind w:left="0"/>
    </w:pPr>
    <w:rPr>
      <w:rFonts w:eastAsia="楷体_GB2312"/>
      <w:b/>
      <w:caps/>
      <w:spacing w:val="0"/>
      <w:position w:val="6"/>
      <w:sz w:val="21"/>
    </w:rPr>
  </w:style>
  <w:style w:type="paragraph" w:customStyle="1" w:styleId="648">
    <w:name w:val="正文文本 21"/>
    <w:basedOn w:val="1"/>
    <w:autoRedefine/>
    <w:qFormat/>
    <w:uiPriority w:val="99"/>
    <w:pPr>
      <w:widowControl w:val="0"/>
      <w:adjustRightInd w:val="0"/>
      <w:spacing w:line="520" w:lineRule="atLeast"/>
      <w:ind w:firstLine="570"/>
      <w:jc w:val="both"/>
      <w:textAlignment w:val="baseline"/>
    </w:pPr>
    <w:rPr>
      <w:rFonts w:ascii="仿宋_GB2312" w:eastAsia="仿宋_GB2312"/>
      <w:kern w:val="2"/>
      <w:sz w:val="28"/>
      <w:szCs w:val="20"/>
    </w:rPr>
  </w:style>
  <w:style w:type="paragraph" w:customStyle="1" w:styleId="649">
    <w:name w:val="+▲"/>
    <w:basedOn w:val="287"/>
    <w:autoRedefine/>
    <w:qFormat/>
    <w:uiPriority w:val="0"/>
    <w:pPr>
      <w:widowControl/>
      <w:spacing w:line="240" w:lineRule="auto"/>
      <w:ind w:firstLine="0" w:firstLineChars="0"/>
      <w:jc w:val="left"/>
    </w:pPr>
    <w:rPr>
      <w:kern w:val="0"/>
      <w:sz w:val="20"/>
    </w:rPr>
  </w:style>
  <w:style w:type="paragraph" w:customStyle="1" w:styleId="650">
    <w:name w:val="普通(网站)1"/>
    <w:basedOn w:val="1"/>
    <w:autoRedefine/>
    <w:qFormat/>
    <w:uiPriority w:val="99"/>
    <w:pPr>
      <w:spacing w:before="100" w:beforeAutospacing="1" w:after="100" w:afterAutospacing="1"/>
    </w:pPr>
    <w:rPr>
      <w:rFonts w:ascii="宋体" w:hAnsi="宋体"/>
      <w:kern w:val="2"/>
      <w:szCs w:val="20"/>
    </w:rPr>
  </w:style>
  <w:style w:type="paragraph" w:customStyle="1" w:styleId="651">
    <w:name w:val="协议书标题2"/>
    <w:basedOn w:val="3"/>
    <w:next w:val="1"/>
    <w:autoRedefine/>
    <w:qFormat/>
    <w:uiPriority w:val="0"/>
    <w:pPr>
      <w:keepNext w:val="0"/>
      <w:widowControl/>
      <w:numPr>
        <w:ilvl w:val="0"/>
        <w:numId w:val="3"/>
      </w:numPr>
      <w:tabs>
        <w:tab w:val="left" w:pos="567"/>
        <w:tab w:val="clear" w:pos="-735"/>
        <w:tab w:val="clear" w:pos="840"/>
      </w:tabs>
      <w:spacing w:beforeLines="0" w:after="260"/>
      <w:ind w:firstLine="0"/>
      <w:jc w:val="left"/>
    </w:pPr>
    <w:rPr>
      <w:rFonts w:hAnsi="宋体"/>
      <w:bCs/>
      <w:sz w:val="24"/>
      <w:szCs w:val="32"/>
    </w:rPr>
  </w:style>
  <w:style w:type="paragraph" w:customStyle="1" w:styleId="652">
    <w:name w:val="首消息标题"/>
    <w:basedOn w:val="54"/>
    <w:next w:val="54"/>
    <w:autoRedefine/>
    <w:qFormat/>
    <w:uiPriority w:val="99"/>
  </w:style>
  <w:style w:type="paragraph" w:customStyle="1" w:styleId="653">
    <w:name w:val="修订2"/>
    <w:autoRedefine/>
    <w:qFormat/>
    <w:uiPriority w:val="99"/>
    <w:rPr>
      <w:rFonts w:ascii="Times New Roman" w:hAnsi="Times New Roman" w:eastAsia="宋体" w:cs="Times New Roman"/>
      <w:kern w:val="2"/>
      <w:sz w:val="21"/>
      <w:szCs w:val="24"/>
      <w:lang w:val="en-US" w:eastAsia="zh-CN" w:bidi="ar-SA"/>
    </w:rPr>
  </w:style>
  <w:style w:type="paragraph" w:customStyle="1" w:styleId="654">
    <w:name w:val="附件标题"/>
    <w:basedOn w:val="3"/>
    <w:next w:val="1"/>
    <w:autoRedefine/>
    <w:qFormat/>
    <w:uiPriority w:val="0"/>
    <w:pPr>
      <w:keepLines/>
      <w:widowControl/>
      <w:numPr>
        <w:ilvl w:val="0"/>
        <w:numId w:val="4"/>
      </w:numPr>
      <w:tabs>
        <w:tab w:val="left" w:pos="1134"/>
        <w:tab w:val="clear" w:pos="-735"/>
        <w:tab w:val="clear" w:pos="840"/>
      </w:tabs>
      <w:spacing w:beforeLines="0" w:after="260"/>
      <w:ind w:firstLine="0"/>
      <w:jc w:val="center"/>
    </w:pPr>
    <w:rPr>
      <w:rFonts w:ascii="黑体" w:hAnsi="黑体" w:eastAsia="黑体"/>
      <w:bCs/>
      <w:sz w:val="30"/>
      <w:szCs w:val="30"/>
    </w:rPr>
  </w:style>
  <w:style w:type="paragraph" w:customStyle="1" w:styleId="655">
    <w:name w:val="通用标题6"/>
    <w:basedOn w:val="1"/>
    <w:autoRedefine/>
    <w:qFormat/>
    <w:uiPriority w:val="0"/>
    <w:pPr>
      <w:tabs>
        <w:tab w:val="left" w:pos="993"/>
      </w:tabs>
      <w:ind w:left="310"/>
    </w:pPr>
    <w:rPr>
      <w:sz w:val="20"/>
      <w:szCs w:val="20"/>
    </w:rPr>
  </w:style>
  <w:style w:type="paragraph" w:customStyle="1" w:styleId="656">
    <w:name w:val="geshi1"/>
    <w:basedOn w:val="1"/>
    <w:autoRedefine/>
    <w:qFormat/>
    <w:uiPriority w:val="99"/>
    <w:pPr>
      <w:spacing w:before="100" w:beforeAutospacing="1" w:after="100" w:afterAutospacing="1"/>
    </w:pPr>
    <w:rPr>
      <w:rFonts w:ascii="宋体" w:hAnsi="宋体" w:cs="宋体"/>
    </w:rPr>
  </w:style>
  <w:style w:type="paragraph" w:customStyle="1" w:styleId="657">
    <w:name w:val="通用标题2"/>
    <w:basedOn w:val="3"/>
    <w:next w:val="1"/>
    <w:autoRedefine/>
    <w:qFormat/>
    <w:uiPriority w:val="0"/>
    <w:pPr>
      <w:keepNext w:val="0"/>
      <w:widowControl/>
      <w:numPr>
        <w:ilvl w:val="0"/>
        <w:numId w:val="5"/>
      </w:numPr>
      <w:tabs>
        <w:tab w:val="left" w:pos="993"/>
        <w:tab w:val="clear" w:pos="-735"/>
        <w:tab w:val="clear" w:pos="840"/>
      </w:tabs>
      <w:spacing w:beforeLines="0" w:after="260"/>
      <w:jc w:val="left"/>
    </w:pPr>
    <w:rPr>
      <w:rFonts w:ascii="黑体" w:hAnsi="黑体" w:eastAsia="黑体"/>
      <w:bCs/>
      <w:sz w:val="32"/>
      <w:szCs w:val="32"/>
    </w:rPr>
  </w:style>
  <w:style w:type="paragraph" w:customStyle="1" w:styleId="658">
    <w:name w:val="CM95"/>
    <w:basedOn w:val="1"/>
    <w:next w:val="1"/>
    <w:autoRedefine/>
    <w:qFormat/>
    <w:uiPriority w:val="99"/>
    <w:pPr>
      <w:widowControl w:val="0"/>
      <w:autoSpaceDE w:val="0"/>
      <w:autoSpaceDN w:val="0"/>
      <w:adjustRightInd w:val="0"/>
      <w:spacing w:after="115"/>
    </w:pPr>
    <w:rPr>
      <w:rFonts w:ascii="宋体"/>
      <w:szCs w:val="20"/>
    </w:rPr>
  </w:style>
  <w:style w:type="paragraph" w:customStyle="1" w:styleId="659">
    <w:name w:val="Revision1"/>
    <w:autoRedefine/>
    <w:qFormat/>
    <w:uiPriority w:val="99"/>
    <w:rPr>
      <w:rFonts w:ascii="Times New Roman" w:hAnsi="Times New Roman" w:eastAsia="宋体" w:cs="Times New Roman"/>
      <w:kern w:val="2"/>
      <w:sz w:val="21"/>
      <w:szCs w:val="24"/>
      <w:lang w:val="en-US" w:eastAsia="zh-CN" w:bidi="ar-SA"/>
    </w:rPr>
  </w:style>
  <w:style w:type="paragraph" w:customStyle="1" w:styleId="660">
    <w:name w:val="列表2"/>
    <w:basedOn w:val="1"/>
    <w:autoRedefine/>
    <w:qFormat/>
    <w:uiPriority w:val="0"/>
    <w:pPr>
      <w:widowControl w:val="0"/>
      <w:numPr>
        <w:ilvl w:val="0"/>
        <w:numId w:val="6"/>
      </w:numPr>
      <w:tabs>
        <w:tab w:val="left" w:pos="1117"/>
      </w:tabs>
      <w:spacing w:line="360" w:lineRule="auto"/>
      <w:ind w:firstLine="0"/>
      <w:jc w:val="both"/>
      <w:textAlignment w:val="baseline"/>
    </w:pPr>
    <w:rPr>
      <w:kern w:val="2"/>
      <w:szCs w:val="20"/>
    </w:rPr>
  </w:style>
  <w:style w:type="paragraph" w:customStyle="1" w:styleId="661">
    <w:name w:val="p204"/>
    <w:basedOn w:val="1"/>
    <w:autoRedefine/>
    <w:qFormat/>
    <w:uiPriority w:val="99"/>
    <w:pPr>
      <w:ind w:firstLine="418"/>
    </w:pPr>
    <w:rPr>
      <w:rFonts w:ascii="仿宋" w:hAnsi="仿宋" w:eastAsia="仿宋" w:cs="宋体"/>
      <w:sz w:val="21"/>
      <w:szCs w:val="21"/>
    </w:rPr>
  </w:style>
  <w:style w:type="paragraph" w:customStyle="1" w:styleId="662">
    <w:name w:val="通用标题4"/>
    <w:next w:val="1"/>
    <w:autoRedefine/>
    <w:qFormat/>
    <w:uiPriority w:val="0"/>
    <w:pPr>
      <w:tabs>
        <w:tab w:val="left" w:pos="851"/>
      </w:tabs>
      <w:adjustRightInd w:val="0"/>
      <w:snapToGrid w:val="0"/>
      <w:spacing w:afterLines="50" w:line="360" w:lineRule="auto"/>
      <w:ind w:left="2126"/>
      <w:jc w:val="both"/>
      <w:outlineLvl w:val="3"/>
    </w:pPr>
    <w:rPr>
      <w:rFonts w:ascii="宋体" w:hAnsi="宋体" w:eastAsia="宋体" w:cs="Times New Roman"/>
      <w:kern w:val="2"/>
      <w:sz w:val="24"/>
      <w:szCs w:val="21"/>
      <w:lang w:val="en-US" w:eastAsia="zh-CN" w:bidi="ar-SA"/>
    </w:rPr>
  </w:style>
  <w:style w:type="paragraph" w:customStyle="1" w:styleId="663">
    <w:name w:val="p55"/>
    <w:basedOn w:val="1"/>
    <w:autoRedefine/>
    <w:qFormat/>
    <w:uiPriority w:val="99"/>
    <w:rPr>
      <w:rFonts w:ascii="宋体" w:hAnsi="宋体" w:cs="宋体"/>
      <w:sz w:val="21"/>
      <w:szCs w:val="21"/>
    </w:rPr>
  </w:style>
  <w:style w:type="paragraph" w:customStyle="1" w:styleId="664">
    <w:name w:val="正文 + 宋体"/>
    <w:basedOn w:val="1"/>
    <w:autoRedefine/>
    <w:qFormat/>
    <w:uiPriority w:val="99"/>
    <w:pPr>
      <w:spacing w:line="324" w:lineRule="auto"/>
      <w:ind w:firstLine="480" w:firstLineChars="200"/>
    </w:pPr>
    <w:rPr>
      <w:sz w:val="20"/>
      <w:szCs w:val="20"/>
    </w:rPr>
  </w:style>
  <w:style w:type="paragraph" w:customStyle="1" w:styleId="665">
    <w:name w:val="9css2"/>
    <w:basedOn w:val="1"/>
    <w:autoRedefine/>
    <w:qFormat/>
    <w:uiPriority w:val="99"/>
    <w:pPr>
      <w:spacing w:before="100" w:beforeAutospacing="1" w:after="100" w:afterAutospacing="1" w:line="268" w:lineRule="atLeast"/>
    </w:pPr>
    <w:rPr>
      <w:rFonts w:hint="eastAsia" w:ascii="宋体" w:hAnsi="宋体"/>
      <w:color w:val="000000"/>
      <w:sz w:val="20"/>
      <w:szCs w:val="20"/>
    </w:rPr>
  </w:style>
  <w:style w:type="paragraph" w:customStyle="1" w:styleId="666">
    <w:name w:val="Report Text"/>
    <w:basedOn w:val="1"/>
    <w:autoRedefine/>
    <w:qFormat/>
    <w:uiPriority w:val="99"/>
    <w:pPr>
      <w:spacing w:line="450" w:lineRule="exact"/>
      <w:ind w:left="1080" w:firstLine="418" w:firstLineChars="199"/>
    </w:pPr>
    <w:rPr>
      <w:rFonts w:ascii="宋体" w:hAnsi="宋体"/>
      <w:sz w:val="22"/>
      <w:szCs w:val="20"/>
      <w:lang w:eastAsia="zh-TW"/>
    </w:rPr>
  </w:style>
  <w:style w:type="paragraph" w:customStyle="1" w:styleId="667">
    <w:name w:val="正  文"/>
    <w:basedOn w:val="1"/>
    <w:autoRedefine/>
    <w:qFormat/>
    <w:uiPriority w:val="0"/>
    <w:pPr>
      <w:spacing w:line="560" w:lineRule="exact"/>
      <w:ind w:firstLine="200" w:firstLineChars="200"/>
      <w:textAlignment w:val="baseline"/>
    </w:pPr>
    <w:rPr>
      <w:rFonts w:ascii="方正仿宋_GBK" w:hAnsi="Calibri" w:eastAsia="方正仿宋_GBK"/>
      <w:sz w:val="30"/>
      <w:szCs w:val="28"/>
    </w:rPr>
  </w:style>
  <w:style w:type="paragraph" w:customStyle="1" w:styleId="668">
    <w:name w:val="样式 样式 左侧:  2 字符 + 左侧:  0.85 厘米 首行缩进:  2 字符1"/>
    <w:basedOn w:val="1"/>
    <w:autoRedefine/>
    <w:qFormat/>
    <w:uiPriority w:val="0"/>
    <w:pPr>
      <w:ind w:left="482" w:firstLine="200" w:firstLineChars="200"/>
    </w:pPr>
    <w:rPr>
      <w:rFonts w:asciiTheme="minorHAnsi" w:hAnsiTheme="minorHAnsi" w:eastAsiaTheme="minorEastAsia" w:cstheme="minorBidi"/>
    </w:rPr>
  </w:style>
  <w:style w:type="paragraph" w:customStyle="1" w:styleId="669">
    <w:name w:val="Table Paragraph"/>
    <w:basedOn w:val="1"/>
    <w:autoRedefine/>
    <w:qFormat/>
    <w:uiPriority w:val="1"/>
    <w:pPr>
      <w:autoSpaceDE w:val="0"/>
      <w:autoSpaceDN w:val="0"/>
    </w:pPr>
    <w:rPr>
      <w:rFonts w:ascii="宋体" w:hAnsi="宋体" w:cs="宋体"/>
      <w:sz w:val="22"/>
      <w:szCs w:val="22"/>
      <w:lang w:eastAsia="en-US"/>
    </w:rPr>
  </w:style>
  <w:style w:type="table" w:customStyle="1" w:styleId="670">
    <w:name w:val="Table Normal"/>
    <w:autoRedefine/>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2.png"/><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14.xml"/><Relationship Id="rId28" Type="http://schemas.openxmlformats.org/officeDocument/2006/relationships/footer" Target="footer13.xml"/><Relationship Id="rId27" Type="http://schemas.openxmlformats.org/officeDocument/2006/relationships/header" Target="header13.xml"/><Relationship Id="rId26" Type="http://schemas.openxmlformats.org/officeDocument/2006/relationships/header" Target="header12.xml"/><Relationship Id="rId25" Type="http://schemas.openxmlformats.org/officeDocument/2006/relationships/footer" Target="footer12.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211</Pages>
  <Words>25409</Words>
  <Characters>27364</Characters>
  <Lines>150</Lines>
  <Paragraphs>280</Paragraphs>
  <TotalTime>34</TotalTime>
  <ScaleCrop>false</ScaleCrop>
  <LinksUpToDate>false</LinksUpToDate>
  <CharactersWithSpaces>28052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2017-11-29T07:35:00Z</dcterms:created>
  <dc:creator>谭</dc:creator>
  <cp:lastModifiedBy>Z.</cp:lastModifiedBy>
  <cp:lastPrinted>2021-09-06T11:22:00Z</cp:lastPrinted>
  <dcterms:modified xsi:type="dcterms:W3CDTF">2026-04-27T09:16:09Z</dcterms:modified>
  <dc:title>建设工程招标文件</dc:title>
  <cp:revision>2053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94D6C027A6904F14AA42602C320B5145_13</vt:lpwstr>
  </property>
  <property fmtid="{D5CDD505-2E9C-101B-9397-08002B2CF9AE}" pid="4" name="KSOSaveFontToCloudKey">
    <vt:lpwstr>299799276_btnclosed</vt:lpwstr>
  </property>
  <property fmtid="{D5CDD505-2E9C-101B-9397-08002B2CF9AE}" pid="5" name="KSOTemplateDocerSaveRecord">
    <vt:lpwstr>eyJoZGlkIjoiNzdlM2I0ZDY5ZTc2ODA0ZTliYzU1ZGRhNjdjNDBjZjUiLCJ1c2VySWQiOiI5ODU3Nzk1ODAifQ==</vt:lpwstr>
  </property>
</Properties>
</file>