
<file path=[Content_Types].xml><?xml version="1.0" encoding="utf-8"?>
<Types xmlns="http://schemas.openxmlformats.org/package/2006/content-types">
  <Default Extension="xml" ContentType="application/xml"/>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F22E39">
      <w:pPr>
        <w:jc w:val="center"/>
        <w:rPr>
          <w:rFonts w:hint="eastAsia" w:ascii="宋体" w:hAnsi="宋体" w:cs="宋体"/>
          <w:b/>
          <w:bCs/>
          <w:sz w:val="36"/>
          <w:szCs w:val="36"/>
        </w:rPr>
      </w:pPr>
      <w:bookmarkStart w:id="0" w:name="_Hlk129550895"/>
      <w:bookmarkStart w:id="1" w:name="_Toc247527532"/>
      <w:bookmarkStart w:id="2" w:name="_Toc300834926"/>
      <w:bookmarkStart w:id="3" w:name="_Toc430941147"/>
      <w:bookmarkStart w:id="4" w:name="_Toc401232510"/>
      <w:bookmarkStart w:id="5" w:name="_Toc152042286"/>
      <w:bookmarkStart w:id="6" w:name="_Toc144974478"/>
      <w:r>
        <w:rPr>
          <w:rFonts w:hint="eastAsia" w:ascii="宋体" w:hAnsi="宋体" w:cs="宋体"/>
          <w:b/>
          <w:bCs/>
          <w:sz w:val="44"/>
          <w:szCs w:val="44"/>
          <w:shd w:val="clear" w:color="auto" w:fill="FFFFFF"/>
        </w:rPr>
        <w:t>姚安县官屯加油站建设项目设计施工总承包（EPC）</w:t>
      </w:r>
    </w:p>
    <w:bookmarkEnd w:id="0"/>
    <w:p w14:paraId="79BA73DE">
      <w:pPr>
        <w:snapToGrid w:val="0"/>
        <w:jc w:val="center"/>
        <w:rPr>
          <w:rFonts w:hint="eastAsia" w:ascii="宋体" w:hAnsi="宋体" w:cs="宋体"/>
          <w:snapToGrid w:val="0"/>
          <w:kern w:val="0"/>
          <w:sz w:val="31"/>
          <w:szCs w:val="31"/>
        </w:rPr>
      </w:pPr>
      <w:r>
        <w:rPr>
          <w:rFonts w:hint="eastAsia" w:ascii="宋体" w:hAnsi="宋体" w:cs="宋体"/>
          <w:sz w:val="44"/>
          <w:szCs w:val="44"/>
        </w:rPr>
        <w:drawing>
          <wp:anchor distT="0" distB="0" distL="114300" distR="114300" simplePos="0" relativeHeight="251664384" behindDoc="0" locked="0" layoutInCell="1" allowOverlap="1">
            <wp:simplePos x="0" y="0"/>
            <wp:positionH relativeFrom="column">
              <wp:posOffset>1715770</wp:posOffset>
            </wp:positionH>
            <wp:positionV relativeFrom="paragraph">
              <wp:posOffset>194310</wp:posOffset>
            </wp:positionV>
            <wp:extent cx="2529205" cy="2392045"/>
            <wp:effectExtent l="0" t="0" r="0" b="0"/>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0"/>
                    <a:stretch>
                      <a:fillRect/>
                    </a:stretch>
                  </pic:blipFill>
                  <pic:spPr>
                    <a:xfrm>
                      <a:off x="0" y="0"/>
                      <a:ext cx="2529205" cy="2392045"/>
                    </a:xfrm>
                    <a:prstGeom prst="rect">
                      <a:avLst/>
                    </a:prstGeom>
                    <a:noFill/>
                    <a:ln>
                      <a:noFill/>
                    </a:ln>
                  </pic:spPr>
                </pic:pic>
              </a:graphicData>
            </a:graphic>
          </wp:anchor>
        </w:drawing>
      </w:r>
    </w:p>
    <w:p w14:paraId="003D072F">
      <w:pPr>
        <w:snapToGrid w:val="0"/>
        <w:jc w:val="center"/>
        <w:rPr>
          <w:rFonts w:hint="eastAsia" w:ascii="宋体" w:hAnsi="宋体" w:cs="宋体"/>
          <w:snapToGrid w:val="0"/>
          <w:kern w:val="0"/>
          <w:sz w:val="31"/>
          <w:szCs w:val="31"/>
        </w:rPr>
      </w:pPr>
    </w:p>
    <w:p w14:paraId="0952665A">
      <w:pPr>
        <w:snapToGrid w:val="0"/>
        <w:jc w:val="center"/>
        <w:rPr>
          <w:rFonts w:hint="eastAsia" w:ascii="宋体" w:hAnsi="宋体" w:cs="宋体"/>
          <w:snapToGrid w:val="0"/>
          <w:kern w:val="0"/>
          <w:sz w:val="31"/>
          <w:szCs w:val="31"/>
        </w:rPr>
      </w:pPr>
    </w:p>
    <w:p w14:paraId="150DE025">
      <w:pPr>
        <w:spacing w:line="360" w:lineRule="auto"/>
        <w:rPr>
          <w:rFonts w:hint="eastAsia" w:ascii="宋体" w:hAnsi="宋体" w:cs="宋体"/>
          <w:snapToGrid w:val="0"/>
          <w:kern w:val="0"/>
          <w:sz w:val="31"/>
          <w:szCs w:val="31"/>
        </w:rPr>
      </w:pPr>
    </w:p>
    <w:p w14:paraId="4FE8758B">
      <w:pPr>
        <w:jc w:val="center"/>
        <w:rPr>
          <w:rFonts w:hint="eastAsia" w:ascii="宋体" w:hAnsi="宋体" w:cs="宋体"/>
          <w:b/>
          <w:bCs/>
          <w:sz w:val="84"/>
          <w:szCs w:val="84"/>
        </w:rPr>
      </w:pPr>
      <w:bookmarkStart w:id="7" w:name="_Hlk129550905"/>
    </w:p>
    <w:p w14:paraId="697245A2">
      <w:pPr>
        <w:rPr>
          <w:rFonts w:hint="eastAsia" w:ascii="宋体" w:hAnsi="宋体" w:cs="宋体"/>
          <w:b/>
          <w:bCs/>
          <w:sz w:val="84"/>
          <w:szCs w:val="84"/>
        </w:rPr>
      </w:pPr>
    </w:p>
    <w:p w14:paraId="7F410A88">
      <w:pPr>
        <w:jc w:val="center"/>
        <w:rPr>
          <w:rFonts w:hint="eastAsia" w:ascii="宋体" w:hAnsi="宋体" w:cs="宋体"/>
          <w:b/>
          <w:bCs/>
          <w:sz w:val="84"/>
          <w:szCs w:val="84"/>
        </w:rPr>
      </w:pPr>
      <w:r>
        <w:rPr>
          <w:rFonts w:hint="eastAsia" w:ascii="宋体" w:hAnsi="宋体" w:cs="宋体"/>
          <w:b/>
          <w:bCs/>
          <w:sz w:val="84"/>
          <w:szCs w:val="84"/>
        </w:rPr>
        <w:t>招标文件</w:t>
      </w:r>
    </w:p>
    <w:bookmarkEnd w:id="7"/>
    <w:p w14:paraId="0F50CF89">
      <w:pPr>
        <w:jc w:val="center"/>
        <w:rPr>
          <w:rFonts w:hint="eastAsia" w:ascii="宋体" w:hAnsi="宋体" w:cs="宋体"/>
          <w:b/>
          <w:sz w:val="18"/>
          <w:szCs w:val="18"/>
        </w:rPr>
      </w:pPr>
    </w:p>
    <w:p w14:paraId="3B8043C4">
      <w:pPr>
        <w:spacing w:line="360" w:lineRule="auto"/>
        <w:jc w:val="center"/>
        <w:rPr>
          <w:rFonts w:hint="eastAsia" w:ascii="宋体" w:hAnsi="宋体" w:cs="宋体"/>
        </w:rPr>
      </w:pPr>
      <w:r>
        <w:rPr>
          <w:rFonts w:hint="eastAsia" w:ascii="宋体" w:hAnsi="宋体" w:cs="宋体"/>
          <w:b/>
          <w:sz w:val="32"/>
          <w:szCs w:val="32"/>
        </w:rPr>
        <w:t>项目编号：YNCL-2026-014-0101</w:t>
      </w:r>
    </w:p>
    <w:p w14:paraId="16B35E35">
      <w:pPr>
        <w:rPr>
          <w:rFonts w:hint="eastAsia" w:ascii="宋体" w:hAnsi="宋体" w:cs="宋体"/>
        </w:rPr>
      </w:pPr>
    </w:p>
    <w:p w14:paraId="379A16DC">
      <w:pPr>
        <w:spacing w:line="360" w:lineRule="auto"/>
        <w:jc w:val="center"/>
        <w:rPr>
          <w:rFonts w:hint="eastAsia" w:ascii="宋体" w:hAnsi="宋体" w:cs="宋体"/>
          <w:b/>
          <w:sz w:val="28"/>
          <w:szCs w:val="24"/>
        </w:rPr>
      </w:pPr>
    </w:p>
    <w:p w14:paraId="38318383">
      <w:pPr>
        <w:spacing w:line="360" w:lineRule="auto"/>
        <w:jc w:val="center"/>
        <w:rPr>
          <w:rFonts w:hint="eastAsia" w:ascii="宋体" w:hAnsi="宋体" w:cs="宋体"/>
          <w:b/>
          <w:sz w:val="28"/>
          <w:szCs w:val="24"/>
        </w:rPr>
      </w:pPr>
    </w:p>
    <w:p w14:paraId="2123A1C2">
      <w:pPr>
        <w:spacing w:line="360" w:lineRule="auto"/>
        <w:jc w:val="center"/>
        <w:rPr>
          <w:rFonts w:hint="eastAsia" w:ascii="宋体" w:hAnsi="宋体" w:cs="宋体"/>
          <w:b/>
          <w:sz w:val="28"/>
          <w:szCs w:val="24"/>
        </w:rPr>
      </w:pPr>
    </w:p>
    <w:p w14:paraId="6E954A98">
      <w:pPr>
        <w:spacing w:line="360" w:lineRule="auto"/>
        <w:jc w:val="center"/>
        <w:rPr>
          <w:rFonts w:hint="eastAsia" w:ascii="宋体" w:hAnsi="宋体" w:cs="宋体"/>
          <w:b/>
          <w:sz w:val="28"/>
          <w:szCs w:val="24"/>
        </w:rPr>
      </w:pPr>
    </w:p>
    <w:p w14:paraId="28083DA3">
      <w:pPr>
        <w:pStyle w:val="29"/>
        <w:rPr>
          <w:rFonts w:hint="eastAsia" w:hAnsi="宋体"/>
          <w:b/>
          <w:sz w:val="28"/>
        </w:rPr>
      </w:pPr>
    </w:p>
    <w:p w14:paraId="746F5209">
      <w:pPr>
        <w:pStyle w:val="30"/>
      </w:pPr>
    </w:p>
    <w:p w14:paraId="223A8358">
      <w:pPr>
        <w:spacing w:line="360" w:lineRule="auto"/>
        <w:jc w:val="center"/>
        <w:rPr>
          <w:rFonts w:hint="eastAsia" w:ascii="宋体" w:hAnsi="宋体" w:cs="宋体"/>
          <w:b/>
          <w:sz w:val="28"/>
          <w:szCs w:val="24"/>
        </w:rPr>
      </w:pPr>
      <w:r>
        <w:rPr>
          <w:rFonts w:hint="eastAsia" w:ascii="宋体" w:hAnsi="宋体" w:cs="宋体"/>
          <w:b/>
          <w:sz w:val="28"/>
          <w:szCs w:val="24"/>
        </w:rPr>
        <w:t>招标人：姚安县工业开发投资有限公司</w:t>
      </w:r>
    </w:p>
    <w:p w14:paraId="4E174005">
      <w:pPr>
        <w:spacing w:line="360" w:lineRule="auto"/>
        <w:jc w:val="center"/>
        <w:rPr>
          <w:rFonts w:hint="eastAsia" w:ascii="宋体" w:hAnsi="宋体" w:cs="宋体"/>
          <w:b/>
          <w:sz w:val="28"/>
          <w:szCs w:val="28"/>
        </w:rPr>
      </w:pPr>
      <w:r>
        <w:rPr>
          <w:rFonts w:hint="eastAsia" w:ascii="宋体" w:hAnsi="宋体" w:cs="宋体"/>
          <w:b/>
          <w:sz w:val="28"/>
          <w:szCs w:val="28"/>
        </w:rPr>
        <w:t>招标代理机构：云南策澜工程管理服务有限公司</w:t>
      </w:r>
    </w:p>
    <w:p w14:paraId="471ECC49">
      <w:pPr>
        <w:spacing w:line="360" w:lineRule="auto"/>
        <w:jc w:val="center"/>
        <w:rPr>
          <w:rFonts w:hint="eastAsia" w:ascii="宋体" w:hAnsi="宋体" w:cs="宋体"/>
          <w:snapToGrid w:val="0"/>
          <w:kern w:val="0"/>
          <w:sz w:val="40"/>
          <w:szCs w:val="40"/>
        </w:rPr>
      </w:pPr>
      <w:r>
        <w:rPr>
          <w:rFonts w:hint="eastAsia" w:ascii="宋体" w:hAnsi="宋体" w:cs="宋体"/>
          <w:b/>
          <w:sz w:val="28"/>
          <w:szCs w:val="28"/>
        </w:rPr>
        <w:t>二〇二六年三月</w:t>
      </w:r>
    </w:p>
    <w:p w14:paraId="3BD60230">
      <w:pPr>
        <w:rPr>
          <w:rFonts w:cs="宋体"/>
          <w:sz w:val="40"/>
          <w:szCs w:val="40"/>
          <w:lang w:val="zh-CN"/>
        </w:rPr>
      </w:pPr>
    </w:p>
    <w:p w14:paraId="18F020F7">
      <w:pPr>
        <w:rPr>
          <w:rFonts w:cs="宋体"/>
          <w:sz w:val="40"/>
          <w:szCs w:val="40"/>
          <w:lang w:val="zh-CN"/>
        </w:rPr>
      </w:pPr>
      <w:r>
        <w:rPr>
          <w:rFonts w:hint="eastAsia" w:cs="宋体"/>
          <w:sz w:val="40"/>
          <w:szCs w:val="40"/>
          <w:lang w:val="zh-CN"/>
        </w:rPr>
        <w:br w:type="page"/>
      </w:r>
    </w:p>
    <w:p w14:paraId="32A2E3EB">
      <w:pPr>
        <w:pStyle w:val="32"/>
        <w:jc w:val="center"/>
        <w:rPr>
          <w:rFonts w:cs="Times New Roman"/>
          <w:color w:val="auto"/>
          <w:sz w:val="40"/>
          <w:szCs w:val="40"/>
        </w:rPr>
      </w:pPr>
      <w:r>
        <w:rPr>
          <w:rFonts w:hint="eastAsia" w:cs="宋体"/>
          <w:color w:val="auto"/>
          <w:sz w:val="40"/>
          <w:szCs w:val="40"/>
          <w:lang w:val="zh-CN"/>
        </w:rPr>
        <w:t>目</w:t>
      </w:r>
      <w:r>
        <w:rPr>
          <w:rFonts w:hint="eastAsia" w:cs="宋体"/>
          <w:color w:val="auto"/>
          <w:sz w:val="40"/>
          <w:szCs w:val="40"/>
        </w:rPr>
        <w:t xml:space="preserve"> </w:t>
      </w:r>
      <w:r>
        <w:rPr>
          <w:rFonts w:hint="eastAsia" w:cs="宋体"/>
          <w:color w:val="auto"/>
          <w:sz w:val="40"/>
          <w:szCs w:val="40"/>
          <w:lang w:val="zh-CN"/>
        </w:rPr>
        <w:t>录</w:t>
      </w:r>
    </w:p>
    <w:p w14:paraId="344D7198">
      <w:pPr>
        <w:pStyle w:val="17"/>
        <w:tabs>
          <w:tab w:val="right" w:leader="dot" w:pos="9638"/>
        </w:tabs>
        <w:snapToGrid w:val="0"/>
        <w:spacing w:before="0" w:after="0"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TOC \o "1-3" \h \z \u </w:instrText>
      </w:r>
      <w:r>
        <w:rPr>
          <w:rFonts w:hint="eastAsia" w:ascii="宋体" w:hAnsi="宋体" w:cs="宋体"/>
          <w:sz w:val="24"/>
          <w:szCs w:val="24"/>
        </w:rPr>
        <w:fldChar w:fldCharType="separate"/>
      </w:r>
      <w:r>
        <w:fldChar w:fldCharType="begin"/>
      </w:r>
      <w:r>
        <w:instrText xml:space="preserve"> HYPERLINK \l "_Toc15071" </w:instrText>
      </w:r>
      <w:r>
        <w:fldChar w:fldCharType="separate"/>
      </w:r>
      <w:r>
        <w:rPr>
          <w:rFonts w:hint="eastAsia" w:ascii="宋体" w:hAnsi="宋体" w:cs="宋体"/>
          <w:sz w:val="24"/>
          <w:szCs w:val="24"/>
        </w:rPr>
        <w:t>第一卷</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_Toc15071 \h </w:instrText>
      </w:r>
      <w:r>
        <w:rPr>
          <w:rFonts w:hint="eastAsia" w:ascii="宋体" w:hAnsi="宋体" w:cs="宋体"/>
          <w:sz w:val="24"/>
          <w:szCs w:val="24"/>
        </w:rPr>
        <w:fldChar w:fldCharType="separate"/>
      </w:r>
      <w:r>
        <w:rPr>
          <w:rFonts w:hint="eastAsia" w:ascii="宋体" w:hAnsi="宋体" w:cs="宋体"/>
          <w:sz w:val="24"/>
          <w:szCs w:val="24"/>
        </w:rPr>
        <w:t>3</w:t>
      </w:r>
      <w:r>
        <w:rPr>
          <w:rFonts w:hint="eastAsia" w:ascii="宋体" w:hAnsi="宋体" w:cs="宋体"/>
          <w:sz w:val="24"/>
          <w:szCs w:val="24"/>
        </w:rPr>
        <w:fldChar w:fldCharType="end"/>
      </w:r>
      <w:r>
        <w:rPr>
          <w:rFonts w:hint="eastAsia" w:ascii="宋体" w:hAnsi="宋体" w:cs="宋体"/>
          <w:sz w:val="24"/>
          <w:szCs w:val="24"/>
        </w:rPr>
        <w:fldChar w:fldCharType="end"/>
      </w:r>
    </w:p>
    <w:p w14:paraId="6A436B8E">
      <w:pPr>
        <w:pStyle w:val="17"/>
        <w:tabs>
          <w:tab w:val="right" w:leader="dot" w:pos="9638"/>
        </w:tabs>
        <w:snapToGrid w:val="0"/>
        <w:spacing w:before="0" w:after="0" w:line="360" w:lineRule="auto"/>
        <w:ind w:firstLine="402" w:firstLineChars="200"/>
        <w:rPr>
          <w:rFonts w:hint="eastAsia" w:ascii="宋体" w:hAnsi="宋体" w:cs="宋体"/>
          <w:sz w:val="24"/>
          <w:szCs w:val="24"/>
        </w:rPr>
      </w:pPr>
      <w:r>
        <w:fldChar w:fldCharType="begin"/>
      </w:r>
      <w:r>
        <w:instrText xml:space="preserve"> HYPERLINK \l "_Toc10444" </w:instrText>
      </w:r>
      <w:r>
        <w:fldChar w:fldCharType="separate"/>
      </w:r>
      <w:r>
        <w:rPr>
          <w:rFonts w:hint="eastAsia" w:ascii="宋体" w:hAnsi="宋体" w:cs="宋体"/>
          <w:sz w:val="24"/>
          <w:szCs w:val="24"/>
        </w:rPr>
        <w:t>第一章  招标公告</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_Toc10444 \h </w:instrText>
      </w:r>
      <w:r>
        <w:rPr>
          <w:rFonts w:hint="eastAsia" w:ascii="宋体" w:hAnsi="宋体" w:cs="宋体"/>
          <w:sz w:val="24"/>
          <w:szCs w:val="24"/>
        </w:rPr>
        <w:fldChar w:fldCharType="separate"/>
      </w:r>
      <w:r>
        <w:rPr>
          <w:rFonts w:hint="eastAsia" w:ascii="宋体" w:hAnsi="宋体" w:cs="宋体"/>
          <w:sz w:val="24"/>
          <w:szCs w:val="24"/>
        </w:rPr>
        <w:t>3</w:t>
      </w:r>
      <w:r>
        <w:rPr>
          <w:rFonts w:hint="eastAsia" w:ascii="宋体" w:hAnsi="宋体" w:cs="宋体"/>
          <w:sz w:val="24"/>
          <w:szCs w:val="24"/>
        </w:rPr>
        <w:fldChar w:fldCharType="end"/>
      </w:r>
      <w:r>
        <w:rPr>
          <w:rFonts w:hint="eastAsia" w:ascii="宋体" w:hAnsi="宋体" w:cs="宋体"/>
          <w:sz w:val="24"/>
          <w:szCs w:val="24"/>
        </w:rPr>
        <w:fldChar w:fldCharType="end"/>
      </w:r>
    </w:p>
    <w:p w14:paraId="329888DA">
      <w:pPr>
        <w:pStyle w:val="17"/>
        <w:tabs>
          <w:tab w:val="right" w:leader="dot" w:pos="9638"/>
        </w:tabs>
        <w:snapToGrid w:val="0"/>
        <w:spacing w:before="0" w:after="0" w:line="360" w:lineRule="auto"/>
        <w:ind w:firstLine="803" w:firstLineChars="400"/>
        <w:rPr>
          <w:rFonts w:hint="eastAsia" w:ascii="宋体" w:hAnsi="宋体" w:cs="宋体"/>
          <w:b w:val="0"/>
          <w:bCs w:val="0"/>
          <w:sz w:val="24"/>
          <w:szCs w:val="24"/>
        </w:rPr>
      </w:pPr>
      <w:r>
        <w:fldChar w:fldCharType="begin"/>
      </w:r>
      <w:r>
        <w:instrText xml:space="preserve"> HYPERLINK \l "_Toc970" </w:instrText>
      </w:r>
      <w:r>
        <w:fldChar w:fldCharType="separate"/>
      </w:r>
      <w:r>
        <w:rPr>
          <w:rFonts w:hint="eastAsia" w:ascii="宋体" w:hAnsi="宋体" w:cs="宋体"/>
          <w:b w:val="0"/>
          <w:bCs w:val="0"/>
          <w:sz w:val="24"/>
          <w:szCs w:val="24"/>
          <w:lang w:val="zh-CN"/>
        </w:rPr>
        <w:t>1</w:t>
      </w:r>
      <w:r>
        <w:rPr>
          <w:rFonts w:hint="eastAsia" w:ascii="宋体" w:hAnsi="宋体" w:cs="宋体"/>
          <w:b w:val="0"/>
          <w:bCs w:val="0"/>
          <w:sz w:val="24"/>
          <w:szCs w:val="24"/>
        </w:rPr>
        <w:t>.</w:t>
      </w:r>
      <w:r>
        <w:rPr>
          <w:rFonts w:hint="eastAsia" w:ascii="宋体" w:hAnsi="宋体" w:cs="宋体"/>
          <w:b w:val="0"/>
          <w:bCs w:val="0"/>
          <w:sz w:val="24"/>
          <w:szCs w:val="24"/>
          <w:lang w:val="zh-CN"/>
        </w:rPr>
        <w:t>招标条件</w:t>
      </w:r>
      <w:r>
        <w:rPr>
          <w:rFonts w:hint="eastAsia" w:ascii="宋体" w:hAnsi="宋体" w:cs="宋体"/>
          <w:b w:val="0"/>
          <w:bCs w:val="0"/>
          <w:sz w:val="24"/>
          <w:szCs w:val="24"/>
        </w:rPr>
        <w:tab/>
      </w:r>
      <w:r>
        <w:rPr>
          <w:rFonts w:hint="eastAsia" w:ascii="宋体" w:hAnsi="宋体" w:cs="宋体"/>
          <w:b w:val="0"/>
          <w:bCs w:val="0"/>
          <w:sz w:val="24"/>
          <w:szCs w:val="24"/>
        </w:rPr>
        <w:fldChar w:fldCharType="begin"/>
      </w:r>
      <w:r>
        <w:rPr>
          <w:rFonts w:hint="eastAsia" w:ascii="宋体" w:hAnsi="宋体" w:cs="宋体"/>
          <w:b w:val="0"/>
          <w:bCs w:val="0"/>
          <w:sz w:val="24"/>
          <w:szCs w:val="24"/>
        </w:rPr>
        <w:instrText xml:space="preserve"> PAGEREF _Toc970 \h </w:instrText>
      </w:r>
      <w:r>
        <w:rPr>
          <w:rFonts w:hint="eastAsia" w:ascii="宋体" w:hAnsi="宋体" w:cs="宋体"/>
          <w:b w:val="0"/>
          <w:bCs w:val="0"/>
          <w:sz w:val="24"/>
          <w:szCs w:val="24"/>
        </w:rPr>
        <w:fldChar w:fldCharType="separate"/>
      </w:r>
      <w:r>
        <w:rPr>
          <w:rFonts w:hint="eastAsia" w:ascii="宋体" w:hAnsi="宋体" w:cs="宋体"/>
          <w:b w:val="0"/>
          <w:bCs w:val="0"/>
          <w:sz w:val="24"/>
          <w:szCs w:val="24"/>
        </w:rPr>
        <w:t>4</w:t>
      </w:r>
      <w:r>
        <w:rPr>
          <w:rFonts w:hint="eastAsia" w:ascii="宋体" w:hAnsi="宋体" w:cs="宋体"/>
          <w:b w:val="0"/>
          <w:bCs w:val="0"/>
          <w:sz w:val="24"/>
          <w:szCs w:val="24"/>
        </w:rPr>
        <w:fldChar w:fldCharType="end"/>
      </w:r>
      <w:r>
        <w:rPr>
          <w:rFonts w:hint="eastAsia" w:ascii="宋体" w:hAnsi="宋体" w:cs="宋体"/>
          <w:b w:val="0"/>
          <w:bCs w:val="0"/>
          <w:sz w:val="24"/>
          <w:szCs w:val="24"/>
        </w:rPr>
        <w:fldChar w:fldCharType="end"/>
      </w:r>
    </w:p>
    <w:p w14:paraId="7791D989">
      <w:pPr>
        <w:pStyle w:val="17"/>
        <w:tabs>
          <w:tab w:val="right" w:leader="dot" w:pos="9638"/>
        </w:tabs>
        <w:snapToGrid w:val="0"/>
        <w:spacing w:before="0" w:after="0" w:line="360" w:lineRule="auto"/>
        <w:ind w:firstLine="803" w:firstLineChars="400"/>
        <w:rPr>
          <w:rFonts w:hint="eastAsia" w:ascii="宋体" w:hAnsi="宋体" w:cs="宋体"/>
          <w:b w:val="0"/>
          <w:bCs w:val="0"/>
          <w:sz w:val="24"/>
          <w:szCs w:val="24"/>
        </w:rPr>
      </w:pPr>
      <w:r>
        <w:fldChar w:fldCharType="begin"/>
      </w:r>
      <w:r>
        <w:instrText xml:space="preserve"> HYPERLINK \l "_Toc16682" </w:instrText>
      </w:r>
      <w:r>
        <w:fldChar w:fldCharType="separate"/>
      </w:r>
      <w:r>
        <w:rPr>
          <w:rFonts w:hint="eastAsia" w:ascii="宋体" w:hAnsi="宋体" w:cs="宋体"/>
          <w:b w:val="0"/>
          <w:bCs w:val="0"/>
          <w:sz w:val="24"/>
          <w:szCs w:val="24"/>
          <w:lang w:val="zh-CN"/>
        </w:rPr>
        <w:t>2</w:t>
      </w:r>
      <w:r>
        <w:rPr>
          <w:rFonts w:hint="eastAsia" w:ascii="宋体" w:hAnsi="宋体" w:cs="宋体"/>
          <w:b w:val="0"/>
          <w:bCs w:val="0"/>
          <w:sz w:val="24"/>
          <w:szCs w:val="24"/>
        </w:rPr>
        <w:t>.</w:t>
      </w:r>
      <w:r>
        <w:rPr>
          <w:rFonts w:hint="eastAsia" w:ascii="宋体" w:hAnsi="宋体" w:cs="宋体"/>
          <w:b w:val="0"/>
          <w:bCs w:val="0"/>
          <w:sz w:val="24"/>
          <w:szCs w:val="24"/>
          <w:lang w:val="zh-CN"/>
        </w:rPr>
        <w:t>项目概况与招标范围</w:t>
      </w:r>
      <w:r>
        <w:rPr>
          <w:rFonts w:hint="eastAsia" w:ascii="宋体" w:hAnsi="宋体" w:cs="宋体"/>
          <w:b w:val="0"/>
          <w:bCs w:val="0"/>
          <w:sz w:val="24"/>
          <w:szCs w:val="24"/>
        </w:rPr>
        <w:tab/>
      </w:r>
      <w:r>
        <w:rPr>
          <w:rFonts w:hint="eastAsia" w:ascii="宋体" w:hAnsi="宋体" w:cs="宋体"/>
          <w:b w:val="0"/>
          <w:bCs w:val="0"/>
          <w:sz w:val="24"/>
          <w:szCs w:val="24"/>
        </w:rPr>
        <w:fldChar w:fldCharType="begin"/>
      </w:r>
      <w:r>
        <w:rPr>
          <w:rFonts w:hint="eastAsia" w:ascii="宋体" w:hAnsi="宋体" w:cs="宋体"/>
          <w:b w:val="0"/>
          <w:bCs w:val="0"/>
          <w:sz w:val="24"/>
          <w:szCs w:val="24"/>
        </w:rPr>
        <w:instrText xml:space="preserve"> PAGEREF _Toc16682 \h </w:instrText>
      </w:r>
      <w:r>
        <w:rPr>
          <w:rFonts w:hint="eastAsia" w:ascii="宋体" w:hAnsi="宋体" w:cs="宋体"/>
          <w:b w:val="0"/>
          <w:bCs w:val="0"/>
          <w:sz w:val="24"/>
          <w:szCs w:val="24"/>
        </w:rPr>
        <w:fldChar w:fldCharType="separate"/>
      </w:r>
      <w:r>
        <w:rPr>
          <w:rFonts w:hint="eastAsia" w:ascii="宋体" w:hAnsi="宋体" w:cs="宋体"/>
          <w:b w:val="0"/>
          <w:bCs w:val="0"/>
          <w:sz w:val="24"/>
          <w:szCs w:val="24"/>
        </w:rPr>
        <w:t>4</w:t>
      </w:r>
      <w:r>
        <w:rPr>
          <w:rFonts w:hint="eastAsia" w:ascii="宋体" w:hAnsi="宋体" w:cs="宋体"/>
          <w:b w:val="0"/>
          <w:bCs w:val="0"/>
          <w:sz w:val="24"/>
          <w:szCs w:val="24"/>
        </w:rPr>
        <w:fldChar w:fldCharType="end"/>
      </w:r>
      <w:r>
        <w:rPr>
          <w:rFonts w:hint="eastAsia" w:ascii="宋体" w:hAnsi="宋体" w:cs="宋体"/>
          <w:b w:val="0"/>
          <w:bCs w:val="0"/>
          <w:sz w:val="24"/>
          <w:szCs w:val="24"/>
        </w:rPr>
        <w:fldChar w:fldCharType="end"/>
      </w:r>
    </w:p>
    <w:p w14:paraId="6CB77E7B">
      <w:pPr>
        <w:pStyle w:val="17"/>
        <w:tabs>
          <w:tab w:val="right" w:leader="dot" w:pos="9638"/>
        </w:tabs>
        <w:snapToGrid w:val="0"/>
        <w:spacing w:before="0" w:after="0" w:line="360" w:lineRule="auto"/>
        <w:ind w:firstLine="803" w:firstLineChars="400"/>
        <w:rPr>
          <w:rFonts w:hint="eastAsia" w:ascii="宋体" w:hAnsi="宋体" w:cs="宋体"/>
          <w:b w:val="0"/>
          <w:bCs w:val="0"/>
          <w:sz w:val="24"/>
          <w:szCs w:val="24"/>
        </w:rPr>
      </w:pPr>
      <w:r>
        <w:fldChar w:fldCharType="begin"/>
      </w:r>
      <w:r>
        <w:instrText xml:space="preserve"> HYPERLINK \l "_Toc10221" </w:instrText>
      </w:r>
      <w:r>
        <w:fldChar w:fldCharType="separate"/>
      </w:r>
      <w:r>
        <w:rPr>
          <w:rFonts w:hint="eastAsia" w:ascii="宋体" w:hAnsi="宋体" w:cs="宋体"/>
          <w:b w:val="0"/>
          <w:bCs w:val="0"/>
          <w:sz w:val="24"/>
          <w:szCs w:val="24"/>
          <w:lang w:val="zh-CN"/>
        </w:rPr>
        <w:t>3</w:t>
      </w:r>
      <w:r>
        <w:rPr>
          <w:rFonts w:hint="eastAsia" w:ascii="宋体" w:hAnsi="宋体" w:cs="宋体"/>
          <w:b w:val="0"/>
          <w:bCs w:val="0"/>
          <w:sz w:val="24"/>
          <w:szCs w:val="24"/>
        </w:rPr>
        <w:t>.</w:t>
      </w:r>
      <w:r>
        <w:rPr>
          <w:rFonts w:hint="eastAsia" w:ascii="宋体" w:hAnsi="宋体" w:cs="宋体"/>
          <w:b w:val="0"/>
          <w:bCs w:val="0"/>
          <w:sz w:val="24"/>
          <w:szCs w:val="24"/>
          <w:lang w:val="zh-CN"/>
        </w:rPr>
        <w:t>投标人资格要求</w:t>
      </w:r>
      <w:r>
        <w:rPr>
          <w:rFonts w:hint="eastAsia" w:ascii="宋体" w:hAnsi="宋体" w:cs="宋体"/>
          <w:b w:val="0"/>
          <w:bCs w:val="0"/>
          <w:sz w:val="24"/>
          <w:szCs w:val="24"/>
        </w:rPr>
        <w:tab/>
      </w:r>
      <w:r>
        <w:rPr>
          <w:rFonts w:hint="eastAsia" w:ascii="宋体" w:hAnsi="宋体" w:cs="宋体"/>
          <w:b w:val="0"/>
          <w:bCs w:val="0"/>
          <w:sz w:val="24"/>
          <w:szCs w:val="24"/>
        </w:rPr>
        <w:fldChar w:fldCharType="begin"/>
      </w:r>
      <w:r>
        <w:rPr>
          <w:rFonts w:hint="eastAsia" w:ascii="宋体" w:hAnsi="宋体" w:cs="宋体"/>
          <w:b w:val="0"/>
          <w:bCs w:val="0"/>
          <w:sz w:val="24"/>
          <w:szCs w:val="24"/>
        </w:rPr>
        <w:instrText xml:space="preserve"> PAGEREF _Toc10221 \h </w:instrText>
      </w:r>
      <w:r>
        <w:rPr>
          <w:rFonts w:hint="eastAsia" w:ascii="宋体" w:hAnsi="宋体" w:cs="宋体"/>
          <w:b w:val="0"/>
          <w:bCs w:val="0"/>
          <w:sz w:val="24"/>
          <w:szCs w:val="24"/>
        </w:rPr>
        <w:fldChar w:fldCharType="separate"/>
      </w:r>
      <w:r>
        <w:rPr>
          <w:rFonts w:hint="eastAsia" w:ascii="宋体" w:hAnsi="宋体" w:cs="宋体"/>
          <w:b w:val="0"/>
          <w:bCs w:val="0"/>
          <w:sz w:val="24"/>
          <w:szCs w:val="24"/>
        </w:rPr>
        <w:t>5</w:t>
      </w:r>
      <w:r>
        <w:rPr>
          <w:rFonts w:hint="eastAsia" w:ascii="宋体" w:hAnsi="宋体" w:cs="宋体"/>
          <w:b w:val="0"/>
          <w:bCs w:val="0"/>
          <w:sz w:val="24"/>
          <w:szCs w:val="24"/>
        </w:rPr>
        <w:fldChar w:fldCharType="end"/>
      </w:r>
      <w:r>
        <w:rPr>
          <w:rFonts w:hint="eastAsia" w:ascii="宋体" w:hAnsi="宋体" w:cs="宋体"/>
          <w:b w:val="0"/>
          <w:bCs w:val="0"/>
          <w:sz w:val="24"/>
          <w:szCs w:val="24"/>
        </w:rPr>
        <w:fldChar w:fldCharType="end"/>
      </w:r>
    </w:p>
    <w:p w14:paraId="49038B45">
      <w:pPr>
        <w:pStyle w:val="17"/>
        <w:tabs>
          <w:tab w:val="right" w:leader="dot" w:pos="9638"/>
        </w:tabs>
        <w:snapToGrid w:val="0"/>
        <w:spacing w:before="0" w:after="0" w:line="360" w:lineRule="auto"/>
        <w:ind w:firstLine="803" w:firstLineChars="400"/>
        <w:rPr>
          <w:rFonts w:hint="eastAsia" w:ascii="宋体" w:hAnsi="宋体" w:cs="宋体"/>
          <w:b w:val="0"/>
          <w:bCs w:val="0"/>
          <w:sz w:val="24"/>
          <w:szCs w:val="24"/>
        </w:rPr>
      </w:pPr>
      <w:r>
        <w:fldChar w:fldCharType="begin"/>
      </w:r>
      <w:r>
        <w:instrText xml:space="preserve"> HYPERLINK \l "_Toc14636" </w:instrText>
      </w:r>
      <w:r>
        <w:fldChar w:fldCharType="separate"/>
      </w:r>
      <w:r>
        <w:rPr>
          <w:rFonts w:hint="eastAsia" w:ascii="宋体" w:hAnsi="宋体" w:cs="宋体"/>
          <w:b w:val="0"/>
          <w:bCs w:val="0"/>
          <w:sz w:val="24"/>
          <w:szCs w:val="24"/>
          <w:lang w:val="zh-CN"/>
        </w:rPr>
        <w:t>4</w:t>
      </w:r>
      <w:r>
        <w:rPr>
          <w:rFonts w:hint="eastAsia" w:ascii="宋体" w:hAnsi="宋体" w:cs="宋体"/>
          <w:b w:val="0"/>
          <w:bCs w:val="0"/>
          <w:sz w:val="24"/>
          <w:szCs w:val="24"/>
        </w:rPr>
        <w:t>.</w:t>
      </w:r>
      <w:r>
        <w:rPr>
          <w:rFonts w:hint="eastAsia" w:ascii="宋体" w:hAnsi="宋体" w:cs="宋体"/>
          <w:b w:val="0"/>
          <w:bCs w:val="0"/>
          <w:sz w:val="24"/>
          <w:szCs w:val="24"/>
          <w:lang w:val="zh-CN"/>
        </w:rPr>
        <w:t>招标文件的获取</w:t>
      </w:r>
      <w:r>
        <w:rPr>
          <w:rFonts w:hint="eastAsia" w:ascii="宋体" w:hAnsi="宋体" w:cs="宋体"/>
          <w:b w:val="0"/>
          <w:bCs w:val="0"/>
          <w:sz w:val="24"/>
          <w:szCs w:val="24"/>
        </w:rPr>
        <w:tab/>
      </w:r>
      <w:r>
        <w:rPr>
          <w:rFonts w:hint="eastAsia" w:ascii="宋体" w:hAnsi="宋体" w:cs="宋体"/>
          <w:b w:val="0"/>
          <w:bCs w:val="0"/>
          <w:sz w:val="24"/>
          <w:szCs w:val="24"/>
        </w:rPr>
        <w:fldChar w:fldCharType="begin"/>
      </w:r>
      <w:r>
        <w:rPr>
          <w:rFonts w:hint="eastAsia" w:ascii="宋体" w:hAnsi="宋体" w:cs="宋体"/>
          <w:b w:val="0"/>
          <w:bCs w:val="0"/>
          <w:sz w:val="24"/>
          <w:szCs w:val="24"/>
        </w:rPr>
        <w:instrText xml:space="preserve"> PAGEREF _Toc14636 \h </w:instrText>
      </w:r>
      <w:r>
        <w:rPr>
          <w:rFonts w:hint="eastAsia" w:ascii="宋体" w:hAnsi="宋体" w:cs="宋体"/>
          <w:b w:val="0"/>
          <w:bCs w:val="0"/>
          <w:sz w:val="24"/>
          <w:szCs w:val="24"/>
        </w:rPr>
        <w:fldChar w:fldCharType="separate"/>
      </w:r>
      <w:r>
        <w:rPr>
          <w:rFonts w:hint="eastAsia" w:ascii="宋体" w:hAnsi="宋体" w:cs="宋体"/>
          <w:b w:val="0"/>
          <w:bCs w:val="0"/>
          <w:sz w:val="24"/>
          <w:szCs w:val="24"/>
        </w:rPr>
        <w:t>7</w:t>
      </w:r>
      <w:r>
        <w:rPr>
          <w:rFonts w:hint="eastAsia" w:ascii="宋体" w:hAnsi="宋体" w:cs="宋体"/>
          <w:b w:val="0"/>
          <w:bCs w:val="0"/>
          <w:sz w:val="24"/>
          <w:szCs w:val="24"/>
        </w:rPr>
        <w:fldChar w:fldCharType="end"/>
      </w:r>
      <w:r>
        <w:rPr>
          <w:rFonts w:hint="eastAsia" w:ascii="宋体" w:hAnsi="宋体" w:cs="宋体"/>
          <w:b w:val="0"/>
          <w:bCs w:val="0"/>
          <w:sz w:val="24"/>
          <w:szCs w:val="24"/>
        </w:rPr>
        <w:fldChar w:fldCharType="end"/>
      </w:r>
    </w:p>
    <w:p w14:paraId="4153C71E">
      <w:pPr>
        <w:pStyle w:val="17"/>
        <w:tabs>
          <w:tab w:val="right" w:leader="dot" w:pos="9638"/>
        </w:tabs>
        <w:snapToGrid w:val="0"/>
        <w:spacing w:before="0" w:after="0" w:line="360" w:lineRule="auto"/>
        <w:ind w:firstLine="803" w:firstLineChars="400"/>
        <w:rPr>
          <w:rFonts w:hint="eastAsia" w:ascii="宋体" w:hAnsi="宋体" w:cs="宋体"/>
          <w:b w:val="0"/>
          <w:bCs w:val="0"/>
          <w:sz w:val="24"/>
          <w:szCs w:val="24"/>
        </w:rPr>
      </w:pPr>
      <w:r>
        <w:fldChar w:fldCharType="begin"/>
      </w:r>
      <w:r>
        <w:instrText xml:space="preserve"> HYPERLINK \l "_Toc3658" </w:instrText>
      </w:r>
      <w:r>
        <w:fldChar w:fldCharType="separate"/>
      </w:r>
      <w:r>
        <w:rPr>
          <w:rFonts w:hint="eastAsia" w:ascii="宋体" w:hAnsi="宋体" w:cs="宋体"/>
          <w:b w:val="0"/>
          <w:bCs w:val="0"/>
          <w:sz w:val="24"/>
          <w:szCs w:val="24"/>
          <w:lang w:val="zh-CN"/>
        </w:rPr>
        <w:t>5</w:t>
      </w:r>
      <w:r>
        <w:rPr>
          <w:rFonts w:hint="eastAsia" w:ascii="宋体" w:hAnsi="宋体" w:cs="宋体"/>
          <w:b w:val="0"/>
          <w:bCs w:val="0"/>
          <w:sz w:val="24"/>
          <w:szCs w:val="24"/>
        </w:rPr>
        <w:t>.</w:t>
      </w:r>
      <w:r>
        <w:rPr>
          <w:rFonts w:hint="eastAsia" w:ascii="宋体" w:hAnsi="宋体" w:cs="宋体"/>
          <w:b w:val="0"/>
          <w:bCs w:val="0"/>
          <w:sz w:val="24"/>
          <w:szCs w:val="24"/>
          <w:lang w:val="zh-CN"/>
        </w:rPr>
        <w:t>投标文件的递交</w:t>
      </w:r>
      <w:r>
        <w:rPr>
          <w:rFonts w:hint="eastAsia" w:ascii="宋体" w:hAnsi="宋体" w:cs="宋体"/>
          <w:b w:val="0"/>
          <w:bCs w:val="0"/>
          <w:sz w:val="24"/>
          <w:szCs w:val="24"/>
        </w:rPr>
        <w:tab/>
      </w:r>
      <w:r>
        <w:rPr>
          <w:rFonts w:hint="eastAsia" w:ascii="宋体" w:hAnsi="宋体" w:cs="宋体"/>
          <w:b w:val="0"/>
          <w:bCs w:val="0"/>
          <w:sz w:val="24"/>
          <w:szCs w:val="24"/>
        </w:rPr>
        <w:fldChar w:fldCharType="begin"/>
      </w:r>
      <w:r>
        <w:rPr>
          <w:rFonts w:hint="eastAsia" w:ascii="宋体" w:hAnsi="宋体" w:cs="宋体"/>
          <w:b w:val="0"/>
          <w:bCs w:val="0"/>
          <w:sz w:val="24"/>
          <w:szCs w:val="24"/>
        </w:rPr>
        <w:instrText xml:space="preserve"> PAGEREF _Toc3658 \h </w:instrText>
      </w:r>
      <w:r>
        <w:rPr>
          <w:rFonts w:hint="eastAsia" w:ascii="宋体" w:hAnsi="宋体" w:cs="宋体"/>
          <w:b w:val="0"/>
          <w:bCs w:val="0"/>
          <w:sz w:val="24"/>
          <w:szCs w:val="24"/>
        </w:rPr>
        <w:fldChar w:fldCharType="separate"/>
      </w:r>
      <w:r>
        <w:rPr>
          <w:rFonts w:hint="eastAsia" w:ascii="宋体" w:hAnsi="宋体" w:cs="宋体"/>
          <w:b w:val="0"/>
          <w:bCs w:val="0"/>
          <w:sz w:val="24"/>
          <w:szCs w:val="24"/>
        </w:rPr>
        <w:t>7</w:t>
      </w:r>
      <w:r>
        <w:rPr>
          <w:rFonts w:hint="eastAsia" w:ascii="宋体" w:hAnsi="宋体" w:cs="宋体"/>
          <w:b w:val="0"/>
          <w:bCs w:val="0"/>
          <w:sz w:val="24"/>
          <w:szCs w:val="24"/>
        </w:rPr>
        <w:fldChar w:fldCharType="end"/>
      </w:r>
      <w:r>
        <w:rPr>
          <w:rFonts w:hint="eastAsia" w:ascii="宋体" w:hAnsi="宋体" w:cs="宋体"/>
          <w:b w:val="0"/>
          <w:bCs w:val="0"/>
          <w:sz w:val="24"/>
          <w:szCs w:val="24"/>
        </w:rPr>
        <w:fldChar w:fldCharType="end"/>
      </w:r>
    </w:p>
    <w:p w14:paraId="0EDD6A6B">
      <w:pPr>
        <w:pStyle w:val="17"/>
        <w:tabs>
          <w:tab w:val="right" w:leader="dot" w:pos="9638"/>
        </w:tabs>
        <w:snapToGrid w:val="0"/>
        <w:spacing w:before="0" w:after="0" w:line="360" w:lineRule="auto"/>
        <w:ind w:firstLine="803" w:firstLineChars="400"/>
        <w:rPr>
          <w:rFonts w:hint="eastAsia" w:ascii="宋体" w:hAnsi="宋体" w:cs="宋体"/>
          <w:b w:val="0"/>
          <w:bCs w:val="0"/>
          <w:sz w:val="24"/>
          <w:szCs w:val="24"/>
        </w:rPr>
      </w:pPr>
      <w:r>
        <w:fldChar w:fldCharType="begin"/>
      </w:r>
      <w:r>
        <w:instrText xml:space="preserve"> HYPERLINK \l "_Toc10259" </w:instrText>
      </w:r>
      <w:r>
        <w:fldChar w:fldCharType="separate"/>
      </w:r>
      <w:r>
        <w:rPr>
          <w:rFonts w:hint="eastAsia" w:ascii="宋体" w:hAnsi="宋体" w:cs="宋体"/>
          <w:b w:val="0"/>
          <w:bCs w:val="0"/>
          <w:sz w:val="24"/>
          <w:szCs w:val="24"/>
          <w:lang w:val="zh-CN"/>
        </w:rPr>
        <w:t>6</w:t>
      </w:r>
      <w:r>
        <w:rPr>
          <w:rFonts w:hint="eastAsia" w:ascii="宋体" w:hAnsi="宋体" w:cs="宋体"/>
          <w:b w:val="0"/>
          <w:bCs w:val="0"/>
          <w:sz w:val="24"/>
          <w:szCs w:val="24"/>
        </w:rPr>
        <w:t>.</w:t>
      </w:r>
      <w:r>
        <w:rPr>
          <w:rFonts w:hint="eastAsia" w:ascii="宋体" w:hAnsi="宋体" w:cs="宋体"/>
          <w:b w:val="0"/>
          <w:bCs w:val="0"/>
          <w:sz w:val="24"/>
          <w:szCs w:val="24"/>
          <w:lang w:val="zh-CN"/>
        </w:rPr>
        <w:t>其他要求</w:t>
      </w:r>
      <w:r>
        <w:rPr>
          <w:rFonts w:hint="eastAsia" w:ascii="宋体" w:hAnsi="宋体" w:cs="宋体"/>
          <w:b w:val="0"/>
          <w:bCs w:val="0"/>
          <w:sz w:val="24"/>
          <w:szCs w:val="24"/>
        </w:rPr>
        <w:tab/>
      </w:r>
      <w:r>
        <w:rPr>
          <w:rFonts w:hint="eastAsia" w:ascii="宋体" w:hAnsi="宋体" w:cs="宋体"/>
          <w:b w:val="0"/>
          <w:bCs w:val="0"/>
          <w:sz w:val="24"/>
          <w:szCs w:val="24"/>
        </w:rPr>
        <w:fldChar w:fldCharType="begin"/>
      </w:r>
      <w:r>
        <w:rPr>
          <w:rFonts w:hint="eastAsia" w:ascii="宋体" w:hAnsi="宋体" w:cs="宋体"/>
          <w:b w:val="0"/>
          <w:bCs w:val="0"/>
          <w:sz w:val="24"/>
          <w:szCs w:val="24"/>
        </w:rPr>
        <w:instrText xml:space="preserve"> PAGEREF _Toc10259 \h </w:instrText>
      </w:r>
      <w:r>
        <w:rPr>
          <w:rFonts w:hint="eastAsia" w:ascii="宋体" w:hAnsi="宋体" w:cs="宋体"/>
          <w:b w:val="0"/>
          <w:bCs w:val="0"/>
          <w:sz w:val="24"/>
          <w:szCs w:val="24"/>
        </w:rPr>
        <w:fldChar w:fldCharType="separate"/>
      </w:r>
      <w:r>
        <w:rPr>
          <w:rFonts w:hint="eastAsia" w:ascii="宋体" w:hAnsi="宋体" w:cs="宋体"/>
          <w:b w:val="0"/>
          <w:bCs w:val="0"/>
          <w:sz w:val="24"/>
          <w:szCs w:val="24"/>
        </w:rPr>
        <w:t>8</w:t>
      </w:r>
      <w:r>
        <w:rPr>
          <w:rFonts w:hint="eastAsia" w:ascii="宋体" w:hAnsi="宋体" w:cs="宋体"/>
          <w:b w:val="0"/>
          <w:bCs w:val="0"/>
          <w:sz w:val="24"/>
          <w:szCs w:val="24"/>
        </w:rPr>
        <w:fldChar w:fldCharType="end"/>
      </w:r>
      <w:r>
        <w:rPr>
          <w:rFonts w:hint="eastAsia" w:ascii="宋体" w:hAnsi="宋体" w:cs="宋体"/>
          <w:b w:val="0"/>
          <w:bCs w:val="0"/>
          <w:sz w:val="24"/>
          <w:szCs w:val="24"/>
        </w:rPr>
        <w:fldChar w:fldCharType="end"/>
      </w:r>
    </w:p>
    <w:p w14:paraId="3D7832B7">
      <w:pPr>
        <w:pStyle w:val="17"/>
        <w:tabs>
          <w:tab w:val="right" w:leader="dot" w:pos="9638"/>
        </w:tabs>
        <w:snapToGrid w:val="0"/>
        <w:spacing w:before="0" w:after="0" w:line="360" w:lineRule="auto"/>
        <w:ind w:firstLine="803" w:firstLineChars="400"/>
        <w:rPr>
          <w:rFonts w:hint="eastAsia" w:ascii="宋体" w:hAnsi="宋体" w:cs="宋体"/>
          <w:b w:val="0"/>
          <w:bCs w:val="0"/>
          <w:sz w:val="24"/>
          <w:szCs w:val="24"/>
        </w:rPr>
      </w:pPr>
      <w:r>
        <w:fldChar w:fldCharType="begin"/>
      </w:r>
      <w:r>
        <w:instrText xml:space="preserve"> HYPERLINK \l "_Toc13372" </w:instrText>
      </w:r>
      <w:r>
        <w:fldChar w:fldCharType="separate"/>
      </w:r>
      <w:r>
        <w:rPr>
          <w:rFonts w:hint="eastAsia" w:ascii="宋体" w:hAnsi="宋体" w:cs="宋体"/>
          <w:b w:val="0"/>
          <w:bCs w:val="0"/>
          <w:sz w:val="24"/>
          <w:szCs w:val="24"/>
          <w:lang w:val="zh-CN"/>
        </w:rPr>
        <w:t>7</w:t>
      </w:r>
      <w:r>
        <w:rPr>
          <w:rFonts w:hint="eastAsia" w:ascii="宋体" w:hAnsi="宋体" w:cs="宋体"/>
          <w:b w:val="0"/>
          <w:bCs w:val="0"/>
          <w:sz w:val="24"/>
          <w:szCs w:val="24"/>
        </w:rPr>
        <w:t>.</w:t>
      </w:r>
      <w:r>
        <w:rPr>
          <w:rFonts w:hint="eastAsia" w:ascii="宋体" w:hAnsi="宋体" w:cs="宋体"/>
          <w:b w:val="0"/>
          <w:bCs w:val="0"/>
          <w:sz w:val="24"/>
          <w:szCs w:val="24"/>
          <w:lang w:val="zh-CN"/>
        </w:rPr>
        <w:t>发布公告的媒介</w:t>
      </w:r>
      <w:r>
        <w:rPr>
          <w:rFonts w:hint="eastAsia" w:ascii="宋体" w:hAnsi="宋体" w:cs="宋体"/>
          <w:b w:val="0"/>
          <w:bCs w:val="0"/>
          <w:sz w:val="24"/>
          <w:szCs w:val="24"/>
        </w:rPr>
        <w:tab/>
      </w:r>
      <w:r>
        <w:rPr>
          <w:rFonts w:hint="eastAsia" w:ascii="宋体" w:hAnsi="宋体" w:cs="宋体"/>
          <w:b w:val="0"/>
          <w:bCs w:val="0"/>
          <w:sz w:val="24"/>
          <w:szCs w:val="24"/>
        </w:rPr>
        <w:fldChar w:fldCharType="begin"/>
      </w:r>
      <w:r>
        <w:rPr>
          <w:rFonts w:hint="eastAsia" w:ascii="宋体" w:hAnsi="宋体" w:cs="宋体"/>
          <w:b w:val="0"/>
          <w:bCs w:val="0"/>
          <w:sz w:val="24"/>
          <w:szCs w:val="24"/>
        </w:rPr>
        <w:instrText xml:space="preserve"> PAGEREF _Toc13372 \h </w:instrText>
      </w:r>
      <w:r>
        <w:rPr>
          <w:rFonts w:hint="eastAsia" w:ascii="宋体" w:hAnsi="宋体" w:cs="宋体"/>
          <w:b w:val="0"/>
          <w:bCs w:val="0"/>
          <w:sz w:val="24"/>
          <w:szCs w:val="24"/>
        </w:rPr>
        <w:fldChar w:fldCharType="separate"/>
      </w:r>
      <w:r>
        <w:rPr>
          <w:rFonts w:hint="eastAsia" w:ascii="宋体" w:hAnsi="宋体" w:cs="宋体"/>
          <w:b w:val="0"/>
          <w:bCs w:val="0"/>
          <w:sz w:val="24"/>
          <w:szCs w:val="24"/>
        </w:rPr>
        <w:t>8</w:t>
      </w:r>
      <w:r>
        <w:rPr>
          <w:rFonts w:hint="eastAsia" w:ascii="宋体" w:hAnsi="宋体" w:cs="宋体"/>
          <w:b w:val="0"/>
          <w:bCs w:val="0"/>
          <w:sz w:val="24"/>
          <w:szCs w:val="24"/>
        </w:rPr>
        <w:fldChar w:fldCharType="end"/>
      </w:r>
      <w:r>
        <w:rPr>
          <w:rFonts w:hint="eastAsia" w:ascii="宋体" w:hAnsi="宋体" w:cs="宋体"/>
          <w:b w:val="0"/>
          <w:bCs w:val="0"/>
          <w:sz w:val="24"/>
          <w:szCs w:val="24"/>
        </w:rPr>
        <w:fldChar w:fldCharType="end"/>
      </w:r>
    </w:p>
    <w:p w14:paraId="31CD23D1">
      <w:pPr>
        <w:pStyle w:val="17"/>
        <w:tabs>
          <w:tab w:val="right" w:leader="dot" w:pos="9638"/>
        </w:tabs>
        <w:snapToGrid w:val="0"/>
        <w:spacing w:before="0" w:after="0" w:line="360" w:lineRule="auto"/>
        <w:ind w:firstLine="803" w:firstLineChars="400"/>
        <w:rPr>
          <w:rFonts w:hint="eastAsia" w:ascii="宋体" w:hAnsi="宋体" w:cs="宋体"/>
          <w:sz w:val="24"/>
          <w:szCs w:val="24"/>
        </w:rPr>
      </w:pPr>
      <w:r>
        <w:fldChar w:fldCharType="begin"/>
      </w:r>
      <w:r>
        <w:instrText xml:space="preserve"> HYPERLINK \l "_Toc21609" </w:instrText>
      </w:r>
      <w:r>
        <w:fldChar w:fldCharType="separate"/>
      </w:r>
      <w:r>
        <w:rPr>
          <w:rFonts w:hint="eastAsia" w:ascii="宋体" w:hAnsi="宋体" w:cs="宋体"/>
          <w:b w:val="0"/>
          <w:bCs w:val="0"/>
          <w:sz w:val="24"/>
          <w:szCs w:val="24"/>
          <w:lang w:val="zh-CN"/>
        </w:rPr>
        <w:t>8</w:t>
      </w:r>
      <w:r>
        <w:rPr>
          <w:rFonts w:hint="eastAsia" w:ascii="宋体" w:hAnsi="宋体" w:cs="宋体"/>
          <w:b w:val="0"/>
          <w:bCs w:val="0"/>
          <w:sz w:val="24"/>
          <w:szCs w:val="24"/>
        </w:rPr>
        <w:t>.</w:t>
      </w:r>
      <w:r>
        <w:rPr>
          <w:rFonts w:hint="eastAsia" w:ascii="宋体" w:hAnsi="宋体" w:cs="宋体"/>
          <w:b w:val="0"/>
          <w:bCs w:val="0"/>
          <w:sz w:val="24"/>
          <w:szCs w:val="24"/>
          <w:lang w:val="zh-CN"/>
        </w:rPr>
        <w:t>联系方式</w:t>
      </w:r>
      <w:r>
        <w:rPr>
          <w:rFonts w:hint="eastAsia" w:ascii="宋体" w:hAnsi="宋体" w:cs="宋体"/>
          <w:b w:val="0"/>
          <w:bCs w:val="0"/>
          <w:sz w:val="24"/>
          <w:szCs w:val="24"/>
        </w:rPr>
        <w:tab/>
      </w:r>
      <w:r>
        <w:rPr>
          <w:rFonts w:hint="eastAsia" w:ascii="宋体" w:hAnsi="宋体" w:cs="宋体"/>
          <w:b w:val="0"/>
          <w:bCs w:val="0"/>
          <w:sz w:val="24"/>
          <w:szCs w:val="24"/>
        </w:rPr>
        <w:fldChar w:fldCharType="begin"/>
      </w:r>
      <w:r>
        <w:rPr>
          <w:rFonts w:hint="eastAsia" w:ascii="宋体" w:hAnsi="宋体" w:cs="宋体"/>
          <w:b w:val="0"/>
          <w:bCs w:val="0"/>
          <w:sz w:val="24"/>
          <w:szCs w:val="24"/>
        </w:rPr>
        <w:instrText xml:space="preserve"> PAGEREF _Toc21609 \h </w:instrText>
      </w:r>
      <w:r>
        <w:rPr>
          <w:rFonts w:hint="eastAsia" w:ascii="宋体" w:hAnsi="宋体" w:cs="宋体"/>
          <w:b w:val="0"/>
          <w:bCs w:val="0"/>
          <w:sz w:val="24"/>
          <w:szCs w:val="24"/>
        </w:rPr>
        <w:fldChar w:fldCharType="separate"/>
      </w:r>
      <w:r>
        <w:rPr>
          <w:rFonts w:hint="eastAsia" w:ascii="宋体" w:hAnsi="宋体" w:cs="宋体"/>
          <w:b w:val="0"/>
          <w:bCs w:val="0"/>
          <w:sz w:val="24"/>
          <w:szCs w:val="24"/>
        </w:rPr>
        <w:t>8</w:t>
      </w:r>
      <w:r>
        <w:rPr>
          <w:rFonts w:hint="eastAsia" w:ascii="宋体" w:hAnsi="宋体" w:cs="宋体"/>
          <w:b w:val="0"/>
          <w:bCs w:val="0"/>
          <w:sz w:val="24"/>
          <w:szCs w:val="24"/>
        </w:rPr>
        <w:fldChar w:fldCharType="end"/>
      </w:r>
      <w:r>
        <w:rPr>
          <w:rFonts w:hint="eastAsia" w:ascii="宋体" w:hAnsi="宋体" w:cs="宋体"/>
          <w:b w:val="0"/>
          <w:bCs w:val="0"/>
          <w:sz w:val="24"/>
          <w:szCs w:val="24"/>
        </w:rPr>
        <w:fldChar w:fldCharType="end"/>
      </w:r>
    </w:p>
    <w:p w14:paraId="3B9D1089">
      <w:pPr>
        <w:pStyle w:val="17"/>
        <w:tabs>
          <w:tab w:val="right" w:leader="dot" w:pos="9638"/>
        </w:tabs>
        <w:snapToGrid w:val="0"/>
        <w:spacing w:before="0" w:after="0" w:line="360" w:lineRule="auto"/>
        <w:ind w:firstLine="402" w:firstLineChars="200"/>
        <w:rPr>
          <w:rFonts w:hint="eastAsia" w:ascii="宋体" w:hAnsi="宋体" w:cs="宋体"/>
          <w:sz w:val="24"/>
          <w:szCs w:val="24"/>
        </w:rPr>
      </w:pPr>
      <w:r>
        <w:fldChar w:fldCharType="begin"/>
      </w:r>
      <w:r>
        <w:instrText xml:space="preserve"> HYPERLINK \l "_Toc30679" </w:instrText>
      </w:r>
      <w:r>
        <w:fldChar w:fldCharType="separate"/>
      </w:r>
      <w:r>
        <w:rPr>
          <w:rFonts w:hint="eastAsia" w:ascii="宋体" w:hAnsi="宋体" w:cs="宋体"/>
          <w:sz w:val="24"/>
          <w:szCs w:val="24"/>
        </w:rPr>
        <w:t>第二章  投标人须知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_Toc30679 \h </w:instrText>
      </w:r>
      <w:r>
        <w:rPr>
          <w:rFonts w:hint="eastAsia" w:ascii="宋体" w:hAnsi="宋体" w:cs="宋体"/>
          <w:sz w:val="24"/>
          <w:szCs w:val="24"/>
        </w:rPr>
        <w:fldChar w:fldCharType="separate"/>
      </w:r>
      <w:r>
        <w:rPr>
          <w:rFonts w:hint="eastAsia" w:ascii="宋体" w:hAnsi="宋体" w:cs="宋体"/>
          <w:sz w:val="24"/>
          <w:szCs w:val="24"/>
        </w:rPr>
        <w:t>10</w:t>
      </w:r>
      <w:r>
        <w:rPr>
          <w:rFonts w:hint="eastAsia" w:ascii="宋体" w:hAnsi="宋体" w:cs="宋体"/>
          <w:sz w:val="24"/>
          <w:szCs w:val="24"/>
        </w:rPr>
        <w:fldChar w:fldCharType="end"/>
      </w:r>
      <w:r>
        <w:rPr>
          <w:rFonts w:hint="eastAsia" w:ascii="宋体" w:hAnsi="宋体" w:cs="宋体"/>
          <w:sz w:val="24"/>
          <w:szCs w:val="24"/>
        </w:rPr>
        <w:fldChar w:fldCharType="end"/>
      </w:r>
    </w:p>
    <w:p w14:paraId="1E2251CE">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"_Toc31078" </w:instrText>
      </w:r>
      <w:r>
        <w:fldChar w:fldCharType="separate"/>
      </w:r>
      <w:r>
        <w:rPr>
          <w:rFonts w:hint="eastAsia" w:ascii="宋体" w:hAnsi="宋体" w:cs="宋体"/>
          <w:sz w:val="24"/>
          <w:szCs w:val="24"/>
        </w:rPr>
        <w:t>投标人须知前附表·</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_Toc31078 \h </w:instrText>
      </w:r>
      <w:r>
        <w:rPr>
          <w:rFonts w:hint="eastAsia" w:ascii="宋体" w:hAnsi="宋体" w:cs="宋体"/>
          <w:sz w:val="24"/>
          <w:szCs w:val="24"/>
        </w:rPr>
        <w:fldChar w:fldCharType="separate"/>
      </w:r>
      <w:r>
        <w:rPr>
          <w:rFonts w:hint="eastAsia" w:ascii="宋体" w:hAnsi="宋体" w:cs="宋体"/>
          <w:sz w:val="24"/>
          <w:szCs w:val="24"/>
        </w:rPr>
        <w:t>11</w:t>
      </w:r>
      <w:r>
        <w:rPr>
          <w:rFonts w:hint="eastAsia" w:ascii="宋体" w:hAnsi="宋体" w:cs="宋体"/>
          <w:sz w:val="24"/>
          <w:szCs w:val="24"/>
        </w:rPr>
        <w:fldChar w:fldCharType="end"/>
      </w:r>
      <w:r>
        <w:rPr>
          <w:rFonts w:hint="eastAsia" w:ascii="宋体" w:hAnsi="宋体" w:cs="宋体"/>
          <w:sz w:val="24"/>
          <w:szCs w:val="24"/>
        </w:rPr>
        <w:fldChar w:fldCharType="end"/>
      </w:r>
    </w:p>
    <w:p w14:paraId="4E203B8D">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"_Toc28350" </w:instrText>
      </w:r>
      <w:r>
        <w:fldChar w:fldCharType="separate"/>
      </w:r>
      <w:r>
        <w:rPr>
          <w:rFonts w:hint="eastAsia" w:ascii="宋体" w:hAnsi="宋体" w:cs="宋体"/>
          <w:bCs/>
          <w:sz w:val="24"/>
          <w:szCs w:val="24"/>
        </w:rPr>
        <w:t>投标人须知正文部分</w:t>
      </w:r>
      <w:r>
        <w:rPr>
          <w:rFonts w:hint="eastAsia" w:ascii="宋体" w:hAnsi="宋体" w:cs="宋体"/>
          <w:sz w:val="24"/>
          <w:szCs w:val="24"/>
        </w:rPr>
        <w:tab/>
      </w:r>
      <w:r>
        <w:rPr>
          <w:rFonts w:hint="eastAsia" w:ascii="宋体" w:hAnsi="宋体" w:cs="宋体"/>
          <w:sz w:val="24"/>
          <w:szCs w:val="24"/>
        </w:rPr>
        <w:t>2</w:t>
      </w:r>
      <w:r>
        <w:rPr>
          <w:rFonts w:hint="eastAsia" w:ascii="宋体" w:hAnsi="宋体" w:cs="宋体"/>
          <w:sz w:val="24"/>
          <w:szCs w:val="24"/>
        </w:rPr>
        <w:fldChar w:fldCharType="end"/>
      </w:r>
      <w:r>
        <w:rPr>
          <w:rFonts w:hint="eastAsia" w:ascii="宋体" w:hAnsi="宋体" w:cs="宋体"/>
          <w:sz w:val="24"/>
          <w:szCs w:val="24"/>
        </w:rPr>
        <w:t>2</w:t>
      </w:r>
    </w:p>
    <w:p w14:paraId="2502F67B">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"_Toc20504" </w:instrText>
      </w:r>
      <w:r>
        <w:fldChar w:fldCharType="separate"/>
      </w:r>
      <w:r>
        <w:rPr>
          <w:rFonts w:hint="eastAsia" w:ascii="宋体" w:hAnsi="宋体" w:cs="宋体"/>
          <w:sz w:val="24"/>
          <w:szCs w:val="24"/>
        </w:rPr>
        <w:t>1. 总则</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_Toc20504 \h </w:instrText>
      </w:r>
      <w:r>
        <w:rPr>
          <w:rFonts w:hint="eastAsia" w:ascii="宋体" w:hAnsi="宋体" w:cs="宋体"/>
          <w:sz w:val="24"/>
          <w:szCs w:val="24"/>
        </w:rPr>
        <w:fldChar w:fldCharType="separate"/>
      </w:r>
      <w:r>
        <w:rPr>
          <w:rFonts w:hint="eastAsia" w:ascii="宋体" w:hAnsi="宋体" w:cs="宋体"/>
          <w:sz w:val="24"/>
          <w:szCs w:val="24"/>
        </w:rPr>
        <w:t>22</w:t>
      </w:r>
      <w:r>
        <w:rPr>
          <w:rFonts w:hint="eastAsia" w:ascii="宋体" w:hAnsi="宋体" w:cs="宋体"/>
          <w:sz w:val="24"/>
          <w:szCs w:val="24"/>
        </w:rPr>
        <w:fldChar w:fldCharType="end"/>
      </w:r>
      <w:r>
        <w:rPr>
          <w:rFonts w:hint="eastAsia" w:ascii="宋体" w:hAnsi="宋体" w:cs="宋体"/>
          <w:sz w:val="24"/>
          <w:szCs w:val="24"/>
        </w:rPr>
        <w:fldChar w:fldCharType="end"/>
      </w:r>
    </w:p>
    <w:p w14:paraId="191E3E62">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"_Toc9085" </w:instrText>
      </w:r>
      <w:r>
        <w:fldChar w:fldCharType="separate"/>
      </w:r>
      <w:r>
        <w:rPr>
          <w:rFonts w:hint="eastAsia" w:ascii="宋体" w:hAnsi="宋体" w:cs="宋体"/>
          <w:sz w:val="24"/>
          <w:szCs w:val="24"/>
        </w:rPr>
        <w:t>2. 招标文件</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_Toc9085 \h </w:instrText>
      </w:r>
      <w:r>
        <w:rPr>
          <w:rFonts w:hint="eastAsia" w:ascii="宋体" w:hAnsi="宋体" w:cs="宋体"/>
          <w:sz w:val="24"/>
          <w:szCs w:val="24"/>
        </w:rPr>
        <w:fldChar w:fldCharType="separate"/>
      </w:r>
      <w:r>
        <w:rPr>
          <w:rFonts w:hint="eastAsia" w:ascii="宋体" w:hAnsi="宋体" w:cs="宋体"/>
          <w:sz w:val="24"/>
          <w:szCs w:val="24"/>
        </w:rPr>
        <w:t>24</w:t>
      </w:r>
      <w:r>
        <w:rPr>
          <w:rFonts w:hint="eastAsia" w:ascii="宋体" w:hAnsi="宋体" w:cs="宋体"/>
          <w:sz w:val="24"/>
          <w:szCs w:val="24"/>
        </w:rPr>
        <w:fldChar w:fldCharType="end"/>
      </w:r>
      <w:r>
        <w:rPr>
          <w:rFonts w:hint="eastAsia" w:ascii="宋体" w:hAnsi="宋体" w:cs="宋体"/>
          <w:sz w:val="24"/>
          <w:szCs w:val="24"/>
        </w:rPr>
        <w:fldChar w:fldCharType="end"/>
      </w:r>
    </w:p>
    <w:p w14:paraId="0151D1C7">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"_Toc32608" </w:instrText>
      </w:r>
      <w:r>
        <w:fldChar w:fldCharType="separate"/>
      </w:r>
      <w:r>
        <w:rPr>
          <w:rFonts w:hint="eastAsia" w:ascii="宋体" w:hAnsi="宋体" w:cs="宋体"/>
          <w:sz w:val="24"/>
          <w:szCs w:val="24"/>
        </w:rPr>
        <w:t>3. 投标文件</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_Toc32608 \h </w:instrText>
      </w:r>
      <w:r>
        <w:rPr>
          <w:rFonts w:hint="eastAsia" w:ascii="宋体" w:hAnsi="宋体" w:cs="宋体"/>
          <w:sz w:val="24"/>
          <w:szCs w:val="24"/>
        </w:rPr>
        <w:fldChar w:fldCharType="separate"/>
      </w:r>
      <w:r>
        <w:rPr>
          <w:rFonts w:hint="eastAsia" w:ascii="宋体" w:hAnsi="宋体" w:cs="宋体"/>
          <w:sz w:val="24"/>
          <w:szCs w:val="24"/>
        </w:rPr>
        <w:t>26</w:t>
      </w:r>
      <w:r>
        <w:rPr>
          <w:rFonts w:hint="eastAsia" w:ascii="宋体" w:hAnsi="宋体" w:cs="宋体"/>
          <w:sz w:val="24"/>
          <w:szCs w:val="24"/>
        </w:rPr>
        <w:fldChar w:fldCharType="end"/>
      </w:r>
      <w:r>
        <w:rPr>
          <w:rFonts w:hint="eastAsia" w:ascii="宋体" w:hAnsi="宋体" w:cs="宋体"/>
          <w:sz w:val="24"/>
          <w:szCs w:val="24"/>
        </w:rPr>
        <w:fldChar w:fldCharType="end"/>
      </w:r>
    </w:p>
    <w:p w14:paraId="5EDBA401">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"_Toc27992" </w:instrText>
      </w:r>
      <w:r>
        <w:fldChar w:fldCharType="separate"/>
      </w:r>
      <w:r>
        <w:rPr>
          <w:rFonts w:hint="eastAsia" w:ascii="宋体" w:hAnsi="宋体" w:cs="宋体"/>
          <w:sz w:val="24"/>
          <w:szCs w:val="24"/>
        </w:rPr>
        <w:t>4. 投标</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_Toc27992 \h </w:instrText>
      </w:r>
      <w:r>
        <w:rPr>
          <w:rFonts w:hint="eastAsia" w:ascii="宋体" w:hAnsi="宋体" w:cs="宋体"/>
          <w:sz w:val="24"/>
          <w:szCs w:val="24"/>
        </w:rPr>
        <w:fldChar w:fldCharType="separate"/>
      </w:r>
      <w:r>
        <w:rPr>
          <w:rFonts w:hint="eastAsia" w:ascii="宋体" w:hAnsi="宋体" w:cs="宋体"/>
          <w:sz w:val="24"/>
          <w:szCs w:val="24"/>
        </w:rPr>
        <w:t>29</w:t>
      </w:r>
      <w:r>
        <w:rPr>
          <w:rFonts w:hint="eastAsia" w:ascii="宋体" w:hAnsi="宋体" w:cs="宋体"/>
          <w:sz w:val="24"/>
          <w:szCs w:val="24"/>
        </w:rPr>
        <w:fldChar w:fldCharType="end"/>
      </w:r>
      <w:r>
        <w:rPr>
          <w:rFonts w:hint="eastAsia" w:ascii="宋体" w:hAnsi="宋体" w:cs="宋体"/>
          <w:sz w:val="24"/>
          <w:szCs w:val="24"/>
        </w:rPr>
        <w:fldChar w:fldCharType="end"/>
      </w:r>
    </w:p>
    <w:p w14:paraId="2BA67C9F">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"_Toc13656" </w:instrText>
      </w:r>
      <w:r>
        <w:fldChar w:fldCharType="separate"/>
      </w:r>
      <w:r>
        <w:rPr>
          <w:rFonts w:hint="eastAsia" w:ascii="宋体" w:hAnsi="宋体" w:cs="宋体"/>
          <w:sz w:val="24"/>
          <w:szCs w:val="24"/>
        </w:rPr>
        <w:t>5. 开标</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_Toc13656 \h </w:instrText>
      </w:r>
      <w:r>
        <w:rPr>
          <w:rFonts w:hint="eastAsia" w:ascii="宋体" w:hAnsi="宋体" w:cs="宋体"/>
          <w:sz w:val="24"/>
          <w:szCs w:val="24"/>
        </w:rPr>
        <w:fldChar w:fldCharType="separate"/>
      </w:r>
      <w:r>
        <w:rPr>
          <w:rFonts w:hint="eastAsia" w:ascii="宋体" w:hAnsi="宋体" w:cs="宋体"/>
          <w:sz w:val="24"/>
          <w:szCs w:val="24"/>
        </w:rPr>
        <w:t>29</w:t>
      </w:r>
      <w:r>
        <w:rPr>
          <w:rFonts w:hint="eastAsia" w:ascii="宋体" w:hAnsi="宋体" w:cs="宋体"/>
          <w:sz w:val="24"/>
          <w:szCs w:val="24"/>
        </w:rPr>
        <w:fldChar w:fldCharType="end"/>
      </w:r>
      <w:r>
        <w:rPr>
          <w:rFonts w:hint="eastAsia" w:ascii="宋体" w:hAnsi="宋体" w:cs="宋体"/>
          <w:sz w:val="24"/>
          <w:szCs w:val="24"/>
        </w:rPr>
        <w:fldChar w:fldCharType="end"/>
      </w:r>
    </w:p>
    <w:p w14:paraId="34F97DE4">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"_Toc12378" </w:instrText>
      </w:r>
      <w:r>
        <w:fldChar w:fldCharType="separate"/>
      </w:r>
      <w:r>
        <w:rPr>
          <w:rFonts w:hint="eastAsia" w:ascii="宋体" w:hAnsi="宋体" w:cs="宋体"/>
          <w:sz w:val="24"/>
          <w:szCs w:val="24"/>
        </w:rPr>
        <w:t>6. 评标</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_Toc12378 \h </w:instrText>
      </w:r>
      <w:r>
        <w:rPr>
          <w:rFonts w:hint="eastAsia" w:ascii="宋体" w:hAnsi="宋体" w:cs="宋体"/>
          <w:sz w:val="24"/>
          <w:szCs w:val="24"/>
        </w:rPr>
        <w:fldChar w:fldCharType="separate"/>
      </w:r>
      <w:r>
        <w:rPr>
          <w:rFonts w:hint="eastAsia" w:ascii="宋体" w:hAnsi="宋体" w:cs="宋体"/>
          <w:sz w:val="24"/>
          <w:szCs w:val="24"/>
        </w:rPr>
        <w:t>30</w:t>
      </w:r>
      <w:r>
        <w:rPr>
          <w:rFonts w:hint="eastAsia" w:ascii="宋体" w:hAnsi="宋体" w:cs="宋体"/>
          <w:sz w:val="24"/>
          <w:szCs w:val="24"/>
        </w:rPr>
        <w:fldChar w:fldCharType="end"/>
      </w:r>
      <w:r>
        <w:rPr>
          <w:rFonts w:hint="eastAsia" w:ascii="宋体" w:hAnsi="宋体" w:cs="宋体"/>
          <w:sz w:val="24"/>
          <w:szCs w:val="24"/>
        </w:rPr>
        <w:fldChar w:fldCharType="end"/>
      </w:r>
    </w:p>
    <w:p w14:paraId="47E6EB06">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"_Toc28429" </w:instrText>
      </w:r>
      <w:r>
        <w:fldChar w:fldCharType="separate"/>
      </w:r>
      <w:r>
        <w:rPr>
          <w:rFonts w:hint="eastAsia" w:ascii="宋体" w:hAnsi="宋体" w:cs="宋体"/>
          <w:sz w:val="24"/>
          <w:szCs w:val="24"/>
        </w:rPr>
        <w:t>7. 合同授予</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_Toc28429 \h </w:instrText>
      </w:r>
      <w:r>
        <w:rPr>
          <w:rFonts w:hint="eastAsia" w:ascii="宋体" w:hAnsi="宋体" w:cs="宋体"/>
          <w:sz w:val="24"/>
          <w:szCs w:val="24"/>
        </w:rPr>
        <w:fldChar w:fldCharType="separate"/>
      </w:r>
      <w:r>
        <w:rPr>
          <w:rFonts w:hint="eastAsia" w:ascii="宋体" w:hAnsi="宋体" w:cs="宋体"/>
          <w:sz w:val="24"/>
          <w:szCs w:val="24"/>
        </w:rPr>
        <w:t>31</w:t>
      </w:r>
      <w:r>
        <w:rPr>
          <w:rFonts w:hint="eastAsia" w:ascii="宋体" w:hAnsi="宋体" w:cs="宋体"/>
          <w:sz w:val="24"/>
          <w:szCs w:val="24"/>
        </w:rPr>
        <w:fldChar w:fldCharType="end"/>
      </w:r>
      <w:r>
        <w:rPr>
          <w:rFonts w:hint="eastAsia" w:ascii="宋体" w:hAnsi="宋体" w:cs="宋体"/>
          <w:sz w:val="24"/>
          <w:szCs w:val="24"/>
        </w:rPr>
        <w:fldChar w:fldCharType="end"/>
      </w:r>
    </w:p>
    <w:p w14:paraId="5545C886">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"_Toc9796" </w:instrText>
      </w:r>
      <w:r>
        <w:fldChar w:fldCharType="separate"/>
      </w:r>
      <w:r>
        <w:rPr>
          <w:rFonts w:hint="eastAsia" w:ascii="宋体" w:hAnsi="宋体" w:cs="宋体"/>
          <w:sz w:val="24"/>
          <w:szCs w:val="24"/>
        </w:rPr>
        <w:t>8.重新招标和不再招标</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_Toc9796 \h </w:instrText>
      </w:r>
      <w:r>
        <w:rPr>
          <w:rFonts w:hint="eastAsia" w:ascii="宋体" w:hAnsi="宋体" w:cs="宋体"/>
          <w:sz w:val="24"/>
          <w:szCs w:val="24"/>
        </w:rPr>
        <w:fldChar w:fldCharType="separate"/>
      </w:r>
      <w:r>
        <w:rPr>
          <w:rFonts w:hint="eastAsia" w:ascii="宋体" w:hAnsi="宋体" w:cs="宋体"/>
          <w:sz w:val="24"/>
          <w:szCs w:val="24"/>
        </w:rPr>
        <w:t>32</w:t>
      </w:r>
      <w:r>
        <w:rPr>
          <w:rFonts w:hint="eastAsia" w:ascii="宋体" w:hAnsi="宋体" w:cs="宋体"/>
          <w:sz w:val="24"/>
          <w:szCs w:val="24"/>
        </w:rPr>
        <w:fldChar w:fldCharType="end"/>
      </w:r>
      <w:r>
        <w:rPr>
          <w:rFonts w:hint="eastAsia" w:ascii="宋体" w:hAnsi="宋体" w:cs="宋体"/>
          <w:sz w:val="24"/>
          <w:szCs w:val="24"/>
        </w:rPr>
        <w:fldChar w:fldCharType="end"/>
      </w:r>
    </w:p>
    <w:p w14:paraId="484B8672">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"_Toc1349" </w:instrText>
      </w:r>
      <w:r>
        <w:fldChar w:fldCharType="separate"/>
      </w:r>
      <w:r>
        <w:rPr>
          <w:rFonts w:hint="eastAsia" w:ascii="宋体" w:hAnsi="宋体" w:cs="宋体"/>
          <w:sz w:val="24"/>
          <w:szCs w:val="24"/>
        </w:rPr>
        <w:t>9. 纪律和监督</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_Toc1349 \h </w:instrText>
      </w:r>
      <w:r>
        <w:rPr>
          <w:rFonts w:hint="eastAsia" w:ascii="宋体" w:hAnsi="宋体" w:cs="宋体"/>
          <w:sz w:val="24"/>
          <w:szCs w:val="24"/>
        </w:rPr>
        <w:fldChar w:fldCharType="separate"/>
      </w:r>
      <w:r>
        <w:rPr>
          <w:rFonts w:hint="eastAsia" w:ascii="宋体" w:hAnsi="宋体" w:cs="宋体"/>
          <w:sz w:val="24"/>
          <w:szCs w:val="24"/>
        </w:rPr>
        <w:t>32</w:t>
      </w:r>
      <w:r>
        <w:rPr>
          <w:rFonts w:hint="eastAsia" w:ascii="宋体" w:hAnsi="宋体" w:cs="宋体"/>
          <w:sz w:val="24"/>
          <w:szCs w:val="24"/>
        </w:rPr>
        <w:fldChar w:fldCharType="end"/>
      </w:r>
      <w:r>
        <w:rPr>
          <w:rFonts w:hint="eastAsia" w:ascii="宋体" w:hAnsi="宋体" w:cs="宋体"/>
          <w:sz w:val="24"/>
          <w:szCs w:val="24"/>
        </w:rPr>
        <w:fldChar w:fldCharType="end"/>
      </w:r>
    </w:p>
    <w:p w14:paraId="4C101391">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"_Toc11363" </w:instrText>
      </w:r>
      <w:r>
        <w:fldChar w:fldCharType="separate"/>
      </w:r>
      <w:r>
        <w:rPr>
          <w:rFonts w:hint="eastAsia" w:ascii="宋体" w:hAnsi="宋体" w:cs="宋体"/>
          <w:sz w:val="24"/>
          <w:szCs w:val="24"/>
        </w:rPr>
        <w:t>10.知识产权</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_Toc11363 \h </w:instrText>
      </w:r>
      <w:r>
        <w:rPr>
          <w:rFonts w:hint="eastAsia" w:ascii="宋体" w:hAnsi="宋体" w:cs="宋体"/>
          <w:sz w:val="24"/>
          <w:szCs w:val="24"/>
        </w:rPr>
        <w:fldChar w:fldCharType="separate"/>
      </w:r>
      <w:r>
        <w:rPr>
          <w:rFonts w:hint="eastAsia" w:ascii="宋体" w:hAnsi="宋体" w:cs="宋体"/>
          <w:sz w:val="24"/>
          <w:szCs w:val="24"/>
        </w:rPr>
        <w:t>34</w:t>
      </w:r>
      <w:r>
        <w:rPr>
          <w:rFonts w:hint="eastAsia" w:ascii="宋体" w:hAnsi="宋体" w:cs="宋体"/>
          <w:sz w:val="24"/>
          <w:szCs w:val="24"/>
        </w:rPr>
        <w:fldChar w:fldCharType="end"/>
      </w:r>
      <w:r>
        <w:rPr>
          <w:rFonts w:hint="eastAsia" w:ascii="宋体" w:hAnsi="宋体" w:cs="宋体"/>
          <w:sz w:val="24"/>
          <w:szCs w:val="24"/>
        </w:rPr>
        <w:fldChar w:fldCharType="end"/>
      </w:r>
    </w:p>
    <w:p w14:paraId="25790287">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"_Toc23352" </w:instrText>
      </w:r>
      <w:r>
        <w:fldChar w:fldCharType="separate"/>
      </w:r>
      <w:r>
        <w:rPr>
          <w:rFonts w:hint="eastAsia" w:ascii="宋体" w:hAnsi="宋体" w:cs="宋体"/>
          <w:sz w:val="24"/>
          <w:szCs w:val="24"/>
        </w:rPr>
        <w:t>11.同义词语</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_Toc23352 \h </w:instrText>
      </w:r>
      <w:r>
        <w:rPr>
          <w:rFonts w:hint="eastAsia" w:ascii="宋体" w:hAnsi="宋体" w:cs="宋体"/>
          <w:sz w:val="24"/>
          <w:szCs w:val="24"/>
        </w:rPr>
        <w:fldChar w:fldCharType="separate"/>
      </w:r>
      <w:r>
        <w:rPr>
          <w:rFonts w:hint="eastAsia" w:ascii="宋体" w:hAnsi="宋体" w:cs="宋体"/>
          <w:sz w:val="24"/>
          <w:szCs w:val="24"/>
        </w:rPr>
        <w:t>34</w:t>
      </w:r>
      <w:r>
        <w:rPr>
          <w:rFonts w:hint="eastAsia" w:ascii="宋体" w:hAnsi="宋体" w:cs="宋体"/>
          <w:sz w:val="24"/>
          <w:szCs w:val="24"/>
        </w:rPr>
        <w:fldChar w:fldCharType="end"/>
      </w:r>
      <w:r>
        <w:rPr>
          <w:rFonts w:hint="eastAsia" w:ascii="宋体" w:hAnsi="宋体" w:cs="宋体"/>
          <w:sz w:val="24"/>
          <w:szCs w:val="24"/>
        </w:rPr>
        <w:fldChar w:fldCharType="end"/>
      </w:r>
    </w:p>
    <w:p w14:paraId="3CFFD199">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"_Toc16954" </w:instrText>
      </w:r>
      <w:r>
        <w:fldChar w:fldCharType="separate"/>
      </w:r>
      <w:r>
        <w:rPr>
          <w:rFonts w:hint="eastAsia" w:ascii="宋体" w:hAnsi="宋体" w:cs="宋体"/>
          <w:sz w:val="24"/>
          <w:szCs w:val="24"/>
        </w:rPr>
        <w:t>12.监督</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_Toc16954 \h </w:instrText>
      </w:r>
      <w:r>
        <w:rPr>
          <w:rFonts w:hint="eastAsia" w:ascii="宋体" w:hAnsi="宋体" w:cs="宋体"/>
          <w:sz w:val="24"/>
          <w:szCs w:val="24"/>
        </w:rPr>
        <w:fldChar w:fldCharType="separate"/>
      </w:r>
      <w:r>
        <w:rPr>
          <w:rFonts w:hint="eastAsia" w:ascii="宋体" w:hAnsi="宋体" w:cs="宋体"/>
          <w:sz w:val="24"/>
          <w:szCs w:val="24"/>
        </w:rPr>
        <w:t>34</w:t>
      </w:r>
      <w:r>
        <w:rPr>
          <w:rFonts w:hint="eastAsia" w:ascii="宋体" w:hAnsi="宋体" w:cs="宋体"/>
          <w:sz w:val="24"/>
          <w:szCs w:val="24"/>
        </w:rPr>
        <w:fldChar w:fldCharType="end"/>
      </w:r>
      <w:r>
        <w:rPr>
          <w:rFonts w:hint="eastAsia" w:ascii="宋体" w:hAnsi="宋体" w:cs="宋体"/>
          <w:sz w:val="24"/>
          <w:szCs w:val="24"/>
        </w:rPr>
        <w:fldChar w:fldCharType="end"/>
      </w:r>
    </w:p>
    <w:p w14:paraId="0CB00FF3">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"_Toc17640" </w:instrText>
      </w:r>
      <w:r>
        <w:fldChar w:fldCharType="separate"/>
      </w:r>
      <w:r>
        <w:rPr>
          <w:rFonts w:hint="eastAsia" w:ascii="宋体" w:hAnsi="宋体" w:cs="宋体"/>
          <w:sz w:val="24"/>
          <w:szCs w:val="24"/>
        </w:rPr>
        <w:t>13.解释权</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_Toc17640 \h </w:instrText>
      </w:r>
      <w:r>
        <w:rPr>
          <w:rFonts w:hint="eastAsia" w:ascii="宋体" w:hAnsi="宋体" w:cs="宋体"/>
          <w:sz w:val="24"/>
          <w:szCs w:val="24"/>
        </w:rPr>
        <w:fldChar w:fldCharType="separate"/>
      </w:r>
      <w:r>
        <w:rPr>
          <w:rFonts w:hint="eastAsia" w:ascii="宋体" w:hAnsi="宋体" w:cs="宋体"/>
          <w:sz w:val="24"/>
          <w:szCs w:val="24"/>
        </w:rPr>
        <w:t>34</w:t>
      </w:r>
      <w:r>
        <w:rPr>
          <w:rFonts w:hint="eastAsia" w:ascii="宋体" w:hAnsi="宋体" w:cs="宋体"/>
          <w:sz w:val="24"/>
          <w:szCs w:val="24"/>
        </w:rPr>
        <w:fldChar w:fldCharType="end"/>
      </w:r>
      <w:r>
        <w:rPr>
          <w:rFonts w:hint="eastAsia" w:ascii="宋体" w:hAnsi="宋体" w:cs="宋体"/>
          <w:sz w:val="24"/>
          <w:szCs w:val="24"/>
        </w:rPr>
        <w:fldChar w:fldCharType="end"/>
      </w:r>
    </w:p>
    <w:p w14:paraId="6EE58105">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"_Toc7986" </w:instrText>
      </w:r>
      <w:r>
        <w:fldChar w:fldCharType="separate"/>
      </w:r>
      <w:r>
        <w:rPr>
          <w:rFonts w:hint="eastAsia" w:ascii="宋体" w:hAnsi="宋体" w:cs="宋体"/>
          <w:sz w:val="24"/>
          <w:szCs w:val="24"/>
        </w:rPr>
        <w:t>14.确定中标人</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_Toc7986 \h </w:instrText>
      </w:r>
      <w:r>
        <w:rPr>
          <w:rFonts w:hint="eastAsia" w:ascii="宋体" w:hAnsi="宋体" w:cs="宋体"/>
          <w:sz w:val="24"/>
          <w:szCs w:val="24"/>
        </w:rPr>
        <w:fldChar w:fldCharType="separate"/>
      </w:r>
      <w:r>
        <w:rPr>
          <w:rFonts w:hint="eastAsia" w:ascii="宋体" w:hAnsi="宋体" w:cs="宋体"/>
          <w:sz w:val="24"/>
          <w:szCs w:val="24"/>
        </w:rPr>
        <w:t>35</w:t>
      </w:r>
      <w:r>
        <w:rPr>
          <w:rFonts w:hint="eastAsia" w:ascii="宋体" w:hAnsi="宋体" w:cs="宋体"/>
          <w:sz w:val="24"/>
          <w:szCs w:val="24"/>
        </w:rPr>
        <w:fldChar w:fldCharType="end"/>
      </w:r>
      <w:r>
        <w:rPr>
          <w:rFonts w:hint="eastAsia" w:ascii="宋体" w:hAnsi="宋体" w:cs="宋体"/>
          <w:sz w:val="24"/>
          <w:szCs w:val="24"/>
        </w:rPr>
        <w:fldChar w:fldCharType="end"/>
      </w:r>
    </w:p>
    <w:p w14:paraId="2029459B">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"_Toc3332" </w:instrText>
      </w:r>
      <w:r>
        <w:fldChar w:fldCharType="separate"/>
      </w:r>
      <w:r>
        <w:rPr>
          <w:rFonts w:hint="eastAsia" w:ascii="宋体" w:hAnsi="宋体" w:cs="宋体"/>
          <w:sz w:val="24"/>
          <w:szCs w:val="24"/>
        </w:rPr>
        <w:t>15.需要补充的其他内容</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_Toc3332 \h </w:instrText>
      </w:r>
      <w:r>
        <w:rPr>
          <w:rFonts w:hint="eastAsia" w:ascii="宋体" w:hAnsi="宋体" w:cs="宋体"/>
          <w:sz w:val="24"/>
          <w:szCs w:val="24"/>
        </w:rPr>
        <w:fldChar w:fldCharType="separate"/>
      </w:r>
      <w:r>
        <w:rPr>
          <w:rFonts w:hint="eastAsia" w:ascii="宋体" w:hAnsi="宋体" w:cs="宋体"/>
          <w:sz w:val="24"/>
          <w:szCs w:val="24"/>
        </w:rPr>
        <w:t>35</w:t>
      </w:r>
      <w:r>
        <w:rPr>
          <w:rFonts w:hint="eastAsia" w:ascii="宋体" w:hAnsi="宋体" w:cs="宋体"/>
          <w:sz w:val="24"/>
          <w:szCs w:val="24"/>
        </w:rPr>
        <w:fldChar w:fldCharType="end"/>
      </w:r>
      <w:r>
        <w:rPr>
          <w:rFonts w:hint="eastAsia" w:ascii="宋体" w:hAnsi="宋体" w:cs="宋体"/>
          <w:sz w:val="24"/>
          <w:szCs w:val="24"/>
        </w:rPr>
        <w:fldChar w:fldCharType="end"/>
      </w:r>
    </w:p>
    <w:p w14:paraId="34DF93A7">
      <w:pPr>
        <w:pStyle w:val="17"/>
        <w:tabs>
          <w:tab w:val="right" w:leader="dot" w:pos="9638"/>
        </w:tabs>
        <w:snapToGrid w:val="0"/>
        <w:spacing w:before="0" w:after="0" w:line="360" w:lineRule="auto"/>
        <w:ind w:firstLine="402" w:firstLineChars="200"/>
        <w:rPr>
          <w:rFonts w:hint="eastAsia" w:ascii="宋体" w:hAnsi="宋体" w:cs="宋体"/>
          <w:sz w:val="24"/>
          <w:szCs w:val="24"/>
        </w:rPr>
      </w:pPr>
      <w:r>
        <w:fldChar w:fldCharType="begin"/>
      </w:r>
      <w:r>
        <w:instrText xml:space="preserve"> HYPERLINK \l "_Toc3324" </w:instrText>
      </w:r>
      <w:r>
        <w:fldChar w:fldCharType="separate"/>
      </w:r>
      <w:r>
        <w:rPr>
          <w:rFonts w:hint="eastAsia" w:ascii="宋体" w:hAnsi="宋体" w:cs="宋体"/>
          <w:kern w:val="32"/>
          <w:sz w:val="24"/>
          <w:szCs w:val="24"/>
        </w:rPr>
        <w:t>第三章  评标办法</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_Toc3324 \h </w:instrText>
      </w:r>
      <w:r>
        <w:rPr>
          <w:rFonts w:hint="eastAsia" w:ascii="宋体" w:hAnsi="宋体" w:cs="宋体"/>
          <w:sz w:val="24"/>
          <w:szCs w:val="24"/>
        </w:rPr>
        <w:fldChar w:fldCharType="separate"/>
      </w:r>
      <w:r>
        <w:rPr>
          <w:rFonts w:hint="eastAsia" w:ascii="宋体" w:hAnsi="宋体" w:cs="宋体"/>
          <w:sz w:val="24"/>
          <w:szCs w:val="24"/>
        </w:rPr>
        <w:t>42</w:t>
      </w:r>
      <w:r>
        <w:rPr>
          <w:rFonts w:hint="eastAsia" w:ascii="宋体" w:hAnsi="宋体" w:cs="宋体"/>
          <w:sz w:val="24"/>
          <w:szCs w:val="24"/>
        </w:rPr>
        <w:fldChar w:fldCharType="end"/>
      </w:r>
      <w:r>
        <w:rPr>
          <w:rFonts w:hint="eastAsia" w:ascii="宋体" w:hAnsi="宋体" w:cs="宋体"/>
          <w:sz w:val="24"/>
          <w:szCs w:val="24"/>
        </w:rPr>
        <w:fldChar w:fldCharType="end"/>
      </w:r>
    </w:p>
    <w:p w14:paraId="64E58C82">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"_Toc8792" </w:instrText>
      </w:r>
      <w:r>
        <w:fldChar w:fldCharType="separate"/>
      </w:r>
      <w:r>
        <w:rPr>
          <w:rFonts w:hint="eastAsia" w:ascii="宋体" w:hAnsi="宋体" w:cs="宋体"/>
          <w:kern w:val="0"/>
          <w:sz w:val="24"/>
          <w:szCs w:val="24"/>
        </w:rPr>
        <w:t>一、评标办法前附表</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_Toc8792 \h </w:instrText>
      </w:r>
      <w:r>
        <w:rPr>
          <w:rFonts w:hint="eastAsia" w:ascii="宋体" w:hAnsi="宋体" w:cs="宋体"/>
          <w:sz w:val="24"/>
          <w:szCs w:val="24"/>
        </w:rPr>
        <w:fldChar w:fldCharType="separate"/>
      </w:r>
      <w:r>
        <w:rPr>
          <w:rFonts w:hint="eastAsia" w:ascii="宋体" w:hAnsi="宋体" w:cs="宋体"/>
          <w:sz w:val="24"/>
          <w:szCs w:val="24"/>
        </w:rPr>
        <w:t>43</w:t>
      </w:r>
      <w:r>
        <w:rPr>
          <w:rFonts w:hint="eastAsia" w:ascii="宋体" w:hAnsi="宋体" w:cs="宋体"/>
          <w:sz w:val="24"/>
          <w:szCs w:val="24"/>
        </w:rPr>
        <w:fldChar w:fldCharType="end"/>
      </w:r>
      <w:r>
        <w:rPr>
          <w:rFonts w:hint="eastAsia" w:ascii="宋体" w:hAnsi="宋体" w:cs="宋体"/>
          <w:sz w:val="24"/>
          <w:szCs w:val="24"/>
        </w:rPr>
        <w:fldChar w:fldCharType="end"/>
      </w:r>
    </w:p>
    <w:p w14:paraId="7AB07F7F">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"_Toc23053" </w:instrText>
      </w:r>
      <w:r>
        <w:fldChar w:fldCharType="separate"/>
      </w:r>
      <w:r>
        <w:rPr>
          <w:rFonts w:hint="eastAsia" w:ascii="宋体" w:hAnsi="宋体" w:cs="宋体"/>
          <w:kern w:val="0"/>
          <w:sz w:val="24"/>
          <w:szCs w:val="24"/>
        </w:rPr>
        <w:t>二、评标办法正文</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_Toc23053 \h </w:instrText>
      </w:r>
      <w:r>
        <w:rPr>
          <w:rFonts w:hint="eastAsia" w:ascii="宋体" w:hAnsi="宋体" w:cs="宋体"/>
          <w:sz w:val="24"/>
          <w:szCs w:val="24"/>
        </w:rPr>
        <w:fldChar w:fldCharType="separate"/>
      </w:r>
      <w:r>
        <w:rPr>
          <w:rFonts w:hint="eastAsia" w:ascii="宋体" w:hAnsi="宋体" w:cs="宋体"/>
          <w:sz w:val="24"/>
          <w:szCs w:val="24"/>
        </w:rPr>
        <w:t>45</w:t>
      </w:r>
      <w:r>
        <w:rPr>
          <w:rFonts w:hint="eastAsia" w:ascii="宋体" w:hAnsi="宋体" w:cs="宋体"/>
          <w:sz w:val="24"/>
          <w:szCs w:val="24"/>
        </w:rPr>
        <w:fldChar w:fldCharType="end"/>
      </w:r>
      <w:r>
        <w:rPr>
          <w:rFonts w:hint="eastAsia" w:ascii="宋体" w:hAnsi="宋体" w:cs="宋体"/>
          <w:sz w:val="24"/>
          <w:szCs w:val="24"/>
        </w:rPr>
        <w:fldChar w:fldCharType="end"/>
      </w:r>
    </w:p>
    <w:p w14:paraId="0A265242">
      <w:pPr>
        <w:pStyle w:val="12"/>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"_Toc32257" </w:instrText>
      </w:r>
      <w:r>
        <w:fldChar w:fldCharType="separate"/>
      </w:r>
      <w:r>
        <w:rPr>
          <w:rFonts w:hint="eastAsia" w:ascii="宋体" w:hAnsi="宋体" w:cs="宋体"/>
          <w:sz w:val="24"/>
          <w:szCs w:val="24"/>
        </w:rPr>
        <w:t>1.评标方法</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_Toc32257 \h </w:instrText>
      </w:r>
      <w:r>
        <w:rPr>
          <w:rFonts w:hint="eastAsia" w:ascii="宋体" w:hAnsi="宋体" w:cs="宋体"/>
          <w:sz w:val="24"/>
          <w:szCs w:val="24"/>
        </w:rPr>
        <w:fldChar w:fldCharType="separate"/>
      </w:r>
      <w:r>
        <w:rPr>
          <w:rFonts w:hint="eastAsia" w:ascii="宋体" w:hAnsi="宋体" w:cs="宋体"/>
          <w:sz w:val="24"/>
          <w:szCs w:val="24"/>
        </w:rPr>
        <w:t>45</w:t>
      </w:r>
      <w:r>
        <w:rPr>
          <w:rFonts w:hint="eastAsia" w:ascii="宋体" w:hAnsi="宋体" w:cs="宋体"/>
          <w:sz w:val="24"/>
          <w:szCs w:val="24"/>
        </w:rPr>
        <w:fldChar w:fldCharType="end"/>
      </w:r>
      <w:r>
        <w:rPr>
          <w:rFonts w:hint="eastAsia" w:ascii="宋体" w:hAnsi="宋体" w:cs="宋体"/>
          <w:sz w:val="24"/>
          <w:szCs w:val="24"/>
        </w:rPr>
        <w:fldChar w:fldCharType="end"/>
      </w:r>
    </w:p>
    <w:p w14:paraId="71341FE2">
      <w:pPr>
        <w:pStyle w:val="12"/>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"_Toc22942" </w:instrText>
      </w:r>
      <w:r>
        <w:fldChar w:fldCharType="separate"/>
      </w:r>
      <w:r>
        <w:rPr>
          <w:rFonts w:hint="eastAsia" w:ascii="宋体" w:hAnsi="宋体" w:cs="宋体"/>
          <w:sz w:val="24"/>
          <w:szCs w:val="24"/>
        </w:rPr>
        <w:t>2.评审标准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_Toc22942 \h </w:instrText>
      </w:r>
      <w:r>
        <w:rPr>
          <w:rFonts w:hint="eastAsia" w:ascii="宋体" w:hAnsi="宋体" w:cs="宋体"/>
          <w:sz w:val="24"/>
          <w:szCs w:val="24"/>
        </w:rPr>
        <w:fldChar w:fldCharType="separate"/>
      </w:r>
      <w:r>
        <w:rPr>
          <w:rFonts w:hint="eastAsia" w:ascii="宋体" w:hAnsi="宋体" w:cs="宋体"/>
          <w:sz w:val="24"/>
          <w:szCs w:val="24"/>
        </w:rPr>
        <w:t>46</w:t>
      </w:r>
      <w:r>
        <w:rPr>
          <w:rFonts w:hint="eastAsia" w:ascii="宋体" w:hAnsi="宋体" w:cs="宋体"/>
          <w:sz w:val="24"/>
          <w:szCs w:val="24"/>
        </w:rPr>
        <w:fldChar w:fldCharType="end"/>
      </w:r>
      <w:r>
        <w:rPr>
          <w:rFonts w:hint="eastAsia" w:ascii="宋体" w:hAnsi="宋体" w:cs="宋体"/>
          <w:sz w:val="24"/>
          <w:szCs w:val="24"/>
        </w:rPr>
        <w:fldChar w:fldCharType="end"/>
      </w:r>
    </w:p>
    <w:p w14:paraId="41686235">
      <w:pPr>
        <w:pStyle w:val="12"/>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"_Toc14767" </w:instrText>
      </w:r>
      <w:r>
        <w:fldChar w:fldCharType="separate"/>
      </w:r>
      <w:r>
        <w:rPr>
          <w:rFonts w:hint="eastAsia" w:ascii="宋体" w:hAnsi="宋体" w:cs="宋体"/>
          <w:bCs/>
          <w:sz w:val="24"/>
          <w:szCs w:val="24"/>
        </w:rPr>
        <w:t>3.评标程序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_Toc14767 \h </w:instrText>
      </w:r>
      <w:r>
        <w:rPr>
          <w:rFonts w:hint="eastAsia" w:ascii="宋体" w:hAnsi="宋体" w:cs="宋体"/>
          <w:sz w:val="24"/>
          <w:szCs w:val="24"/>
        </w:rPr>
        <w:fldChar w:fldCharType="separate"/>
      </w:r>
      <w:r>
        <w:rPr>
          <w:rFonts w:hint="eastAsia" w:ascii="宋体" w:hAnsi="宋体" w:cs="宋体"/>
          <w:sz w:val="24"/>
          <w:szCs w:val="24"/>
        </w:rPr>
        <w:t>49</w:t>
      </w:r>
      <w:r>
        <w:rPr>
          <w:rFonts w:hint="eastAsia" w:ascii="宋体" w:hAnsi="宋体" w:cs="宋体"/>
          <w:sz w:val="24"/>
          <w:szCs w:val="24"/>
        </w:rPr>
        <w:fldChar w:fldCharType="end"/>
      </w:r>
      <w:r>
        <w:rPr>
          <w:rFonts w:hint="eastAsia" w:ascii="宋体" w:hAnsi="宋体" w:cs="宋体"/>
          <w:sz w:val="24"/>
          <w:szCs w:val="24"/>
        </w:rPr>
        <w:fldChar w:fldCharType="end"/>
      </w:r>
    </w:p>
    <w:p w14:paraId="67D043F8">
      <w:pPr>
        <w:pStyle w:val="17"/>
        <w:tabs>
          <w:tab w:val="right" w:leader="dot" w:pos="9638"/>
        </w:tabs>
        <w:snapToGrid w:val="0"/>
        <w:spacing w:before="0" w:after="0" w:line="360" w:lineRule="auto"/>
        <w:ind w:firstLine="402" w:firstLineChars="200"/>
        <w:rPr>
          <w:rFonts w:hint="eastAsia" w:ascii="宋体" w:hAnsi="宋体" w:cs="宋体"/>
          <w:sz w:val="24"/>
          <w:szCs w:val="24"/>
        </w:rPr>
      </w:pPr>
      <w:r>
        <w:fldChar w:fldCharType="begin"/>
      </w:r>
      <w:r>
        <w:instrText xml:space="preserve"> HYPERLINK \l "_Toc23411" </w:instrText>
      </w:r>
      <w:r>
        <w:fldChar w:fldCharType="separate"/>
      </w:r>
      <w:r>
        <w:rPr>
          <w:rFonts w:hint="eastAsia" w:ascii="宋体" w:hAnsi="宋体" w:cs="宋体"/>
          <w:sz w:val="24"/>
          <w:szCs w:val="24"/>
        </w:rPr>
        <w:t>第四章  合同条款及格式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_Toc23411 \h </w:instrText>
      </w:r>
      <w:r>
        <w:rPr>
          <w:rFonts w:hint="eastAsia" w:ascii="宋体" w:hAnsi="宋体" w:cs="宋体"/>
          <w:sz w:val="24"/>
          <w:szCs w:val="24"/>
        </w:rPr>
        <w:fldChar w:fldCharType="separate"/>
      </w:r>
      <w:r>
        <w:rPr>
          <w:rFonts w:hint="eastAsia" w:ascii="宋体" w:hAnsi="宋体" w:cs="宋体"/>
          <w:sz w:val="24"/>
          <w:szCs w:val="24"/>
        </w:rPr>
        <w:t>57</w:t>
      </w:r>
      <w:r>
        <w:rPr>
          <w:rFonts w:hint="eastAsia" w:ascii="宋体" w:hAnsi="宋体" w:cs="宋体"/>
          <w:sz w:val="24"/>
          <w:szCs w:val="24"/>
        </w:rPr>
        <w:fldChar w:fldCharType="end"/>
      </w:r>
      <w:r>
        <w:rPr>
          <w:rFonts w:hint="eastAsia" w:ascii="宋体" w:hAnsi="宋体" w:cs="宋体"/>
          <w:sz w:val="24"/>
          <w:szCs w:val="24"/>
        </w:rPr>
        <w:fldChar w:fldCharType="end"/>
      </w:r>
    </w:p>
    <w:p w14:paraId="04DD392A">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"_Toc3226" </w:instrText>
      </w:r>
      <w:r>
        <w:fldChar w:fldCharType="separate"/>
      </w:r>
      <w:r>
        <w:rPr>
          <w:rFonts w:hint="eastAsia" w:ascii="宋体" w:hAnsi="宋体" w:cs="宋体"/>
          <w:sz w:val="24"/>
          <w:szCs w:val="24"/>
        </w:rPr>
        <w:t>第一部分  合同协议书</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_Toc3226 \h </w:instrText>
      </w:r>
      <w:r>
        <w:rPr>
          <w:rFonts w:hint="eastAsia" w:ascii="宋体" w:hAnsi="宋体" w:cs="宋体"/>
          <w:sz w:val="24"/>
          <w:szCs w:val="24"/>
        </w:rPr>
        <w:fldChar w:fldCharType="separate"/>
      </w:r>
      <w:r>
        <w:rPr>
          <w:rFonts w:hint="eastAsia" w:ascii="宋体" w:hAnsi="宋体" w:cs="宋体"/>
          <w:sz w:val="24"/>
          <w:szCs w:val="24"/>
        </w:rPr>
        <w:t>58</w:t>
      </w:r>
      <w:r>
        <w:rPr>
          <w:rFonts w:hint="eastAsia" w:ascii="宋体" w:hAnsi="宋体" w:cs="宋体"/>
          <w:sz w:val="24"/>
          <w:szCs w:val="24"/>
        </w:rPr>
        <w:fldChar w:fldCharType="end"/>
      </w:r>
      <w:r>
        <w:rPr>
          <w:rFonts w:hint="eastAsia" w:ascii="宋体" w:hAnsi="宋体" w:cs="宋体"/>
          <w:sz w:val="24"/>
          <w:szCs w:val="24"/>
        </w:rPr>
        <w:fldChar w:fldCharType="end"/>
      </w:r>
    </w:p>
    <w:p w14:paraId="65A1EE60">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"_Toc21019" </w:instrText>
      </w:r>
      <w:r>
        <w:fldChar w:fldCharType="separate"/>
      </w:r>
      <w:r>
        <w:rPr>
          <w:rFonts w:hint="eastAsia" w:ascii="宋体" w:hAnsi="宋体" w:cs="宋体"/>
          <w:sz w:val="24"/>
          <w:szCs w:val="24"/>
        </w:rPr>
        <w:t>第二部分 通用合同条件</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_Toc21019 \h </w:instrText>
      </w:r>
      <w:r>
        <w:rPr>
          <w:rFonts w:hint="eastAsia" w:ascii="宋体" w:hAnsi="宋体" w:cs="宋体"/>
          <w:sz w:val="24"/>
          <w:szCs w:val="24"/>
        </w:rPr>
        <w:fldChar w:fldCharType="separate"/>
      </w:r>
      <w:r>
        <w:rPr>
          <w:rFonts w:hint="eastAsia" w:ascii="宋体" w:hAnsi="宋体" w:cs="宋体"/>
          <w:sz w:val="24"/>
          <w:szCs w:val="24"/>
        </w:rPr>
        <w:t>61</w:t>
      </w:r>
      <w:r>
        <w:rPr>
          <w:rFonts w:hint="eastAsia" w:ascii="宋体" w:hAnsi="宋体" w:cs="宋体"/>
          <w:sz w:val="24"/>
          <w:szCs w:val="24"/>
        </w:rPr>
        <w:fldChar w:fldCharType="end"/>
      </w:r>
      <w:r>
        <w:rPr>
          <w:rFonts w:hint="eastAsia" w:ascii="宋体" w:hAnsi="宋体" w:cs="宋体"/>
          <w:sz w:val="24"/>
          <w:szCs w:val="24"/>
        </w:rPr>
        <w:fldChar w:fldCharType="end"/>
      </w:r>
    </w:p>
    <w:p w14:paraId="08AE80C7">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"_Toc6740" </w:instrText>
      </w:r>
      <w:r>
        <w:fldChar w:fldCharType="separate"/>
      </w:r>
      <w:r>
        <w:rPr>
          <w:rFonts w:hint="eastAsia" w:ascii="宋体" w:hAnsi="宋体" w:cs="宋体"/>
          <w:sz w:val="24"/>
          <w:szCs w:val="24"/>
        </w:rPr>
        <w:t>第三部分 专用合同条件</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_Toc6740 \h </w:instrText>
      </w:r>
      <w:r>
        <w:rPr>
          <w:rFonts w:hint="eastAsia" w:ascii="宋体" w:hAnsi="宋体" w:cs="宋体"/>
          <w:sz w:val="24"/>
          <w:szCs w:val="24"/>
        </w:rPr>
        <w:fldChar w:fldCharType="separate"/>
      </w:r>
      <w:r>
        <w:rPr>
          <w:rFonts w:hint="eastAsia" w:ascii="宋体" w:hAnsi="宋体" w:cs="宋体"/>
          <w:sz w:val="24"/>
          <w:szCs w:val="24"/>
        </w:rPr>
        <w:t>129</w:t>
      </w:r>
      <w:r>
        <w:rPr>
          <w:rFonts w:hint="eastAsia" w:ascii="宋体" w:hAnsi="宋体" w:cs="宋体"/>
          <w:sz w:val="24"/>
          <w:szCs w:val="24"/>
        </w:rPr>
        <w:fldChar w:fldCharType="end"/>
      </w:r>
      <w:r>
        <w:rPr>
          <w:rFonts w:hint="eastAsia" w:ascii="宋体" w:hAnsi="宋体" w:cs="宋体"/>
          <w:sz w:val="24"/>
          <w:szCs w:val="24"/>
        </w:rPr>
        <w:fldChar w:fldCharType="end"/>
      </w:r>
    </w:p>
    <w:p w14:paraId="1FC83840">
      <w:pPr>
        <w:pStyle w:val="17"/>
        <w:tabs>
          <w:tab w:val="right" w:leader="dot" w:pos="9638"/>
        </w:tabs>
        <w:snapToGrid w:val="0"/>
        <w:spacing w:before="0" w:after="0" w:line="360" w:lineRule="auto"/>
        <w:rPr>
          <w:rFonts w:hint="eastAsia" w:ascii="宋体" w:hAnsi="宋体" w:cs="宋体"/>
          <w:sz w:val="24"/>
          <w:szCs w:val="24"/>
        </w:rPr>
      </w:pPr>
      <w:r>
        <w:fldChar w:fldCharType="begin"/>
      </w:r>
      <w:r>
        <w:instrText xml:space="preserve"> HYPERLINK \l "_Toc20630" </w:instrText>
      </w:r>
      <w:r>
        <w:fldChar w:fldCharType="separate"/>
      </w:r>
      <w:r>
        <w:rPr>
          <w:rFonts w:hint="eastAsia" w:ascii="宋体" w:hAnsi="宋体" w:cs="宋体"/>
          <w:sz w:val="24"/>
          <w:szCs w:val="24"/>
        </w:rPr>
        <w:t>第二卷</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_Toc20630 \h </w:instrText>
      </w:r>
      <w:r>
        <w:rPr>
          <w:rFonts w:hint="eastAsia" w:ascii="宋体" w:hAnsi="宋体" w:cs="宋体"/>
          <w:sz w:val="24"/>
          <w:szCs w:val="24"/>
        </w:rPr>
        <w:fldChar w:fldCharType="separate"/>
      </w:r>
      <w:r>
        <w:rPr>
          <w:rFonts w:hint="eastAsia" w:ascii="宋体" w:hAnsi="宋体" w:cs="宋体"/>
          <w:sz w:val="24"/>
          <w:szCs w:val="24"/>
        </w:rPr>
        <w:t>159</w:t>
      </w:r>
      <w:r>
        <w:rPr>
          <w:rFonts w:hint="eastAsia" w:ascii="宋体" w:hAnsi="宋体" w:cs="宋体"/>
          <w:sz w:val="24"/>
          <w:szCs w:val="24"/>
        </w:rPr>
        <w:fldChar w:fldCharType="end"/>
      </w:r>
      <w:r>
        <w:rPr>
          <w:rFonts w:hint="eastAsia" w:ascii="宋体" w:hAnsi="宋体" w:cs="宋体"/>
          <w:sz w:val="24"/>
          <w:szCs w:val="24"/>
        </w:rPr>
        <w:fldChar w:fldCharType="end"/>
      </w:r>
    </w:p>
    <w:p w14:paraId="402B86CA">
      <w:pPr>
        <w:pStyle w:val="17"/>
        <w:tabs>
          <w:tab w:val="right" w:leader="dot" w:pos="9638"/>
        </w:tabs>
        <w:snapToGrid w:val="0"/>
        <w:spacing w:before="0" w:after="0" w:line="360" w:lineRule="auto"/>
        <w:ind w:firstLine="402" w:firstLineChars="200"/>
        <w:rPr>
          <w:rFonts w:hint="eastAsia" w:ascii="宋体" w:hAnsi="宋体" w:cs="宋体"/>
          <w:sz w:val="24"/>
          <w:szCs w:val="24"/>
        </w:rPr>
      </w:pPr>
      <w:r>
        <w:fldChar w:fldCharType="begin"/>
      </w:r>
      <w:r>
        <w:instrText xml:space="preserve"> HYPERLINK \l "_Toc8584" </w:instrText>
      </w:r>
      <w:r>
        <w:fldChar w:fldCharType="separate"/>
      </w:r>
      <w:r>
        <w:rPr>
          <w:rFonts w:hint="eastAsia" w:ascii="宋体" w:hAnsi="宋体" w:cs="宋体"/>
          <w:sz w:val="24"/>
          <w:szCs w:val="24"/>
        </w:rPr>
        <w:t>第五章  发包人要求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_Toc8584 \h </w:instrText>
      </w:r>
      <w:r>
        <w:rPr>
          <w:rFonts w:hint="eastAsia" w:ascii="宋体" w:hAnsi="宋体" w:cs="宋体"/>
          <w:sz w:val="24"/>
          <w:szCs w:val="24"/>
        </w:rPr>
        <w:fldChar w:fldCharType="separate"/>
      </w:r>
      <w:r>
        <w:rPr>
          <w:rFonts w:hint="eastAsia" w:ascii="宋体" w:hAnsi="宋体" w:cs="宋体"/>
          <w:sz w:val="24"/>
          <w:szCs w:val="24"/>
        </w:rPr>
        <w:t>160</w:t>
      </w:r>
      <w:r>
        <w:rPr>
          <w:rFonts w:hint="eastAsia" w:ascii="宋体" w:hAnsi="宋体" w:cs="宋体"/>
          <w:sz w:val="24"/>
          <w:szCs w:val="24"/>
        </w:rPr>
        <w:fldChar w:fldCharType="end"/>
      </w:r>
      <w:r>
        <w:rPr>
          <w:rFonts w:hint="eastAsia" w:ascii="宋体" w:hAnsi="宋体" w:cs="宋体"/>
          <w:sz w:val="24"/>
          <w:szCs w:val="24"/>
        </w:rPr>
        <w:fldChar w:fldCharType="end"/>
      </w:r>
    </w:p>
    <w:p w14:paraId="10583827">
      <w:pPr>
        <w:pStyle w:val="17"/>
        <w:tabs>
          <w:tab w:val="right" w:leader="dot" w:pos="9638"/>
        </w:tabs>
        <w:snapToGrid w:val="0"/>
        <w:spacing w:before="0" w:after="0" w:line="360" w:lineRule="auto"/>
        <w:ind w:firstLine="402" w:firstLineChars="200"/>
        <w:rPr>
          <w:rFonts w:hint="eastAsia" w:ascii="宋体" w:hAnsi="宋体" w:cs="宋体"/>
          <w:sz w:val="24"/>
          <w:szCs w:val="24"/>
        </w:rPr>
      </w:pPr>
      <w:r>
        <w:fldChar w:fldCharType="begin"/>
      </w:r>
      <w:r>
        <w:instrText xml:space="preserve"> HYPERLINK \l "_Toc12961" </w:instrText>
      </w:r>
      <w:r>
        <w:fldChar w:fldCharType="separate"/>
      </w:r>
      <w:r>
        <w:rPr>
          <w:rFonts w:hint="eastAsia" w:ascii="宋体" w:hAnsi="宋体" w:cs="宋体"/>
          <w:sz w:val="24"/>
          <w:szCs w:val="24"/>
        </w:rPr>
        <w:t>第六章  发包人提供的资料</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_Toc12961 \h </w:instrText>
      </w:r>
      <w:r>
        <w:rPr>
          <w:rFonts w:hint="eastAsia" w:ascii="宋体" w:hAnsi="宋体" w:cs="宋体"/>
          <w:sz w:val="24"/>
          <w:szCs w:val="24"/>
        </w:rPr>
        <w:fldChar w:fldCharType="separate"/>
      </w:r>
      <w:r>
        <w:rPr>
          <w:rFonts w:hint="eastAsia" w:ascii="宋体" w:hAnsi="宋体" w:cs="宋体"/>
          <w:sz w:val="24"/>
          <w:szCs w:val="24"/>
        </w:rPr>
        <w:t>162</w:t>
      </w:r>
      <w:r>
        <w:rPr>
          <w:rFonts w:hint="eastAsia" w:ascii="宋体" w:hAnsi="宋体" w:cs="宋体"/>
          <w:sz w:val="24"/>
          <w:szCs w:val="24"/>
        </w:rPr>
        <w:fldChar w:fldCharType="end"/>
      </w:r>
      <w:r>
        <w:rPr>
          <w:rFonts w:hint="eastAsia" w:ascii="宋体" w:hAnsi="宋体" w:cs="宋体"/>
          <w:sz w:val="24"/>
          <w:szCs w:val="24"/>
        </w:rPr>
        <w:fldChar w:fldCharType="end"/>
      </w:r>
    </w:p>
    <w:p w14:paraId="74C88145">
      <w:pPr>
        <w:pStyle w:val="17"/>
        <w:tabs>
          <w:tab w:val="right" w:leader="dot" w:pos="9638"/>
        </w:tabs>
        <w:snapToGrid w:val="0"/>
        <w:spacing w:before="0" w:after="0" w:line="360" w:lineRule="auto"/>
        <w:rPr>
          <w:rFonts w:hint="eastAsia" w:ascii="宋体" w:hAnsi="宋体" w:cs="宋体"/>
          <w:sz w:val="24"/>
          <w:szCs w:val="24"/>
        </w:rPr>
      </w:pPr>
      <w:r>
        <w:fldChar w:fldCharType="begin"/>
      </w:r>
      <w:r>
        <w:instrText xml:space="preserve"> HYPERLINK \l "_Toc1216" </w:instrText>
      </w:r>
      <w:r>
        <w:fldChar w:fldCharType="separate"/>
      </w:r>
      <w:r>
        <w:rPr>
          <w:rFonts w:hint="eastAsia" w:ascii="宋体" w:hAnsi="宋体" w:cs="宋体"/>
          <w:sz w:val="24"/>
          <w:szCs w:val="24"/>
        </w:rPr>
        <w:t>第三卷</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_Toc1216 \h </w:instrText>
      </w:r>
      <w:r>
        <w:rPr>
          <w:rFonts w:hint="eastAsia" w:ascii="宋体" w:hAnsi="宋体" w:cs="宋体"/>
          <w:sz w:val="24"/>
          <w:szCs w:val="24"/>
        </w:rPr>
        <w:fldChar w:fldCharType="separate"/>
      </w:r>
      <w:r>
        <w:rPr>
          <w:rFonts w:hint="eastAsia" w:ascii="宋体" w:hAnsi="宋体" w:cs="宋体"/>
          <w:sz w:val="24"/>
          <w:szCs w:val="24"/>
        </w:rPr>
        <w:t>164</w:t>
      </w:r>
      <w:r>
        <w:rPr>
          <w:rFonts w:hint="eastAsia" w:ascii="宋体" w:hAnsi="宋体" w:cs="宋体"/>
          <w:sz w:val="24"/>
          <w:szCs w:val="24"/>
        </w:rPr>
        <w:fldChar w:fldCharType="end"/>
      </w:r>
      <w:r>
        <w:rPr>
          <w:rFonts w:hint="eastAsia" w:ascii="宋体" w:hAnsi="宋体" w:cs="宋体"/>
          <w:sz w:val="24"/>
          <w:szCs w:val="24"/>
        </w:rPr>
        <w:fldChar w:fldCharType="end"/>
      </w:r>
    </w:p>
    <w:p w14:paraId="7D04E089">
      <w:pPr>
        <w:pStyle w:val="17"/>
        <w:tabs>
          <w:tab w:val="right" w:leader="dot" w:pos="9638"/>
        </w:tabs>
        <w:snapToGrid w:val="0"/>
        <w:spacing w:before="0" w:after="0" w:line="360" w:lineRule="auto"/>
        <w:ind w:firstLine="402" w:firstLineChars="200"/>
        <w:rPr>
          <w:rFonts w:hint="eastAsia" w:ascii="宋体" w:hAnsi="宋体" w:cs="宋体"/>
          <w:sz w:val="24"/>
          <w:szCs w:val="24"/>
        </w:rPr>
      </w:pPr>
      <w:r>
        <w:fldChar w:fldCharType="begin"/>
      </w:r>
      <w:r>
        <w:instrText xml:space="preserve"> HYPERLINK \l "_Toc8430" </w:instrText>
      </w:r>
      <w:r>
        <w:fldChar w:fldCharType="separate"/>
      </w:r>
      <w:r>
        <w:rPr>
          <w:rFonts w:hint="eastAsia" w:ascii="宋体" w:hAnsi="宋体" w:cs="宋体"/>
          <w:sz w:val="24"/>
          <w:szCs w:val="24"/>
        </w:rPr>
        <w:t>第七章  投标文件格式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_Toc8430 \h </w:instrText>
      </w:r>
      <w:r>
        <w:rPr>
          <w:rFonts w:hint="eastAsia" w:ascii="宋体" w:hAnsi="宋体" w:cs="宋体"/>
          <w:sz w:val="24"/>
          <w:szCs w:val="24"/>
        </w:rPr>
        <w:fldChar w:fldCharType="separate"/>
      </w:r>
      <w:r>
        <w:rPr>
          <w:rFonts w:hint="eastAsia" w:ascii="宋体" w:hAnsi="宋体" w:cs="宋体"/>
          <w:sz w:val="24"/>
          <w:szCs w:val="24"/>
        </w:rPr>
        <w:t>165</w:t>
      </w:r>
      <w:r>
        <w:rPr>
          <w:rFonts w:hint="eastAsia" w:ascii="宋体" w:hAnsi="宋体" w:cs="宋体"/>
          <w:sz w:val="24"/>
          <w:szCs w:val="24"/>
        </w:rPr>
        <w:fldChar w:fldCharType="end"/>
      </w:r>
      <w:r>
        <w:rPr>
          <w:rFonts w:hint="eastAsia" w:ascii="宋体" w:hAnsi="宋体" w:cs="宋体"/>
          <w:sz w:val="24"/>
          <w:szCs w:val="24"/>
        </w:rPr>
        <w:fldChar w:fldCharType="end"/>
      </w:r>
    </w:p>
    <w:p w14:paraId="6DD46A72">
      <w:pPr>
        <w:pStyle w:val="12"/>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"_Toc14848" </w:instrText>
      </w:r>
      <w:r>
        <w:fldChar w:fldCharType="separate"/>
      </w:r>
      <w:r>
        <w:rPr>
          <w:rFonts w:hint="eastAsia" w:ascii="宋体" w:hAnsi="宋体" w:cs="宋体"/>
          <w:bCs/>
          <w:sz w:val="24"/>
          <w:szCs w:val="24"/>
        </w:rPr>
        <w:t>第一部分  投标函部分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_Toc14848 \h </w:instrText>
      </w:r>
      <w:r>
        <w:rPr>
          <w:rFonts w:hint="eastAsia" w:ascii="宋体" w:hAnsi="宋体" w:cs="宋体"/>
          <w:sz w:val="24"/>
          <w:szCs w:val="24"/>
        </w:rPr>
        <w:fldChar w:fldCharType="separate"/>
      </w:r>
      <w:r>
        <w:rPr>
          <w:rFonts w:hint="eastAsia" w:ascii="宋体" w:hAnsi="宋体" w:cs="宋体"/>
          <w:sz w:val="24"/>
          <w:szCs w:val="24"/>
        </w:rPr>
        <w:t>166</w:t>
      </w:r>
      <w:r>
        <w:rPr>
          <w:rFonts w:hint="eastAsia" w:ascii="宋体" w:hAnsi="宋体" w:cs="宋体"/>
          <w:sz w:val="24"/>
          <w:szCs w:val="24"/>
        </w:rPr>
        <w:fldChar w:fldCharType="end"/>
      </w:r>
      <w:r>
        <w:rPr>
          <w:rFonts w:hint="eastAsia" w:ascii="宋体" w:hAnsi="宋体" w:cs="宋体"/>
          <w:sz w:val="24"/>
          <w:szCs w:val="24"/>
        </w:rPr>
        <w:fldChar w:fldCharType="end"/>
      </w:r>
    </w:p>
    <w:p w14:paraId="166D1AC4">
      <w:pPr>
        <w:pStyle w:val="12"/>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"_Toc22439" </w:instrText>
      </w:r>
      <w:r>
        <w:fldChar w:fldCharType="separate"/>
      </w:r>
      <w:r>
        <w:rPr>
          <w:rFonts w:hint="eastAsia" w:ascii="宋体" w:hAnsi="宋体" w:cs="宋体"/>
          <w:bCs/>
          <w:sz w:val="24"/>
          <w:szCs w:val="24"/>
        </w:rPr>
        <w:t>第二部分  资格审查部分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_Toc22439 \h </w:instrText>
      </w:r>
      <w:r>
        <w:rPr>
          <w:rFonts w:hint="eastAsia" w:ascii="宋体" w:hAnsi="宋体" w:cs="宋体"/>
          <w:sz w:val="24"/>
          <w:szCs w:val="24"/>
        </w:rPr>
        <w:fldChar w:fldCharType="separate"/>
      </w:r>
      <w:r>
        <w:rPr>
          <w:rFonts w:hint="eastAsia" w:ascii="宋体" w:hAnsi="宋体" w:cs="宋体"/>
          <w:sz w:val="24"/>
          <w:szCs w:val="24"/>
        </w:rPr>
        <w:t>174</w:t>
      </w:r>
      <w:r>
        <w:rPr>
          <w:rFonts w:hint="eastAsia" w:ascii="宋体" w:hAnsi="宋体" w:cs="宋体"/>
          <w:sz w:val="24"/>
          <w:szCs w:val="24"/>
        </w:rPr>
        <w:fldChar w:fldCharType="end"/>
      </w:r>
      <w:r>
        <w:rPr>
          <w:rFonts w:hint="eastAsia" w:ascii="宋体" w:hAnsi="宋体" w:cs="宋体"/>
          <w:sz w:val="24"/>
          <w:szCs w:val="24"/>
        </w:rPr>
        <w:fldChar w:fldCharType="end"/>
      </w:r>
    </w:p>
    <w:p w14:paraId="2D3CEB18">
      <w:pPr>
        <w:pStyle w:val="21"/>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"_Toc4368" </w:instrText>
      </w:r>
      <w:r>
        <w:fldChar w:fldCharType="separate"/>
      </w:r>
      <w:r>
        <w:rPr>
          <w:rFonts w:hint="eastAsia" w:ascii="宋体" w:hAnsi="宋体" w:cs="宋体"/>
          <w:bCs/>
          <w:sz w:val="24"/>
          <w:szCs w:val="24"/>
        </w:rPr>
        <w:t>第三部分   商务部分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_Toc4368 \h </w:instrText>
      </w:r>
      <w:r>
        <w:rPr>
          <w:rFonts w:hint="eastAsia" w:ascii="宋体" w:hAnsi="宋体" w:cs="宋体"/>
          <w:sz w:val="24"/>
          <w:szCs w:val="24"/>
        </w:rPr>
        <w:fldChar w:fldCharType="separate"/>
      </w:r>
      <w:r>
        <w:rPr>
          <w:rFonts w:hint="eastAsia" w:ascii="宋体" w:hAnsi="宋体" w:cs="宋体"/>
          <w:sz w:val="24"/>
          <w:szCs w:val="24"/>
        </w:rPr>
        <w:t>186</w:t>
      </w:r>
      <w:r>
        <w:rPr>
          <w:rFonts w:hint="eastAsia" w:ascii="宋体" w:hAnsi="宋体" w:cs="宋体"/>
          <w:sz w:val="24"/>
          <w:szCs w:val="24"/>
        </w:rPr>
        <w:fldChar w:fldCharType="end"/>
      </w:r>
      <w:r>
        <w:rPr>
          <w:rFonts w:hint="eastAsia" w:ascii="宋体" w:hAnsi="宋体" w:cs="宋体"/>
          <w:sz w:val="24"/>
          <w:szCs w:val="24"/>
        </w:rPr>
        <w:fldChar w:fldCharType="end"/>
      </w:r>
    </w:p>
    <w:p w14:paraId="18771021">
      <w:pPr>
        <w:pStyle w:val="12"/>
        <w:tabs>
          <w:tab w:val="right" w:leader="dot" w:pos="9638"/>
        </w:tabs>
        <w:snapToGrid w:val="0"/>
        <w:spacing w:line="360" w:lineRule="auto"/>
        <w:ind w:left="0" w:firstLine="800" w:firstLineChars="400"/>
        <w:rPr>
          <w:rFonts w:hint="eastAsia" w:ascii="宋体" w:hAnsi="宋体" w:cs="宋体"/>
          <w:sz w:val="24"/>
          <w:szCs w:val="24"/>
        </w:rPr>
      </w:pPr>
      <w:r>
        <w:fldChar w:fldCharType="begin"/>
      </w:r>
      <w:r>
        <w:instrText xml:space="preserve"> HYPERLINK \l "_Toc20642" </w:instrText>
      </w:r>
      <w:r>
        <w:fldChar w:fldCharType="separate"/>
      </w:r>
      <w:r>
        <w:rPr>
          <w:rFonts w:hint="eastAsia" w:ascii="宋体" w:hAnsi="宋体" w:cs="宋体"/>
          <w:bCs/>
          <w:sz w:val="24"/>
          <w:szCs w:val="24"/>
        </w:rPr>
        <w:t>第四部分  技术标部分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_Toc20642 \h </w:instrText>
      </w:r>
      <w:r>
        <w:rPr>
          <w:rFonts w:hint="eastAsia" w:ascii="宋体" w:hAnsi="宋体" w:cs="宋体"/>
          <w:sz w:val="24"/>
          <w:szCs w:val="24"/>
        </w:rPr>
        <w:fldChar w:fldCharType="separate"/>
      </w:r>
      <w:r>
        <w:rPr>
          <w:rFonts w:hint="eastAsia" w:ascii="宋体" w:hAnsi="宋体" w:cs="宋体"/>
          <w:sz w:val="24"/>
          <w:szCs w:val="24"/>
        </w:rPr>
        <w:t>189</w:t>
      </w:r>
      <w:r>
        <w:rPr>
          <w:rFonts w:hint="eastAsia" w:ascii="宋体" w:hAnsi="宋体" w:cs="宋体"/>
          <w:sz w:val="24"/>
          <w:szCs w:val="24"/>
        </w:rPr>
        <w:fldChar w:fldCharType="end"/>
      </w:r>
      <w:r>
        <w:rPr>
          <w:rFonts w:hint="eastAsia" w:ascii="宋体" w:hAnsi="宋体" w:cs="宋体"/>
          <w:sz w:val="24"/>
          <w:szCs w:val="24"/>
        </w:rPr>
        <w:fldChar w:fldCharType="end"/>
      </w:r>
    </w:p>
    <w:bookmarkEnd w:id="1"/>
    <w:bookmarkEnd w:id="2"/>
    <w:bookmarkEnd w:id="3"/>
    <w:bookmarkEnd w:id="4"/>
    <w:bookmarkEnd w:id="5"/>
    <w:bookmarkEnd w:id="6"/>
    <w:p w14:paraId="378391EF">
      <w:pPr>
        <w:snapToGrid w:val="0"/>
        <w:spacing w:line="360" w:lineRule="auto"/>
        <w:rPr>
          <w:rFonts w:ascii="宋体" w:cs="Times New Roman"/>
          <w:b/>
          <w:bCs/>
          <w:sz w:val="32"/>
          <w:szCs w:val="32"/>
        </w:rPr>
        <w:sectPr>
          <w:headerReference r:id="rId3" w:type="default"/>
          <w:footerReference r:id="rId4" w:type="default"/>
          <w:pgSz w:w="11905" w:h="16838"/>
          <w:pgMar w:top="1417" w:right="1417" w:bottom="1304" w:left="1417" w:header="850" w:footer="992" w:gutter="0"/>
          <w:pgNumType w:start="1"/>
          <w:cols w:space="0" w:num="1"/>
          <w:docGrid w:type="lines" w:linePitch="314" w:charSpace="0"/>
        </w:sectPr>
      </w:pPr>
      <w:bookmarkStart w:id="8" w:name="_Toc247513932"/>
      <w:bookmarkStart w:id="9" w:name="_Toc247527533"/>
      <w:bookmarkStart w:id="10" w:name="_Toc144974479"/>
      <w:bookmarkStart w:id="11" w:name="_Toc152042287"/>
      <w:bookmarkStart w:id="12" w:name="_Toc152045511"/>
      <w:r>
        <w:rPr>
          <w:rFonts w:hint="eastAsia" w:ascii="宋体" w:hAnsi="宋体" w:cs="宋体"/>
          <w:sz w:val="24"/>
          <w:szCs w:val="24"/>
        </w:rPr>
        <w:fldChar w:fldCharType="end"/>
      </w:r>
    </w:p>
    <w:p w14:paraId="16CAB5BE">
      <w:pPr>
        <w:autoSpaceDE w:val="0"/>
        <w:autoSpaceDN w:val="0"/>
        <w:adjustRightInd w:val="0"/>
        <w:spacing w:line="360" w:lineRule="auto"/>
        <w:rPr>
          <w:rFonts w:ascii="宋体" w:cs="Times New Roman"/>
          <w:lang w:val="zh-CN"/>
        </w:rPr>
      </w:pPr>
    </w:p>
    <w:p w14:paraId="2CBFDFE3">
      <w:pPr>
        <w:autoSpaceDE w:val="0"/>
        <w:autoSpaceDN w:val="0"/>
        <w:adjustRightInd w:val="0"/>
        <w:spacing w:line="360" w:lineRule="auto"/>
        <w:rPr>
          <w:rFonts w:ascii="宋体" w:cs="Times New Roman"/>
          <w:lang w:val="zh-CN"/>
        </w:rPr>
      </w:pPr>
    </w:p>
    <w:p w14:paraId="6EFF8A1C">
      <w:pPr>
        <w:autoSpaceDE w:val="0"/>
        <w:autoSpaceDN w:val="0"/>
        <w:adjustRightInd w:val="0"/>
        <w:spacing w:line="360" w:lineRule="auto"/>
        <w:rPr>
          <w:rFonts w:ascii="宋体" w:cs="Times New Roman"/>
          <w:lang w:val="zh-CN"/>
        </w:rPr>
      </w:pPr>
    </w:p>
    <w:p w14:paraId="657DD2E7">
      <w:pPr>
        <w:autoSpaceDE w:val="0"/>
        <w:autoSpaceDN w:val="0"/>
        <w:adjustRightInd w:val="0"/>
        <w:spacing w:line="360" w:lineRule="auto"/>
        <w:rPr>
          <w:rFonts w:ascii="宋体" w:cs="Times New Roman"/>
          <w:lang w:val="zh-CN"/>
        </w:rPr>
      </w:pPr>
    </w:p>
    <w:p w14:paraId="47957C77">
      <w:pPr>
        <w:autoSpaceDE w:val="0"/>
        <w:autoSpaceDN w:val="0"/>
        <w:adjustRightInd w:val="0"/>
        <w:spacing w:line="360" w:lineRule="auto"/>
        <w:rPr>
          <w:rFonts w:ascii="宋体" w:cs="Times New Roman"/>
          <w:lang w:val="zh-CN"/>
        </w:rPr>
      </w:pPr>
    </w:p>
    <w:bookmarkEnd w:id="8"/>
    <w:bookmarkEnd w:id="9"/>
    <w:p w14:paraId="14027A29">
      <w:pPr>
        <w:pStyle w:val="2"/>
        <w:jc w:val="center"/>
        <w:rPr>
          <w:rFonts w:cs="Times New Roman"/>
        </w:rPr>
      </w:pPr>
      <w:bookmarkStart w:id="13" w:name="_Toc19303"/>
      <w:bookmarkEnd w:id="13"/>
      <w:bookmarkStart w:id="14" w:name="_Toc15071"/>
      <w:bookmarkEnd w:id="14"/>
      <w:r>
        <w:rPr>
          <w:rFonts w:hint="eastAsia" w:cs="宋体"/>
        </w:rPr>
        <w:t>第一卷</w:t>
      </w:r>
    </w:p>
    <w:bookmarkEnd w:id="10"/>
    <w:bookmarkEnd w:id="11"/>
    <w:bookmarkEnd w:id="12"/>
    <w:p w14:paraId="5F00C1DD">
      <w:pPr>
        <w:pStyle w:val="2"/>
        <w:spacing w:line="380" w:lineRule="exact"/>
        <w:jc w:val="center"/>
        <w:rPr>
          <w:rFonts w:cs="Times New Roman"/>
          <w:sz w:val="32"/>
          <w:szCs w:val="32"/>
        </w:rPr>
      </w:pPr>
      <w:bookmarkStart w:id="15" w:name="_Toc16154_WPSOffice_Level1"/>
      <w:bookmarkEnd w:id="15"/>
      <w:bookmarkStart w:id="16" w:name="_Toc29513"/>
      <w:bookmarkEnd w:id="16"/>
      <w:bookmarkStart w:id="17" w:name="_Toc5230_WPSOffice_Level1"/>
      <w:bookmarkEnd w:id="17"/>
      <w:bookmarkStart w:id="18" w:name="_Toc247527534"/>
      <w:bookmarkEnd w:id="18"/>
      <w:bookmarkStart w:id="19" w:name="_Toc10444"/>
      <w:bookmarkEnd w:id="19"/>
      <w:bookmarkStart w:id="20" w:name="_Toc247513933"/>
      <w:bookmarkEnd w:id="20"/>
      <w:bookmarkStart w:id="21" w:name="_Toc247527551"/>
      <w:bookmarkStart w:id="22" w:name="_Toc152042303"/>
      <w:bookmarkStart w:id="23" w:name="_Toc152045527"/>
      <w:bookmarkStart w:id="24" w:name="_Toc247513950"/>
      <w:bookmarkStart w:id="25" w:name="_Toc144974495"/>
      <w:r>
        <w:rPr>
          <w:rFonts w:cs="Times New Roman"/>
        </w:rPr>
        <w:br w:type="page"/>
      </w:r>
      <w:r>
        <w:rPr>
          <w:rFonts w:hint="eastAsia" w:cs="宋体"/>
          <w:sz w:val="36"/>
          <w:szCs w:val="36"/>
        </w:rPr>
        <w:t>第一章  招标公告</w:t>
      </w:r>
    </w:p>
    <w:p w14:paraId="7926E2A1">
      <w:pPr>
        <w:tabs>
          <w:tab w:val="left" w:pos="142"/>
        </w:tabs>
        <w:autoSpaceDE w:val="0"/>
        <w:autoSpaceDN w:val="0"/>
        <w:spacing w:line="400" w:lineRule="exact"/>
        <w:jc w:val="center"/>
        <w:outlineLvl w:val="1"/>
        <w:rPr>
          <w:rFonts w:hint="eastAsia" w:ascii="宋体" w:hAnsi="宋体" w:cs="宋体"/>
          <w:b/>
          <w:bCs/>
          <w:sz w:val="30"/>
          <w:szCs w:val="30"/>
        </w:rPr>
      </w:pPr>
      <w:bookmarkStart w:id="26" w:name="_Toc15145_WPSOffice_Level2"/>
      <w:bookmarkStart w:id="27" w:name="_Toc24945_WPSOffice_Level2"/>
      <w:r>
        <w:rPr>
          <w:rFonts w:hint="eastAsia" w:ascii="宋体" w:hAnsi="宋体" w:cs="宋体"/>
          <w:b/>
          <w:bCs/>
          <w:sz w:val="30"/>
          <w:szCs w:val="30"/>
        </w:rPr>
        <w:t>姚安县官屯加油站建设项目设计施工总承包（EPC）</w:t>
      </w:r>
    </w:p>
    <w:bookmarkEnd w:id="26"/>
    <w:bookmarkEnd w:id="27"/>
    <w:p w14:paraId="425A00AF">
      <w:pPr>
        <w:tabs>
          <w:tab w:val="left" w:pos="142"/>
        </w:tabs>
        <w:autoSpaceDE w:val="0"/>
        <w:autoSpaceDN w:val="0"/>
        <w:spacing w:line="400" w:lineRule="exact"/>
        <w:jc w:val="center"/>
        <w:rPr>
          <w:rFonts w:ascii="宋体" w:cs="Times New Roman"/>
          <w:sz w:val="30"/>
          <w:szCs w:val="30"/>
        </w:rPr>
      </w:pPr>
      <w:r>
        <w:rPr>
          <w:rFonts w:hint="eastAsia" w:ascii="宋体" w:hAnsi="宋体" w:cs="宋体"/>
          <w:b/>
          <w:bCs/>
          <w:sz w:val="30"/>
          <w:szCs w:val="30"/>
        </w:rPr>
        <w:t>招标公告</w:t>
      </w:r>
    </w:p>
    <w:p w14:paraId="2D857763">
      <w:pPr>
        <w:autoSpaceDE w:val="0"/>
        <w:autoSpaceDN w:val="0"/>
        <w:adjustRightInd w:val="0"/>
        <w:snapToGrid w:val="0"/>
        <w:spacing w:line="360" w:lineRule="auto"/>
        <w:outlineLvl w:val="1"/>
        <w:rPr>
          <w:rFonts w:ascii="宋体" w:cs="Times New Roman"/>
          <w:b/>
          <w:bCs/>
          <w:lang w:val="zh-CN"/>
        </w:rPr>
      </w:pPr>
      <w:bookmarkStart w:id="28" w:name="_Toc13174_WPSOffice_Level2"/>
      <w:bookmarkEnd w:id="28"/>
      <w:bookmarkStart w:id="29" w:name="_Toc22838_WPSOffice_Level2"/>
      <w:bookmarkEnd w:id="29"/>
      <w:bookmarkStart w:id="30" w:name="_Toc970"/>
      <w:bookmarkEnd w:id="30"/>
      <w:r>
        <w:rPr>
          <w:rFonts w:hint="eastAsia" w:ascii="宋体" w:hAnsi="宋体" w:cs="宋体"/>
          <w:b/>
          <w:bCs/>
          <w:lang w:val="zh-CN"/>
        </w:rPr>
        <w:t>1.招标条件</w:t>
      </w:r>
    </w:p>
    <w:p w14:paraId="7AE7F535">
      <w:pPr>
        <w:snapToGrid w:val="0"/>
        <w:spacing w:line="360" w:lineRule="auto"/>
        <w:ind w:firstLine="420" w:firstLineChars="200"/>
        <w:rPr>
          <w:rFonts w:hint="eastAsia" w:ascii="宋体" w:hAnsi="宋体" w:cs="宋体"/>
          <w:lang w:val="zh-CN"/>
        </w:rPr>
      </w:pPr>
      <w:bookmarkStart w:id="31" w:name="_Toc8104_WPSOffice_Level2"/>
      <w:bookmarkStart w:id="32" w:name="_Toc45896593"/>
      <w:bookmarkStart w:id="33" w:name="_Toc17087_WPSOffice_Level2"/>
      <w:bookmarkStart w:id="34" w:name="_Toc45896889"/>
      <w:bookmarkStart w:id="35" w:name="_Toc6095"/>
      <w:r>
        <w:rPr>
          <w:rFonts w:hint="eastAsia" w:ascii="宋体" w:hAnsi="宋体" w:cs="宋体"/>
          <w:lang w:val="zh-CN"/>
        </w:rPr>
        <w:t>姚安县官屯加油站建设项目已由姚安县发展和改革局</w:t>
      </w:r>
      <w:r>
        <w:rPr>
          <w:rFonts w:hint="eastAsia" w:ascii="宋体" w:hAnsi="宋体" w:cs="宋体"/>
        </w:rPr>
        <w:t>以</w:t>
      </w:r>
      <w:r>
        <w:rPr>
          <w:spacing w:val="-1"/>
        </w:rPr>
        <w:t>《</w:t>
      </w:r>
      <w:r>
        <w:t>姚安县官屯加油站建设项目</w:t>
      </w:r>
      <w:r>
        <w:rPr>
          <w:rFonts w:hint="eastAsia"/>
          <w:spacing w:val="-1"/>
        </w:rPr>
        <w:t>云南省固定资产投资项目备案证</w:t>
      </w:r>
      <w:r>
        <w:rPr>
          <w:spacing w:val="4"/>
        </w:rPr>
        <w:t>》</w:t>
      </w:r>
      <w:r>
        <w:rPr>
          <w:rFonts w:hint="eastAsia" w:ascii="宋体" w:hAnsi="宋体" w:cs="宋体"/>
          <w:lang w:val="zh-CN"/>
        </w:rPr>
        <w:t>（备案号：</w:t>
      </w:r>
      <w:r>
        <w:rPr>
          <w:rFonts w:hint="eastAsia" w:ascii="宋体" w:hAnsi="宋体" w:cs="宋体"/>
        </w:rPr>
        <w:t>【项目代码】2601-532325-04-01-788105</w:t>
      </w:r>
      <w:r>
        <w:rPr>
          <w:rFonts w:hint="eastAsia" w:ascii="宋体" w:hAnsi="宋体" w:cs="宋体"/>
          <w:lang w:val="zh-CN"/>
        </w:rPr>
        <w:t>）批准建设，建设资金为自筹及融资，资金已落实。招标人为姚安县工业开发投资有限公司，招标代理机构为云南策澜工程管理服务有限公司。项目已具备招标条件，现对该项目设计施工总承包(EPC）进行公开招标。</w:t>
      </w:r>
    </w:p>
    <w:bookmarkEnd w:id="31"/>
    <w:bookmarkEnd w:id="32"/>
    <w:bookmarkEnd w:id="33"/>
    <w:bookmarkEnd w:id="34"/>
    <w:bookmarkEnd w:id="35"/>
    <w:p w14:paraId="1F6A2DC3">
      <w:pPr>
        <w:autoSpaceDE w:val="0"/>
        <w:autoSpaceDN w:val="0"/>
        <w:adjustRightInd w:val="0"/>
        <w:snapToGrid w:val="0"/>
        <w:spacing w:line="360" w:lineRule="auto"/>
        <w:outlineLvl w:val="1"/>
        <w:rPr>
          <w:rFonts w:cs="Times New Roman"/>
          <w:b/>
          <w:bCs/>
          <w:lang w:val="zh-CN"/>
        </w:rPr>
      </w:pPr>
      <w:bookmarkStart w:id="36" w:name="_Toc16682"/>
      <w:bookmarkEnd w:id="36"/>
      <w:r>
        <w:rPr>
          <w:rFonts w:hint="eastAsia" w:cs="Times New Roman"/>
          <w:b/>
          <w:bCs/>
          <w:lang w:val="zh-CN"/>
        </w:rPr>
        <w:t>2.</w:t>
      </w:r>
      <w:r>
        <w:rPr>
          <w:rFonts w:hint="eastAsia" w:cs="宋体"/>
          <w:b/>
          <w:bCs/>
          <w:lang w:val="zh-CN"/>
        </w:rPr>
        <w:t>项目概况与招标范围</w:t>
      </w:r>
    </w:p>
    <w:p w14:paraId="2DE49393">
      <w:pPr>
        <w:snapToGrid w:val="0"/>
        <w:spacing w:line="360" w:lineRule="auto"/>
        <w:ind w:firstLine="424" w:firstLineChars="202"/>
        <w:rPr>
          <w:rFonts w:hint="eastAsia" w:ascii="宋体" w:hAnsi="宋体" w:cs="宋体"/>
        </w:rPr>
      </w:pPr>
      <w:r>
        <w:rPr>
          <w:rFonts w:hint="eastAsia" w:ascii="宋体" w:hAnsi="宋体" w:cs="宋体"/>
          <w:lang w:val="zh-CN"/>
        </w:rPr>
        <w:t>2.1项目名称：姚安县官屯加油站建设项目设计施工总承包（EPC）。</w:t>
      </w:r>
      <w:r>
        <w:rPr>
          <w:rFonts w:hint="eastAsia" w:ascii="宋体" w:hAnsi="宋体" w:cs="宋体"/>
        </w:rPr>
        <w:t xml:space="preserve"> </w:t>
      </w:r>
    </w:p>
    <w:p w14:paraId="65A100CD">
      <w:pPr>
        <w:snapToGrid w:val="0"/>
        <w:spacing w:line="360" w:lineRule="auto"/>
        <w:ind w:firstLine="424" w:firstLineChars="202"/>
        <w:rPr>
          <w:rFonts w:hint="eastAsia" w:ascii="宋体" w:hAnsi="宋体" w:cs="宋体"/>
        </w:rPr>
      </w:pPr>
      <w:r>
        <w:rPr>
          <w:rFonts w:hint="eastAsia" w:ascii="宋体" w:hAnsi="宋体" w:cs="宋体"/>
          <w:lang w:val="zh-CN"/>
        </w:rPr>
        <w:t>2.2建设地点：姚安县官屯镇山坡村委会姚苴公路旁。</w:t>
      </w:r>
    </w:p>
    <w:p w14:paraId="7C40264E">
      <w:pPr>
        <w:snapToGrid w:val="0"/>
        <w:spacing w:line="360" w:lineRule="auto"/>
        <w:ind w:firstLine="420" w:firstLineChars="200"/>
        <w:outlineLvl w:val="2"/>
        <w:rPr>
          <w:rFonts w:hint="eastAsia" w:ascii="宋体" w:hAnsi="宋体" w:cs="宋体"/>
          <w:lang w:val="zh-CN"/>
        </w:rPr>
      </w:pPr>
      <w:r>
        <w:rPr>
          <w:rFonts w:hint="eastAsia" w:ascii="宋体" w:hAnsi="宋体" w:cs="宋体"/>
          <w:lang w:val="zh-CN"/>
        </w:rPr>
        <w:t>2.3 建设内容及规模：建设一座三级加油站和四级室外充电站合建站，项目总用地面积约4099.01平方米，总建筑面积约471.9平方米，主要建设内容包括:新建加油站站房建筑面积约158.4平方米；加油罩棚建筑面积约264平方米；充电车棚建筑面积约49.5平方米。</w:t>
      </w:r>
    </w:p>
    <w:p w14:paraId="76A0C5B0">
      <w:pPr>
        <w:snapToGrid w:val="0"/>
        <w:spacing w:line="360" w:lineRule="auto"/>
        <w:ind w:firstLine="420" w:firstLineChars="200"/>
        <w:outlineLvl w:val="2"/>
        <w:rPr>
          <w:rFonts w:hint="default" w:ascii="宋体" w:hAnsi="宋体" w:eastAsia="宋体" w:cs="宋体"/>
          <w:lang w:val="en-US" w:eastAsia="zh-CN"/>
        </w:rPr>
      </w:pPr>
      <w:r>
        <w:rPr>
          <w:rFonts w:hint="eastAsia" w:ascii="宋体" w:hAnsi="宋体" w:cs="宋体"/>
          <w:lang w:val="en-US" w:eastAsia="zh-CN"/>
        </w:rPr>
        <w:t>2.4投资概算及建设资金来源：本项目估算总投资965万元，建安工程费</w:t>
      </w:r>
      <w:r>
        <w:rPr>
          <w:rFonts w:hint="eastAsia" w:ascii="宋体" w:hAnsi="宋体" w:cs="宋体"/>
          <w:b w:val="0"/>
          <w:bCs w:val="0"/>
          <w:color w:val="auto"/>
          <w:highlight w:val="none"/>
          <w:u w:val="none"/>
          <w:lang w:val="zh-CN"/>
        </w:rPr>
        <w:t>616.39万元</w:t>
      </w:r>
      <w:r>
        <w:rPr>
          <w:rFonts w:hint="eastAsia" w:ascii="宋体" w:hAnsi="宋体" w:cs="宋体"/>
          <w:lang w:val="en-US" w:eastAsia="zh-CN"/>
        </w:rPr>
        <w:t>，工程建设其他费用314.58万元，预备费34.03万元。</w:t>
      </w:r>
    </w:p>
    <w:p w14:paraId="710E5917">
      <w:pPr>
        <w:snapToGrid w:val="0"/>
        <w:spacing w:line="360" w:lineRule="auto"/>
        <w:ind w:firstLine="420" w:firstLineChars="200"/>
        <w:outlineLvl w:val="2"/>
        <w:rPr>
          <w:rFonts w:hint="eastAsia" w:ascii="宋体" w:hAnsi="宋体" w:eastAsia="宋体" w:cs="宋体"/>
          <w:color w:val="000000" w:themeColor="text1"/>
          <w:highlight w:val="red"/>
          <w:lang w:val="zh-CN" w:eastAsia="zh-CN"/>
          <w14:textFill>
            <w14:solidFill>
              <w14:schemeClr w14:val="tx1"/>
            </w14:solidFill>
          </w14:textFill>
        </w:rPr>
      </w:pPr>
      <w:r>
        <w:rPr>
          <w:rFonts w:hint="eastAsia" w:ascii="宋体" w:hAnsi="宋体" w:cs="宋体"/>
          <w:lang w:val="zh-CN"/>
        </w:rPr>
        <w:t>2.</w:t>
      </w:r>
      <w:r>
        <w:rPr>
          <w:rFonts w:hint="eastAsia" w:ascii="宋体" w:hAnsi="宋体" w:cs="宋体"/>
          <w:lang w:val="en-US" w:eastAsia="zh-CN"/>
        </w:rPr>
        <w:t>5</w:t>
      </w:r>
      <w:r>
        <w:rPr>
          <w:rFonts w:hint="eastAsia" w:ascii="宋体" w:hAnsi="宋体" w:cs="宋体"/>
          <w:lang w:val="zh-CN"/>
        </w:rPr>
        <w:t>工期要求：</w:t>
      </w:r>
      <w:r>
        <w:rPr>
          <w:rFonts w:hint="eastAsia" w:ascii="宋体" w:hAnsi="宋体" w:cs="宋体"/>
          <w:lang w:val="zh-CN" w:eastAsia="zh-CN"/>
        </w:rPr>
        <w:t>365日历天。</w:t>
      </w:r>
    </w:p>
    <w:p w14:paraId="0FA36AD6">
      <w:pPr>
        <w:snapToGrid w:val="0"/>
        <w:spacing w:line="360" w:lineRule="auto"/>
        <w:ind w:firstLine="420" w:firstLineChars="200"/>
        <w:rPr>
          <w:rFonts w:hint="eastAsia" w:ascii="宋体" w:hAnsi="宋体" w:cs="宋体"/>
          <w:lang w:val="zh-CN"/>
        </w:rPr>
      </w:pPr>
      <w:r>
        <w:rPr>
          <w:rFonts w:hint="eastAsia" w:ascii="宋体" w:hAnsi="宋体" w:cs="宋体"/>
          <w:lang w:val="zh-CN"/>
        </w:rPr>
        <w:t>2.</w:t>
      </w:r>
      <w:r>
        <w:rPr>
          <w:rFonts w:hint="eastAsia" w:ascii="宋体" w:hAnsi="宋体" w:cs="宋体"/>
          <w:lang w:val="en-US" w:eastAsia="zh-CN"/>
        </w:rPr>
        <w:t>6</w:t>
      </w:r>
      <w:r>
        <w:rPr>
          <w:rFonts w:hint="eastAsia" w:ascii="宋体" w:hAnsi="宋体" w:cs="宋体"/>
          <w:lang w:val="zh-CN"/>
        </w:rPr>
        <w:t xml:space="preserve"> 招标范围：本项目范围内全部施工图设计、设施设备采购</w:t>
      </w:r>
      <w:r>
        <w:rPr>
          <w:rFonts w:hint="eastAsia" w:ascii="宋体" w:hAnsi="宋体" w:cs="宋体"/>
        </w:rPr>
        <w:t>、</w:t>
      </w:r>
      <w:r>
        <w:rPr>
          <w:rFonts w:hint="eastAsia" w:ascii="宋体" w:hAnsi="宋体" w:cs="宋体"/>
          <w:lang w:val="zh-CN"/>
        </w:rPr>
        <w:t>工程</w:t>
      </w:r>
      <w:r>
        <w:rPr>
          <w:rFonts w:hint="eastAsia" w:ascii="宋体" w:hAnsi="宋体" w:cs="宋体"/>
        </w:rPr>
        <w:t>施工</w:t>
      </w:r>
      <w:r>
        <w:rPr>
          <w:rFonts w:hint="eastAsia" w:ascii="宋体" w:hAnsi="宋体" w:cs="宋体"/>
          <w:lang w:val="zh-CN"/>
        </w:rPr>
        <w:t>及项目实施过程中的配合服务。包括但不限于本项目的施工图设计、工程施工直至竣工验收合格及整体移交、工程缺陷期内的缺陷修复和保修期内的保修工作。</w:t>
      </w:r>
    </w:p>
    <w:p w14:paraId="0C4A5E75">
      <w:pPr>
        <w:snapToGrid w:val="0"/>
        <w:spacing w:line="360" w:lineRule="auto"/>
        <w:ind w:firstLine="420" w:firstLineChars="200"/>
        <w:rPr>
          <w:rFonts w:hint="eastAsia" w:ascii="宋体" w:hAnsi="宋体" w:cs="宋体"/>
          <w:lang w:val="zh-CN"/>
        </w:rPr>
      </w:pPr>
      <w:r>
        <w:rPr>
          <w:rFonts w:hint="eastAsia" w:ascii="宋体" w:hAnsi="宋体" w:cs="宋体"/>
          <w:lang w:val="zh-CN"/>
        </w:rPr>
        <w:t>2.</w:t>
      </w:r>
      <w:r>
        <w:rPr>
          <w:rFonts w:hint="eastAsia" w:ascii="宋体" w:hAnsi="宋体" w:cs="宋体"/>
          <w:lang w:val="en-US" w:eastAsia="zh-CN"/>
        </w:rPr>
        <w:t>6</w:t>
      </w:r>
      <w:r>
        <w:rPr>
          <w:rFonts w:hint="eastAsia" w:ascii="宋体" w:hAnsi="宋体" w:cs="宋体"/>
          <w:lang w:val="zh-CN"/>
        </w:rPr>
        <w:t>.</w:t>
      </w:r>
      <w:r>
        <w:rPr>
          <w:rFonts w:hint="eastAsia" w:ascii="宋体" w:hAnsi="宋体" w:cs="宋体"/>
        </w:rPr>
        <w:t>1</w:t>
      </w:r>
      <w:r>
        <w:rPr>
          <w:rFonts w:hint="eastAsia" w:ascii="宋体" w:hAnsi="宋体" w:cs="宋体"/>
          <w:lang w:val="zh-CN"/>
        </w:rPr>
        <w:t>设计(包括但不限于）：完成本项目建设内容范围内全部工程及配套设施等的施工图设计，完成设计全套成果资料制作；配合审图公司完成施工图审查；配合甲方完成行政主管部门的审批、专家咨询、组织专家论证会、资料收集等相关工作；施工过程中的全过程设计服务及协调工作，设计后期的跟踪服务等，工作范围以设计任务书及合同签订</w:t>
      </w:r>
      <w:r>
        <w:rPr>
          <w:rFonts w:hint="eastAsia" w:ascii="宋体" w:hAnsi="宋体" w:cs="宋体"/>
          <w:sz w:val="22"/>
          <w:szCs w:val="22"/>
          <w:lang w:val="zh-CN"/>
        </w:rPr>
        <w:t>内容</w:t>
      </w:r>
      <w:r>
        <w:rPr>
          <w:rFonts w:hint="eastAsia" w:ascii="宋体" w:hAnsi="宋体" w:cs="宋体"/>
          <w:lang w:val="zh-CN"/>
        </w:rPr>
        <w:t>为准。</w:t>
      </w:r>
    </w:p>
    <w:p w14:paraId="7C847883">
      <w:pPr>
        <w:snapToGrid w:val="0"/>
        <w:spacing w:line="360" w:lineRule="auto"/>
        <w:ind w:firstLine="420" w:firstLineChars="200"/>
        <w:rPr>
          <w:rFonts w:hint="eastAsia" w:ascii="宋体" w:hAnsi="宋体" w:cs="宋体"/>
          <w:lang w:val="zh-CN"/>
        </w:rPr>
      </w:pPr>
      <w:r>
        <w:rPr>
          <w:rFonts w:hint="eastAsia" w:ascii="宋体" w:hAnsi="宋体" w:cs="宋体"/>
          <w:lang w:val="zh-CN"/>
        </w:rPr>
        <w:t>2.</w:t>
      </w:r>
      <w:r>
        <w:rPr>
          <w:rFonts w:hint="eastAsia" w:ascii="宋体" w:hAnsi="宋体" w:cs="宋体"/>
          <w:lang w:val="en-US" w:eastAsia="zh-CN"/>
        </w:rPr>
        <w:t>6</w:t>
      </w:r>
      <w:r>
        <w:rPr>
          <w:rFonts w:hint="eastAsia" w:ascii="宋体" w:hAnsi="宋体" w:cs="宋体"/>
          <w:lang w:val="zh-CN"/>
        </w:rPr>
        <w:t>.</w:t>
      </w:r>
      <w:r>
        <w:rPr>
          <w:rFonts w:hint="eastAsia" w:ascii="宋体" w:hAnsi="宋体" w:cs="宋体"/>
        </w:rPr>
        <w:t>2</w:t>
      </w:r>
      <w:r>
        <w:rPr>
          <w:rFonts w:hint="eastAsia" w:ascii="宋体" w:hAnsi="宋体" w:cs="宋体"/>
          <w:lang w:val="zh-CN"/>
        </w:rPr>
        <w:t>施工(包括但不限于）：完成本项目经评审通过的施工图设计范围内的全部工程内容，材料、设备采购及安装、调试等工作，工程竣工验收、移交、交付使用、工程资料编制归档，配合办理工程建设相关行政审批等服务、工程保修期内的缺陷修复和保修工作等。</w:t>
      </w:r>
    </w:p>
    <w:p w14:paraId="16A024E5">
      <w:pPr>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2.</w:t>
      </w:r>
      <w:r>
        <w:rPr>
          <w:rFonts w:hint="eastAsia" w:ascii="宋体" w:hAnsi="宋体" w:cs="宋体"/>
          <w:lang w:val="en-US" w:eastAsia="zh-CN"/>
        </w:rPr>
        <w:t>7</w:t>
      </w:r>
      <w:r>
        <w:rPr>
          <w:rFonts w:hint="eastAsia" w:ascii="宋体" w:hAnsi="宋体" w:cs="宋体"/>
          <w:lang w:val="zh-CN"/>
        </w:rPr>
        <w:t>质量要求：</w:t>
      </w:r>
    </w:p>
    <w:p w14:paraId="6B882492">
      <w:pPr>
        <w:snapToGrid w:val="0"/>
        <w:spacing w:line="360" w:lineRule="auto"/>
        <w:ind w:firstLine="424" w:firstLineChars="202"/>
        <w:rPr>
          <w:rFonts w:hint="eastAsia" w:ascii="宋体" w:hAnsi="宋体" w:cs="宋体"/>
          <w:lang w:val="zh-CN"/>
        </w:rPr>
      </w:pPr>
      <w:r>
        <w:rPr>
          <w:rFonts w:hint="eastAsia" w:ascii="宋体" w:hAnsi="宋体" w:cs="宋体"/>
          <w:lang w:val="zh-CN"/>
        </w:rPr>
        <w:t>2.</w:t>
      </w:r>
      <w:r>
        <w:rPr>
          <w:rFonts w:hint="eastAsia" w:ascii="宋体" w:hAnsi="宋体" w:cs="宋体"/>
          <w:lang w:val="en-US" w:eastAsia="zh-CN"/>
        </w:rPr>
        <w:t>7</w:t>
      </w:r>
      <w:r>
        <w:rPr>
          <w:rFonts w:hint="eastAsia" w:ascii="宋体" w:hAnsi="宋体" w:cs="宋体"/>
          <w:lang w:val="zh-CN"/>
        </w:rPr>
        <w:t>.</w:t>
      </w:r>
      <w:r>
        <w:rPr>
          <w:rFonts w:hint="eastAsia" w:ascii="宋体" w:hAnsi="宋体" w:cs="宋体"/>
        </w:rPr>
        <w:t>1</w:t>
      </w:r>
      <w:r>
        <w:rPr>
          <w:rFonts w:hint="eastAsia" w:ascii="宋体" w:hAnsi="宋体" w:cs="宋体"/>
          <w:lang w:val="zh-CN"/>
        </w:rPr>
        <w:t>设计：在满足招标人提出的本项目使用功能要求的前提下进行限额设计，符合国家、行业及地方现行的相关标准及强制性规范，并对提供的设计成果质量终身负责。</w:t>
      </w:r>
    </w:p>
    <w:p w14:paraId="4BCED8D9">
      <w:pPr>
        <w:snapToGrid w:val="0"/>
        <w:spacing w:line="360" w:lineRule="auto"/>
        <w:ind w:firstLine="424" w:firstLineChars="202"/>
        <w:rPr>
          <w:rFonts w:hint="eastAsia" w:ascii="宋体" w:hAnsi="宋体" w:cs="宋体"/>
          <w:lang w:val="zh-CN"/>
        </w:rPr>
      </w:pPr>
      <w:r>
        <w:rPr>
          <w:rFonts w:hint="eastAsia" w:ascii="宋体" w:hAnsi="宋体" w:cs="宋体"/>
          <w:lang w:val="zh-CN"/>
        </w:rPr>
        <w:t>2.</w:t>
      </w:r>
      <w:r>
        <w:rPr>
          <w:rFonts w:hint="eastAsia" w:ascii="宋体" w:hAnsi="宋体" w:cs="宋体"/>
          <w:lang w:val="en-US" w:eastAsia="zh-CN"/>
        </w:rPr>
        <w:t>7</w:t>
      </w:r>
      <w:r>
        <w:rPr>
          <w:rFonts w:hint="eastAsia" w:ascii="宋体" w:hAnsi="宋体" w:cs="宋体"/>
          <w:lang w:val="zh-CN"/>
        </w:rPr>
        <w:t>.</w:t>
      </w:r>
      <w:r>
        <w:rPr>
          <w:rFonts w:hint="eastAsia" w:ascii="宋体" w:hAnsi="宋体" w:cs="宋体"/>
        </w:rPr>
        <w:t>2</w:t>
      </w:r>
      <w:r>
        <w:rPr>
          <w:rFonts w:hint="eastAsia" w:ascii="宋体" w:hAnsi="宋体" w:cs="宋体"/>
          <w:lang w:val="zh-CN"/>
        </w:rPr>
        <w:t>施工：符合设计要求，执行《建筑工程施工质量验收统一标准》(GB50300-2013）及国家省、市现行的质量验收标准，保证各专项工程通过验收，一次性验收合格，对施工质量终身负责。</w:t>
      </w:r>
    </w:p>
    <w:p w14:paraId="5E768968">
      <w:pPr>
        <w:snapToGrid w:val="0"/>
        <w:spacing w:line="360" w:lineRule="auto"/>
        <w:ind w:firstLine="424" w:firstLineChars="202"/>
        <w:rPr>
          <w:rFonts w:hint="eastAsia" w:ascii="宋体" w:hAnsi="宋体" w:cs="宋体"/>
          <w:lang w:val="zh-CN"/>
        </w:rPr>
      </w:pPr>
      <w:r>
        <w:rPr>
          <w:rFonts w:hint="eastAsia" w:ascii="宋体" w:hAnsi="宋体" w:cs="宋体"/>
          <w:lang w:val="zh-CN"/>
        </w:rPr>
        <w:t>2.</w:t>
      </w:r>
      <w:r>
        <w:rPr>
          <w:rFonts w:hint="eastAsia" w:ascii="宋体" w:hAnsi="宋体" w:cs="宋体"/>
          <w:lang w:val="en-US" w:eastAsia="zh-CN"/>
        </w:rPr>
        <w:t>7</w:t>
      </w:r>
      <w:r>
        <w:rPr>
          <w:rFonts w:hint="eastAsia" w:ascii="宋体" w:hAnsi="宋体" w:cs="宋体"/>
          <w:lang w:val="zh-CN"/>
        </w:rPr>
        <w:t>.</w:t>
      </w:r>
      <w:r>
        <w:rPr>
          <w:rFonts w:hint="eastAsia" w:ascii="宋体" w:hAnsi="宋体" w:cs="宋体"/>
        </w:rPr>
        <w:t>3</w:t>
      </w:r>
      <w:r>
        <w:rPr>
          <w:rFonts w:hint="eastAsia" w:ascii="宋体" w:hAnsi="宋体" w:cs="宋体"/>
          <w:lang w:val="zh-CN"/>
        </w:rPr>
        <w:t>总承包承诺：执行《建设项目工程总承包管理规范》(GB</w:t>
      </w:r>
      <w:r>
        <w:rPr>
          <w:rFonts w:hint="eastAsia" w:ascii="宋体" w:hAnsi="宋体" w:cs="宋体"/>
        </w:rPr>
        <w:t>/</w:t>
      </w:r>
      <w:r>
        <w:rPr>
          <w:rFonts w:hint="eastAsia" w:ascii="宋体" w:hAnsi="宋体" w:cs="宋体"/>
          <w:lang w:val="zh-CN"/>
        </w:rPr>
        <w:t>T</w:t>
      </w:r>
      <w:r>
        <w:rPr>
          <w:rFonts w:hint="eastAsia" w:ascii="宋体" w:hAnsi="宋体" w:cs="宋体"/>
        </w:rPr>
        <w:t xml:space="preserve"> </w:t>
      </w:r>
      <w:r>
        <w:rPr>
          <w:rFonts w:hint="eastAsia" w:ascii="宋体" w:hAnsi="宋体" w:cs="宋体"/>
          <w:lang w:val="zh-CN"/>
        </w:rPr>
        <w:t>50358-2017）及国家、省、市现行法规、规范的相关规定。</w:t>
      </w:r>
    </w:p>
    <w:p w14:paraId="2A4332C5">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2.</w:t>
      </w:r>
      <w:r>
        <w:rPr>
          <w:rFonts w:hint="eastAsia" w:ascii="宋体" w:hAnsi="宋体" w:cs="宋体"/>
          <w:lang w:val="en-US" w:eastAsia="zh-CN"/>
        </w:rPr>
        <w:t>8</w:t>
      </w:r>
      <w:r>
        <w:rPr>
          <w:rFonts w:hint="eastAsia" w:ascii="宋体" w:hAnsi="宋体" w:cs="宋体"/>
          <w:lang w:val="zh-CN"/>
        </w:rPr>
        <w:t>标段划分：本项目只设一个标段。</w:t>
      </w:r>
      <w:r>
        <w:rPr>
          <w:rFonts w:hint="eastAsia" w:ascii="宋体" w:hAnsi="宋体" w:cs="宋体"/>
          <w:lang w:val="zh-CN"/>
        </w:rPr>
        <w:tab/>
      </w:r>
    </w:p>
    <w:p w14:paraId="2CB38CA7">
      <w:pPr>
        <w:autoSpaceDE w:val="0"/>
        <w:autoSpaceDN w:val="0"/>
        <w:adjustRightInd w:val="0"/>
        <w:snapToGrid w:val="0"/>
        <w:spacing w:line="360" w:lineRule="auto"/>
        <w:outlineLvl w:val="1"/>
        <w:rPr>
          <w:rFonts w:cs="Times New Roman"/>
          <w:b/>
          <w:bCs/>
          <w:lang w:val="zh-CN"/>
        </w:rPr>
      </w:pPr>
      <w:bookmarkStart w:id="37" w:name="_Toc5377_WPSOffice_Level2"/>
      <w:bookmarkEnd w:id="37"/>
      <w:bookmarkStart w:id="38" w:name="_Toc45896890"/>
      <w:bookmarkEnd w:id="38"/>
      <w:bookmarkStart w:id="39" w:name="_Toc45896594"/>
      <w:bookmarkEnd w:id="39"/>
      <w:bookmarkStart w:id="40" w:name="_Toc29546"/>
      <w:bookmarkEnd w:id="40"/>
      <w:bookmarkStart w:id="41" w:name="_Toc10115_WPSOffice_Level2"/>
      <w:bookmarkEnd w:id="41"/>
      <w:bookmarkStart w:id="42" w:name="_Toc10221"/>
      <w:bookmarkEnd w:id="42"/>
      <w:r>
        <w:rPr>
          <w:rFonts w:hint="eastAsia" w:cs="Times New Roman"/>
          <w:b/>
          <w:bCs/>
          <w:lang w:val="zh-CN"/>
        </w:rPr>
        <w:t>3.</w:t>
      </w:r>
      <w:r>
        <w:rPr>
          <w:rFonts w:hint="eastAsia" w:cs="宋体"/>
          <w:b/>
          <w:bCs/>
          <w:lang w:val="zh-CN"/>
        </w:rPr>
        <w:t>投标人资格要求</w:t>
      </w:r>
    </w:p>
    <w:p w14:paraId="0876933E">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3.1资质要求：本次招标要求投标人须为在中华人民共和国境内依法成立，具有独立法人资格和独立承担民事责任能力的单位，具有有效的营业执照或其他证照（联合体投标的，联合体的各方均须具有）；须具备国家建设行政主管部门核发的以下资质(若同一投标人不同时具备以下资质的，可组成联合体投标）：</w:t>
      </w:r>
    </w:p>
    <w:p w14:paraId="2027C697">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（1）设计资质：具备工程设计综合甲级资质或工程设计建筑行业（建筑工程专业）乙级及以上（含乙级）资质。</w:t>
      </w:r>
    </w:p>
    <w:p w14:paraId="2EFA79FB">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（2）施工资质：</w:t>
      </w:r>
      <w:r>
        <w:rPr>
          <w:rFonts w:hint="eastAsia" w:ascii="宋体" w:hAnsi="宋体" w:cs="宋体"/>
          <w:highlight w:val="none"/>
          <w:lang w:val="zh-CN"/>
        </w:rPr>
        <w:t>具备</w:t>
      </w:r>
      <w:r>
        <w:rPr>
          <w:rFonts w:hint="eastAsia" w:ascii="宋体" w:hAnsi="宋体" w:cs="宋体"/>
          <w:highlight w:val="none"/>
        </w:rPr>
        <w:t>建筑</w:t>
      </w:r>
      <w:r>
        <w:rPr>
          <w:rFonts w:hint="eastAsia" w:ascii="宋体" w:hAnsi="宋体" w:cs="宋体"/>
          <w:highlight w:val="none"/>
          <w:lang w:val="zh-CN"/>
        </w:rPr>
        <w:t>工程施工总承包</w:t>
      </w:r>
      <w:r>
        <w:rPr>
          <w:rFonts w:hint="eastAsia" w:ascii="宋体" w:hAnsi="宋体" w:cs="宋体"/>
          <w:highlight w:val="none"/>
        </w:rPr>
        <w:t>叁级</w:t>
      </w:r>
      <w:r>
        <w:rPr>
          <w:rFonts w:hint="eastAsia" w:ascii="宋体" w:hAnsi="宋体" w:cs="宋体"/>
          <w:highlight w:val="none"/>
          <w:lang w:val="zh-CN"/>
        </w:rPr>
        <w:t>以上（含</w:t>
      </w:r>
      <w:r>
        <w:rPr>
          <w:rFonts w:hint="eastAsia" w:ascii="宋体" w:hAnsi="宋体" w:cs="宋体"/>
          <w:highlight w:val="none"/>
        </w:rPr>
        <w:t>叁级</w:t>
      </w:r>
      <w:r>
        <w:rPr>
          <w:rFonts w:hint="eastAsia" w:ascii="宋体" w:hAnsi="宋体" w:cs="宋体"/>
          <w:highlight w:val="none"/>
          <w:lang w:val="zh-CN"/>
        </w:rPr>
        <w:t>）资质，</w:t>
      </w:r>
      <w:r>
        <w:rPr>
          <w:rFonts w:hint="eastAsia" w:ascii="宋体" w:hAnsi="宋体" w:cs="宋体"/>
          <w:lang w:val="zh-CN"/>
        </w:rPr>
        <w:t>具备有效的安全生产许可证书，在人员、设备、资金等方面具有相应的施工能力。</w:t>
      </w:r>
    </w:p>
    <w:p w14:paraId="4F7373E0">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3.2财务要求：提供202</w:t>
      </w:r>
      <w:r>
        <w:rPr>
          <w:rFonts w:hint="eastAsia" w:ascii="宋体" w:hAnsi="宋体" w:cs="宋体"/>
        </w:rPr>
        <w:t>2</w:t>
      </w:r>
      <w:r>
        <w:rPr>
          <w:rFonts w:hint="eastAsia" w:ascii="宋体" w:hAnsi="宋体" w:cs="宋体"/>
          <w:lang w:val="zh-CN"/>
        </w:rPr>
        <w:t>年—</w:t>
      </w:r>
      <w:r>
        <w:rPr>
          <w:rFonts w:hint="eastAsia" w:ascii="宋体" w:hAnsi="宋体" w:cs="宋体"/>
        </w:rPr>
        <w:t>2024</w:t>
      </w:r>
      <w:r>
        <w:rPr>
          <w:rFonts w:hint="eastAsia" w:ascii="宋体" w:hAnsi="宋体" w:cs="宋体"/>
          <w:lang w:val="zh-CN"/>
        </w:rPr>
        <w:t>年连续</w:t>
      </w:r>
      <w:r>
        <w:rPr>
          <w:rFonts w:hint="eastAsia" w:ascii="宋体" w:hAnsi="宋体" w:cs="宋体"/>
        </w:rPr>
        <w:t>3年</w:t>
      </w:r>
      <w:r>
        <w:rPr>
          <w:rFonts w:hint="eastAsia" w:ascii="宋体" w:hAnsi="宋体" w:cs="宋体"/>
          <w:lang w:val="zh-CN"/>
        </w:rPr>
        <w:t>经审计机构审计的财务报表（包括资产负债表、现金流量表、利润表或损益表、财务情况说明书、公司财务制度）；</w:t>
      </w:r>
      <w:r>
        <w:rPr>
          <w:rFonts w:hint="eastAsia" w:ascii="宋体" w:hAnsi="宋体" w:cs="宋体"/>
        </w:rPr>
        <w:t>2022</w:t>
      </w:r>
      <w:r>
        <w:rPr>
          <w:rFonts w:hint="eastAsia" w:ascii="宋体" w:hAnsi="宋体" w:cs="宋体"/>
          <w:lang w:val="zh-CN"/>
        </w:rPr>
        <w:t>年后成立的企业（成立时间以企业安全生产许可证颁发时间为准），提供成立年度至今经审计机构审计的财务报表（包括资产负债表、现金流量表、利润表或损益表、财务情况说明书）；为新成立不满1年的企业（成立时间以企业安全生产许可证颁发时间为准）提供公司情况说明（若为联合体投标的，由牵头人提供，并对其真实性负责）。</w:t>
      </w:r>
    </w:p>
    <w:p w14:paraId="3B32BF44">
      <w:pPr>
        <w:tabs>
          <w:tab w:val="left" w:pos="7628"/>
        </w:tabs>
        <w:snapToGrid w:val="0"/>
        <w:spacing w:line="360" w:lineRule="auto"/>
        <w:ind w:firstLine="424" w:firstLineChars="202"/>
        <w:outlineLvl w:val="2"/>
        <w:rPr>
          <w:rFonts w:hint="eastAsia" w:ascii="宋体" w:hAnsi="宋体" w:cs="宋体"/>
          <w:lang w:val="zh-CN"/>
        </w:rPr>
      </w:pPr>
      <w:bookmarkStart w:id="43" w:name="_Toc22792"/>
      <w:bookmarkStart w:id="44" w:name="_Toc7131"/>
      <w:r>
        <w:rPr>
          <w:rFonts w:hint="eastAsia" w:ascii="宋体" w:hAnsi="宋体" w:cs="宋体"/>
          <w:lang w:val="zh-CN"/>
        </w:rPr>
        <w:t>3.</w:t>
      </w:r>
      <w:r>
        <w:rPr>
          <w:rFonts w:hint="eastAsia" w:ascii="宋体" w:hAnsi="宋体" w:cs="宋体"/>
        </w:rPr>
        <w:t>3</w:t>
      </w:r>
      <w:r>
        <w:rPr>
          <w:rFonts w:hint="eastAsia" w:ascii="宋体" w:hAnsi="宋体" w:cs="宋体"/>
          <w:lang w:val="zh-CN"/>
        </w:rPr>
        <w:t>信誉要求：</w:t>
      </w:r>
    </w:p>
    <w:p w14:paraId="0934ABCF">
      <w:pPr>
        <w:tabs>
          <w:tab w:val="left" w:pos="7628"/>
        </w:tabs>
        <w:snapToGrid w:val="0"/>
        <w:spacing w:line="360" w:lineRule="auto"/>
        <w:ind w:firstLine="424" w:firstLineChars="202"/>
        <w:outlineLvl w:val="2"/>
        <w:rPr>
          <w:rFonts w:hint="eastAsia" w:ascii="宋体" w:hAnsi="宋体" w:cs="宋体"/>
          <w:lang w:val="zh-CN"/>
        </w:rPr>
      </w:pPr>
      <w:bookmarkStart w:id="45" w:name="_Toc45896597"/>
      <w:bookmarkEnd w:id="45"/>
      <w:bookmarkStart w:id="46" w:name="_Toc45896893"/>
      <w:bookmarkEnd w:id="46"/>
      <w:r>
        <w:rPr>
          <w:rFonts w:hint="eastAsia" w:ascii="宋体" w:hAnsi="宋体" w:cs="宋体"/>
          <w:lang w:val="zh-CN"/>
        </w:rPr>
        <w:t>3.</w:t>
      </w:r>
      <w:r>
        <w:rPr>
          <w:rFonts w:hint="eastAsia" w:ascii="宋体" w:hAnsi="宋体" w:cs="宋体"/>
        </w:rPr>
        <w:t>3</w:t>
      </w:r>
      <w:r>
        <w:rPr>
          <w:rFonts w:hint="eastAsia" w:ascii="宋体" w:hAnsi="宋体" w:cs="宋体"/>
          <w:lang w:val="zh-CN"/>
        </w:rPr>
        <w:t>.1投标人当前没有处于被责令停产、投标资格取消、财产被接管或冻结、破产等状态；投标人未曾骗取中标或严重违约或发生重大工程质量、安全事故，没有被建设行政主管部门列入黑名单的情况（如未出现上述情况，投标人须作出承诺，若为联合体投标的，联合体投标的各成员均须作出承诺，并对其真实性负责）；</w:t>
      </w:r>
    </w:p>
    <w:p w14:paraId="10F8D42F">
      <w:pPr>
        <w:tabs>
          <w:tab w:val="left" w:pos="7628"/>
        </w:tabs>
        <w:snapToGrid w:val="0"/>
        <w:spacing w:line="360" w:lineRule="auto"/>
        <w:ind w:firstLine="424" w:firstLineChars="202"/>
        <w:outlineLvl w:val="2"/>
        <w:rPr>
          <w:rFonts w:hint="eastAsia" w:ascii="宋体" w:hAnsi="宋体" w:cs="宋体"/>
          <w:lang w:val="zh-CN"/>
        </w:rPr>
      </w:pPr>
      <w:bookmarkStart w:id="47" w:name="_Toc45896895"/>
      <w:bookmarkStart w:id="48" w:name="_Toc45896599"/>
      <w:r>
        <w:rPr>
          <w:rFonts w:hint="eastAsia" w:ascii="宋体" w:hAnsi="宋体" w:cs="宋体"/>
          <w:lang w:val="zh-CN"/>
        </w:rPr>
        <w:t>3.</w:t>
      </w:r>
      <w:r>
        <w:rPr>
          <w:rFonts w:hint="eastAsia" w:ascii="宋体" w:hAnsi="宋体" w:cs="宋体"/>
        </w:rPr>
        <w:t>3</w:t>
      </w:r>
      <w:r>
        <w:rPr>
          <w:rFonts w:hint="eastAsia" w:ascii="宋体" w:hAnsi="宋体" w:cs="宋体"/>
          <w:lang w:val="zh-CN"/>
        </w:rPr>
        <w:t>.2近三年（</w:t>
      </w:r>
      <w:r>
        <w:rPr>
          <w:rFonts w:hint="eastAsia" w:ascii="宋体" w:hAnsi="宋体" w:cs="宋体"/>
        </w:rPr>
        <w:t>2023</w:t>
      </w:r>
      <w:r>
        <w:rPr>
          <w:rFonts w:hint="eastAsia" w:ascii="宋体" w:hAnsi="宋体" w:cs="宋体"/>
          <w:lang w:val="zh-CN"/>
        </w:rPr>
        <w:t>年至今）企业、企业法定代表人及拟派项目负责人无行贿犯罪记录（投标人自行在中国裁判文书网查询，提供查询结果截图原件扫描件，若为联合体投标的，联合体投标的各成员均须提供）；</w:t>
      </w:r>
    </w:p>
    <w:bookmarkEnd w:id="47"/>
    <w:bookmarkEnd w:id="48"/>
    <w:p w14:paraId="47A45FF1">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3.</w:t>
      </w:r>
      <w:r>
        <w:rPr>
          <w:rFonts w:hint="eastAsia" w:ascii="宋体" w:hAnsi="宋体" w:cs="宋体"/>
        </w:rPr>
        <w:t>3</w:t>
      </w:r>
      <w:r>
        <w:rPr>
          <w:rFonts w:hint="eastAsia" w:ascii="宋体" w:hAnsi="宋体" w:cs="宋体"/>
          <w:lang w:val="zh-CN"/>
        </w:rPr>
        <w:t>.3近三年（</w:t>
      </w:r>
      <w:r>
        <w:rPr>
          <w:rFonts w:hint="eastAsia" w:ascii="宋体" w:hAnsi="宋体" w:cs="宋体"/>
        </w:rPr>
        <w:t>2023年至今</w:t>
      </w:r>
      <w:r>
        <w:rPr>
          <w:rFonts w:hint="eastAsia" w:ascii="宋体" w:hAnsi="宋体" w:cs="宋体"/>
          <w:lang w:val="zh-CN"/>
        </w:rPr>
        <w:t>）企业、企业法定代表人及拟派项目负责人未被列为失信被执行人（投标人自行在“信用中国”（www.creditchina.gov.cn）网站或中国执行信息公开网查询，提供查询结果截图原件扫描件，若为联合体投标的，联合体投标的各成员均须提供）；</w:t>
      </w:r>
    </w:p>
    <w:p w14:paraId="17C48012">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3.</w:t>
      </w:r>
      <w:r>
        <w:rPr>
          <w:rFonts w:hint="eastAsia" w:ascii="宋体" w:hAnsi="宋体" w:cs="宋体"/>
        </w:rPr>
        <w:t>3</w:t>
      </w:r>
      <w:r>
        <w:rPr>
          <w:rFonts w:hint="eastAsia" w:ascii="宋体" w:hAnsi="宋体" w:cs="宋体"/>
          <w:lang w:val="zh-CN"/>
        </w:rPr>
        <w:t>.4投标人（联合体投标的由牵头人提供）近3年（</w:t>
      </w:r>
      <w:r>
        <w:rPr>
          <w:rFonts w:hint="eastAsia" w:ascii="宋体" w:hAnsi="宋体" w:cs="宋体"/>
        </w:rPr>
        <w:t>2023</w:t>
      </w:r>
      <w:r>
        <w:rPr>
          <w:rFonts w:hint="eastAsia" w:ascii="宋体" w:hAnsi="宋体" w:cs="宋体"/>
          <w:lang w:val="zh-CN"/>
        </w:rPr>
        <w:t>年至今）未出现拖欠农民工工资情况，投标人须提供工商注册地人力资源和社会保障部门劳动监察机构出具的无拖欠农民工工资记录证明或未出现拖欠农民工工资情况的承诺；</w:t>
      </w:r>
    </w:p>
    <w:p w14:paraId="77003E3C">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3.</w:t>
      </w:r>
      <w:r>
        <w:rPr>
          <w:rFonts w:hint="eastAsia" w:ascii="宋体" w:hAnsi="宋体" w:cs="宋体"/>
        </w:rPr>
        <w:t>3</w:t>
      </w:r>
      <w:r>
        <w:rPr>
          <w:rFonts w:hint="eastAsia" w:ascii="宋体" w:hAnsi="宋体" w:cs="宋体"/>
          <w:lang w:val="zh-CN"/>
        </w:rPr>
        <w:t>.5根据《云南省住房和城乡建设厅关于印发云南省房屋市政工程安全生产监督管理十九条整治措施的通知》(云建质〔2023〕1 号），对在云南省内发生生产安全责任事故的生产经营单位，且不具备安全生产条件的，在云南省行政区域范围内不得参与新的招投标活动，生产经营单位安全生产条件合格后，应当逐级向属地行业行政主管部门申请复核，经省级行业行政主管部门核准通过后，方可在云南省行政区域范围内参与新的招投标活动。</w:t>
      </w:r>
    </w:p>
    <w:p w14:paraId="21069EFF">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3.</w:t>
      </w:r>
      <w:r>
        <w:rPr>
          <w:rFonts w:hint="eastAsia" w:ascii="宋体" w:hAnsi="宋体" w:cs="宋体"/>
        </w:rPr>
        <w:t>3</w:t>
      </w:r>
      <w:r>
        <w:rPr>
          <w:rFonts w:hint="eastAsia" w:ascii="宋体" w:hAnsi="宋体" w:cs="宋体"/>
          <w:lang w:val="zh-CN"/>
        </w:rPr>
        <w:t>.6与招标人存在利害关系可能影响招标公正性的法人、其他组织或者个人，不得参加投标。单位负责人为同一人或者存在控股、管理关系的不同单位，不得参加同一标段投标或者未划分标段的同一招标项目投标。违反前两款规定的，相关投标均无效。</w:t>
      </w:r>
    </w:p>
    <w:p w14:paraId="292AF9DF">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3.</w:t>
      </w:r>
      <w:r>
        <w:rPr>
          <w:rFonts w:hint="eastAsia" w:ascii="宋体" w:hAnsi="宋体" w:cs="宋体"/>
        </w:rPr>
        <w:t>3</w:t>
      </w:r>
      <w:r>
        <w:rPr>
          <w:rFonts w:hint="eastAsia" w:ascii="宋体" w:hAnsi="宋体" w:cs="宋体"/>
          <w:lang w:val="zh-CN"/>
        </w:rPr>
        <w:t>.</w:t>
      </w:r>
      <w:r>
        <w:rPr>
          <w:rFonts w:hint="eastAsia" w:ascii="宋体" w:hAnsi="宋体" w:cs="宋体"/>
        </w:rPr>
        <w:t>7</w:t>
      </w:r>
      <w:r>
        <w:rPr>
          <w:rFonts w:hint="eastAsia" w:ascii="宋体" w:hAnsi="宋体" w:cs="宋体"/>
          <w:lang w:val="zh-CN"/>
        </w:rPr>
        <w:t>各投标人应诚信投标，并签署《诚信投标承诺书》《建设工程投标人依法依规参加投标活动承诺书》（格式详见投标文件格式要求），确保电子投标文件提交的所有材料真实、准确、有效和完整，若投标人提供虚假材料，一经查实，即取消投标资格；对伪造、变造有关证件、材料、信息，骗取投标资格或中标的，将按照相关法律法规进行严肃处罚。投标人的资格审查和诚信承诺贯穿招投标工作和设计、施工服务全过程，在招投标和设计、施工服务各环节发现投标人不符合投标资格条件和提供虚假材料的，不论是评标过程中还是结果公示中，或者已签订合同并执行完毕，招标人、监管单位均可追究由其造成的一切后果（包括但不限于刑事及民事责任）。</w:t>
      </w:r>
    </w:p>
    <w:p w14:paraId="0FD927C5">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 xml:space="preserve"> 3.</w:t>
      </w:r>
      <w:r>
        <w:rPr>
          <w:rFonts w:hint="eastAsia" w:ascii="宋体" w:hAnsi="宋体" w:cs="宋体"/>
        </w:rPr>
        <w:t>4</w:t>
      </w:r>
      <w:r>
        <w:rPr>
          <w:rFonts w:hint="eastAsia" w:ascii="宋体" w:hAnsi="宋体" w:cs="宋体"/>
          <w:lang w:val="zh-CN"/>
        </w:rPr>
        <w:t xml:space="preserve"> 项目主要人员配备要求</w:t>
      </w:r>
    </w:p>
    <w:p w14:paraId="71D60D96">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rPr>
        <w:t>3.4.1</w:t>
      </w:r>
      <w:r>
        <w:rPr>
          <w:rFonts w:hint="eastAsia" w:ascii="宋体" w:hAnsi="宋体" w:cs="宋体"/>
          <w:lang w:val="zh-CN"/>
        </w:rPr>
        <w:t>总承包负责人资格要求：须具备</w:t>
      </w:r>
      <w:r>
        <w:rPr>
          <w:rFonts w:hint="eastAsia" w:ascii="宋体" w:hAnsi="宋体" w:cs="宋体"/>
        </w:rPr>
        <w:t>建筑</w:t>
      </w:r>
      <w:r>
        <w:rPr>
          <w:rFonts w:hint="eastAsia" w:ascii="宋体" w:hAnsi="宋体" w:cs="宋体"/>
          <w:lang w:val="zh-CN"/>
        </w:rPr>
        <w:t>工程专业</w:t>
      </w:r>
      <w:r>
        <w:rPr>
          <w:rFonts w:hint="eastAsia" w:ascii="宋体" w:hAnsi="宋体" w:cs="宋体"/>
        </w:rPr>
        <w:t>二级及以上（含二级）注册建造师</w:t>
      </w:r>
      <w:r>
        <w:rPr>
          <w:rFonts w:hint="eastAsia" w:ascii="宋体" w:hAnsi="宋体" w:cs="宋体"/>
          <w:lang w:val="zh-CN"/>
        </w:rPr>
        <w:t>资格，并取得有效的安全生产考核合格证书（B证），注册在投标单位且未担任其他在建工程的项目负责人并提供承诺书；须提供注册证书、身份证和投标截止时间前连续3个月在投标单位的基本养老保险参保证明原件扫描件(社保部门书面出具并加盖印章的参保证明或社保网查询下载打印的参保证明）。</w:t>
      </w:r>
    </w:p>
    <w:p w14:paraId="75315C33">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总承包项目负责人可以和施工负责人（项目经理）为同一人，如为联合体投标的，须为联合体协议中的牵头人单位的人员。</w:t>
      </w:r>
    </w:p>
    <w:p w14:paraId="069DD6A0">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rPr>
        <w:t>3.4.2</w:t>
      </w:r>
      <w:r>
        <w:rPr>
          <w:rFonts w:hint="eastAsia" w:ascii="宋体" w:hAnsi="宋体" w:cs="宋体"/>
          <w:lang w:val="zh-CN"/>
        </w:rPr>
        <w:t>设计负责人的资格要求：拟派往本项目的设计负责人须具备</w:t>
      </w:r>
      <w:r>
        <w:rPr>
          <w:rFonts w:hint="eastAsia" w:ascii="宋体" w:hAnsi="宋体" w:cs="宋体"/>
        </w:rPr>
        <w:t>二</w:t>
      </w:r>
      <w:r>
        <w:rPr>
          <w:rFonts w:hint="eastAsia" w:ascii="宋体" w:hAnsi="宋体" w:cs="宋体"/>
          <w:lang w:val="zh-CN"/>
        </w:rPr>
        <w:t>级及以上注册建筑师资格，且为投标人本单位人员（如为联合体投标的，则须在联合体协议中明确的设计方）；须提供注册证书、身份证和投标截止时间前连续3个月在投标单位的基本养老保险参保证明原件扫描件(社保部门书面出具并加盖印章的参保证明或社保网查询下载打印的参保证明）。</w:t>
      </w:r>
    </w:p>
    <w:p w14:paraId="75CBB2B3">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rPr>
        <w:t>3.4.3</w:t>
      </w:r>
      <w:r>
        <w:rPr>
          <w:rFonts w:hint="eastAsia" w:ascii="宋体" w:hAnsi="宋体" w:cs="宋体"/>
          <w:lang w:val="zh-CN"/>
        </w:rPr>
        <w:t>施工负责人（项目经理）的资格要求：拟派往本项目的施工负责人须取得</w:t>
      </w:r>
      <w:r>
        <w:rPr>
          <w:rFonts w:hint="eastAsia" w:ascii="宋体" w:hAnsi="宋体" w:cs="宋体"/>
        </w:rPr>
        <w:t>建筑</w:t>
      </w:r>
      <w:r>
        <w:rPr>
          <w:rFonts w:hint="eastAsia" w:ascii="宋体" w:hAnsi="宋体" w:cs="宋体"/>
          <w:lang w:val="zh-CN"/>
        </w:rPr>
        <w:t>工程专业</w:t>
      </w:r>
      <w:r>
        <w:rPr>
          <w:rFonts w:hint="eastAsia" w:ascii="宋体" w:hAnsi="宋体" w:cs="宋体"/>
        </w:rPr>
        <w:t>二</w:t>
      </w:r>
      <w:r>
        <w:rPr>
          <w:rFonts w:hint="eastAsia" w:ascii="宋体" w:hAnsi="宋体" w:cs="宋体"/>
          <w:lang w:val="zh-CN"/>
        </w:rPr>
        <w:t>级及以上</w:t>
      </w:r>
      <w:r>
        <w:rPr>
          <w:rFonts w:hint="eastAsia" w:ascii="宋体" w:hAnsi="宋体" w:cs="宋体"/>
        </w:rPr>
        <w:t>（含二级）</w:t>
      </w:r>
      <w:r>
        <w:rPr>
          <w:rFonts w:hint="eastAsia" w:ascii="宋体" w:hAnsi="宋体" w:cs="宋体"/>
          <w:lang w:val="zh-CN"/>
        </w:rPr>
        <w:t>注册建造师资格，并取得有效的安全生产考核合格证书（B证），</w:t>
      </w:r>
      <w:r>
        <w:rPr>
          <w:rFonts w:hint="eastAsia" w:ascii="宋体" w:hAnsi="宋体" w:cs="宋体"/>
          <w:lang w:val="zh-CN"/>
        </w:rPr>
        <w:fldChar w:fldCharType="begin"/>
      </w:r>
      <w:r>
        <w:rPr>
          <w:rFonts w:hint="eastAsia" w:ascii="宋体" w:hAnsi="宋体" w:cs="宋体"/>
          <w:lang w:val="zh-CN"/>
        </w:rPr>
        <w:instrText xml:space="preserve"> AUTOTEXT  input488 \* MERGEFORMAT </w:instrText>
      </w:r>
      <w:r>
        <w:rPr>
          <w:rFonts w:hint="eastAsia" w:ascii="宋体" w:hAnsi="宋体" w:cs="宋体"/>
          <w:lang w:val="zh-CN"/>
        </w:rPr>
        <w:fldChar w:fldCharType="separate"/>
      </w:r>
      <w:r>
        <w:rPr>
          <w:rFonts w:hint="eastAsia" w:ascii="宋体" w:hAnsi="宋体" w:cs="宋体"/>
          <w:lang w:val="zh-CN"/>
        </w:rPr>
        <w:t>注册在投标单位</w:t>
      </w:r>
      <w:r>
        <w:rPr>
          <w:rFonts w:hint="eastAsia" w:ascii="宋体" w:hAnsi="宋体" w:cs="宋体"/>
          <w:lang w:val="zh-CN"/>
        </w:rPr>
        <w:fldChar w:fldCharType="end"/>
      </w:r>
      <w:r>
        <w:rPr>
          <w:rFonts w:hint="eastAsia" w:ascii="宋体" w:hAnsi="宋体" w:cs="宋体"/>
          <w:lang w:val="zh-CN"/>
        </w:rPr>
        <w:t>且未担任其他在建工程的项目负责人；必须提供注册证书、身份证和投标截止时间前连续3个月在投标单位的基本养老保险参保证明原件扫描件(社保部门书面出具并加盖印章的参保证明或社保网查询下载打印的参保证明）。</w:t>
      </w:r>
    </w:p>
    <w:p w14:paraId="0D2C0E57">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3.</w:t>
      </w:r>
      <w:r>
        <w:rPr>
          <w:rFonts w:hint="eastAsia" w:ascii="宋体" w:hAnsi="宋体" w:cs="宋体"/>
        </w:rPr>
        <w:t>5</w:t>
      </w:r>
      <w:r>
        <w:rPr>
          <w:rFonts w:hint="eastAsia" w:ascii="宋体" w:hAnsi="宋体" w:cs="宋体"/>
          <w:lang w:val="zh-CN"/>
        </w:rPr>
        <w:t>拟配备其他人员要求</w:t>
      </w:r>
    </w:p>
    <w:p w14:paraId="287631E5">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3.</w:t>
      </w:r>
      <w:r>
        <w:rPr>
          <w:rFonts w:hint="eastAsia" w:ascii="宋体" w:hAnsi="宋体" w:cs="宋体"/>
        </w:rPr>
        <w:t>5</w:t>
      </w:r>
      <w:r>
        <w:rPr>
          <w:rFonts w:hint="eastAsia" w:ascii="宋体" w:hAnsi="宋体" w:cs="宋体"/>
          <w:lang w:val="zh-CN"/>
        </w:rPr>
        <w:t>.</w:t>
      </w:r>
      <w:r>
        <w:rPr>
          <w:rFonts w:hint="eastAsia" w:ascii="宋体" w:hAnsi="宋体" w:cs="宋体"/>
        </w:rPr>
        <w:t>1</w:t>
      </w:r>
      <w:r>
        <w:rPr>
          <w:rFonts w:hint="eastAsia" w:ascii="宋体" w:hAnsi="宋体" w:cs="宋体"/>
          <w:lang w:val="zh-CN"/>
        </w:rPr>
        <w:t>拟配备设计人员要求：</w:t>
      </w:r>
    </w:p>
    <w:p w14:paraId="41FD2A16">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拟配备的设计人员（除项目</w:t>
      </w:r>
      <w:r>
        <w:rPr>
          <w:rFonts w:hint="eastAsia" w:ascii="宋体" w:hAnsi="宋体" w:cs="宋体"/>
        </w:rPr>
        <w:t>设计项目</w:t>
      </w:r>
      <w:r>
        <w:rPr>
          <w:rFonts w:hint="eastAsia" w:ascii="宋体" w:hAnsi="宋体" w:cs="宋体"/>
          <w:lang w:val="zh-CN"/>
        </w:rPr>
        <w:t>负责人外）由投标人根据项目情况自行配备，须提供中级以上（含中级）职称证书、身份证和投标截止时间前连续3个月在投标单位的基本养老保险参保证明原件扫描件(社保部门书面出具并加盖印章的参保证明或社保网查询下载打印的参保证明）。</w:t>
      </w:r>
    </w:p>
    <w:p w14:paraId="60D0820C">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3.</w:t>
      </w:r>
      <w:r>
        <w:rPr>
          <w:rFonts w:hint="eastAsia" w:ascii="宋体" w:hAnsi="宋体" w:cs="宋体"/>
        </w:rPr>
        <w:t>5</w:t>
      </w:r>
      <w:r>
        <w:rPr>
          <w:rFonts w:hint="eastAsia" w:ascii="宋体" w:hAnsi="宋体" w:cs="宋体"/>
          <w:lang w:val="zh-CN"/>
        </w:rPr>
        <w:t>.</w:t>
      </w:r>
      <w:r>
        <w:rPr>
          <w:rFonts w:hint="eastAsia" w:ascii="宋体" w:hAnsi="宋体" w:cs="宋体"/>
        </w:rPr>
        <w:t>2</w:t>
      </w:r>
      <w:r>
        <w:rPr>
          <w:rFonts w:hint="eastAsia" w:ascii="宋体" w:hAnsi="宋体" w:cs="宋体"/>
          <w:lang w:val="zh-CN"/>
        </w:rPr>
        <w:t>拟配备项目施工管理人员要求：</w:t>
      </w:r>
    </w:p>
    <w:p w14:paraId="5A693277">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拟配备的项目技术负责人须具有建筑工程相关专业</w:t>
      </w:r>
      <w:r>
        <w:rPr>
          <w:rFonts w:hint="eastAsia" w:ascii="宋体" w:hAnsi="宋体" w:cs="宋体"/>
        </w:rPr>
        <w:t>中级及以上</w:t>
      </w:r>
      <w:r>
        <w:rPr>
          <w:rFonts w:hint="eastAsia" w:ascii="宋体" w:hAnsi="宋体" w:cs="宋体"/>
          <w:lang w:val="zh-CN"/>
        </w:rPr>
        <w:t>（含中级）职称，并提供</w:t>
      </w:r>
      <w:r>
        <w:rPr>
          <w:rFonts w:hint="eastAsia" w:ascii="宋体" w:hAnsi="宋体" w:cs="宋体"/>
        </w:rPr>
        <w:t>身份证、职称</w:t>
      </w:r>
      <w:r>
        <w:rPr>
          <w:rFonts w:hint="eastAsia" w:ascii="宋体" w:hAnsi="宋体" w:cs="宋体"/>
          <w:lang w:val="zh-CN"/>
        </w:rPr>
        <w:t>证书原件扫描件和投标截止时间前连续3个月在投标单位的基本养老保险参保证明原件扫描件(社保部门书面出具并加盖印章的参保证明或社保网查询下载打印的参保证明）。</w:t>
      </w:r>
    </w:p>
    <w:p w14:paraId="60A155AC">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拟配备的施工现场专业（管理）人员不得低于招标文件中“施工现场专业（管理）人员配备表”的要求。</w:t>
      </w:r>
      <w:r>
        <w:rPr>
          <w:rFonts w:hint="eastAsia" w:ascii="宋体" w:hAnsi="宋体" w:cs="宋体"/>
        </w:rPr>
        <w:t>须</w:t>
      </w:r>
      <w:r>
        <w:rPr>
          <w:rFonts w:hint="eastAsia" w:ascii="宋体" w:hAnsi="宋体" w:cs="宋体"/>
          <w:lang w:val="zh-CN"/>
        </w:rPr>
        <w:t>提供投标截止时间前连续3个月在投标单位的基本养老保险参保证明原件扫描件(社保部门书面出具并加盖印章的参保证明或社保网查询下载打印的参保证明）。</w:t>
      </w:r>
    </w:p>
    <w:p w14:paraId="2F7F697A">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3.</w:t>
      </w:r>
      <w:r>
        <w:rPr>
          <w:rFonts w:hint="eastAsia" w:ascii="宋体" w:hAnsi="宋体" w:cs="宋体"/>
        </w:rPr>
        <w:t>6</w:t>
      </w:r>
      <w:r>
        <w:rPr>
          <w:rFonts w:hint="eastAsia" w:ascii="宋体" w:hAnsi="宋体" w:cs="宋体"/>
          <w:lang w:val="zh-CN"/>
        </w:rPr>
        <w:t>本次招标接受联合体投标。联合体投标的，应满足下列要求：</w:t>
      </w:r>
    </w:p>
    <w:p w14:paraId="55ECD13A">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（1）联合体各方应按招标文件提供的格式签订联合体协议书，明确联合体牵头人和各方权利义务。联合体中的各成员应具备所承包工作范围相应的资质，联合体家数不得超过</w:t>
      </w:r>
      <w:r>
        <w:rPr>
          <w:rFonts w:hint="eastAsia" w:ascii="宋体" w:hAnsi="宋体" w:cs="宋体"/>
        </w:rPr>
        <w:t>2</w:t>
      </w:r>
      <w:r>
        <w:rPr>
          <w:rFonts w:hint="eastAsia" w:ascii="宋体" w:hAnsi="宋体" w:cs="宋体"/>
          <w:lang w:val="zh-CN"/>
        </w:rPr>
        <w:t>家，牵头人必须具备</w:t>
      </w:r>
      <w:r>
        <w:rPr>
          <w:rFonts w:hint="eastAsia" w:ascii="宋体" w:hAnsi="宋体" w:cs="宋体"/>
        </w:rPr>
        <w:t>建筑</w:t>
      </w:r>
      <w:r>
        <w:rPr>
          <w:rFonts w:hint="eastAsia" w:ascii="宋体" w:hAnsi="宋体" w:cs="宋体"/>
          <w:lang w:val="zh-CN"/>
        </w:rPr>
        <w:t>工程施工总承包</w:t>
      </w:r>
      <w:r>
        <w:rPr>
          <w:rFonts w:hint="eastAsia" w:ascii="宋体" w:hAnsi="宋体" w:cs="宋体"/>
        </w:rPr>
        <w:t>叁级</w:t>
      </w:r>
      <w:r>
        <w:rPr>
          <w:rFonts w:hint="eastAsia" w:ascii="宋体" w:hAnsi="宋体" w:cs="宋体"/>
          <w:lang w:val="zh-CN"/>
        </w:rPr>
        <w:t>以上（含</w:t>
      </w:r>
      <w:r>
        <w:rPr>
          <w:rFonts w:hint="eastAsia" w:ascii="宋体" w:hAnsi="宋体" w:cs="宋体"/>
        </w:rPr>
        <w:t>叁级</w:t>
      </w:r>
      <w:r>
        <w:rPr>
          <w:rFonts w:hint="eastAsia" w:ascii="宋体" w:hAnsi="宋体" w:cs="宋体"/>
          <w:lang w:val="zh-CN"/>
        </w:rPr>
        <w:t>）资质，并持有有效的安全生产许可证书的施工单位；</w:t>
      </w:r>
    </w:p>
    <w:p w14:paraId="445C069A">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（2）由同一专业的单位组成的联合体，按照资质等级较低的单位确定资质等级；</w:t>
      </w:r>
    </w:p>
    <w:p w14:paraId="7F18B3EB">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（3）联合体各方不得再以自己名义单独或参加其他联合体在本招标项目中投标。</w:t>
      </w:r>
    </w:p>
    <w:bookmarkEnd w:id="43"/>
    <w:bookmarkEnd w:id="44"/>
    <w:p w14:paraId="50006B40">
      <w:pPr>
        <w:tabs>
          <w:tab w:val="left" w:pos="7628"/>
        </w:tabs>
        <w:snapToGrid w:val="0"/>
        <w:spacing w:line="360" w:lineRule="auto"/>
        <w:ind w:firstLine="424" w:firstLineChars="202"/>
        <w:outlineLvl w:val="2"/>
        <w:rPr>
          <w:rFonts w:hint="eastAsia" w:ascii="宋体" w:hAnsi="宋体" w:cs="宋体"/>
          <w:lang w:val="zh-CN"/>
        </w:rPr>
      </w:pPr>
      <w:r>
        <w:rPr>
          <w:rFonts w:hint="eastAsia" w:ascii="宋体" w:hAnsi="宋体" w:cs="宋体"/>
          <w:lang w:val="zh-CN"/>
        </w:rPr>
        <w:t>3.</w:t>
      </w:r>
      <w:r>
        <w:rPr>
          <w:rFonts w:hint="eastAsia" w:ascii="宋体" w:hAnsi="宋体" w:cs="宋体"/>
        </w:rPr>
        <w:t>7</w:t>
      </w:r>
      <w:r>
        <w:rPr>
          <w:rFonts w:hint="eastAsia" w:ascii="宋体" w:hAnsi="宋体" w:cs="宋体"/>
          <w:lang w:val="zh-CN"/>
        </w:rPr>
        <w:t>资格审查方式：本项目为资格后审。</w:t>
      </w:r>
    </w:p>
    <w:p w14:paraId="013FBCFF">
      <w:pPr>
        <w:autoSpaceDE w:val="0"/>
        <w:autoSpaceDN w:val="0"/>
        <w:adjustRightInd w:val="0"/>
        <w:snapToGrid w:val="0"/>
        <w:spacing w:line="360" w:lineRule="auto"/>
        <w:outlineLvl w:val="1"/>
        <w:rPr>
          <w:rFonts w:cs="Times New Roman"/>
          <w:b/>
          <w:bCs/>
          <w:lang w:val="zh-CN"/>
        </w:rPr>
      </w:pPr>
      <w:bookmarkStart w:id="49" w:name="_Toc9497_WPSOffice_Level2"/>
      <w:bookmarkEnd w:id="49"/>
      <w:bookmarkStart w:id="50" w:name="_Toc14636"/>
      <w:bookmarkEnd w:id="50"/>
      <w:bookmarkStart w:id="51" w:name="_Toc4043_WPSOffice_Level2"/>
      <w:bookmarkEnd w:id="51"/>
      <w:bookmarkStart w:id="52" w:name="_Toc45896603"/>
      <w:bookmarkStart w:id="53" w:name="_Toc19723_WPSOffice_Level2"/>
      <w:bookmarkStart w:id="54" w:name="_Toc1669_WPSOffice_Level2"/>
      <w:bookmarkStart w:id="55" w:name="_Toc32561"/>
      <w:bookmarkStart w:id="56" w:name="_Toc45896899"/>
      <w:r>
        <w:rPr>
          <w:rFonts w:hint="eastAsia" w:cs="Times New Roman"/>
          <w:b/>
          <w:bCs/>
          <w:lang w:val="zh-CN"/>
        </w:rPr>
        <w:t>4.招标文件的获取</w:t>
      </w:r>
    </w:p>
    <w:p w14:paraId="02687222">
      <w:pPr>
        <w:snapToGrid w:val="0"/>
        <w:spacing w:line="360" w:lineRule="auto"/>
        <w:ind w:firstLine="420" w:firstLineChars="200"/>
        <w:rPr>
          <w:rFonts w:hint="eastAsia" w:ascii="宋体" w:hAnsi="宋体" w:cs="宋体"/>
          <w:lang w:val="zh-CN"/>
        </w:rPr>
      </w:pPr>
      <w:bookmarkStart w:id="57" w:name="_Toc17364"/>
      <w:bookmarkStart w:id="58" w:name="_Toc25385_WPSOffice_Level2"/>
      <w:bookmarkStart w:id="59" w:name="_Toc2710_WPSOffice_Level2"/>
      <w:r>
        <w:rPr>
          <w:rFonts w:hint="eastAsia" w:ascii="宋体" w:hAnsi="宋体" w:cs="宋体"/>
          <w:lang w:val="zh-CN"/>
        </w:rPr>
        <w:t>凡有意参加投标者，请于</w:t>
      </w:r>
      <w:r>
        <w:rPr>
          <w:rFonts w:hint="eastAsia" w:ascii="宋体" w:hAnsi="宋体" w:cs="宋体"/>
        </w:rPr>
        <w:t>2026</w:t>
      </w:r>
      <w:r>
        <w:rPr>
          <w:rFonts w:hint="eastAsia" w:ascii="宋体" w:hAnsi="宋体" w:cs="宋体"/>
          <w:lang w:val="zh-CN"/>
        </w:rPr>
        <w:t>年</w:t>
      </w:r>
      <w:r>
        <w:rPr>
          <w:rFonts w:hint="eastAsia" w:ascii="宋体" w:hAnsi="宋体" w:cs="宋体"/>
        </w:rPr>
        <w:t xml:space="preserve">  </w:t>
      </w:r>
      <w:r>
        <w:rPr>
          <w:rFonts w:hint="eastAsia" w:ascii="宋体" w:hAnsi="宋体" w:cs="宋体"/>
          <w:lang w:val="zh-CN"/>
        </w:rPr>
        <w:t>月</w:t>
      </w:r>
      <w:r>
        <w:rPr>
          <w:rFonts w:hint="eastAsia" w:ascii="宋体" w:hAnsi="宋体" w:cs="宋体"/>
        </w:rPr>
        <w:t xml:space="preserve">  </w:t>
      </w:r>
      <w:r>
        <w:rPr>
          <w:rFonts w:hint="eastAsia" w:ascii="宋体" w:hAnsi="宋体" w:cs="宋体"/>
          <w:lang w:val="zh-CN"/>
        </w:rPr>
        <w:t>日至</w:t>
      </w:r>
      <w:r>
        <w:rPr>
          <w:rFonts w:hint="eastAsia" w:ascii="宋体" w:hAnsi="宋体" w:cs="宋体"/>
        </w:rPr>
        <w:t>2026</w:t>
      </w:r>
      <w:r>
        <w:rPr>
          <w:rFonts w:hint="eastAsia" w:ascii="宋体" w:hAnsi="宋体" w:cs="宋体"/>
          <w:lang w:val="zh-CN"/>
        </w:rPr>
        <w:t>年</w:t>
      </w:r>
      <w:r>
        <w:rPr>
          <w:rFonts w:hint="eastAsia" w:ascii="宋体" w:hAnsi="宋体" w:cs="宋体"/>
        </w:rPr>
        <w:t xml:space="preserve">  </w:t>
      </w:r>
      <w:r>
        <w:rPr>
          <w:rFonts w:hint="eastAsia" w:ascii="宋体" w:hAnsi="宋体" w:cs="宋体"/>
          <w:lang w:val="zh-CN"/>
        </w:rPr>
        <w:t>月</w:t>
      </w:r>
      <w:r>
        <w:rPr>
          <w:rFonts w:hint="eastAsia" w:ascii="宋体" w:hAnsi="宋体" w:cs="宋体"/>
        </w:rPr>
        <w:t xml:space="preserve">  </w:t>
      </w:r>
      <w:r>
        <w:rPr>
          <w:rFonts w:hint="eastAsia" w:ascii="宋体" w:hAnsi="宋体" w:cs="宋体"/>
          <w:lang w:val="zh-CN"/>
        </w:rPr>
        <w:t>日，登录云南省公共资源交易信息网（网址：https://ggzy.yn.gov.cn/）选择“楚雄州”，凭企业数字证书（CA）在网上获取招标文件及其它招标资料。未办理企业数字证书（CA）的企业需要按照云南省公共资源交易电子认证的要求，办理企业数字证书（CA），并在云南省公共资源交易中心网完成注册通过后，便可获取招标文件，此为获取招标文件的唯一途径。</w:t>
      </w:r>
    </w:p>
    <w:bookmarkEnd w:id="57"/>
    <w:bookmarkEnd w:id="58"/>
    <w:bookmarkEnd w:id="59"/>
    <w:p w14:paraId="1C4A4529">
      <w:pPr>
        <w:autoSpaceDE w:val="0"/>
        <w:autoSpaceDN w:val="0"/>
        <w:adjustRightInd w:val="0"/>
        <w:snapToGrid w:val="0"/>
        <w:spacing w:line="360" w:lineRule="auto"/>
        <w:outlineLvl w:val="1"/>
        <w:rPr>
          <w:rFonts w:cs="Times New Roman"/>
          <w:b/>
          <w:bCs/>
          <w:lang w:val="zh-CN"/>
        </w:rPr>
      </w:pPr>
      <w:bookmarkStart w:id="60" w:name="_Toc3658"/>
      <w:bookmarkEnd w:id="60"/>
      <w:r>
        <w:rPr>
          <w:rFonts w:hint="eastAsia" w:cs="Times New Roman"/>
          <w:b/>
          <w:bCs/>
          <w:lang w:val="zh-CN"/>
        </w:rPr>
        <w:t>5.投标文件的递交</w:t>
      </w:r>
    </w:p>
    <w:p w14:paraId="4445DFD3">
      <w:pPr>
        <w:snapToGrid w:val="0"/>
        <w:spacing w:line="360" w:lineRule="auto"/>
        <w:ind w:firstLine="424" w:firstLineChars="202"/>
        <w:rPr>
          <w:rFonts w:hint="eastAsia" w:ascii="宋体" w:hAnsi="宋体" w:cs="宋体"/>
          <w:lang w:val="zh-CN"/>
        </w:rPr>
      </w:pPr>
      <w:bookmarkStart w:id="61" w:name="_Toc221949531"/>
      <w:r>
        <w:rPr>
          <w:rFonts w:hint="eastAsia" w:ascii="宋体" w:hAnsi="宋体" w:cs="宋体"/>
        </w:rPr>
        <w:t>5</w:t>
      </w:r>
      <w:r>
        <w:rPr>
          <w:rFonts w:hint="eastAsia" w:ascii="宋体" w:hAnsi="宋体" w:cs="宋体"/>
          <w:lang w:val="zh-CN"/>
        </w:rPr>
        <w:t>.1递交投标文件截止时间（投标截止时间，下同）</w:t>
      </w:r>
      <w:bookmarkEnd w:id="61"/>
      <w:r>
        <w:rPr>
          <w:rFonts w:hint="eastAsia" w:ascii="宋体" w:hAnsi="宋体" w:cs="宋体"/>
          <w:lang w:val="zh-CN"/>
        </w:rPr>
        <w:t>为 2026年</w:t>
      </w:r>
      <w:r>
        <w:rPr>
          <w:rFonts w:hint="eastAsia" w:ascii="宋体" w:hAnsi="宋体" w:cs="宋体"/>
        </w:rPr>
        <w:t xml:space="preserve">  </w:t>
      </w:r>
      <w:r>
        <w:rPr>
          <w:rFonts w:hint="eastAsia" w:ascii="宋体" w:hAnsi="宋体" w:cs="宋体"/>
          <w:lang w:val="zh-CN"/>
        </w:rPr>
        <w:t>月</w:t>
      </w:r>
      <w:r>
        <w:rPr>
          <w:rFonts w:hint="eastAsia" w:ascii="宋体" w:hAnsi="宋体" w:cs="宋体"/>
        </w:rPr>
        <w:t xml:space="preserve">  </w:t>
      </w:r>
      <w:r>
        <w:rPr>
          <w:rFonts w:hint="eastAsia" w:ascii="宋体" w:hAnsi="宋体" w:cs="宋体"/>
          <w:lang w:val="zh-CN"/>
        </w:rPr>
        <w:t>日08:30，开标地点为姚安县公共资源交易中心。</w:t>
      </w:r>
    </w:p>
    <w:p w14:paraId="1F3F55E4">
      <w:pPr>
        <w:snapToGrid w:val="0"/>
        <w:spacing w:line="360" w:lineRule="auto"/>
        <w:ind w:firstLine="424" w:firstLineChars="202"/>
        <w:rPr>
          <w:rFonts w:hint="eastAsia" w:ascii="宋体" w:hAnsi="宋体" w:cs="宋体"/>
          <w:lang w:val="zh-CN"/>
        </w:rPr>
      </w:pPr>
      <w:r>
        <w:rPr>
          <w:rFonts w:hint="eastAsia" w:ascii="宋体" w:hAnsi="宋体" w:cs="宋体"/>
        </w:rPr>
        <w:t>5</w:t>
      </w:r>
      <w:r>
        <w:rPr>
          <w:rFonts w:hint="eastAsia" w:ascii="宋体" w:hAnsi="宋体" w:cs="宋体"/>
          <w:lang w:val="zh-CN"/>
        </w:rPr>
        <w:t>.2网上递交：投标人在提交投标文件截止时间前，登录云南省公共资源交易信息网（网址：https://ggzy.yn.gov.cn/）选择“楚雄州”，完成所有电子投标文件的上传，网上确认电子签名，并打印“上传投标文件回执”，投标截止时间前未完成投标文件传输的，视为撤回投标文件（如因修改重新上传投标文件后，需再次确认并打印回执）。</w:t>
      </w:r>
    </w:p>
    <w:p w14:paraId="6D9E69BD">
      <w:pPr>
        <w:snapToGrid w:val="0"/>
        <w:spacing w:line="360" w:lineRule="auto"/>
        <w:ind w:firstLine="424" w:firstLineChars="202"/>
        <w:rPr>
          <w:rFonts w:hint="eastAsia" w:ascii="宋体" w:hAnsi="宋体" w:cs="宋体"/>
          <w:lang w:val="zh-CN"/>
        </w:rPr>
      </w:pPr>
      <w:bookmarkStart w:id="62" w:name="_Toc22447"/>
      <w:r>
        <w:rPr>
          <w:rFonts w:hint="eastAsia" w:ascii="宋体" w:hAnsi="宋体" w:cs="宋体"/>
        </w:rPr>
        <w:t>5</w:t>
      </w:r>
      <w:r>
        <w:rPr>
          <w:rFonts w:hint="eastAsia" w:ascii="宋体" w:hAnsi="宋体" w:cs="宋体"/>
          <w:lang w:val="zh-CN"/>
        </w:rPr>
        <w:t>.3开标方式：采用网上开标远程解密方式。</w:t>
      </w:r>
      <w:bookmarkEnd w:id="62"/>
    </w:p>
    <w:p w14:paraId="640A4DBA">
      <w:pPr>
        <w:snapToGrid w:val="0"/>
        <w:spacing w:line="360" w:lineRule="auto"/>
        <w:ind w:firstLine="424" w:firstLineChars="202"/>
        <w:rPr>
          <w:rFonts w:hint="eastAsia" w:ascii="宋体" w:hAnsi="宋体" w:cs="宋体"/>
          <w:lang w:val="zh-CN"/>
        </w:rPr>
      </w:pPr>
      <w:r>
        <w:rPr>
          <w:rFonts w:hint="eastAsia" w:ascii="宋体" w:hAnsi="宋体" w:cs="宋体"/>
        </w:rPr>
        <w:t>5</w:t>
      </w:r>
      <w:r>
        <w:rPr>
          <w:rFonts w:hint="eastAsia" w:ascii="宋体" w:hAnsi="宋体" w:cs="宋体"/>
          <w:lang w:val="zh-CN"/>
        </w:rPr>
        <w:t>.3.1开标时投标单位无须到现场出席开标会。各投标单位对上传的相关证件及证明资料真实性负责(确保上传的相关资料清晰可辨，如评标过程中，评标委员会无法辨别影响评标的，责任由投标人自行承担），如发现提供虚假材料的，一经查实取消投标资格，并依据相关法律法规进行处罚；在到达开标时间之后投标人自行登录云南省公共资源交易信息网（网址：https://ggzy.yn.gov.cn/）选择“楚雄州”，点击【智能开标系统】，进入网上开标大厅，至投标截止时间后方能找到对应项目，点击项目后方的【进入】按钮进入开标室页面，进行系统自动签到(温馨提示：登录及电子签名时需要用企业CA锁，解密时需要用投标文件加密的CA锁，为了不频繁更换CA锁影响解密及签名确认，故建议投标文件加密时采用企业CA锁进行加密）；</w:t>
      </w:r>
    </w:p>
    <w:p w14:paraId="14E1C313">
      <w:pPr>
        <w:snapToGrid w:val="0"/>
        <w:spacing w:line="360" w:lineRule="auto"/>
        <w:ind w:firstLine="424" w:firstLineChars="202"/>
        <w:rPr>
          <w:rFonts w:hint="eastAsia" w:ascii="宋体" w:hAnsi="宋体" w:cs="宋体"/>
          <w:lang w:val="zh-CN"/>
        </w:rPr>
      </w:pPr>
      <w:r>
        <w:rPr>
          <w:rFonts w:hint="eastAsia" w:ascii="宋体" w:hAnsi="宋体" w:cs="宋体"/>
        </w:rPr>
        <w:t>5</w:t>
      </w:r>
      <w:r>
        <w:rPr>
          <w:rFonts w:hint="eastAsia" w:ascii="宋体" w:hAnsi="宋体" w:cs="宋体"/>
          <w:lang w:val="zh-CN"/>
        </w:rPr>
        <w:t>.3.2开标系统下达网上解密指令后，投标单位点击上方【网上解密】进入网上解密界面，各投标单位必须在系统下达的时间内完成解密工作；</w:t>
      </w:r>
    </w:p>
    <w:p w14:paraId="377D486D">
      <w:pPr>
        <w:snapToGrid w:val="0"/>
        <w:spacing w:line="360" w:lineRule="auto"/>
        <w:ind w:firstLine="424" w:firstLineChars="202"/>
        <w:rPr>
          <w:rFonts w:hint="eastAsia" w:ascii="宋体" w:hAnsi="宋体" w:cs="宋体"/>
          <w:lang w:val="zh-CN"/>
        </w:rPr>
      </w:pPr>
      <w:r>
        <w:rPr>
          <w:rFonts w:hint="eastAsia" w:ascii="宋体" w:hAnsi="宋体" w:cs="宋体"/>
        </w:rPr>
        <w:t>5</w:t>
      </w:r>
      <w:r>
        <w:rPr>
          <w:rFonts w:hint="eastAsia" w:ascii="宋体" w:hAnsi="宋体" w:cs="宋体"/>
          <w:lang w:val="zh-CN"/>
        </w:rPr>
        <w:t>.3.3开标过程中，待全部投标单位解密成功唱标后投标单位如有问题，在系统默认3分钟内在线发起异议，点击右上角的【提出异议】按钮，填写异议详细内容之后进行提交，由招标人(招标代理机构）给予对应的回复，开标结果无须签名确认；</w:t>
      </w:r>
    </w:p>
    <w:p w14:paraId="5A353FEA">
      <w:pPr>
        <w:snapToGrid w:val="0"/>
        <w:spacing w:line="360" w:lineRule="auto"/>
        <w:ind w:firstLine="424" w:firstLineChars="202"/>
        <w:rPr>
          <w:rFonts w:hint="eastAsia" w:ascii="宋体" w:hAnsi="宋体" w:cs="宋体"/>
          <w:lang w:val="zh-CN"/>
        </w:rPr>
      </w:pPr>
      <w:r>
        <w:rPr>
          <w:rFonts w:hint="eastAsia" w:ascii="宋体" w:hAnsi="宋体" w:cs="宋体"/>
        </w:rPr>
        <w:t>5</w:t>
      </w:r>
      <w:r>
        <w:rPr>
          <w:rFonts w:hint="eastAsia" w:ascii="宋体" w:hAnsi="宋体" w:cs="宋体"/>
          <w:lang w:val="zh-CN"/>
        </w:rPr>
        <w:t>.3.4各投标人应当提前熟悉和掌握网上开标远程解密详细操作，操作步骤可登录云南省公共资源交易中心在线培训与考核系统选择投标人，自行学习《云南省公共资源交易电子化平台智能开标系统培训教材》；</w:t>
      </w:r>
    </w:p>
    <w:p w14:paraId="5CBE7917">
      <w:pPr>
        <w:snapToGrid w:val="0"/>
        <w:spacing w:line="360" w:lineRule="auto"/>
        <w:ind w:firstLine="424" w:firstLineChars="202"/>
        <w:rPr>
          <w:rFonts w:hint="eastAsia" w:ascii="宋体" w:hAnsi="宋体" w:cs="宋体"/>
          <w:lang w:val="zh-CN"/>
        </w:rPr>
      </w:pPr>
      <w:r>
        <w:rPr>
          <w:rFonts w:hint="eastAsia" w:ascii="宋体" w:hAnsi="宋体" w:cs="宋体"/>
        </w:rPr>
        <w:t>5</w:t>
      </w:r>
      <w:r>
        <w:rPr>
          <w:rFonts w:hint="eastAsia" w:ascii="宋体" w:hAnsi="宋体" w:cs="宋体"/>
          <w:lang w:val="zh-CN"/>
        </w:rPr>
        <w:t>.3.5开标当天投标人无法正常登录系统、无法正常解密的，应及时联系筑龙客服说明问题并请求远程协助检查确认问题，同时联系招标人(招标代理机构）说明情况；</w:t>
      </w:r>
    </w:p>
    <w:p w14:paraId="17D564E5">
      <w:pPr>
        <w:snapToGrid w:val="0"/>
        <w:spacing w:line="360" w:lineRule="auto"/>
        <w:ind w:firstLine="424" w:firstLineChars="202"/>
        <w:rPr>
          <w:rFonts w:hint="eastAsia" w:ascii="宋体" w:hAnsi="宋体" w:cs="宋体"/>
          <w:lang w:val="zh-CN"/>
        </w:rPr>
      </w:pPr>
      <w:r>
        <w:rPr>
          <w:rFonts w:hint="eastAsia" w:ascii="宋体" w:hAnsi="宋体" w:cs="宋体"/>
        </w:rPr>
        <w:t>5</w:t>
      </w:r>
      <w:r>
        <w:rPr>
          <w:rFonts w:hint="eastAsia" w:ascii="宋体" w:hAnsi="宋体" w:cs="宋体"/>
          <w:lang w:val="zh-CN"/>
        </w:rPr>
        <w:t>.3.6有关电子化远程解密网上开标未尽事宜，登录全国公共资源交易平台(云南省)云南省公共资源交易信息网(网址:https://g8zy.yn.gov.cn/)在首页交易指引自行学习交易规则、交易流程、操作指南等相关内容。</w:t>
      </w:r>
    </w:p>
    <w:p w14:paraId="088CB4AB">
      <w:pPr>
        <w:autoSpaceDE w:val="0"/>
        <w:autoSpaceDN w:val="0"/>
        <w:adjustRightInd w:val="0"/>
        <w:snapToGrid w:val="0"/>
        <w:spacing w:line="360" w:lineRule="auto"/>
        <w:outlineLvl w:val="1"/>
        <w:rPr>
          <w:rFonts w:cs="Times New Roman"/>
          <w:b/>
          <w:bCs/>
          <w:lang w:val="zh-CN"/>
        </w:rPr>
      </w:pPr>
      <w:bookmarkStart w:id="63" w:name="_Toc10259"/>
      <w:bookmarkEnd w:id="63"/>
      <w:r>
        <w:rPr>
          <w:rFonts w:hint="eastAsia" w:cs="Times New Roman"/>
          <w:b/>
          <w:bCs/>
          <w:lang w:val="zh-CN"/>
        </w:rPr>
        <w:t>6.异议（质疑）及投诉渠道</w:t>
      </w:r>
    </w:p>
    <w:p w14:paraId="39860D08">
      <w:pPr>
        <w:snapToGrid w:val="0"/>
        <w:spacing w:line="360" w:lineRule="auto"/>
        <w:ind w:firstLine="424" w:firstLineChars="202"/>
        <w:rPr>
          <w:rFonts w:hint="eastAsia" w:ascii="宋体" w:hAnsi="宋体" w:cs="宋体"/>
          <w:lang w:val="en-US" w:eastAsia="zh-CN"/>
        </w:rPr>
      </w:pPr>
      <w:r>
        <w:rPr>
          <w:rFonts w:hint="eastAsia" w:ascii="宋体" w:hAnsi="宋体" w:cs="宋体"/>
          <w:lang w:val="en-US" w:eastAsia="zh-CN"/>
        </w:rPr>
        <w:t xml:space="preserve">根据《中华人民共和国招标投标法》及相关法律、法规的规定，现将该项目公告予以公示，接受社会监督。如有异议请通过云南省公共资源交易信息网线上向姚安县工业开发投资有限公司（招标人）提出。 </w:t>
      </w:r>
    </w:p>
    <w:p w14:paraId="2CB96A42">
      <w:pPr>
        <w:snapToGrid w:val="0"/>
        <w:spacing w:line="360" w:lineRule="auto"/>
        <w:ind w:firstLine="424" w:firstLineChars="202"/>
        <w:rPr>
          <w:rFonts w:hint="eastAsia" w:ascii="宋体" w:hAnsi="宋体" w:cs="宋体"/>
          <w:lang w:val="en-US" w:eastAsia="zh-CN"/>
        </w:rPr>
      </w:pPr>
      <w:r>
        <w:rPr>
          <w:rFonts w:hint="eastAsia" w:ascii="宋体" w:hAnsi="宋体" w:cs="宋体"/>
          <w:lang w:val="en-US" w:eastAsia="zh-CN"/>
        </w:rPr>
        <w:t>联 系 人：</w:t>
      </w:r>
      <w:r>
        <w:rPr>
          <w:rFonts w:hint="eastAsia" w:cs="宋体"/>
        </w:rPr>
        <w:t>官涵勇</w:t>
      </w:r>
    </w:p>
    <w:p w14:paraId="52B3D3A3">
      <w:pPr>
        <w:snapToGrid w:val="0"/>
        <w:spacing w:line="360" w:lineRule="auto"/>
        <w:ind w:firstLine="424" w:firstLineChars="202"/>
        <w:rPr>
          <w:rFonts w:hint="eastAsia" w:ascii="宋体" w:hAnsi="宋体" w:cs="宋体"/>
          <w:lang w:val="zh-CN"/>
        </w:rPr>
      </w:pPr>
      <w:r>
        <w:rPr>
          <w:rFonts w:hint="eastAsia" w:ascii="宋体" w:hAnsi="宋体" w:cs="宋体"/>
          <w:lang w:val="en-US" w:eastAsia="zh-CN"/>
        </w:rPr>
        <w:t>联系电话：18087885124</w:t>
      </w:r>
    </w:p>
    <w:p w14:paraId="469D44CD">
      <w:pPr>
        <w:autoSpaceDE w:val="0"/>
        <w:autoSpaceDN w:val="0"/>
        <w:adjustRightInd w:val="0"/>
        <w:snapToGrid w:val="0"/>
        <w:spacing w:line="360" w:lineRule="auto"/>
        <w:outlineLvl w:val="1"/>
        <w:rPr>
          <w:rFonts w:cs="Times New Roman"/>
          <w:b/>
          <w:bCs/>
          <w:lang w:val="zh-CN"/>
        </w:rPr>
      </w:pPr>
      <w:bookmarkStart w:id="64" w:name="_Toc13372"/>
      <w:bookmarkEnd w:id="64"/>
      <w:r>
        <w:rPr>
          <w:rFonts w:hint="eastAsia" w:cs="Times New Roman"/>
          <w:b/>
          <w:bCs/>
          <w:lang w:val="zh-CN"/>
        </w:rPr>
        <w:t>7.发布公告的媒介</w:t>
      </w:r>
    </w:p>
    <w:p w14:paraId="0D9EFA9E">
      <w:pPr>
        <w:snapToGrid w:val="0"/>
        <w:spacing w:line="360" w:lineRule="auto"/>
        <w:ind w:firstLine="424" w:firstLineChars="202"/>
        <w:rPr>
          <w:rFonts w:hint="eastAsia" w:ascii="宋体" w:hAnsi="宋体" w:cs="宋体"/>
          <w:lang w:val="zh-CN"/>
        </w:rPr>
      </w:pPr>
      <w:r>
        <w:rPr>
          <w:rFonts w:hint="eastAsia" w:ascii="宋体" w:hAnsi="宋体" w:cs="宋体"/>
          <w:lang w:val="zh-CN"/>
        </w:rPr>
        <w:t>本次招标公告同时在云南省公共资源交易信息网（网址：https://ggzy.yn.gov.cn/）、</w:t>
      </w:r>
      <w:r>
        <w:rPr>
          <w:rFonts w:hint="eastAsia" w:ascii="宋体" w:hAnsi="宋体" w:cs="宋体"/>
          <w:lang w:val="zh-CN"/>
        </w:rPr>
        <w:fldChar w:fldCharType="begin"/>
      </w:r>
      <w:r>
        <w:rPr>
          <w:rFonts w:hint="eastAsia" w:ascii="宋体" w:hAnsi="宋体" w:cs="宋体"/>
          <w:lang w:val="zh-CN"/>
        </w:rPr>
        <w:instrText xml:space="preserve"> AUTOTEXT  input22 \* MERGEFORMAT </w:instrText>
      </w:r>
      <w:r>
        <w:rPr>
          <w:rFonts w:hint="eastAsia" w:ascii="宋体" w:hAnsi="宋体" w:cs="宋体"/>
          <w:lang w:val="zh-CN"/>
        </w:rPr>
        <w:fldChar w:fldCharType="separate"/>
      </w:r>
      <w:r>
        <w:rPr>
          <w:rFonts w:hint="eastAsia" w:ascii="宋体" w:hAnsi="宋体" w:cs="宋体"/>
          <w:lang w:val="zh-CN"/>
        </w:rPr>
        <w:t>云南省建设监管公共</w:t>
      </w:r>
      <w:r>
        <w:rPr>
          <w:rFonts w:hint="eastAsia" w:ascii="宋体" w:hAnsi="宋体" w:cs="宋体"/>
          <w:lang w:val="zh-CN"/>
        </w:rPr>
        <w:fldChar w:fldCharType="end"/>
      </w:r>
      <w:r>
        <w:rPr>
          <w:rFonts w:hint="eastAsia" w:ascii="宋体" w:hAnsi="宋体" w:cs="宋体"/>
          <w:lang w:val="zh-CN"/>
        </w:rPr>
        <w:t>服务平台（网址：https://www.ynjzjgcx.com）、中国招标投标公共服务平台（网址：http://www.cebpubservice.com）上公开发布。招标人及招标代理机构对其他网站或媒体转载的公告及公告内容不承担任何责任。</w:t>
      </w:r>
    </w:p>
    <w:bookmarkEnd w:id="52"/>
    <w:bookmarkEnd w:id="53"/>
    <w:bookmarkEnd w:id="54"/>
    <w:bookmarkEnd w:id="55"/>
    <w:bookmarkEnd w:id="56"/>
    <w:p w14:paraId="4AD3CDB9">
      <w:pPr>
        <w:autoSpaceDE w:val="0"/>
        <w:autoSpaceDN w:val="0"/>
        <w:adjustRightInd w:val="0"/>
        <w:snapToGrid w:val="0"/>
        <w:spacing w:line="360" w:lineRule="auto"/>
        <w:outlineLvl w:val="1"/>
        <w:rPr>
          <w:rFonts w:cs="Times New Roman"/>
          <w:b/>
          <w:bCs/>
          <w:strike/>
          <w:lang w:val="zh-CN"/>
        </w:rPr>
      </w:pPr>
      <w:bookmarkStart w:id="65" w:name="_Toc21609"/>
      <w:bookmarkEnd w:id="65"/>
      <w:r>
        <w:rPr>
          <w:rFonts w:hint="eastAsia" w:cs="Times New Roman"/>
          <w:b/>
          <w:bCs/>
          <w:lang w:val="zh-CN"/>
        </w:rPr>
        <w:t>8.联系方式</w:t>
      </w:r>
    </w:p>
    <w:p w14:paraId="7F8F8E0B">
      <w:pPr>
        <w:topLinePunct/>
        <w:snapToGrid w:val="0"/>
        <w:spacing w:line="360" w:lineRule="auto"/>
        <w:ind w:firstLine="420" w:firstLineChars="200"/>
        <w:jc w:val="left"/>
        <w:rPr>
          <w:rFonts w:cs="宋体"/>
        </w:rPr>
      </w:pPr>
      <w:bookmarkStart w:id="66" w:name="_Toc18078"/>
      <w:bookmarkStart w:id="67" w:name="_Toc32622_WPSOffice_Level1"/>
      <w:bookmarkStart w:id="68" w:name="_Toc16415_WPSOffice_Level1"/>
      <w:r>
        <w:rPr>
          <w:rFonts w:hint="eastAsia" w:cs="宋体"/>
        </w:rPr>
        <w:t xml:space="preserve">招   标   人：姚安县工业开发投资有限公司  </w:t>
      </w:r>
    </w:p>
    <w:p w14:paraId="79F7B57D">
      <w:pPr>
        <w:topLinePunct/>
        <w:snapToGrid w:val="0"/>
        <w:spacing w:line="360" w:lineRule="auto"/>
        <w:ind w:firstLine="420" w:firstLineChars="200"/>
        <w:jc w:val="left"/>
        <w:rPr>
          <w:rFonts w:cs="宋体"/>
        </w:rPr>
      </w:pPr>
      <w:r>
        <w:rPr>
          <w:rFonts w:hint="eastAsia" w:cs="宋体"/>
        </w:rPr>
        <w:t>地        址：云南省楚雄彝族自治州姚安县栋川镇府前街88号</w:t>
      </w:r>
    </w:p>
    <w:p w14:paraId="105955F0">
      <w:pPr>
        <w:topLinePunct/>
        <w:snapToGrid w:val="0"/>
        <w:spacing w:line="360" w:lineRule="auto"/>
        <w:ind w:firstLine="420" w:firstLineChars="200"/>
        <w:jc w:val="left"/>
        <w:rPr>
          <w:rFonts w:cs="宋体"/>
        </w:rPr>
      </w:pPr>
      <w:r>
        <w:rPr>
          <w:rFonts w:hint="eastAsia" w:cs="宋体"/>
        </w:rPr>
        <w:t>联   系   人：官涵勇</w:t>
      </w:r>
    </w:p>
    <w:p w14:paraId="3142BA49">
      <w:pPr>
        <w:topLinePunct/>
        <w:snapToGrid w:val="0"/>
        <w:spacing w:line="360" w:lineRule="auto"/>
        <w:ind w:firstLine="420" w:firstLineChars="200"/>
        <w:jc w:val="left"/>
        <w:rPr>
          <w:rFonts w:cs="宋体"/>
        </w:rPr>
      </w:pPr>
      <w:r>
        <w:rPr>
          <w:rFonts w:hint="eastAsia" w:cs="宋体"/>
        </w:rPr>
        <w:t>联 系  电 话：18087885124</w:t>
      </w:r>
    </w:p>
    <w:p w14:paraId="38A37912">
      <w:pPr>
        <w:topLinePunct/>
        <w:snapToGrid w:val="0"/>
        <w:spacing w:line="360" w:lineRule="auto"/>
        <w:ind w:firstLine="420" w:firstLineChars="200"/>
        <w:jc w:val="left"/>
        <w:rPr>
          <w:rFonts w:cs="宋体"/>
        </w:rPr>
      </w:pPr>
    </w:p>
    <w:p w14:paraId="7314C52A">
      <w:pPr>
        <w:topLinePunct/>
        <w:snapToGrid w:val="0"/>
        <w:spacing w:line="360" w:lineRule="auto"/>
        <w:ind w:firstLine="420" w:firstLineChars="200"/>
        <w:jc w:val="left"/>
        <w:rPr>
          <w:rFonts w:cs="宋体"/>
        </w:rPr>
      </w:pPr>
      <w:r>
        <w:rPr>
          <w:rFonts w:hint="eastAsia" w:cs="宋体"/>
        </w:rPr>
        <w:t>招标代理机构：云南策澜工程管理服务有限公司</w:t>
      </w:r>
    </w:p>
    <w:p w14:paraId="2615A6E5">
      <w:pPr>
        <w:topLinePunct/>
        <w:snapToGrid w:val="0"/>
        <w:spacing w:line="360" w:lineRule="auto"/>
        <w:ind w:firstLine="420" w:firstLineChars="200"/>
        <w:jc w:val="left"/>
        <w:rPr>
          <w:rFonts w:cs="宋体"/>
        </w:rPr>
      </w:pPr>
      <w:r>
        <w:rPr>
          <w:rFonts w:hint="eastAsia" w:cs="宋体"/>
        </w:rPr>
        <w:t>地        址：楚雄市汇东胜景小区357幢</w:t>
      </w:r>
    </w:p>
    <w:p w14:paraId="783D1DF1">
      <w:pPr>
        <w:topLinePunct/>
        <w:snapToGrid w:val="0"/>
        <w:spacing w:line="360" w:lineRule="auto"/>
        <w:ind w:firstLine="420" w:firstLineChars="200"/>
        <w:jc w:val="left"/>
        <w:rPr>
          <w:rFonts w:cs="宋体"/>
        </w:rPr>
      </w:pPr>
      <w:r>
        <w:rPr>
          <w:rFonts w:hint="eastAsia" w:cs="宋体"/>
        </w:rPr>
        <w:t>联   系   人：王鸿靖</w:t>
      </w:r>
    </w:p>
    <w:p w14:paraId="1D6D03BC">
      <w:pPr>
        <w:topLinePunct/>
        <w:snapToGrid w:val="0"/>
        <w:spacing w:line="360" w:lineRule="auto"/>
        <w:ind w:firstLine="420" w:firstLineChars="200"/>
        <w:jc w:val="left"/>
        <w:rPr>
          <w:rFonts w:cs="宋体"/>
        </w:rPr>
      </w:pPr>
      <w:r>
        <w:rPr>
          <w:rFonts w:hint="eastAsia" w:cs="宋体"/>
        </w:rPr>
        <w:t>联 系  电 话：13187647775</w:t>
      </w:r>
    </w:p>
    <w:p w14:paraId="4326CFFB">
      <w:pPr>
        <w:topLinePunct/>
        <w:snapToGrid w:val="0"/>
        <w:spacing w:line="360" w:lineRule="auto"/>
        <w:ind w:firstLine="420" w:firstLineChars="200"/>
        <w:jc w:val="left"/>
        <w:rPr>
          <w:rFonts w:cs="宋体"/>
        </w:rPr>
      </w:pPr>
    </w:p>
    <w:p w14:paraId="1B13CC26">
      <w:pPr>
        <w:topLinePunct/>
        <w:snapToGrid w:val="0"/>
        <w:spacing w:line="360" w:lineRule="auto"/>
        <w:ind w:firstLine="420" w:firstLineChars="200"/>
        <w:jc w:val="left"/>
        <w:rPr>
          <w:rFonts w:cs="Times New Roman"/>
        </w:rPr>
      </w:pPr>
      <w:r>
        <w:rPr>
          <w:rFonts w:hint="eastAsia" w:cs="宋体"/>
        </w:rPr>
        <w:t>行政监督单位：姚安县住房和城乡建设局</w:t>
      </w:r>
    </w:p>
    <w:p w14:paraId="659BAC08">
      <w:pPr>
        <w:topLinePunct/>
        <w:snapToGrid w:val="0"/>
        <w:spacing w:line="360" w:lineRule="auto"/>
        <w:ind w:firstLine="420" w:firstLineChars="200"/>
        <w:jc w:val="left"/>
      </w:pPr>
      <w:r>
        <w:rPr>
          <w:rFonts w:hint="eastAsia" w:cs="宋体"/>
        </w:rPr>
        <w:t>监督电话：</w:t>
      </w:r>
      <w:r>
        <w:rPr>
          <w:rFonts w:hint="eastAsia" w:cs="Times New Roman"/>
        </w:rPr>
        <w:t>0878-5711952</w:t>
      </w:r>
    </w:p>
    <w:p w14:paraId="36E78DF6">
      <w:pPr>
        <w:topLinePunct/>
        <w:snapToGrid w:val="0"/>
        <w:spacing w:line="360" w:lineRule="auto"/>
        <w:ind w:firstLine="420" w:firstLineChars="200"/>
        <w:jc w:val="left"/>
        <w:rPr>
          <w:rFonts w:cs="宋体"/>
        </w:rPr>
      </w:pPr>
      <w:bookmarkStart w:id="69" w:name="_Toc25535"/>
      <w:bookmarkEnd w:id="69"/>
      <w:bookmarkStart w:id="70" w:name="_Toc29272"/>
      <w:bookmarkEnd w:id="70"/>
      <w:bookmarkStart w:id="71" w:name="_Toc23931"/>
      <w:bookmarkEnd w:id="71"/>
    </w:p>
    <w:p w14:paraId="2FA031D7">
      <w:pPr>
        <w:topLinePunct/>
        <w:snapToGrid w:val="0"/>
        <w:spacing w:line="360" w:lineRule="auto"/>
        <w:ind w:firstLine="420" w:firstLineChars="200"/>
        <w:jc w:val="left"/>
        <w:rPr>
          <w:rFonts w:cs="宋体"/>
        </w:rPr>
      </w:pPr>
      <w:r>
        <w:rPr>
          <w:rFonts w:hint="eastAsia" w:cs="宋体"/>
        </w:rPr>
        <w:t>日期：2026年3月  日</w:t>
      </w:r>
    </w:p>
    <w:p w14:paraId="1A9DBB94">
      <w:pPr>
        <w:spacing w:line="380" w:lineRule="exact"/>
        <w:jc w:val="center"/>
        <w:rPr>
          <w:rFonts w:hint="eastAsia" w:ascii="宋体" w:hAnsi="宋体" w:cs="宋体"/>
          <w:sz w:val="24"/>
          <w:szCs w:val="24"/>
        </w:rPr>
      </w:pPr>
    </w:p>
    <w:p w14:paraId="56936E9E">
      <w:pPr>
        <w:spacing w:line="380" w:lineRule="exact"/>
        <w:jc w:val="center"/>
        <w:rPr>
          <w:rFonts w:hint="eastAsia" w:ascii="宋体" w:hAnsi="宋体" w:cs="宋体"/>
          <w:sz w:val="24"/>
          <w:szCs w:val="24"/>
        </w:rPr>
      </w:pPr>
    </w:p>
    <w:p w14:paraId="0911108E">
      <w:pPr>
        <w:rPr>
          <w:rFonts w:hint="eastAsia" w:ascii="宋体" w:hAnsi="宋体" w:cs="宋体"/>
          <w:sz w:val="24"/>
          <w:szCs w:val="24"/>
        </w:rPr>
      </w:pPr>
      <w:r>
        <w:rPr>
          <w:rFonts w:hint="eastAsia" w:ascii="宋体" w:hAnsi="宋体" w:cs="宋体"/>
          <w:sz w:val="24"/>
          <w:szCs w:val="24"/>
        </w:rPr>
        <w:br w:type="page"/>
      </w:r>
    </w:p>
    <w:p w14:paraId="6700DCCF">
      <w:pPr>
        <w:pStyle w:val="3"/>
        <w:spacing w:before="0" w:after="0" w:line="380" w:lineRule="exact"/>
        <w:jc w:val="center"/>
      </w:pPr>
      <w:r>
        <w:rPr>
          <w:rFonts w:hint="eastAsia" w:ascii="宋体" w:hAnsi="宋体" w:cs="宋体"/>
          <w:sz w:val="24"/>
          <w:szCs w:val="24"/>
        </w:rPr>
        <w:t>施工现场专业（管理）人员配备表</w:t>
      </w:r>
    </w:p>
    <w:tbl>
      <w:tblPr>
        <w:tblStyle w:val="25"/>
        <w:tblW w:w="94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90"/>
        <w:gridCol w:w="1181"/>
        <w:gridCol w:w="1007"/>
        <w:gridCol w:w="1221"/>
        <w:gridCol w:w="3883"/>
      </w:tblGrid>
      <w:tr w14:paraId="7E4E2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0" w:type="dxa"/>
          </w:tcPr>
          <w:p w14:paraId="2E157FA8">
            <w:pPr>
              <w:spacing w:line="360" w:lineRule="exact"/>
              <w:jc w:val="center"/>
              <w:rPr>
                <w:rFonts w:hint="eastAsia" w:ascii="宋体" w:hAnsi="宋体" w:cs="宋体"/>
                <w:sz w:val="18"/>
                <w:szCs w:val="18"/>
              </w:rPr>
            </w:pPr>
            <w:r>
              <w:rPr>
                <w:rFonts w:hint="eastAsia" w:ascii="宋体" w:hAnsi="宋体" w:cs="宋体"/>
                <w:sz w:val="18"/>
                <w:szCs w:val="18"/>
              </w:rPr>
              <w:t>专业岗位</w:t>
            </w:r>
          </w:p>
        </w:tc>
        <w:tc>
          <w:tcPr>
            <w:tcW w:w="1181" w:type="dxa"/>
          </w:tcPr>
          <w:p w14:paraId="22D8E15D">
            <w:pPr>
              <w:spacing w:line="360" w:lineRule="exact"/>
              <w:jc w:val="center"/>
              <w:rPr>
                <w:rFonts w:hint="eastAsia" w:ascii="宋体" w:hAnsi="宋体" w:cs="宋体"/>
                <w:sz w:val="18"/>
                <w:szCs w:val="18"/>
              </w:rPr>
            </w:pPr>
            <w:r>
              <w:rPr>
                <w:rFonts w:hint="eastAsia" w:ascii="宋体" w:hAnsi="宋体" w:cs="宋体"/>
                <w:sz w:val="18"/>
                <w:szCs w:val="18"/>
              </w:rPr>
              <w:t>人员数量最低要求</w:t>
            </w:r>
          </w:p>
        </w:tc>
        <w:tc>
          <w:tcPr>
            <w:tcW w:w="1007" w:type="dxa"/>
          </w:tcPr>
          <w:p w14:paraId="04F51FDB">
            <w:pPr>
              <w:spacing w:line="360" w:lineRule="exact"/>
              <w:jc w:val="center"/>
              <w:rPr>
                <w:rFonts w:hint="eastAsia" w:ascii="宋体" w:hAnsi="宋体" w:cs="宋体"/>
                <w:sz w:val="18"/>
                <w:szCs w:val="18"/>
              </w:rPr>
            </w:pPr>
            <w:r>
              <w:rPr>
                <w:rFonts w:hint="eastAsia" w:ascii="宋体" w:hAnsi="宋体" w:cs="宋体"/>
                <w:sz w:val="18"/>
                <w:szCs w:val="18"/>
              </w:rPr>
              <w:t>岗位资格要求</w:t>
            </w:r>
          </w:p>
        </w:tc>
        <w:tc>
          <w:tcPr>
            <w:tcW w:w="1221" w:type="dxa"/>
          </w:tcPr>
          <w:p w14:paraId="59479211">
            <w:pPr>
              <w:spacing w:line="360" w:lineRule="exact"/>
              <w:jc w:val="center"/>
              <w:rPr>
                <w:rFonts w:hint="eastAsia" w:ascii="宋体" w:hAnsi="宋体" w:cs="宋体"/>
                <w:sz w:val="18"/>
                <w:szCs w:val="18"/>
              </w:rPr>
            </w:pPr>
            <w:r>
              <w:rPr>
                <w:rFonts w:hint="eastAsia" w:ascii="宋体" w:hAnsi="宋体" w:cs="宋体"/>
                <w:sz w:val="18"/>
                <w:szCs w:val="18"/>
              </w:rPr>
              <w:t>岗位要求</w:t>
            </w:r>
          </w:p>
        </w:tc>
        <w:tc>
          <w:tcPr>
            <w:tcW w:w="3883" w:type="dxa"/>
          </w:tcPr>
          <w:p w14:paraId="1F698ADF">
            <w:pPr>
              <w:spacing w:line="360" w:lineRule="exact"/>
              <w:jc w:val="center"/>
              <w:rPr>
                <w:rFonts w:hint="eastAsia" w:ascii="宋体" w:hAnsi="宋体" w:cs="宋体"/>
                <w:sz w:val="18"/>
                <w:szCs w:val="18"/>
              </w:rPr>
            </w:pPr>
            <w:r>
              <w:rPr>
                <w:rFonts w:hint="eastAsia" w:ascii="宋体" w:hAnsi="宋体" w:cs="宋体"/>
                <w:sz w:val="18"/>
                <w:szCs w:val="18"/>
              </w:rPr>
              <w:t>备注</w:t>
            </w:r>
          </w:p>
        </w:tc>
      </w:tr>
      <w:tr w14:paraId="620D0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0" w:type="dxa"/>
            <w:vAlign w:val="center"/>
          </w:tcPr>
          <w:p w14:paraId="63EADFDF">
            <w:pPr>
              <w:spacing w:line="360" w:lineRule="exact"/>
              <w:jc w:val="center"/>
              <w:rPr>
                <w:rFonts w:hint="eastAsia" w:ascii="宋体" w:hAnsi="宋体" w:cs="宋体"/>
                <w:sz w:val="18"/>
                <w:szCs w:val="18"/>
              </w:rPr>
            </w:pPr>
            <w:r>
              <w:rPr>
                <w:rFonts w:hint="eastAsia" w:ascii="宋体" w:hAnsi="宋体" w:cs="宋体"/>
                <w:sz w:val="18"/>
                <w:szCs w:val="18"/>
              </w:rPr>
              <w:t>总承包项目负责人</w:t>
            </w:r>
          </w:p>
        </w:tc>
        <w:tc>
          <w:tcPr>
            <w:tcW w:w="1181" w:type="dxa"/>
            <w:vAlign w:val="center"/>
          </w:tcPr>
          <w:p w14:paraId="69357C13">
            <w:pPr>
              <w:spacing w:line="360" w:lineRule="exact"/>
              <w:jc w:val="center"/>
              <w:rPr>
                <w:rFonts w:hint="eastAsia"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AUTOTEXT  input538 \* MERGEFORMAT </w:instrText>
            </w:r>
            <w:r>
              <w:rPr>
                <w:rFonts w:hint="eastAsia" w:ascii="宋体" w:hAnsi="宋体" w:cs="宋体"/>
                <w:sz w:val="18"/>
                <w:szCs w:val="18"/>
              </w:rPr>
              <w:fldChar w:fldCharType="separate"/>
            </w:r>
            <w:r>
              <w:rPr>
                <w:rFonts w:hint="eastAsia" w:ascii="宋体" w:hAnsi="宋体" w:cs="宋体"/>
                <w:sz w:val="18"/>
                <w:szCs w:val="18"/>
              </w:rPr>
              <w:t>1</w:t>
            </w:r>
            <w:r>
              <w:rPr>
                <w:rFonts w:hint="eastAsia" w:ascii="宋体" w:hAnsi="宋体" w:cs="宋体"/>
                <w:sz w:val="18"/>
                <w:szCs w:val="18"/>
              </w:rPr>
              <w:fldChar w:fldCharType="end"/>
            </w:r>
          </w:p>
        </w:tc>
        <w:tc>
          <w:tcPr>
            <w:tcW w:w="1007" w:type="dxa"/>
            <w:vAlign w:val="center"/>
          </w:tcPr>
          <w:p w14:paraId="3A91AD45">
            <w:pPr>
              <w:spacing w:line="360" w:lineRule="exact"/>
              <w:rPr>
                <w:rFonts w:hint="eastAsia" w:ascii="宋体" w:hAnsi="宋体" w:cs="宋体"/>
                <w:sz w:val="18"/>
                <w:szCs w:val="18"/>
              </w:rPr>
            </w:pPr>
            <w:r>
              <w:rPr>
                <w:rFonts w:hint="eastAsia" w:ascii="宋体" w:hAnsi="宋体" w:cs="宋体"/>
                <w:sz w:val="18"/>
                <w:szCs w:val="18"/>
              </w:rPr>
              <w:t>是：</w:t>
            </w:r>
            <w:r>
              <w:rPr>
                <w:rFonts w:hint="eastAsia" w:ascii="宋体" w:hAnsi="宋体" w:cs="宋体"/>
                <w:sz w:val="18"/>
                <w:szCs w:val="18"/>
              </w:rPr>
              <w:fldChar w:fldCharType="begin"/>
            </w:r>
            <w:r>
              <w:rPr>
                <w:rFonts w:hint="eastAsia" w:ascii="宋体" w:hAnsi="宋体" w:cs="宋体"/>
                <w:sz w:val="18"/>
                <w:szCs w:val="18"/>
              </w:rPr>
              <w:instrText xml:space="preserve"> AUTOTEXT  input539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624C9C13">
            <w:pPr>
              <w:spacing w:line="360" w:lineRule="exact"/>
              <w:rPr>
                <w:rFonts w:hint="eastAsia" w:ascii="宋体" w:hAnsi="宋体" w:cs="宋体"/>
                <w:sz w:val="18"/>
                <w:szCs w:val="18"/>
              </w:rPr>
            </w:pPr>
            <w:r>
              <w:rPr>
                <w:rFonts w:hint="eastAsia" w:ascii="宋体" w:hAnsi="宋体" w:cs="宋体"/>
                <w:sz w:val="18"/>
                <w:szCs w:val="18"/>
              </w:rPr>
              <w:t>否：</w:t>
            </w:r>
            <w:r>
              <w:rPr>
                <w:rFonts w:hint="eastAsia" w:ascii="宋体" w:hAnsi="宋体" w:cs="宋体"/>
                <w:sz w:val="18"/>
                <w:szCs w:val="18"/>
              </w:rPr>
              <w:fldChar w:fldCharType="begin"/>
            </w:r>
            <w:r>
              <w:rPr>
                <w:rFonts w:hint="eastAsia" w:ascii="宋体" w:hAnsi="宋体" w:cs="宋体"/>
                <w:sz w:val="18"/>
                <w:szCs w:val="18"/>
              </w:rPr>
              <w:instrText xml:space="preserve"> AUTOTEXT  input540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1221" w:type="dxa"/>
            <w:vAlign w:val="center"/>
          </w:tcPr>
          <w:p w14:paraId="7B275F0A">
            <w:pPr>
              <w:spacing w:line="360" w:lineRule="exact"/>
              <w:rPr>
                <w:rFonts w:hint="eastAsia" w:ascii="宋体" w:hAnsi="宋体" w:cs="宋体"/>
                <w:sz w:val="18"/>
                <w:szCs w:val="18"/>
                <w:highlight w:val="none"/>
              </w:rPr>
            </w:pPr>
            <w:r>
              <w:rPr>
                <w:rFonts w:hint="eastAsia" w:ascii="宋体" w:hAnsi="宋体" w:cs="宋体"/>
                <w:sz w:val="18"/>
                <w:szCs w:val="18"/>
                <w:highlight w:val="none"/>
              </w:rPr>
              <w:t>专职：</w:t>
            </w:r>
            <w:r>
              <w:rPr>
                <w:rFonts w:hint="eastAsia" w:ascii="宋体" w:hAnsi="宋体" w:cs="宋体"/>
                <w:sz w:val="18"/>
                <w:szCs w:val="18"/>
                <w:highlight w:val="none"/>
              </w:rPr>
              <w:fldChar w:fldCharType="begin"/>
            </w:r>
            <w:r>
              <w:rPr>
                <w:rFonts w:hint="eastAsia" w:ascii="宋体" w:hAnsi="宋体" w:cs="宋体"/>
                <w:sz w:val="18"/>
                <w:szCs w:val="18"/>
                <w:highlight w:val="none"/>
              </w:rPr>
              <w:instrText xml:space="preserve"> AUTOTEXT  input541 \* MERGEFORMAT </w:instrText>
            </w:r>
            <w:r>
              <w:rPr>
                <w:rFonts w:hint="eastAsia" w:ascii="宋体" w:hAnsi="宋体" w:cs="宋体"/>
                <w:sz w:val="18"/>
                <w:szCs w:val="18"/>
                <w:highlight w:val="none"/>
              </w:rPr>
              <w:fldChar w:fldCharType="separate"/>
            </w:r>
            <w:r>
              <w:rPr>
                <w:rFonts w:hint="eastAsia" w:ascii="宋体" w:hAnsi="宋体" w:cs="宋体"/>
                <w:sz w:val="18"/>
                <w:szCs w:val="18"/>
                <w:highlight w:val="none"/>
              </w:rPr>
              <w:t>□</w:t>
            </w:r>
            <w:r>
              <w:rPr>
                <w:rFonts w:hint="eastAsia" w:ascii="宋体" w:hAnsi="宋体" w:cs="宋体"/>
                <w:sz w:val="18"/>
                <w:szCs w:val="18"/>
                <w:highlight w:val="none"/>
              </w:rPr>
              <w:fldChar w:fldCharType="end"/>
            </w:r>
          </w:p>
          <w:p w14:paraId="5580D4FD">
            <w:pPr>
              <w:spacing w:line="360" w:lineRule="exact"/>
              <w:rPr>
                <w:rFonts w:hint="eastAsia" w:ascii="宋体" w:hAnsi="宋体" w:cs="宋体"/>
                <w:sz w:val="18"/>
                <w:szCs w:val="18"/>
                <w:highlight w:val="none"/>
              </w:rPr>
            </w:pPr>
            <w:r>
              <w:rPr>
                <w:rFonts w:hint="eastAsia" w:ascii="宋体" w:hAnsi="宋体" w:cs="宋体"/>
                <w:sz w:val="18"/>
                <w:szCs w:val="18"/>
                <w:highlight w:val="none"/>
              </w:rPr>
              <w:t>可兼任：</w:t>
            </w:r>
            <w:r>
              <w:rPr>
                <w:rFonts w:hint="eastAsia" w:ascii="宋体" w:hAnsi="宋体" w:cs="宋体"/>
                <w:sz w:val="18"/>
                <w:szCs w:val="18"/>
                <w:highlight w:val="none"/>
              </w:rPr>
              <w:fldChar w:fldCharType="begin"/>
            </w:r>
            <w:r>
              <w:rPr>
                <w:rFonts w:hint="eastAsia" w:ascii="宋体" w:hAnsi="宋体" w:cs="宋体"/>
                <w:sz w:val="18"/>
                <w:szCs w:val="18"/>
                <w:highlight w:val="none"/>
              </w:rPr>
              <w:instrText xml:space="preserve"> AUTOTEXT  input542 \* MERGEFORMAT </w:instrText>
            </w:r>
            <w:r>
              <w:rPr>
                <w:rFonts w:hint="eastAsia" w:ascii="宋体" w:hAnsi="宋体" w:cs="宋体"/>
                <w:sz w:val="18"/>
                <w:szCs w:val="18"/>
                <w:highlight w:val="none"/>
              </w:rPr>
              <w:fldChar w:fldCharType="separate"/>
            </w:r>
            <w:r>
              <w:rPr>
                <w:rFonts w:hint="eastAsia" w:ascii="宋体" w:hAnsi="宋体" w:cs="宋体"/>
                <w:sz w:val="18"/>
                <w:szCs w:val="18"/>
                <w:highlight w:val="none"/>
              </w:rPr>
              <w:t>☑</w:t>
            </w:r>
            <w:r>
              <w:rPr>
                <w:rFonts w:hint="eastAsia" w:ascii="宋体" w:hAnsi="宋体" w:cs="宋体"/>
                <w:sz w:val="18"/>
                <w:szCs w:val="18"/>
                <w:highlight w:val="none"/>
              </w:rPr>
              <w:fldChar w:fldCharType="end"/>
            </w:r>
          </w:p>
        </w:tc>
        <w:tc>
          <w:tcPr>
            <w:tcW w:w="3883" w:type="dxa"/>
          </w:tcPr>
          <w:p w14:paraId="2DF7E6A2">
            <w:pPr>
              <w:spacing w:line="360" w:lineRule="exact"/>
              <w:jc w:val="center"/>
              <w:rPr>
                <w:rFonts w:hint="eastAsia" w:ascii="宋体" w:hAnsi="宋体" w:cs="宋体"/>
                <w:spacing w:val="8"/>
                <w:sz w:val="18"/>
                <w:szCs w:val="18"/>
              </w:rPr>
            </w:pPr>
            <w:r>
              <w:rPr>
                <w:rFonts w:hint="eastAsia" w:ascii="宋体" w:hAnsi="宋体" w:cs="宋体"/>
                <w:spacing w:val="1"/>
                <w:sz w:val="18"/>
                <w:szCs w:val="18"/>
              </w:rPr>
              <w:t>须提供建筑工程专业注册建造师证书、有效的</w:t>
            </w:r>
            <w:r>
              <w:rPr>
                <w:rFonts w:hint="eastAsia" w:ascii="宋体" w:hAnsi="宋体" w:cs="宋体"/>
                <w:sz w:val="18"/>
                <w:szCs w:val="18"/>
                <w:lang w:val="zh-CN"/>
              </w:rPr>
              <w:t>安全生产考核合格证书（B证）</w:t>
            </w:r>
            <w:r>
              <w:rPr>
                <w:rFonts w:hint="eastAsia" w:ascii="宋体" w:hAnsi="宋体" w:cs="宋体"/>
                <w:spacing w:val="8"/>
                <w:sz w:val="18"/>
                <w:szCs w:val="18"/>
              </w:rPr>
              <w:t>、</w:t>
            </w:r>
            <w:r>
              <w:rPr>
                <w:rFonts w:hint="eastAsia" w:ascii="宋体" w:hAnsi="宋体" w:cs="宋体"/>
                <w:spacing w:val="5"/>
                <w:sz w:val="18"/>
                <w:szCs w:val="18"/>
              </w:rPr>
              <w:t>身份证原件扫描件</w:t>
            </w:r>
            <w:r>
              <w:rPr>
                <w:rFonts w:hint="eastAsia" w:ascii="宋体" w:hAnsi="宋体" w:cs="宋体"/>
                <w:spacing w:val="7"/>
                <w:sz w:val="18"/>
                <w:szCs w:val="18"/>
              </w:rPr>
              <w:t>、</w:t>
            </w:r>
            <w:r>
              <w:rPr>
                <w:rFonts w:hint="eastAsia" w:ascii="宋体" w:hAnsi="宋体" w:cs="宋体"/>
                <w:sz w:val="18"/>
                <w:szCs w:val="18"/>
                <w:lang w:val="zh-CN"/>
              </w:rPr>
              <w:t>基本养老保险参保证明</w:t>
            </w:r>
            <w:r>
              <w:rPr>
                <w:rFonts w:hint="eastAsia" w:ascii="宋体" w:hAnsi="宋体" w:cs="宋体"/>
                <w:spacing w:val="5"/>
                <w:sz w:val="18"/>
                <w:szCs w:val="18"/>
              </w:rPr>
              <w:t>原件扫描件</w:t>
            </w:r>
            <w:r>
              <w:rPr>
                <w:rFonts w:hint="eastAsia" w:ascii="宋体" w:hAnsi="宋体" w:cs="宋体"/>
                <w:spacing w:val="8"/>
                <w:sz w:val="18"/>
                <w:szCs w:val="18"/>
              </w:rPr>
              <w:t>。</w:t>
            </w:r>
          </w:p>
          <w:p w14:paraId="7F35DD0C">
            <w:pPr>
              <w:spacing w:line="360" w:lineRule="exact"/>
            </w:pPr>
            <w:r>
              <w:rPr>
                <w:rFonts w:hint="eastAsia" w:ascii="宋体" w:hAnsi="宋体" w:cs="宋体"/>
                <w:sz w:val="18"/>
                <w:szCs w:val="18"/>
                <w:lang w:val="zh-CN"/>
              </w:rPr>
              <w:t>总承包项目负责人可以由施工负责人（项目经理）兼任</w:t>
            </w:r>
          </w:p>
        </w:tc>
      </w:tr>
      <w:tr w14:paraId="2617B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0" w:type="dxa"/>
            <w:vAlign w:val="center"/>
          </w:tcPr>
          <w:p w14:paraId="2E0FB612">
            <w:pPr>
              <w:spacing w:line="360" w:lineRule="exact"/>
              <w:jc w:val="center"/>
              <w:rPr>
                <w:rFonts w:hint="eastAsia" w:ascii="宋体" w:hAnsi="宋体" w:cs="宋体"/>
                <w:sz w:val="18"/>
                <w:szCs w:val="18"/>
              </w:rPr>
            </w:pPr>
            <w:r>
              <w:rPr>
                <w:rFonts w:hint="eastAsia" w:ascii="宋体" w:hAnsi="宋体" w:cs="宋体"/>
                <w:sz w:val="18"/>
                <w:szCs w:val="18"/>
              </w:rPr>
              <w:t>项目负责人</w:t>
            </w:r>
          </w:p>
          <w:p w14:paraId="70DEED36">
            <w:pPr>
              <w:spacing w:line="360" w:lineRule="exact"/>
              <w:jc w:val="center"/>
              <w:rPr>
                <w:rFonts w:hint="eastAsia" w:ascii="宋体" w:hAnsi="宋体" w:cs="宋体"/>
                <w:sz w:val="18"/>
                <w:szCs w:val="18"/>
              </w:rPr>
            </w:pPr>
            <w:r>
              <w:rPr>
                <w:rFonts w:hint="eastAsia" w:ascii="宋体" w:hAnsi="宋体" w:cs="宋体"/>
                <w:sz w:val="18"/>
                <w:szCs w:val="18"/>
              </w:rPr>
              <w:t>（项目经理）</w:t>
            </w:r>
          </w:p>
        </w:tc>
        <w:tc>
          <w:tcPr>
            <w:tcW w:w="1181" w:type="dxa"/>
            <w:vAlign w:val="center"/>
          </w:tcPr>
          <w:p w14:paraId="11691D38">
            <w:pPr>
              <w:spacing w:line="360" w:lineRule="exact"/>
              <w:jc w:val="center"/>
              <w:rPr>
                <w:rFonts w:hint="eastAsia" w:ascii="宋体" w:hAnsi="宋体" w:cs="宋体"/>
                <w:sz w:val="18"/>
                <w:szCs w:val="18"/>
              </w:rPr>
            </w:pPr>
            <w:r>
              <w:rPr>
                <w:rFonts w:hint="eastAsia" w:ascii="宋体" w:hAnsi="宋体" w:cs="宋体"/>
                <w:sz w:val="18"/>
                <w:szCs w:val="18"/>
              </w:rPr>
              <w:t>1</w:t>
            </w:r>
          </w:p>
        </w:tc>
        <w:tc>
          <w:tcPr>
            <w:tcW w:w="1007" w:type="dxa"/>
            <w:vAlign w:val="center"/>
          </w:tcPr>
          <w:p w14:paraId="746FCF2C">
            <w:pPr>
              <w:spacing w:line="360" w:lineRule="exact"/>
              <w:rPr>
                <w:rFonts w:hint="eastAsia" w:ascii="宋体" w:hAnsi="宋体" w:cs="宋体"/>
                <w:sz w:val="18"/>
                <w:szCs w:val="18"/>
              </w:rPr>
            </w:pPr>
            <w:r>
              <w:rPr>
                <w:rFonts w:hint="eastAsia" w:ascii="宋体" w:hAnsi="宋体" w:cs="宋体"/>
                <w:sz w:val="18"/>
                <w:szCs w:val="18"/>
              </w:rPr>
              <w:t>是：</w:t>
            </w:r>
            <w:r>
              <w:rPr>
                <w:rFonts w:hint="eastAsia" w:ascii="宋体" w:hAnsi="宋体" w:cs="宋体"/>
                <w:sz w:val="18"/>
                <w:szCs w:val="18"/>
              </w:rPr>
              <w:fldChar w:fldCharType="begin"/>
            </w:r>
            <w:r>
              <w:rPr>
                <w:rFonts w:hint="eastAsia" w:ascii="宋体" w:hAnsi="宋体" w:cs="宋体"/>
                <w:sz w:val="18"/>
                <w:szCs w:val="18"/>
              </w:rPr>
              <w:instrText xml:space="preserve"> AUTOTEXT  input539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7394F985">
            <w:pPr>
              <w:spacing w:line="360" w:lineRule="exact"/>
              <w:rPr>
                <w:rFonts w:hint="eastAsia" w:ascii="宋体" w:hAnsi="宋体" w:cs="宋体"/>
                <w:sz w:val="18"/>
                <w:szCs w:val="18"/>
              </w:rPr>
            </w:pPr>
            <w:r>
              <w:rPr>
                <w:rFonts w:hint="eastAsia" w:ascii="宋体" w:hAnsi="宋体" w:cs="宋体"/>
                <w:sz w:val="18"/>
                <w:szCs w:val="18"/>
              </w:rPr>
              <w:t>否：</w:t>
            </w:r>
            <w:r>
              <w:rPr>
                <w:rFonts w:hint="eastAsia" w:ascii="宋体" w:hAnsi="宋体" w:cs="宋体"/>
                <w:sz w:val="18"/>
                <w:szCs w:val="18"/>
              </w:rPr>
              <w:fldChar w:fldCharType="begin"/>
            </w:r>
            <w:r>
              <w:rPr>
                <w:rFonts w:hint="eastAsia" w:ascii="宋体" w:hAnsi="宋体" w:cs="宋体"/>
                <w:sz w:val="18"/>
                <w:szCs w:val="18"/>
              </w:rPr>
              <w:instrText xml:space="preserve"> AUTOTEXT  input540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1221" w:type="dxa"/>
            <w:vAlign w:val="center"/>
          </w:tcPr>
          <w:p w14:paraId="13273B70">
            <w:pPr>
              <w:spacing w:line="360" w:lineRule="exact"/>
              <w:jc w:val="left"/>
              <w:rPr>
                <w:rFonts w:hint="eastAsia" w:ascii="宋体" w:hAnsi="宋体" w:cs="宋体"/>
                <w:sz w:val="18"/>
                <w:szCs w:val="18"/>
                <w:highlight w:val="none"/>
              </w:rPr>
            </w:pPr>
            <w:r>
              <w:rPr>
                <w:rFonts w:hint="eastAsia" w:ascii="宋体" w:hAnsi="宋体" w:cs="宋体"/>
                <w:sz w:val="18"/>
                <w:szCs w:val="18"/>
                <w:highlight w:val="none"/>
              </w:rPr>
              <w:t>专职：</w:t>
            </w:r>
            <w:r>
              <w:rPr>
                <w:rFonts w:hint="eastAsia" w:ascii="宋体" w:hAnsi="宋体" w:cs="宋体"/>
                <w:sz w:val="18"/>
                <w:szCs w:val="18"/>
                <w:highlight w:val="none"/>
              </w:rPr>
              <w:fldChar w:fldCharType="begin"/>
            </w:r>
            <w:r>
              <w:rPr>
                <w:rFonts w:hint="eastAsia" w:ascii="宋体" w:hAnsi="宋体" w:cs="宋体"/>
                <w:sz w:val="18"/>
                <w:szCs w:val="18"/>
                <w:highlight w:val="none"/>
              </w:rPr>
              <w:instrText xml:space="preserve"> AUTOTEXT  input541 \* MERGEFORMAT </w:instrText>
            </w:r>
            <w:r>
              <w:rPr>
                <w:rFonts w:hint="eastAsia" w:ascii="宋体" w:hAnsi="宋体" w:cs="宋体"/>
                <w:sz w:val="18"/>
                <w:szCs w:val="18"/>
                <w:highlight w:val="none"/>
              </w:rPr>
              <w:fldChar w:fldCharType="separate"/>
            </w:r>
            <w:r>
              <w:rPr>
                <w:rFonts w:hint="eastAsia" w:ascii="宋体" w:hAnsi="宋体" w:cs="宋体"/>
                <w:sz w:val="18"/>
                <w:szCs w:val="18"/>
                <w:highlight w:val="none"/>
              </w:rPr>
              <w:t>☑</w:t>
            </w:r>
            <w:r>
              <w:rPr>
                <w:rFonts w:hint="eastAsia" w:ascii="宋体" w:hAnsi="宋体" w:cs="宋体"/>
                <w:sz w:val="18"/>
                <w:szCs w:val="18"/>
                <w:highlight w:val="none"/>
              </w:rPr>
              <w:fldChar w:fldCharType="end"/>
            </w:r>
          </w:p>
          <w:p w14:paraId="5B57980C">
            <w:pPr>
              <w:spacing w:line="360" w:lineRule="exact"/>
              <w:jc w:val="left"/>
              <w:rPr>
                <w:rFonts w:hint="eastAsia" w:ascii="宋体" w:hAnsi="宋体" w:cs="宋体"/>
                <w:sz w:val="18"/>
                <w:szCs w:val="18"/>
                <w:highlight w:val="none"/>
              </w:rPr>
            </w:pPr>
            <w:r>
              <w:rPr>
                <w:rFonts w:hint="eastAsia" w:ascii="宋体" w:hAnsi="宋体" w:cs="宋体"/>
                <w:sz w:val="18"/>
                <w:szCs w:val="18"/>
                <w:highlight w:val="none"/>
              </w:rPr>
              <w:t>可兼任：</w:t>
            </w:r>
            <w:r>
              <w:rPr>
                <w:rFonts w:hint="eastAsia" w:ascii="宋体" w:hAnsi="宋体" w:cs="宋体"/>
                <w:sz w:val="18"/>
                <w:szCs w:val="18"/>
                <w:highlight w:val="none"/>
              </w:rPr>
              <w:fldChar w:fldCharType="begin"/>
            </w:r>
            <w:r>
              <w:rPr>
                <w:rFonts w:hint="eastAsia" w:ascii="宋体" w:hAnsi="宋体" w:cs="宋体"/>
                <w:sz w:val="18"/>
                <w:szCs w:val="18"/>
                <w:highlight w:val="none"/>
              </w:rPr>
              <w:instrText xml:space="preserve"> AUTOTEXT  input542 \* MERGEFORMAT </w:instrText>
            </w:r>
            <w:r>
              <w:rPr>
                <w:rFonts w:hint="eastAsia" w:ascii="宋体" w:hAnsi="宋体" w:cs="宋体"/>
                <w:sz w:val="18"/>
                <w:szCs w:val="18"/>
                <w:highlight w:val="none"/>
              </w:rPr>
              <w:fldChar w:fldCharType="separate"/>
            </w:r>
            <w:r>
              <w:rPr>
                <w:rFonts w:hint="eastAsia" w:ascii="宋体" w:hAnsi="宋体" w:cs="宋体"/>
                <w:sz w:val="18"/>
                <w:szCs w:val="18"/>
                <w:highlight w:val="none"/>
              </w:rPr>
              <w:t>□</w:t>
            </w:r>
            <w:r>
              <w:rPr>
                <w:rFonts w:hint="eastAsia" w:ascii="宋体" w:hAnsi="宋体" w:cs="宋体"/>
                <w:sz w:val="18"/>
                <w:szCs w:val="18"/>
                <w:highlight w:val="none"/>
              </w:rPr>
              <w:fldChar w:fldCharType="end"/>
            </w:r>
          </w:p>
        </w:tc>
        <w:tc>
          <w:tcPr>
            <w:tcW w:w="3883" w:type="dxa"/>
          </w:tcPr>
          <w:p w14:paraId="02C1F496">
            <w:pPr>
              <w:spacing w:line="360" w:lineRule="exact"/>
              <w:jc w:val="center"/>
              <w:rPr>
                <w:rFonts w:hint="eastAsia" w:ascii="宋体" w:hAnsi="宋体" w:cs="宋体"/>
                <w:sz w:val="18"/>
                <w:szCs w:val="18"/>
              </w:rPr>
            </w:pPr>
            <w:r>
              <w:rPr>
                <w:rFonts w:hint="eastAsia" w:ascii="宋体" w:hAnsi="宋体" w:cs="宋体"/>
                <w:spacing w:val="1"/>
                <w:sz w:val="18"/>
                <w:szCs w:val="18"/>
              </w:rPr>
              <w:t>须提供建筑工程专业注册建造师证书、有效的</w:t>
            </w:r>
            <w:r>
              <w:rPr>
                <w:rFonts w:hint="eastAsia" w:ascii="宋体" w:hAnsi="宋体" w:cs="宋体"/>
                <w:sz w:val="18"/>
                <w:szCs w:val="18"/>
                <w:lang w:val="zh-CN"/>
              </w:rPr>
              <w:t>安全生产考核合格证书（B证）</w:t>
            </w:r>
            <w:r>
              <w:rPr>
                <w:rFonts w:hint="eastAsia" w:ascii="宋体" w:hAnsi="宋体" w:cs="宋体"/>
                <w:spacing w:val="8"/>
                <w:sz w:val="18"/>
                <w:szCs w:val="18"/>
              </w:rPr>
              <w:t>、</w:t>
            </w:r>
            <w:r>
              <w:rPr>
                <w:rFonts w:hint="eastAsia" w:ascii="宋体" w:hAnsi="宋体" w:cs="宋体"/>
                <w:spacing w:val="5"/>
                <w:sz w:val="18"/>
                <w:szCs w:val="18"/>
              </w:rPr>
              <w:t>身份证原件扫描件</w:t>
            </w:r>
            <w:r>
              <w:rPr>
                <w:rFonts w:hint="eastAsia" w:ascii="宋体" w:hAnsi="宋体" w:cs="宋体"/>
                <w:spacing w:val="7"/>
                <w:sz w:val="18"/>
                <w:szCs w:val="18"/>
              </w:rPr>
              <w:t>、</w:t>
            </w:r>
            <w:r>
              <w:rPr>
                <w:rFonts w:hint="eastAsia" w:ascii="宋体" w:hAnsi="宋体" w:cs="宋体"/>
                <w:sz w:val="18"/>
                <w:szCs w:val="18"/>
                <w:lang w:val="zh-CN"/>
              </w:rPr>
              <w:t>基本养老保险参保证明</w:t>
            </w:r>
            <w:r>
              <w:rPr>
                <w:rFonts w:hint="eastAsia" w:ascii="宋体" w:hAnsi="宋体" w:cs="宋体"/>
                <w:spacing w:val="5"/>
                <w:sz w:val="18"/>
                <w:szCs w:val="18"/>
              </w:rPr>
              <w:t>原件扫描件</w:t>
            </w:r>
            <w:r>
              <w:rPr>
                <w:rFonts w:hint="eastAsia" w:ascii="宋体" w:hAnsi="宋体" w:cs="宋体"/>
                <w:spacing w:val="8"/>
                <w:sz w:val="18"/>
                <w:szCs w:val="18"/>
              </w:rPr>
              <w:t>。</w:t>
            </w:r>
          </w:p>
        </w:tc>
      </w:tr>
      <w:tr w14:paraId="2D8DF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0" w:type="dxa"/>
            <w:vAlign w:val="center"/>
          </w:tcPr>
          <w:p w14:paraId="2A140A6A">
            <w:pPr>
              <w:spacing w:line="360" w:lineRule="exact"/>
              <w:jc w:val="center"/>
              <w:rPr>
                <w:rFonts w:hint="eastAsia" w:ascii="宋体" w:hAnsi="宋体" w:cs="宋体"/>
                <w:sz w:val="18"/>
                <w:szCs w:val="18"/>
              </w:rPr>
            </w:pPr>
            <w:r>
              <w:rPr>
                <w:rFonts w:hint="eastAsia" w:ascii="宋体" w:hAnsi="宋体" w:cs="宋体"/>
                <w:sz w:val="18"/>
                <w:szCs w:val="18"/>
              </w:rPr>
              <w:t>技术负责人</w:t>
            </w:r>
          </w:p>
        </w:tc>
        <w:tc>
          <w:tcPr>
            <w:tcW w:w="1181" w:type="dxa"/>
            <w:vAlign w:val="center"/>
          </w:tcPr>
          <w:p w14:paraId="628CEC65">
            <w:pPr>
              <w:spacing w:line="360" w:lineRule="exact"/>
              <w:jc w:val="center"/>
              <w:rPr>
                <w:rFonts w:hint="eastAsia"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AUTOTEXT  input544 \* MERGEFORMAT </w:instrText>
            </w:r>
            <w:r>
              <w:rPr>
                <w:rFonts w:hint="eastAsia" w:ascii="宋体" w:hAnsi="宋体" w:cs="宋体"/>
                <w:sz w:val="18"/>
                <w:szCs w:val="18"/>
              </w:rPr>
              <w:fldChar w:fldCharType="separate"/>
            </w:r>
            <w:r>
              <w:rPr>
                <w:rFonts w:hint="eastAsia" w:ascii="宋体" w:hAnsi="宋体" w:cs="宋体"/>
                <w:sz w:val="18"/>
                <w:szCs w:val="18"/>
              </w:rPr>
              <w:t>1</w:t>
            </w:r>
            <w:r>
              <w:rPr>
                <w:rFonts w:hint="eastAsia" w:ascii="宋体" w:hAnsi="宋体" w:cs="宋体"/>
                <w:sz w:val="18"/>
                <w:szCs w:val="18"/>
              </w:rPr>
              <w:fldChar w:fldCharType="end"/>
            </w:r>
          </w:p>
        </w:tc>
        <w:tc>
          <w:tcPr>
            <w:tcW w:w="1007" w:type="dxa"/>
            <w:vAlign w:val="center"/>
          </w:tcPr>
          <w:p w14:paraId="2A76E18F">
            <w:pPr>
              <w:spacing w:line="360" w:lineRule="exact"/>
              <w:rPr>
                <w:rFonts w:hint="eastAsia" w:ascii="宋体" w:hAnsi="宋体" w:cs="宋体"/>
                <w:sz w:val="18"/>
                <w:szCs w:val="18"/>
              </w:rPr>
            </w:pPr>
            <w:r>
              <w:rPr>
                <w:rFonts w:hint="eastAsia" w:ascii="宋体" w:hAnsi="宋体" w:cs="宋体"/>
                <w:sz w:val="18"/>
                <w:szCs w:val="18"/>
              </w:rPr>
              <w:t>是：</w:t>
            </w:r>
            <w:r>
              <w:rPr>
                <w:rFonts w:hint="eastAsia" w:ascii="宋体" w:hAnsi="宋体" w:cs="宋体"/>
                <w:sz w:val="18"/>
                <w:szCs w:val="18"/>
              </w:rPr>
              <w:fldChar w:fldCharType="begin"/>
            </w:r>
            <w:r>
              <w:rPr>
                <w:rFonts w:hint="eastAsia" w:ascii="宋体" w:hAnsi="宋体" w:cs="宋体"/>
                <w:sz w:val="18"/>
                <w:szCs w:val="18"/>
              </w:rPr>
              <w:instrText xml:space="preserve"> AUTOTEXT  input545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70D0501F">
            <w:pPr>
              <w:spacing w:line="360" w:lineRule="exact"/>
              <w:rPr>
                <w:rFonts w:hint="eastAsia" w:ascii="宋体" w:hAnsi="宋体" w:cs="宋体"/>
                <w:sz w:val="18"/>
                <w:szCs w:val="18"/>
              </w:rPr>
            </w:pPr>
            <w:r>
              <w:rPr>
                <w:rFonts w:hint="eastAsia" w:ascii="宋体" w:hAnsi="宋体" w:cs="宋体"/>
                <w:sz w:val="18"/>
                <w:szCs w:val="18"/>
              </w:rPr>
              <w:t>否：</w:t>
            </w:r>
            <w:r>
              <w:rPr>
                <w:rFonts w:hint="eastAsia" w:ascii="宋体" w:hAnsi="宋体" w:cs="宋体"/>
                <w:sz w:val="18"/>
                <w:szCs w:val="18"/>
              </w:rPr>
              <w:fldChar w:fldCharType="begin"/>
            </w:r>
            <w:r>
              <w:rPr>
                <w:rFonts w:hint="eastAsia" w:ascii="宋体" w:hAnsi="宋体" w:cs="宋体"/>
                <w:sz w:val="18"/>
                <w:szCs w:val="18"/>
              </w:rPr>
              <w:instrText xml:space="preserve"> AUTOTEXT  input546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1221" w:type="dxa"/>
          </w:tcPr>
          <w:p w14:paraId="7EAE720D">
            <w:pPr>
              <w:spacing w:line="360" w:lineRule="exact"/>
              <w:jc w:val="left"/>
              <w:rPr>
                <w:rFonts w:hint="eastAsia" w:ascii="宋体" w:hAnsi="宋体" w:cs="宋体"/>
                <w:sz w:val="18"/>
                <w:szCs w:val="18"/>
              </w:rPr>
            </w:pPr>
            <w:r>
              <w:rPr>
                <w:rFonts w:hint="eastAsia" w:ascii="宋体" w:hAnsi="宋体" w:cs="宋体"/>
                <w:sz w:val="18"/>
                <w:szCs w:val="18"/>
              </w:rPr>
              <w:t>专职：</w:t>
            </w:r>
            <w:r>
              <w:rPr>
                <w:rFonts w:hint="eastAsia" w:ascii="宋体" w:hAnsi="宋体" w:cs="宋体"/>
                <w:sz w:val="18"/>
                <w:szCs w:val="18"/>
              </w:rPr>
              <w:fldChar w:fldCharType="begin"/>
            </w:r>
            <w:r>
              <w:rPr>
                <w:rFonts w:hint="eastAsia" w:ascii="宋体" w:hAnsi="宋体" w:cs="宋体"/>
                <w:sz w:val="18"/>
                <w:szCs w:val="18"/>
              </w:rPr>
              <w:instrText xml:space="preserve"> AUTOTEXT  input547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020335D6">
            <w:pPr>
              <w:spacing w:line="360" w:lineRule="exact"/>
              <w:jc w:val="left"/>
              <w:rPr>
                <w:rFonts w:hint="eastAsia" w:ascii="宋体" w:hAnsi="宋体" w:cs="宋体"/>
                <w:sz w:val="18"/>
                <w:szCs w:val="18"/>
              </w:rPr>
            </w:pPr>
            <w:r>
              <w:rPr>
                <w:rFonts w:hint="eastAsia" w:ascii="宋体" w:hAnsi="宋体" w:cs="宋体"/>
                <w:sz w:val="18"/>
                <w:szCs w:val="18"/>
              </w:rPr>
              <w:t>可兼任：</w:t>
            </w:r>
            <w:r>
              <w:rPr>
                <w:rFonts w:hint="eastAsia" w:ascii="宋体" w:hAnsi="宋体" w:cs="宋体"/>
                <w:sz w:val="18"/>
                <w:szCs w:val="18"/>
              </w:rPr>
              <w:fldChar w:fldCharType="begin"/>
            </w:r>
            <w:r>
              <w:rPr>
                <w:rFonts w:hint="eastAsia" w:ascii="宋体" w:hAnsi="宋体" w:cs="宋体"/>
                <w:sz w:val="18"/>
                <w:szCs w:val="18"/>
              </w:rPr>
              <w:instrText xml:space="preserve"> AUTOTEXT  input548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3883" w:type="dxa"/>
          </w:tcPr>
          <w:p w14:paraId="30D96640">
            <w:pPr>
              <w:spacing w:line="360" w:lineRule="exact"/>
              <w:jc w:val="left"/>
              <w:rPr>
                <w:rFonts w:hint="eastAsia" w:ascii="宋体" w:hAnsi="宋体" w:cs="宋体"/>
                <w:sz w:val="18"/>
                <w:szCs w:val="18"/>
              </w:rPr>
            </w:pPr>
            <w:r>
              <w:rPr>
                <w:rFonts w:hint="eastAsia" w:ascii="宋体" w:hAnsi="宋体" w:cs="宋体"/>
                <w:sz w:val="18"/>
                <w:szCs w:val="18"/>
              </w:rPr>
              <w:t>须提供职称证书、身份证原件扫描件、基本养老保险参保证明原件扫描件</w:t>
            </w:r>
          </w:p>
        </w:tc>
      </w:tr>
      <w:tr w14:paraId="55F48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2190" w:type="dxa"/>
            <w:vAlign w:val="center"/>
          </w:tcPr>
          <w:p w14:paraId="31068CF1">
            <w:pPr>
              <w:spacing w:line="360" w:lineRule="exact"/>
              <w:jc w:val="center"/>
              <w:rPr>
                <w:rFonts w:hint="eastAsia" w:ascii="宋体" w:hAnsi="宋体" w:cs="宋体"/>
                <w:sz w:val="18"/>
                <w:szCs w:val="18"/>
              </w:rPr>
            </w:pPr>
            <w:r>
              <w:rPr>
                <w:rFonts w:hint="eastAsia" w:ascii="宋体" w:hAnsi="宋体" w:cs="宋体"/>
                <w:sz w:val="18"/>
                <w:szCs w:val="18"/>
              </w:rPr>
              <w:t>施工员</w:t>
            </w:r>
          </w:p>
        </w:tc>
        <w:tc>
          <w:tcPr>
            <w:tcW w:w="1181" w:type="dxa"/>
            <w:vAlign w:val="center"/>
          </w:tcPr>
          <w:p w14:paraId="11D78E71">
            <w:pPr>
              <w:spacing w:line="360" w:lineRule="exact"/>
              <w:jc w:val="center"/>
              <w:rPr>
                <w:rFonts w:hint="eastAsia" w:ascii="宋体" w:hAnsi="宋体" w:cs="宋体"/>
                <w:sz w:val="18"/>
                <w:szCs w:val="18"/>
              </w:rPr>
            </w:pPr>
            <w:r>
              <w:rPr>
                <w:rFonts w:hint="eastAsia" w:ascii="宋体" w:hAnsi="宋体" w:cs="宋体"/>
                <w:sz w:val="18"/>
                <w:szCs w:val="18"/>
              </w:rPr>
              <w:t>1</w:t>
            </w:r>
          </w:p>
        </w:tc>
        <w:tc>
          <w:tcPr>
            <w:tcW w:w="1007" w:type="dxa"/>
          </w:tcPr>
          <w:p w14:paraId="3F892D05">
            <w:pPr>
              <w:spacing w:line="360" w:lineRule="exact"/>
              <w:jc w:val="left"/>
              <w:rPr>
                <w:rFonts w:hint="eastAsia" w:ascii="宋体" w:hAnsi="宋体" w:cs="宋体"/>
                <w:sz w:val="18"/>
                <w:szCs w:val="18"/>
              </w:rPr>
            </w:pPr>
            <w:r>
              <w:rPr>
                <w:rFonts w:hint="eastAsia" w:ascii="宋体" w:hAnsi="宋体" w:cs="宋体"/>
                <w:sz w:val="18"/>
                <w:szCs w:val="18"/>
              </w:rPr>
              <w:t>是：</w:t>
            </w:r>
            <w:r>
              <w:rPr>
                <w:rFonts w:hint="eastAsia" w:ascii="宋体" w:hAnsi="宋体" w:cs="宋体"/>
                <w:sz w:val="18"/>
                <w:szCs w:val="18"/>
              </w:rPr>
              <w:fldChar w:fldCharType="begin"/>
            </w:r>
            <w:r>
              <w:rPr>
                <w:rFonts w:hint="eastAsia" w:ascii="宋体" w:hAnsi="宋体" w:cs="宋体"/>
                <w:sz w:val="18"/>
                <w:szCs w:val="18"/>
              </w:rPr>
              <w:instrText xml:space="preserve"> AUTOTEXT  input551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5DB931F5">
            <w:pPr>
              <w:spacing w:line="360" w:lineRule="exact"/>
              <w:jc w:val="left"/>
              <w:rPr>
                <w:rFonts w:hint="eastAsia" w:ascii="宋体" w:hAnsi="宋体" w:cs="宋体"/>
                <w:sz w:val="18"/>
                <w:szCs w:val="18"/>
              </w:rPr>
            </w:pPr>
            <w:r>
              <w:rPr>
                <w:rFonts w:hint="eastAsia" w:ascii="宋体" w:hAnsi="宋体" w:cs="宋体"/>
                <w:sz w:val="18"/>
                <w:szCs w:val="18"/>
              </w:rPr>
              <w:t>否：</w:t>
            </w:r>
            <w:r>
              <w:rPr>
                <w:rFonts w:hint="eastAsia" w:ascii="宋体" w:hAnsi="宋体" w:cs="宋体"/>
                <w:sz w:val="18"/>
                <w:szCs w:val="18"/>
              </w:rPr>
              <w:fldChar w:fldCharType="begin"/>
            </w:r>
            <w:r>
              <w:rPr>
                <w:rFonts w:hint="eastAsia" w:ascii="宋体" w:hAnsi="宋体" w:cs="宋体"/>
                <w:sz w:val="18"/>
                <w:szCs w:val="18"/>
              </w:rPr>
              <w:instrText xml:space="preserve"> AUTOTEXT  input552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1221" w:type="dxa"/>
          </w:tcPr>
          <w:p w14:paraId="623AA365">
            <w:pPr>
              <w:spacing w:line="360" w:lineRule="exact"/>
              <w:jc w:val="left"/>
              <w:rPr>
                <w:rFonts w:hint="eastAsia" w:ascii="宋体" w:hAnsi="宋体" w:cs="宋体"/>
                <w:sz w:val="18"/>
                <w:szCs w:val="18"/>
              </w:rPr>
            </w:pPr>
            <w:r>
              <w:rPr>
                <w:rFonts w:hint="eastAsia" w:ascii="宋体" w:hAnsi="宋体" w:cs="宋体"/>
                <w:sz w:val="18"/>
                <w:szCs w:val="18"/>
              </w:rPr>
              <w:t>专职：</w:t>
            </w:r>
            <w:r>
              <w:rPr>
                <w:rFonts w:hint="eastAsia" w:ascii="宋体" w:hAnsi="宋体" w:cs="宋体"/>
                <w:sz w:val="18"/>
                <w:szCs w:val="18"/>
              </w:rPr>
              <w:fldChar w:fldCharType="begin"/>
            </w:r>
            <w:r>
              <w:rPr>
                <w:rFonts w:hint="eastAsia" w:ascii="宋体" w:hAnsi="宋体" w:cs="宋体"/>
                <w:sz w:val="18"/>
                <w:szCs w:val="18"/>
              </w:rPr>
              <w:instrText xml:space="preserve"> AUTOTEXT  input553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783BBE5A">
            <w:pPr>
              <w:spacing w:line="360" w:lineRule="exact"/>
              <w:jc w:val="left"/>
              <w:rPr>
                <w:rFonts w:hint="eastAsia" w:ascii="宋体" w:hAnsi="宋体" w:cs="宋体"/>
                <w:sz w:val="18"/>
                <w:szCs w:val="18"/>
              </w:rPr>
            </w:pPr>
            <w:r>
              <w:rPr>
                <w:rFonts w:hint="eastAsia" w:ascii="宋体" w:hAnsi="宋体" w:cs="宋体"/>
                <w:sz w:val="18"/>
                <w:szCs w:val="18"/>
              </w:rPr>
              <w:t>可兼任：</w:t>
            </w:r>
            <w:r>
              <w:rPr>
                <w:rFonts w:hint="eastAsia" w:ascii="宋体" w:hAnsi="宋体" w:cs="宋体"/>
                <w:sz w:val="18"/>
                <w:szCs w:val="18"/>
              </w:rPr>
              <w:fldChar w:fldCharType="begin"/>
            </w:r>
            <w:r>
              <w:rPr>
                <w:rFonts w:hint="eastAsia" w:ascii="宋体" w:hAnsi="宋体" w:cs="宋体"/>
                <w:sz w:val="18"/>
                <w:szCs w:val="18"/>
              </w:rPr>
              <w:instrText xml:space="preserve"> AUTOTEXT  input554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3883" w:type="dxa"/>
          </w:tcPr>
          <w:p w14:paraId="18EAE664">
            <w:pPr>
              <w:spacing w:line="360" w:lineRule="exact"/>
              <w:jc w:val="left"/>
              <w:rPr>
                <w:rFonts w:hint="eastAsia" w:ascii="宋体" w:hAnsi="宋体" w:cs="宋体"/>
                <w:sz w:val="18"/>
                <w:szCs w:val="18"/>
              </w:rPr>
            </w:pPr>
            <w:r>
              <w:rPr>
                <w:rFonts w:hint="eastAsia" w:ascii="宋体" w:hAnsi="宋体" w:cs="宋体"/>
                <w:spacing w:val="10"/>
                <w:sz w:val="18"/>
                <w:szCs w:val="18"/>
              </w:rPr>
              <w:t>须提</w:t>
            </w:r>
            <w:r>
              <w:rPr>
                <w:rFonts w:hint="eastAsia" w:ascii="宋体" w:hAnsi="宋体" w:cs="宋体"/>
                <w:spacing w:val="6"/>
                <w:sz w:val="18"/>
                <w:szCs w:val="18"/>
              </w:rPr>
              <w:t>供</w:t>
            </w:r>
            <w:r>
              <w:rPr>
                <w:rFonts w:hint="eastAsia" w:ascii="宋体" w:hAnsi="宋体" w:cs="宋体"/>
                <w:spacing w:val="5"/>
                <w:sz w:val="18"/>
                <w:szCs w:val="18"/>
              </w:rPr>
              <w:t>相关证书、身份证原件扫描件</w:t>
            </w:r>
            <w:r>
              <w:rPr>
                <w:rFonts w:hint="eastAsia" w:ascii="宋体" w:hAnsi="宋体" w:cs="宋体"/>
                <w:spacing w:val="7"/>
                <w:sz w:val="18"/>
                <w:szCs w:val="18"/>
              </w:rPr>
              <w:t>、</w:t>
            </w:r>
            <w:r>
              <w:rPr>
                <w:rFonts w:hint="eastAsia" w:ascii="宋体" w:hAnsi="宋体" w:cs="宋体"/>
                <w:sz w:val="18"/>
                <w:szCs w:val="18"/>
                <w:lang w:val="zh-CN"/>
              </w:rPr>
              <w:t>基本养老保险参保证明</w:t>
            </w:r>
            <w:r>
              <w:rPr>
                <w:rFonts w:hint="eastAsia" w:ascii="宋体" w:hAnsi="宋体" w:cs="宋体"/>
                <w:spacing w:val="5"/>
                <w:sz w:val="18"/>
                <w:szCs w:val="18"/>
              </w:rPr>
              <w:t>原件扫描件</w:t>
            </w:r>
            <w:r>
              <w:rPr>
                <w:rFonts w:hint="eastAsia" w:ascii="宋体" w:hAnsi="宋体" w:cs="宋体"/>
                <w:spacing w:val="8"/>
                <w:sz w:val="18"/>
                <w:szCs w:val="18"/>
              </w:rPr>
              <w:t>。</w:t>
            </w:r>
          </w:p>
        </w:tc>
      </w:tr>
      <w:tr w14:paraId="303BA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0" w:type="dxa"/>
            <w:vAlign w:val="center"/>
          </w:tcPr>
          <w:p w14:paraId="26F3E0F3">
            <w:pPr>
              <w:spacing w:line="360" w:lineRule="exact"/>
              <w:jc w:val="center"/>
              <w:rPr>
                <w:rFonts w:hint="eastAsia" w:ascii="宋体" w:hAnsi="宋体" w:cs="宋体"/>
                <w:sz w:val="18"/>
                <w:szCs w:val="18"/>
              </w:rPr>
            </w:pPr>
            <w:r>
              <w:rPr>
                <w:rFonts w:hint="eastAsia" w:ascii="宋体" w:hAnsi="宋体" w:cs="宋体"/>
                <w:sz w:val="18"/>
                <w:szCs w:val="18"/>
              </w:rPr>
              <w:t>安全员</w:t>
            </w:r>
          </w:p>
        </w:tc>
        <w:tc>
          <w:tcPr>
            <w:tcW w:w="1181" w:type="dxa"/>
            <w:vAlign w:val="center"/>
          </w:tcPr>
          <w:p w14:paraId="0940AED6">
            <w:pPr>
              <w:spacing w:line="360" w:lineRule="exact"/>
              <w:jc w:val="center"/>
              <w:rPr>
                <w:rFonts w:hint="eastAsia" w:ascii="宋体" w:hAnsi="宋体" w:cs="宋体"/>
                <w:sz w:val="18"/>
                <w:szCs w:val="18"/>
              </w:rPr>
            </w:pPr>
            <w:r>
              <w:rPr>
                <w:rFonts w:hint="eastAsia" w:ascii="宋体" w:hAnsi="宋体" w:cs="宋体"/>
                <w:sz w:val="18"/>
                <w:szCs w:val="18"/>
              </w:rPr>
              <w:t>1</w:t>
            </w:r>
          </w:p>
        </w:tc>
        <w:tc>
          <w:tcPr>
            <w:tcW w:w="1007" w:type="dxa"/>
          </w:tcPr>
          <w:p w14:paraId="63C0B63D">
            <w:pPr>
              <w:spacing w:line="360" w:lineRule="exact"/>
              <w:jc w:val="left"/>
              <w:rPr>
                <w:rFonts w:hint="eastAsia" w:ascii="宋体" w:hAnsi="宋体" w:cs="宋体"/>
                <w:sz w:val="18"/>
                <w:szCs w:val="18"/>
              </w:rPr>
            </w:pPr>
            <w:r>
              <w:rPr>
                <w:rFonts w:hint="eastAsia" w:ascii="宋体" w:hAnsi="宋体" w:cs="宋体"/>
                <w:sz w:val="18"/>
                <w:szCs w:val="18"/>
              </w:rPr>
              <w:t>是：</w:t>
            </w:r>
            <w:r>
              <w:rPr>
                <w:rFonts w:hint="eastAsia" w:ascii="宋体" w:hAnsi="宋体" w:cs="宋体"/>
                <w:sz w:val="18"/>
                <w:szCs w:val="18"/>
              </w:rPr>
              <w:fldChar w:fldCharType="begin"/>
            </w:r>
            <w:r>
              <w:rPr>
                <w:rFonts w:hint="eastAsia" w:ascii="宋体" w:hAnsi="宋体" w:cs="宋体"/>
                <w:sz w:val="18"/>
                <w:szCs w:val="18"/>
              </w:rPr>
              <w:instrText xml:space="preserve"> AUTOTEXT  input557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53A97DC4">
            <w:pPr>
              <w:spacing w:line="360" w:lineRule="exact"/>
              <w:jc w:val="left"/>
              <w:rPr>
                <w:rFonts w:hint="eastAsia" w:ascii="宋体" w:hAnsi="宋体" w:cs="宋体"/>
                <w:sz w:val="18"/>
                <w:szCs w:val="18"/>
              </w:rPr>
            </w:pPr>
            <w:r>
              <w:rPr>
                <w:rFonts w:hint="eastAsia" w:ascii="宋体" w:hAnsi="宋体" w:cs="宋体"/>
                <w:sz w:val="18"/>
                <w:szCs w:val="18"/>
              </w:rPr>
              <w:t>否：</w:t>
            </w:r>
            <w:r>
              <w:rPr>
                <w:rFonts w:hint="eastAsia" w:ascii="宋体" w:hAnsi="宋体" w:cs="宋体"/>
                <w:sz w:val="18"/>
                <w:szCs w:val="18"/>
              </w:rPr>
              <w:fldChar w:fldCharType="begin"/>
            </w:r>
            <w:r>
              <w:rPr>
                <w:rFonts w:hint="eastAsia" w:ascii="宋体" w:hAnsi="宋体" w:cs="宋体"/>
                <w:sz w:val="18"/>
                <w:szCs w:val="18"/>
              </w:rPr>
              <w:instrText xml:space="preserve"> AUTOTEXT  input558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1221" w:type="dxa"/>
          </w:tcPr>
          <w:p w14:paraId="511AE2B4">
            <w:pPr>
              <w:spacing w:line="360" w:lineRule="exact"/>
              <w:jc w:val="left"/>
              <w:rPr>
                <w:rFonts w:hint="eastAsia" w:ascii="宋体" w:hAnsi="宋体" w:cs="宋体"/>
                <w:sz w:val="18"/>
                <w:szCs w:val="18"/>
              </w:rPr>
            </w:pPr>
            <w:r>
              <w:rPr>
                <w:rFonts w:hint="eastAsia" w:ascii="宋体" w:hAnsi="宋体" w:cs="宋体"/>
                <w:sz w:val="18"/>
                <w:szCs w:val="18"/>
              </w:rPr>
              <w:t>专职：</w:t>
            </w:r>
            <w:r>
              <w:rPr>
                <w:rFonts w:hint="eastAsia" w:ascii="宋体" w:hAnsi="宋体" w:cs="宋体"/>
                <w:sz w:val="18"/>
                <w:szCs w:val="18"/>
              </w:rPr>
              <w:fldChar w:fldCharType="begin"/>
            </w:r>
            <w:r>
              <w:rPr>
                <w:rFonts w:hint="eastAsia" w:ascii="宋体" w:hAnsi="宋体" w:cs="宋体"/>
                <w:sz w:val="18"/>
                <w:szCs w:val="18"/>
              </w:rPr>
              <w:instrText xml:space="preserve"> AUTOTEXT  input559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16F62A31">
            <w:pPr>
              <w:spacing w:line="360" w:lineRule="exact"/>
              <w:jc w:val="left"/>
              <w:rPr>
                <w:rFonts w:hint="eastAsia" w:ascii="宋体" w:hAnsi="宋体" w:cs="宋体"/>
                <w:sz w:val="18"/>
                <w:szCs w:val="18"/>
              </w:rPr>
            </w:pPr>
            <w:r>
              <w:rPr>
                <w:rFonts w:hint="eastAsia" w:ascii="宋体" w:hAnsi="宋体" w:cs="宋体"/>
                <w:sz w:val="18"/>
                <w:szCs w:val="18"/>
              </w:rPr>
              <w:t>可兼任：</w:t>
            </w:r>
            <w:r>
              <w:rPr>
                <w:rFonts w:hint="eastAsia" w:ascii="宋体" w:hAnsi="宋体" w:cs="宋体"/>
                <w:sz w:val="18"/>
                <w:szCs w:val="18"/>
              </w:rPr>
              <w:fldChar w:fldCharType="begin"/>
            </w:r>
            <w:r>
              <w:rPr>
                <w:rFonts w:hint="eastAsia" w:ascii="宋体" w:hAnsi="宋体" w:cs="宋体"/>
                <w:sz w:val="18"/>
                <w:szCs w:val="18"/>
              </w:rPr>
              <w:instrText xml:space="preserve"> AUTOTEXT  input560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3883" w:type="dxa"/>
          </w:tcPr>
          <w:p w14:paraId="728694F6">
            <w:pPr>
              <w:spacing w:line="360" w:lineRule="exact"/>
              <w:jc w:val="left"/>
              <w:rPr>
                <w:rFonts w:hint="eastAsia" w:ascii="宋体" w:hAnsi="宋体" w:cs="宋体"/>
                <w:sz w:val="18"/>
                <w:szCs w:val="18"/>
              </w:rPr>
            </w:pPr>
            <w:r>
              <w:rPr>
                <w:rFonts w:hint="eastAsia" w:ascii="宋体" w:hAnsi="宋体" w:cs="宋体"/>
                <w:spacing w:val="10"/>
                <w:sz w:val="18"/>
                <w:szCs w:val="18"/>
              </w:rPr>
              <w:t>须提</w:t>
            </w:r>
            <w:r>
              <w:rPr>
                <w:rFonts w:hint="eastAsia" w:ascii="宋体" w:hAnsi="宋体" w:cs="宋体"/>
                <w:spacing w:val="6"/>
                <w:sz w:val="18"/>
                <w:szCs w:val="18"/>
              </w:rPr>
              <w:t>供</w:t>
            </w:r>
            <w:r>
              <w:rPr>
                <w:rFonts w:hint="eastAsia" w:ascii="宋体" w:hAnsi="宋体" w:cs="宋体"/>
                <w:spacing w:val="5"/>
                <w:sz w:val="18"/>
                <w:szCs w:val="18"/>
              </w:rPr>
              <w:t>相关证书、身份证原件扫描件</w:t>
            </w:r>
            <w:r>
              <w:rPr>
                <w:rFonts w:hint="eastAsia" w:ascii="宋体" w:hAnsi="宋体" w:cs="宋体"/>
                <w:spacing w:val="7"/>
                <w:sz w:val="18"/>
                <w:szCs w:val="18"/>
              </w:rPr>
              <w:t>、</w:t>
            </w:r>
            <w:r>
              <w:rPr>
                <w:rFonts w:hint="eastAsia" w:ascii="宋体" w:hAnsi="宋体" w:cs="宋体"/>
                <w:sz w:val="18"/>
                <w:szCs w:val="18"/>
                <w:lang w:val="zh-CN"/>
              </w:rPr>
              <w:t>基本养老保险参保证明</w:t>
            </w:r>
            <w:r>
              <w:rPr>
                <w:rFonts w:hint="eastAsia" w:ascii="宋体" w:hAnsi="宋体" w:cs="宋体"/>
                <w:spacing w:val="5"/>
                <w:sz w:val="18"/>
                <w:szCs w:val="18"/>
              </w:rPr>
              <w:t>原件扫描件</w:t>
            </w:r>
            <w:r>
              <w:rPr>
                <w:rFonts w:hint="eastAsia" w:ascii="宋体" w:hAnsi="宋体" w:cs="宋体"/>
                <w:spacing w:val="8"/>
                <w:sz w:val="18"/>
                <w:szCs w:val="18"/>
              </w:rPr>
              <w:t>。</w:t>
            </w:r>
          </w:p>
        </w:tc>
      </w:tr>
      <w:tr w14:paraId="67F100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0" w:type="dxa"/>
            <w:vAlign w:val="center"/>
          </w:tcPr>
          <w:p w14:paraId="7B788AAB">
            <w:pPr>
              <w:spacing w:line="360" w:lineRule="exact"/>
              <w:jc w:val="center"/>
              <w:rPr>
                <w:rFonts w:hint="eastAsia" w:ascii="宋体" w:hAnsi="宋体" w:cs="宋体"/>
                <w:sz w:val="18"/>
                <w:szCs w:val="18"/>
              </w:rPr>
            </w:pPr>
            <w:r>
              <w:rPr>
                <w:rFonts w:hint="eastAsia" w:ascii="宋体" w:hAnsi="宋体" w:cs="宋体"/>
                <w:sz w:val="18"/>
                <w:szCs w:val="18"/>
              </w:rPr>
              <w:t>质量员</w:t>
            </w:r>
          </w:p>
        </w:tc>
        <w:tc>
          <w:tcPr>
            <w:tcW w:w="1181" w:type="dxa"/>
            <w:vAlign w:val="center"/>
          </w:tcPr>
          <w:p w14:paraId="049D13E6">
            <w:pPr>
              <w:spacing w:line="360" w:lineRule="exact"/>
              <w:jc w:val="center"/>
              <w:rPr>
                <w:rFonts w:hint="eastAsia" w:ascii="宋体" w:hAnsi="宋体" w:cs="宋体"/>
                <w:sz w:val="18"/>
                <w:szCs w:val="18"/>
              </w:rPr>
            </w:pPr>
            <w:r>
              <w:rPr>
                <w:rFonts w:hint="eastAsia" w:ascii="宋体" w:hAnsi="宋体" w:cs="宋体"/>
                <w:sz w:val="18"/>
                <w:szCs w:val="18"/>
              </w:rPr>
              <w:t>1</w:t>
            </w:r>
          </w:p>
        </w:tc>
        <w:tc>
          <w:tcPr>
            <w:tcW w:w="1007" w:type="dxa"/>
          </w:tcPr>
          <w:p w14:paraId="7D6C728B">
            <w:pPr>
              <w:spacing w:line="360" w:lineRule="exact"/>
              <w:jc w:val="left"/>
              <w:rPr>
                <w:rFonts w:hint="eastAsia" w:ascii="宋体" w:hAnsi="宋体" w:cs="宋体"/>
                <w:sz w:val="18"/>
                <w:szCs w:val="18"/>
              </w:rPr>
            </w:pPr>
            <w:r>
              <w:rPr>
                <w:rFonts w:hint="eastAsia" w:ascii="宋体" w:hAnsi="宋体" w:cs="宋体"/>
                <w:sz w:val="18"/>
                <w:szCs w:val="18"/>
              </w:rPr>
              <w:t>是：</w:t>
            </w:r>
            <w:r>
              <w:rPr>
                <w:rFonts w:hint="eastAsia" w:ascii="宋体" w:hAnsi="宋体" w:cs="宋体"/>
                <w:sz w:val="18"/>
                <w:szCs w:val="18"/>
              </w:rPr>
              <w:fldChar w:fldCharType="begin"/>
            </w:r>
            <w:r>
              <w:rPr>
                <w:rFonts w:hint="eastAsia" w:ascii="宋体" w:hAnsi="宋体" w:cs="宋体"/>
                <w:sz w:val="18"/>
                <w:szCs w:val="18"/>
              </w:rPr>
              <w:instrText xml:space="preserve"> AUTOTEXT  input559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40623851">
            <w:pPr>
              <w:spacing w:line="360" w:lineRule="exact"/>
              <w:jc w:val="left"/>
              <w:rPr>
                <w:rFonts w:hint="eastAsia" w:ascii="宋体" w:hAnsi="宋体" w:cs="宋体"/>
                <w:sz w:val="18"/>
                <w:szCs w:val="18"/>
              </w:rPr>
            </w:pPr>
            <w:r>
              <w:rPr>
                <w:rFonts w:hint="eastAsia" w:ascii="宋体" w:hAnsi="宋体" w:cs="宋体"/>
                <w:sz w:val="18"/>
                <w:szCs w:val="18"/>
              </w:rPr>
              <w:t>否：</w:t>
            </w:r>
            <w:r>
              <w:rPr>
                <w:rFonts w:hint="eastAsia" w:ascii="宋体" w:hAnsi="宋体" w:cs="宋体"/>
                <w:sz w:val="18"/>
                <w:szCs w:val="18"/>
              </w:rPr>
              <w:fldChar w:fldCharType="begin"/>
            </w:r>
            <w:r>
              <w:rPr>
                <w:rFonts w:hint="eastAsia" w:ascii="宋体" w:hAnsi="宋体" w:cs="宋体"/>
                <w:sz w:val="18"/>
                <w:szCs w:val="18"/>
              </w:rPr>
              <w:instrText xml:space="preserve"> AUTOTEXT  input564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1221" w:type="dxa"/>
          </w:tcPr>
          <w:p w14:paraId="08BCDBB2">
            <w:pPr>
              <w:spacing w:line="360" w:lineRule="exact"/>
              <w:jc w:val="left"/>
              <w:rPr>
                <w:rFonts w:hint="eastAsia" w:ascii="宋体" w:hAnsi="宋体" w:cs="宋体"/>
                <w:sz w:val="18"/>
                <w:szCs w:val="18"/>
              </w:rPr>
            </w:pPr>
            <w:r>
              <w:rPr>
                <w:rFonts w:hint="eastAsia" w:ascii="宋体" w:hAnsi="宋体" w:cs="宋体"/>
                <w:sz w:val="18"/>
                <w:szCs w:val="18"/>
              </w:rPr>
              <w:t>专职：</w:t>
            </w:r>
            <w:r>
              <w:rPr>
                <w:rFonts w:hint="eastAsia" w:ascii="宋体" w:hAnsi="宋体" w:cs="宋体"/>
                <w:sz w:val="18"/>
                <w:szCs w:val="18"/>
              </w:rPr>
              <w:fldChar w:fldCharType="begin"/>
            </w:r>
            <w:r>
              <w:rPr>
                <w:rFonts w:hint="eastAsia" w:ascii="宋体" w:hAnsi="宋体" w:cs="宋体"/>
                <w:sz w:val="18"/>
                <w:szCs w:val="18"/>
              </w:rPr>
              <w:instrText xml:space="preserve"> AUTOTEXT  input559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1705D547">
            <w:pPr>
              <w:spacing w:line="360" w:lineRule="exact"/>
              <w:jc w:val="left"/>
              <w:rPr>
                <w:rFonts w:hint="eastAsia" w:ascii="宋体" w:hAnsi="宋体" w:cs="宋体"/>
                <w:sz w:val="18"/>
                <w:szCs w:val="18"/>
              </w:rPr>
            </w:pPr>
            <w:r>
              <w:rPr>
                <w:rFonts w:hint="eastAsia" w:ascii="宋体" w:hAnsi="宋体" w:cs="宋体"/>
                <w:sz w:val="18"/>
                <w:szCs w:val="18"/>
              </w:rPr>
              <w:t>可兼任：</w:t>
            </w:r>
            <w:r>
              <w:rPr>
                <w:rFonts w:hint="eastAsia" w:ascii="宋体" w:hAnsi="宋体" w:cs="宋体"/>
                <w:sz w:val="18"/>
                <w:szCs w:val="18"/>
              </w:rPr>
              <w:fldChar w:fldCharType="begin"/>
            </w:r>
            <w:r>
              <w:rPr>
                <w:rFonts w:hint="eastAsia" w:ascii="宋体" w:hAnsi="宋体" w:cs="宋体"/>
                <w:sz w:val="18"/>
                <w:szCs w:val="18"/>
              </w:rPr>
              <w:instrText xml:space="preserve"> AUTOTEXT  input566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3883" w:type="dxa"/>
          </w:tcPr>
          <w:p w14:paraId="67FA8135">
            <w:pPr>
              <w:spacing w:line="360" w:lineRule="exact"/>
              <w:jc w:val="left"/>
              <w:rPr>
                <w:rFonts w:hint="eastAsia" w:ascii="宋体" w:hAnsi="宋体" w:cs="宋体"/>
                <w:sz w:val="18"/>
                <w:szCs w:val="18"/>
              </w:rPr>
            </w:pPr>
            <w:r>
              <w:rPr>
                <w:rFonts w:hint="eastAsia" w:ascii="宋体" w:hAnsi="宋体" w:cs="宋体"/>
                <w:spacing w:val="10"/>
                <w:sz w:val="18"/>
                <w:szCs w:val="18"/>
              </w:rPr>
              <w:t>须提</w:t>
            </w:r>
            <w:r>
              <w:rPr>
                <w:rFonts w:hint="eastAsia" w:ascii="宋体" w:hAnsi="宋体" w:cs="宋体"/>
                <w:spacing w:val="6"/>
                <w:sz w:val="18"/>
                <w:szCs w:val="18"/>
              </w:rPr>
              <w:t>供</w:t>
            </w:r>
            <w:r>
              <w:rPr>
                <w:rFonts w:hint="eastAsia" w:ascii="宋体" w:hAnsi="宋体" w:cs="宋体"/>
                <w:spacing w:val="5"/>
                <w:sz w:val="18"/>
                <w:szCs w:val="18"/>
              </w:rPr>
              <w:t>相关证书、身份证原件扫描件</w:t>
            </w:r>
            <w:r>
              <w:rPr>
                <w:rFonts w:hint="eastAsia" w:ascii="宋体" w:hAnsi="宋体" w:cs="宋体"/>
                <w:spacing w:val="7"/>
                <w:sz w:val="18"/>
                <w:szCs w:val="18"/>
              </w:rPr>
              <w:t>、</w:t>
            </w:r>
            <w:r>
              <w:rPr>
                <w:rFonts w:hint="eastAsia" w:ascii="宋体" w:hAnsi="宋体" w:cs="宋体"/>
                <w:sz w:val="18"/>
                <w:szCs w:val="18"/>
                <w:lang w:val="zh-CN"/>
              </w:rPr>
              <w:t>基本养老保险参保证明</w:t>
            </w:r>
            <w:r>
              <w:rPr>
                <w:rFonts w:hint="eastAsia" w:ascii="宋体" w:hAnsi="宋体" w:cs="宋体"/>
                <w:spacing w:val="5"/>
                <w:sz w:val="18"/>
                <w:szCs w:val="18"/>
              </w:rPr>
              <w:t>原件扫描件</w:t>
            </w:r>
            <w:r>
              <w:rPr>
                <w:rFonts w:hint="eastAsia" w:ascii="宋体" w:hAnsi="宋体" w:cs="宋体"/>
                <w:spacing w:val="8"/>
                <w:sz w:val="18"/>
                <w:szCs w:val="18"/>
              </w:rPr>
              <w:t>。</w:t>
            </w:r>
          </w:p>
        </w:tc>
      </w:tr>
      <w:tr w14:paraId="31E04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0" w:type="dxa"/>
            <w:vAlign w:val="center"/>
          </w:tcPr>
          <w:p w14:paraId="79A5DF81">
            <w:pPr>
              <w:spacing w:line="360" w:lineRule="exact"/>
              <w:jc w:val="center"/>
              <w:rPr>
                <w:rFonts w:hint="eastAsia" w:ascii="宋体" w:hAnsi="宋体" w:cs="宋体"/>
                <w:sz w:val="18"/>
                <w:szCs w:val="18"/>
              </w:rPr>
            </w:pPr>
            <w:r>
              <w:rPr>
                <w:rFonts w:hint="eastAsia" w:ascii="宋体" w:hAnsi="宋体" w:cs="宋体"/>
                <w:sz w:val="18"/>
                <w:szCs w:val="18"/>
              </w:rPr>
              <w:t>标准员</w:t>
            </w:r>
          </w:p>
        </w:tc>
        <w:tc>
          <w:tcPr>
            <w:tcW w:w="1181" w:type="dxa"/>
            <w:vAlign w:val="center"/>
          </w:tcPr>
          <w:p w14:paraId="2A8EAA25">
            <w:pPr>
              <w:adjustRightInd w:val="0"/>
              <w:snapToGrid w:val="0"/>
              <w:spacing w:line="360" w:lineRule="exact"/>
              <w:jc w:val="center"/>
              <w:rPr>
                <w:rFonts w:hint="eastAsia"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AUTOTEXT  input568 \* MERGEFORMAT </w:instrText>
            </w:r>
            <w:r>
              <w:rPr>
                <w:rFonts w:hint="eastAsia" w:ascii="宋体" w:hAnsi="宋体" w:cs="宋体"/>
                <w:sz w:val="18"/>
                <w:szCs w:val="18"/>
              </w:rPr>
              <w:fldChar w:fldCharType="separate"/>
            </w:r>
            <w:r>
              <w:rPr>
                <w:rFonts w:hint="eastAsia" w:ascii="宋体" w:hAnsi="宋体" w:cs="宋体"/>
                <w:sz w:val="18"/>
                <w:szCs w:val="18"/>
              </w:rPr>
              <w:t>1</w:t>
            </w:r>
            <w:r>
              <w:rPr>
                <w:rFonts w:hint="eastAsia" w:ascii="宋体" w:hAnsi="宋体" w:cs="宋体"/>
                <w:sz w:val="18"/>
                <w:szCs w:val="18"/>
              </w:rPr>
              <w:fldChar w:fldCharType="end"/>
            </w:r>
          </w:p>
        </w:tc>
        <w:tc>
          <w:tcPr>
            <w:tcW w:w="1007" w:type="dxa"/>
          </w:tcPr>
          <w:p w14:paraId="1F7F34DE">
            <w:pPr>
              <w:spacing w:line="360" w:lineRule="exact"/>
              <w:rPr>
                <w:rFonts w:hint="eastAsia" w:ascii="宋体" w:hAnsi="宋体" w:cs="宋体"/>
                <w:sz w:val="18"/>
                <w:szCs w:val="18"/>
              </w:rPr>
            </w:pPr>
            <w:r>
              <w:rPr>
                <w:rFonts w:hint="eastAsia" w:ascii="宋体" w:hAnsi="宋体" w:cs="宋体"/>
                <w:sz w:val="18"/>
                <w:szCs w:val="18"/>
              </w:rPr>
              <w:t>是：</w:t>
            </w:r>
            <w:r>
              <w:rPr>
                <w:rFonts w:hint="eastAsia" w:ascii="宋体" w:hAnsi="宋体" w:cs="宋体"/>
                <w:sz w:val="18"/>
                <w:szCs w:val="18"/>
              </w:rPr>
              <w:fldChar w:fldCharType="begin"/>
            </w:r>
            <w:r>
              <w:rPr>
                <w:rFonts w:hint="eastAsia" w:ascii="宋体" w:hAnsi="宋体" w:cs="宋体"/>
                <w:sz w:val="18"/>
                <w:szCs w:val="18"/>
              </w:rPr>
              <w:instrText xml:space="preserve"> AUTOTEXT  input559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6F5ECA21">
            <w:pPr>
              <w:adjustRightInd w:val="0"/>
              <w:snapToGrid w:val="0"/>
              <w:spacing w:line="360" w:lineRule="exact"/>
              <w:jc w:val="left"/>
              <w:rPr>
                <w:rFonts w:hint="eastAsia" w:ascii="宋体" w:hAnsi="宋体" w:cs="宋体"/>
                <w:sz w:val="18"/>
                <w:szCs w:val="18"/>
              </w:rPr>
            </w:pPr>
            <w:r>
              <w:rPr>
                <w:rFonts w:hint="eastAsia" w:ascii="宋体" w:hAnsi="宋体" w:cs="宋体"/>
                <w:sz w:val="18"/>
                <w:szCs w:val="18"/>
              </w:rPr>
              <w:t>否：</w:t>
            </w:r>
            <w:r>
              <w:rPr>
                <w:rFonts w:hint="eastAsia" w:ascii="宋体" w:hAnsi="宋体" w:cs="宋体"/>
                <w:sz w:val="18"/>
                <w:szCs w:val="18"/>
              </w:rPr>
              <w:fldChar w:fldCharType="begin"/>
            </w:r>
            <w:r>
              <w:rPr>
                <w:rFonts w:hint="eastAsia" w:ascii="宋体" w:hAnsi="宋体" w:cs="宋体"/>
                <w:sz w:val="18"/>
                <w:szCs w:val="18"/>
              </w:rPr>
              <w:instrText xml:space="preserve"> AUTOTEXT  input558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1221" w:type="dxa"/>
          </w:tcPr>
          <w:p w14:paraId="1768EF54">
            <w:pPr>
              <w:spacing w:line="360" w:lineRule="exact"/>
              <w:jc w:val="left"/>
              <w:rPr>
                <w:rFonts w:hint="eastAsia" w:ascii="宋体" w:hAnsi="宋体" w:cs="宋体"/>
                <w:sz w:val="18"/>
                <w:szCs w:val="18"/>
              </w:rPr>
            </w:pPr>
            <w:r>
              <w:rPr>
                <w:rFonts w:hint="eastAsia" w:ascii="宋体" w:hAnsi="宋体" w:cs="宋体"/>
                <w:sz w:val="18"/>
                <w:szCs w:val="18"/>
              </w:rPr>
              <w:t>专职：</w:t>
            </w:r>
            <w:r>
              <w:rPr>
                <w:rFonts w:hint="eastAsia" w:ascii="宋体" w:hAnsi="宋体" w:cs="宋体"/>
                <w:sz w:val="18"/>
                <w:szCs w:val="18"/>
              </w:rPr>
              <w:fldChar w:fldCharType="begin"/>
            </w:r>
            <w:r>
              <w:rPr>
                <w:rFonts w:hint="eastAsia" w:ascii="宋体" w:hAnsi="宋体" w:cs="宋体"/>
                <w:sz w:val="18"/>
                <w:szCs w:val="18"/>
              </w:rPr>
              <w:instrText xml:space="preserve"> AUTOTEXT  input566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7E899A61">
            <w:pPr>
              <w:adjustRightInd w:val="0"/>
              <w:snapToGrid w:val="0"/>
              <w:spacing w:line="360" w:lineRule="exact"/>
              <w:jc w:val="left"/>
              <w:rPr>
                <w:rFonts w:hint="eastAsia" w:ascii="宋体" w:hAnsi="宋体" w:cs="宋体"/>
                <w:sz w:val="18"/>
                <w:szCs w:val="18"/>
              </w:rPr>
            </w:pPr>
            <w:r>
              <w:rPr>
                <w:rFonts w:hint="eastAsia" w:ascii="宋体" w:hAnsi="宋体" w:cs="宋体"/>
                <w:sz w:val="18"/>
                <w:szCs w:val="18"/>
              </w:rPr>
              <w:t>可兼任：</w:t>
            </w:r>
            <w:r>
              <w:rPr>
                <w:rFonts w:hint="eastAsia" w:ascii="宋体" w:hAnsi="宋体" w:cs="宋体"/>
                <w:sz w:val="18"/>
                <w:szCs w:val="18"/>
              </w:rPr>
              <w:fldChar w:fldCharType="begin"/>
            </w:r>
            <w:r>
              <w:rPr>
                <w:rFonts w:hint="eastAsia" w:ascii="宋体" w:hAnsi="宋体" w:cs="宋体"/>
                <w:sz w:val="18"/>
                <w:szCs w:val="18"/>
              </w:rPr>
              <w:instrText xml:space="preserve"> AUTOTEXT  input559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3883" w:type="dxa"/>
          </w:tcPr>
          <w:p w14:paraId="26AF56C3">
            <w:pPr>
              <w:adjustRightInd w:val="0"/>
              <w:snapToGrid w:val="0"/>
              <w:spacing w:line="360" w:lineRule="exact"/>
              <w:jc w:val="left"/>
              <w:rPr>
                <w:rFonts w:hint="eastAsia" w:ascii="宋体" w:hAnsi="宋体" w:cs="宋体"/>
                <w:sz w:val="18"/>
                <w:szCs w:val="18"/>
              </w:rPr>
            </w:pPr>
            <w:r>
              <w:rPr>
                <w:rFonts w:hint="eastAsia" w:ascii="宋体" w:hAnsi="宋体" w:cs="宋体"/>
                <w:spacing w:val="10"/>
                <w:sz w:val="18"/>
                <w:szCs w:val="18"/>
              </w:rPr>
              <w:t>须提</w:t>
            </w:r>
            <w:r>
              <w:rPr>
                <w:rFonts w:hint="eastAsia" w:ascii="宋体" w:hAnsi="宋体" w:cs="宋体"/>
                <w:spacing w:val="6"/>
                <w:sz w:val="18"/>
                <w:szCs w:val="18"/>
              </w:rPr>
              <w:t>供</w:t>
            </w:r>
            <w:r>
              <w:rPr>
                <w:rFonts w:hint="eastAsia" w:ascii="宋体" w:hAnsi="宋体" w:cs="宋体"/>
                <w:spacing w:val="5"/>
                <w:sz w:val="18"/>
                <w:szCs w:val="18"/>
              </w:rPr>
              <w:t>相关证书、身份证原件扫描件、</w:t>
            </w:r>
            <w:r>
              <w:rPr>
                <w:rFonts w:hint="eastAsia" w:ascii="宋体" w:hAnsi="宋体" w:cs="宋体"/>
                <w:sz w:val="18"/>
                <w:szCs w:val="18"/>
                <w:lang w:val="zh-CN"/>
              </w:rPr>
              <w:t>基本养老保险参保证明</w:t>
            </w:r>
            <w:r>
              <w:rPr>
                <w:rFonts w:hint="eastAsia" w:ascii="宋体" w:hAnsi="宋体" w:cs="宋体"/>
                <w:spacing w:val="5"/>
                <w:sz w:val="18"/>
                <w:szCs w:val="18"/>
              </w:rPr>
              <w:t>原件扫描件</w:t>
            </w:r>
            <w:r>
              <w:rPr>
                <w:rFonts w:hint="eastAsia" w:ascii="宋体" w:hAnsi="宋体" w:cs="宋体"/>
                <w:spacing w:val="8"/>
                <w:sz w:val="18"/>
                <w:szCs w:val="18"/>
              </w:rPr>
              <w:t>。</w:t>
            </w:r>
          </w:p>
        </w:tc>
      </w:tr>
      <w:tr w14:paraId="066ED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0" w:type="dxa"/>
            <w:vAlign w:val="center"/>
          </w:tcPr>
          <w:p w14:paraId="2EED1357">
            <w:pPr>
              <w:spacing w:line="360" w:lineRule="exact"/>
              <w:jc w:val="center"/>
              <w:rPr>
                <w:rFonts w:hint="eastAsia" w:ascii="宋体" w:hAnsi="宋体" w:cs="宋体"/>
                <w:sz w:val="18"/>
                <w:szCs w:val="18"/>
              </w:rPr>
            </w:pPr>
            <w:r>
              <w:rPr>
                <w:rFonts w:hint="eastAsia" w:ascii="宋体" w:hAnsi="宋体" w:cs="宋体"/>
                <w:sz w:val="18"/>
                <w:szCs w:val="18"/>
              </w:rPr>
              <w:t>材料员</w:t>
            </w:r>
          </w:p>
        </w:tc>
        <w:tc>
          <w:tcPr>
            <w:tcW w:w="1181" w:type="dxa"/>
            <w:vAlign w:val="center"/>
          </w:tcPr>
          <w:p w14:paraId="5D1F7D34">
            <w:pPr>
              <w:adjustRightInd w:val="0"/>
              <w:snapToGrid w:val="0"/>
              <w:spacing w:line="360" w:lineRule="exact"/>
              <w:jc w:val="center"/>
              <w:rPr>
                <w:rFonts w:hint="eastAsia"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AUTOTEXT  input574 \* MERGEFORMAT </w:instrText>
            </w:r>
            <w:r>
              <w:rPr>
                <w:rFonts w:hint="eastAsia" w:ascii="宋体" w:hAnsi="宋体" w:cs="宋体"/>
                <w:sz w:val="18"/>
                <w:szCs w:val="18"/>
              </w:rPr>
              <w:fldChar w:fldCharType="separate"/>
            </w:r>
            <w:r>
              <w:rPr>
                <w:rFonts w:hint="eastAsia" w:ascii="宋体" w:hAnsi="宋体" w:cs="宋体"/>
                <w:sz w:val="18"/>
                <w:szCs w:val="18"/>
              </w:rPr>
              <w:t>1</w:t>
            </w:r>
            <w:r>
              <w:rPr>
                <w:rFonts w:hint="eastAsia" w:ascii="宋体" w:hAnsi="宋体" w:cs="宋体"/>
                <w:sz w:val="18"/>
                <w:szCs w:val="18"/>
              </w:rPr>
              <w:fldChar w:fldCharType="end"/>
            </w:r>
          </w:p>
        </w:tc>
        <w:tc>
          <w:tcPr>
            <w:tcW w:w="1007" w:type="dxa"/>
          </w:tcPr>
          <w:p w14:paraId="0A8B10AD">
            <w:pPr>
              <w:spacing w:line="360" w:lineRule="exact"/>
              <w:rPr>
                <w:rFonts w:hint="eastAsia" w:ascii="宋体" w:hAnsi="宋体" w:cs="宋体"/>
                <w:sz w:val="18"/>
                <w:szCs w:val="18"/>
              </w:rPr>
            </w:pPr>
            <w:r>
              <w:rPr>
                <w:rFonts w:hint="eastAsia" w:ascii="宋体" w:hAnsi="宋体" w:cs="宋体"/>
                <w:sz w:val="18"/>
                <w:szCs w:val="18"/>
              </w:rPr>
              <w:t>是：</w:t>
            </w:r>
            <w:r>
              <w:rPr>
                <w:rFonts w:hint="eastAsia" w:ascii="宋体" w:hAnsi="宋体" w:cs="宋体"/>
                <w:sz w:val="18"/>
                <w:szCs w:val="18"/>
              </w:rPr>
              <w:fldChar w:fldCharType="begin"/>
            </w:r>
            <w:r>
              <w:rPr>
                <w:rFonts w:hint="eastAsia" w:ascii="宋体" w:hAnsi="宋体" w:cs="宋体"/>
                <w:sz w:val="18"/>
                <w:szCs w:val="18"/>
              </w:rPr>
              <w:instrText xml:space="preserve"> AUTOTEXT  input559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7D21E53F">
            <w:pPr>
              <w:adjustRightInd w:val="0"/>
              <w:snapToGrid w:val="0"/>
              <w:spacing w:line="360" w:lineRule="exact"/>
              <w:jc w:val="left"/>
              <w:rPr>
                <w:rFonts w:hint="eastAsia" w:ascii="宋体" w:hAnsi="宋体" w:cs="宋体"/>
                <w:sz w:val="18"/>
                <w:szCs w:val="18"/>
              </w:rPr>
            </w:pPr>
            <w:r>
              <w:rPr>
                <w:rFonts w:hint="eastAsia" w:ascii="宋体" w:hAnsi="宋体" w:cs="宋体"/>
                <w:sz w:val="18"/>
                <w:szCs w:val="18"/>
              </w:rPr>
              <w:t>否：</w:t>
            </w:r>
            <w:r>
              <w:rPr>
                <w:rFonts w:hint="eastAsia" w:ascii="宋体" w:hAnsi="宋体" w:cs="宋体"/>
                <w:sz w:val="18"/>
                <w:szCs w:val="18"/>
              </w:rPr>
              <w:fldChar w:fldCharType="begin"/>
            </w:r>
            <w:r>
              <w:rPr>
                <w:rFonts w:hint="eastAsia" w:ascii="宋体" w:hAnsi="宋体" w:cs="宋体"/>
                <w:sz w:val="18"/>
                <w:szCs w:val="18"/>
              </w:rPr>
              <w:instrText xml:space="preserve"> AUTOTEXT  input558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1221" w:type="dxa"/>
          </w:tcPr>
          <w:p w14:paraId="4D9A4A26">
            <w:pPr>
              <w:spacing w:line="360" w:lineRule="exact"/>
              <w:rPr>
                <w:rFonts w:hint="eastAsia" w:ascii="宋体" w:hAnsi="宋体" w:cs="宋体"/>
                <w:sz w:val="18"/>
                <w:szCs w:val="18"/>
              </w:rPr>
            </w:pPr>
            <w:r>
              <w:rPr>
                <w:rFonts w:hint="eastAsia" w:ascii="宋体" w:hAnsi="宋体" w:cs="宋体"/>
                <w:sz w:val="18"/>
                <w:szCs w:val="18"/>
              </w:rPr>
              <w:t>专职：</w:t>
            </w:r>
            <w:r>
              <w:rPr>
                <w:rFonts w:hint="eastAsia" w:ascii="宋体" w:hAnsi="宋体" w:cs="宋体"/>
                <w:sz w:val="18"/>
                <w:szCs w:val="18"/>
              </w:rPr>
              <w:fldChar w:fldCharType="begin"/>
            </w:r>
            <w:r>
              <w:rPr>
                <w:rFonts w:hint="eastAsia" w:ascii="宋体" w:hAnsi="宋体" w:cs="宋体"/>
                <w:sz w:val="18"/>
                <w:szCs w:val="18"/>
              </w:rPr>
              <w:instrText xml:space="preserve"> AUTOTEXT  input558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7ABDA509">
            <w:pPr>
              <w:adjustRightInd w:val="0"/>
              <w:snapToGrid w:val="0"/>
              <w:spacing w:line="360" w:lineRule="exact"/>
              <w:jc w:val="left"/>
              <w:rPr>
                <w:rFonts w:hint="eastAsia" w:ascii="宋体" w:hAnsi="宋体" w:cs="宋体"/>
                <w:sz w:val="18"/>
                <w:szCs w:val="18"/>
              </w:rPr>
            </w:pPr>
            <w:r>
              <w:rPr>
                <w:rFonts w:hint="eastAsia" w:ascii="宋体" w:hAnsi="宋体" w:cs="宋体"/>
                <w:sz w:val="18"/>
                <w:szCs w:val="18"/>
              </w:rPr>
              <w:t>可兼任：</w:t>
            </w:r>
            <w:r>
              <w:rPr>
                <w:rFonts w:hint="eastAsia" w:ascii="宋体" w:hAnsi="宋体" w:cs="宋体"/>
                <w:sz w:val="18"/>
                <w:szCs w:val="18"/>
              </w:rPr>
              <w:fldChar w:fldCharType="begin"/>
            </w:r>
            <w:r>
              <w:rPr>
                <w:rFonts w:hint="eastAsia" w:ascii="宋体" w:hAnsi="宋体" w:cs="宋体"/>
                <w:sz w:val="18"/>
                <w:szCs w:val="18"/>
              </w:rPr>
              <w:instrText xml:space="preserve"> AUTOTEXT  input559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3883" w:type="dxa"/>
          </w:tcPr>
          <w:p w14:paraId="756BE2A5">
            <w:pPr>
              <w:adjustRightInd w:val="0"/>
              <w:snapToGrid w:val="0"/>
              <w:spacing w:line="360" w:lineRule="exact"/>
              <w:jc w:val="left"/>
              <w:rPr>
                <w:rFonts w:hint="eastAsia" w:ascii="宋体" w:hAnsi="宋体" w:cs="宋体"/>
                <w:sz w:val="18"/>
                <w:szCs w:val="18"/>
              </w:rPr>
            </w:pPr>
            <w:r>
              <w:rPr>
                <w:rFonts w:hint="eastAsia" w:ascii="宋体" w:hAnsi="宋体" w:cs="宋体"/>
                <w:spacing w:val="10"/>
                <w:sz w:val="18"/>
                <w:szCs w:val="18"/>
              </w:rPr>
              <w:t>须提</w:t>
            </w:r>
            <w:r>
              <w:rPr>
                <w:rFonts w:hint="eastAsia" w:ascii="宋体" w:hAnsi="宋体" w:cs="宋体"/>
                <w:spacing w:val="6"/>
                <w:sz w:val="18"/>
                <w:szCs w:val="18"/>
              </w:rPr>
              <w:t>供</w:t>
            </w:r>
            <w:r>
              <w:rPr>
                <w:rFonts w:hint="eastAsia" w:ascii="宋体" w:hAnsi="宋体" w:cs="宋体"/>
                <w:spacing w:val="5"/>
                <w:sz w:val="18"/>
                <w:szCs w:val="18"/>
              </w:rPr>
              <w:t>相关证书、身份证原件扫描件、</w:t>
            </w:r>
            <w:r>
              <w:rPr>
                <w:rFonts w:hint="eastAsia" w:ascii="宋体" w:hAnsi="宋体" w:cs="宋体"/>
                <w:sz w:val="18"/>
                <w:szCs w:val="18"/>
                <w:lang w:val="zh-CN"/>
              </w:rPr>
              <w:t>基本养老保险参保证明</w:t>
            </w:r>
            <w:r>
              <w:rPr>
                <w:rFonts w:hint="eastAsia" w:ascii="宋体" w:hAnsi="宋体" w:cs="宋体"/>
                <w:spacing w:val="5"/>
                <w:sz w:val="18"/>
                <w:szCs w:val="18"/>
              </w:rPr>
              <w:t>原件扫描件</w:t>
            </w:r>
            <w:r>
              <w:rPr>
                <w:rFonts w:hint="eastAsia" w:ascii="宋体" w:hAnsi="宋体" w:cs="宋体"/>
                <w:spacing w:val="8"/>
                <w:sz w:val="18"/>
                <w:szCs w:val="18"/>
              </w:rPr>
              <w:t>。</w:t>
            </w:r>
          </w:p>
        </w:tc>
      </w:tr>
      <w:tr w14:paraId="37B76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0" w:type="dxa"/>
            <w:vAlign w:val="center"/>
          </w:tcPr>
          <w:p w14:paraId="13DB65E3">
            <w:pPr>
              <w:spacing w:line="360" w:lineRule="exact"/>
              <w:jc w:val="center"/>
              <w:rPr>
                <w:rFonts w:hint="eastAsia" w:ascii="宋体" w:hAnsi="宋体" w:cs="宋体"/>
                <w:sz w:val="18"/>
                <w:szCs w:val="18"/>
              </w:rPr>
            </w:pPr>
            <w:r>
              <w:rPr>
                <w:rFonts w:hint="eastAsia" w:ascii="宋体" w:hAnsi="宋体" w:cs="宋体"/>
                <w:sz w:val="18"/>
                <w:szCs w:val="18"/>
              </w:rPr>
              <w:t>机械员</w:t>
            </w:r>
          </w:p>
        </w:tc>
        <w:tc>
          <w:tcPr>
            <w:tcW w:w="1181" w:type="dxa"/>
            <w:vAlign w:val="center"/>
          </w:tcPr>
          <w:p w14:paraId="048653BF">
            <w:pPr>
              <w:adjustRightInd w:val="0"/>
              <w:snapToGrid w:val="0"/>
              <w:spacing w:line="360" w:lineRule="exact"/>
              <w:jc w:val="center"/>
              <w:rPr>
                <w:rFonts w:hint="eastAsia"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AUTOTEXT  input580 \* MERGEFORMAT </w:instrText>
            </w:r>
            <w:r>
              <w:rPr>
                <w:rFonts w:hint="eastAsia" w:ascii="宋体" w:hAnsi="宋体" w:cs="宋体"/>
                <w:sz w:val="18"/>
                <w:szCs w:val="18"/>
              </w:rPr>
              <w:fldChar w:fldCharType="separate"/>
            </w:r>
            <w:r>
              <w:rPr>
                <w:rFonts w:hint="eastAsia" w:ascii="宋体" w:hAnsi="宋体" w:cs="宋体"/>
                <w:sz w:val="18"/>
                <w:szCs w:val="18"/>
              </w:rPr>
              <w:t>1</w:t>
            </w:r>
            <w:r>
              <w:rPr>
                <w:rFonts w:hint="eastAsia" w:ascii="宋体" w:hAnsi="宋体" w:cs="宋体"/>
                <w:sz w:val="18"/>
                <w:szCs w:val="18"/>
              </w:rPr>
              <w:fldChar w:fldCharType="end"/>
            </w:r>
          </w:p>
        </w:tc>
        <w:tc>
          <w:tcPr>
            <w:tcW w:w="1007" w:type="dxa"/>
          </w:tcPr>
          <w:p w14:paraId="1CF54336">
            <w:pPr>
              <w:spacing w:line="360" w:lineRule="exact"/>
              <w:rPr>
                <w:rFonts w:hint="eastAsia" w:ascii="宋体" w:hAnsi="宋体" w:cs="宋体"/>
                <w:sz w:val="18"/>
                <w:szCs w:val="18"/>
              </w:rPr>
            </w:pPr>
            <w:r>
              <w:rPr>
                <w:rFonts w:hint="eastAsia" w:ascii="宋体" w:hAnsi="宋体" w:cs="宋体"/>
                <w:sz w:val="18"/>
                <w:szCs w:val="18"/>
              </w:rPr>
              <w:t>是：</w:t>
            </w:r>
            <w:r>
              <w:rPr>
                <w:rFonts w:hint="eastAsia" w:ascii="宋体" w:hAnsi="宋体" w:cs="宋体"/>
                <w:sz w:val="18"/>
                <w:szCs w:val="18"/>
              </w:rPr>
              <w:fldChar w:fldCharType="begin"/>
            </w:r>
            <w:r>
              <w:rPr>
                <w:rFonts w:hint="eastAsia" w:ascii="宋体" w:hAnsi="宋体" w:cs="宋体"/>
                <w:sz w:val="18"/>
                <w:szCs w:val="18"/>
              </w:rPr>
              <w:instrText xml:space="preserve"> AUTOTEXT  input559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638A7B41">
            <w:pPr>
              <w:adjustRightInd w:val="0"/>
              <w:snapToGrid w:val="0"/>
              <w:spacing w:line="360" w:lineRule="exact"/>
              <w:jc w:val="left"/>
              <w:rPr>
                <w:rFonts w:hint="eastAsia" w:ascii="宋体" w:hAnsi="宋体" w:cs="宋体"/>
                <w:sz w:val="18"/>
                <w:szCs w:val="18"/>
              </w:rPr>
            </w:pPr>
            <w:r>
              <w:rPr>
                <w:rFonts w:hint="eastAsia" w:ascii="宋体" w:hAnsi="宋体" w:cs="宋体"/>
                <w:sz w:val="18"/>
                <w:szCs w:val="18"/>
              </w:rPr>
              <w:t>否：</w:t>
            </w:r>
            <w:r>
              <w:rPr>
                <w:rFonts w:hint="eastAsia" w:ascii="宋体" w:hAnsi="宋体" w:cs="宋体"/>
                <w:sz w:val="18"/>
                <w:szCs w:val="18"/>
              </w:rPr>
              <w:fldChar w:fldCharType="begin"/>
            </w:r>
            <w:r>
              <w:rPr>
                <w:rFonts w:hint="eastAsia" w:ascii="宋体" w:hAnsi="宋体" w:cs="宋体"/>
                <w:sz w:val="18"/>
                <w:szCs w:val="18"/>
              </w:rPr>
              <w:instrText xml:space="preserve"> AUTOTEXT  input558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1221" w:type="dxa"/>
          </w:tcPr>
          <w:p w14:paraId="06E87A52">
            <w:pPr>
              <w:spacing w:line="360" w:lineRule="exact"/>
              <w:rPr>
                <w:rFonts w:hint="eastAsia" w:ascii="宋体" w:hAnsi="宋体" w:cs="宋体"/>
                <w:sz w:val="18"/>
                <w:szCs w:val="18"/>
              </w:rPr>
            </w:pPr>
            <w:r>
              <w:rPr>
                <w:rFonts w:hint="eastAsia" w:ascii="宋体" w:hAnsi="宋体" w:cs="宋体"/>
                <w:sz w:val="18"/>
                <w:szCs w:val="18"/>
              </w:rPr>
              <w:t>专职：</w:t>
            </w:r>
            <w:r>
              <w:rPr>
                <w:rFonts w:hint="eastAsia" w:ascii="宋体" w:hAnsi="宋体" w:cs="宋体"/>
                <w:sz w:val="18"/>
                <w:szCs w:val="18"/>
              </w:rPr>
              <w:fldChar w:fldCharType="begin"/>
            </w:r>
            <w:r>
              <w:rPr>
                <w:rFonts w:hint="eastAsia" w:ascii="宋体" w:hAnsi="宋体" w:cs="宋体"/>
                <w:sz w:val="18"/>
                <w:szCs w:val="18"/>
              </w:rPr>
              <w:instrText xml:space="preserve"> AUTOTEXT  input558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3BC64062">
            <w:pPr>
              <w:adjustRightInd w:val="0"/>
              <w:snapToGrid w:val="0"/>
              <w:spacing w:line="360" w:lineRule="exact"/>
              <w:jc w:val="left"/>
              <w:rPr>
                <w:rFonts w:hint="eastAsia" w:ascii="宋体" w:hAnsi="宋体" w:cs="宋体"/>
                <w:sz w:val="18"/>
                <w:szCs w:val="18"/>
              </w:rPr>
            </w:pPr>
            <w:r>
              <w:rPr>
                <w:rFonts w:hint="eastAsia" w:ascii="宋体" w:hAnsi="宋体" w:cs="宋体"/>
                <w:sz w:val="18"/>
                <w:szCs w:val="18"/>
              </w:rPr>
              <w:t>可兼任：</w:t>
            </w:r>
            <w:r>
              <w:rPr>
                <w:rFonts w:hint="eastAsia" w:ascii="宋体" w:hAnsi="宋体" w:cs="宋体"/>
                <w:sz w:val="18"/>
                <w:szCs w:val="18"/>
              </w:rPr>
              <w:fldChar w:fldCharType="begin"/>
            </w:r>
            <w:r>
              <w:rPr>
                <w:rFonts w:hint="eastAsia" w:ascii="宋体" w:hAnsi="宋体" w:cs="宋体"/>
                <w:sz w:val="18"/>
                <w:szCs w:val="18"/>
              </w:rPr>
              <w:instrText xml:space="preserve"> AUTOTEXT  input559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3883" w:type="dxa"/>
          </w:tcPr>
          <w:p w14:paraId="239EE90D">
            <w:pPr>
              <w:adjustRightInd w:val="0"/>
              <w:snapToGrid w:val="0"/>
              <w:spacing w:line="360" w:lineRule="exact"/>
              <w:jc w:val="left"/>
              <w:rPr>
                <w:rFonts w:hint="eastAsia" w:ascii="宋体" w:hAnsi="宋体" w:cs="宋体"/>
                <w:sz w:val="18"/>
                <w:szCs w:val="18"/>
              </w:rPr>
            </w:pPr>
            <w:r>
              <w:rPr>
                <w:rFonts w:hint="eastAsia" w:ascii="宋体" w:hAnsi="宋体" w:cs="宋体"/>
                <w:spacing w:val="10"/>
                <w:sz w:val="18"/>
                <w:szCs w:val="18"/>
              </w:rPr>
              <w:t>须提</w:t>
            </w:r>
            <w:r>
              <w:rPr>
                <w:rFonts w:hint="eastAsia" w:ascii="宋体" w:hAnsi="宋体" w:cs="宋体"/>
                <w:spacing w:val="6"/>
                <w:sz w:val="18"/>
                <w:szCs w:val="18"/>
              </w:rPr>
              <w:t>供</w:t>
            </w:r>
            <w:r>
              <w:rPr>
                <w:rFonts w:hint="eastAsia" w:ascii="宋体" w:hAnsi="宋体" w:cs="宋体"/>
                <w:spacing w:val="5"/>
                <w:sz w:val="18"/>
                <w:szCs w:val="18"/>
              </w:rPr>
              <w:t>相关证书、身份证原件扫描件、</w:t>
            </w:r>
            <w:r>
              <w:rPr>
                <w:rFonts w:hint="eastAsia" w:ascii="宋体" w:hAnsi="宋体" w:cs="宋体"/>
                <w:sz w:val="18"/>
                <w:szCs w:val="18"/>
                <w:lang w:val="zh-CN"/>
              </w:rPr>
              <w:t>基本养老保险参保证明</w:t>
            </w:r>
            <w:r>
              <w:rPr>
                <w:rFonts w:hint="eastAsia" w:ascii="宋体" w:hAnsi="宋体" w:cs="宋体"/>
                <w:spacing w:val="5"/>
                <w:sz w:val="18"/>
                <w:szCs w:val="18"/>
              </w:rPr>
              <w:t>原件扫描件</w:t>
            </w:r>
            <w:r>
              <w:rPr>
                <w:rFonts w:hint="eastAsia" w:ascii="宋体" w:hAnsi="宋体" w:cs="宋体"/>
                <w:spacing w:val="8"/>
                <w:sz w:val="18"/>
                <w:szCs w:val="18"/>
              </w:rPr>
              <w:t>。</w:t>
            </w:r>
          </w:p>
        </w:tc>
      </w:tr>
      <w:tr w14:paraId="40327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0" w:type="dxa"/>
            <w:vAlign w:val="center"/>
          </w:tcPr>
          <w:p w14:paraId="690159C5">
            <w:pPr>
              <w:spacing w:line="360" w:lineRule="exact"/>
              <w:jc w:val="center"/>
              <w:rPr>
                <w:rFonts w:hint="eastAsia" w:ascii="宋体" w:hAnsi="宋体" w:cs="宋体"/>
                <w:sz w:val="18"/>
                <w:szCs w:val="18"/>
              </w:rPr>
            </w:pPr>
            <w:r>
              <w:rPr>
                <w:rFonts w:hint="eastAsia" w:ascii="宋体" w:hAnsi="宋体" w:cs="宋体"/>
                <w:sz w:val="18"/>
                <w:szCs w:val="18"/>
              </w:rPr>
              <w:t>劳务员</w:t>
            </w:r>
          </w:p>
        </w:tc>
        <w:tc>
          <w:tcPr>
            <w:tcW w:w="1181" w:type="dxa"/>
            <w:vAlign w:val="center"/>
          </w:tcPr>
          <w:p w14:paraId="1AC33409">
            <w:pPr>
              <w:adjustRightInd w:val="0"/>
              <w:snapToGrid w:val="0"/>
              <w:spacing w:line="360" w:lineRule="exact"/>
              <w:jc w:val="center"/>
              <w:rPr>
                <w:rFonts w:hint="eastAsia"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AUTOTEXT  input586 \* MERGEFORMAT </w:instrText>
            </w:r>
            <w:r>
              <w:rPr>
                <w:rFonts w:hint="eastAsia" w:ascii="宋体" w:hAnsi="宋体" w:cs="宋体"/>
                <w:sz w:val="18"/>
                <w:szCs w:val="18"/>
              </w:rPr>
              <w:fldChar w:fldCharType="separate"/>
            </w:r>
            <w:r>
              <w:rPr>
                <w:rFonts w:hint="eastAsia" w:ascii="宋体" w:hAnsi="宋体" w:cs="宋体"/>
                <w:sz w:val="18"/>
                <w:szCs w:val="18"/>
              </w:rPr>
              <w:t>1</w:t>
            </w:r>
            <w:r>
              <w:rPr>
                <w:rFonts w:hint="eastAsia" w:ascii="宋体" w:hAnsi="宋体" w:cs="宋体"/>
                <w:sz w:val="18"/>
                <w:szCs w:val="18"/>
              </w:rPr>
              <w:fldChar w:fldCharType="end"/>
            </w:r>
          </w:p>
        </w:tc>
        <w:tc>
          <w:tcPr>
            <w:tcW w:w="1007" w:type="dxa"/>
          </w:tcPr>
          <w:p w14:paraId="37B80417">
            <w:pPr>
              <w:spacing w:line="360" w:lineRule="exact"/>
              <w:rPr>
                <w:rFonts w:hint="eastAsia" w:ascii="宋体" w:hAnsi="宋体" w:cs="宋体"/>
                <w:sz w:val="18"/>
                <w:szCs w:val="18"/>
              </w:rPr>
            </w:pPr>
            <w:r>
              <w:rPr>
                <w:rFonts w:hint="eastAsia" w:ascii="宋体" w:hAnsi="宋体" w:cs="宋体"/>
                <w:sz w:val="18"/>
                <w:szCs w:val="18"/>
              </w:rPr>
              <w:t>是：</w:t>
            </w:r>
            <w:r>
              <w:rPr>
                <w:rFonts w:hint="eastAsia" w:ascii="宋体" w:hAnsi="宋体" w:cs="宋体"/>
                <w:sz w:val="18"/>
                <w:szCs w:val="18"/>
              </w:rPr>
              <w:fldChar w:fldCharType="begin"/>
            </w:r>
            <w:r>
              <w:rPr>
                <w:rFonts w:hint="eastAsia" w:ascii="宋体" w:hAnsi="宋体" w:cs="宋体"/>
                <w:sz w:val="18"/>
                <w:szCs w:val="18"/>
              </w:rPr>
              <w:instrText xml:space="preserve"> AUTOTEXT  input559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3846069F">
            <w:pPr>
              <w:adjustRightInd w:val="0"/>
              <w:snapToGrid w:val="0"/>
              <w:spacing w:line="360" w:lineRule="exact"/>
              <w:jc w:val="left"/>
              <w:rPr>
                <w:rFonts w:hint="eastAsia" w:ascii="宋体" w:hAnsi="宋体" w:cs="宋体"/>
                <w:sz w:val="18"/>
                <w:szCs w:val="18"/>
              </w:rPr>
            </w:pPr>
            <w:r>
              <w:rPr>
                <w:rFonts w:hint="eastAsia" w:ascii="宋体" w:hAnsi="宋体" w:cs="宋体"/>
                <w:sz w:val="18"/>
                <w:szCs w:val="18"/>
              </w:rPr>
              <w:t>否：</w:t>
            </w:r>
            <w:r>
              <w:rPr>
                <w:rFonts w:hint="eastAsia" w:ascii="宋体" w:hAnsi="宋体" w:cs="宋体"/>
                <w:sz w:val="18"/>
                <w:szCs w:val="18"/>
              </w:rPr>
              <w:fldChar w:fldCharType="begin"/>
            </w:r>
            <w:r>
              <w:rPr>
                <w:rFonts w:hint="eastAsia" w:ascii="宋体" w:hAnsi="宋体" w:cs="宋体"/>
                <w:sz w:val="18"/>
                <w:szCs w:val="18"/>
              </w:rPr>
              <w:instrText xml:space="preserve"> AUTOTEXT  input558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1221" w:type="dxa"/>
          </w:tcPr>
          <w:p w14:paraId="16A21560">
            <w:pPr>
              <w:spacing w:line="360" w:lineRule="exact"/>
              <w:rPr>
                <w:rFonts w:hint="eastAsia" w:ascii="宋体" w:hAnsi="宋体" w:cs="宋体"/>
                <w:sz w:val="18"/>
                <w:szCs w:val="18"/>
              </w:rPr>
            </w:pPr>
            <w:r>
              <w:rPr>
                <w:rFonts w:hint="eastAsia" w:ascii="宋体" w:hAnsi="宋体" w:cs="宋体"/>
                <w:sz w:val="18"/>
                <w:szCs w:val="18"/>
              </w:rPr>
              <w:t>专职：</w:t>
            </w:r>
            <w:r>
              <w:rPr>
                <w:rFonts w:hint="eastAsia" w:ascii="宋体" w:hAnsi="宋体" w:cs="宋体"/>
                <w:sz w:val="18"/>
                <w:szCs w:val="18"/>
              </w:rPr>
              <w:fldChar w:fldCharType="begin"/>
            </w:r>
            <w:r>
              <w:rPr>
                <w:rFonts w:hint="eastAsia" w:ascii="宋体" w:hAnsi="宋体" w:cs="宋体"/>
                <w:sz w:val="18"/>
                <w:szCs w:val="18"/>
              </w:rPr>
              <w:instrText xml:space="preserve"> AUTOTEXT  input572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681389E9">
            <w:pPr>
              <w:adjustRightInd w:val="0"/>
              <w:snapToGrid w:val="0"/>
              <w:spacing w:line="360" w:lineRule="exact"/>
              <w:jc w:val="left"/>
              <w:rPr>
                <w:rFonts w:hint="eastAsia" w:ascii="宋体" w:hAnsi="宋体" w:cs="宋体"/>
                <w:sz w:val="18"/>
                <w:szCs w:val="18"/>
              </w:rPr>
            </w:pPr>
            <w:r>
              <w:rPr>
                <w:rFonts w:hint="eastAsia" w:ascii="宋体" w:hAnsi="宋体" w:cs="宋体"/>
                <w:sz w:val="18"/>
                <w:szCs w:val="18"/>
              </w:rPr>
              <w:t>可兼任：</w:t>
            </w:r>
            <w:r>
              <w:rPr>
                <w:rFonts w:hint="eastAsia" w:ascii="宋体" w:hAnsi="宋体" w:cs="宋体"/>
                <w:sz w:val="18"/>
                <w:szCs w:val="18"/>
              </w:rPr>
              <w:fldChar w:fldCharType="begin"/>
            </w:r>
            <w:r>
              <w:rPr>
                <w:rFonts w:hint="eastAsia" w:ascii="宋体" w:hAnsi="宋体" w:cs="宋体"/>
                <w:sz w:val="18"/>
                <w:szCs w:val="18"/>
              </w:rPr>
              <w:instrText xml:space="preserve"> AUTOTEXT  input559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3883" w:type="dxa"/>
          </w:tcPr>
          <w:p w14:paraId="2CFF56CF">
            <w:pPr>
              <w:adjustRightInd w:val="0"/>
              <w:snapToGrid w:val="0"/>
              <w:spacing w:line="360" w:lineRule="exact"/>
              <w:jc w:val="left"/>
              <w:rPr>
                <w:rFonts w:hint="eastAsia" w:ascii="宋体" w:hAnsi="宋体" w:cs="宋体"/>
                <w:sz w:val="18"/>
                <w:szCs w:val="18"/>
              </w:rPr>
            </w:pPr>
            <w:r>
              <w:rPr>
                <w:rFonts w:hint="eastAsia" w:ascii="宋体" w:hAnsi="宋体" w:cs="宋体"/>
                <w:spacing w:val="10"/>
                <w:sz w:val="18"/>
                <w:szCs w:val="18"/>
              </w:rPr>
              <w:t>须提</w:t>
            </w:r>
            <w:r>
              <w:rPr>
                <w:rFonts w:hint="eastAsia" w:ascii="宋体" w:hAnsi="宋体" w:cs="宋体"/>
                <w:spacing w:val="6"/>
                <w:sz w:val="18"/>
                <w:szCs w:val="18"/>
              </w:rPr>
              <w:t>供</w:t>
            </w:r>
            <w:r>
              <w:rPr>
                <w:rFonts w:hint="eastAsia" w:ascii="宋体" w:hAnsi="宋体" w:cs="宋体"/>
                <w:spacing w:val="5"/>
                <w:sz w:val="18"/>
                <w:szCs w:val="18"/>
              </w:rPr>
              <w:t>相关证书、身份证原件扫描件、</w:t>
            </w:r>
            <w:r>
              <w:rPr>
                <w:rFonts w:hint="eastAsia" w:ascii="宋体" w:hAnsi="宋体" w:cs="宋体"/>
                <w:sz w:val="18"/>
                <w:szCs w:val="18"/>
                <w:lang w:val="zh-CN"/>
              </w:rPr>
              <w:t>基本养老保险参保证明</w:t>
            </w:r>
            <w:r>
              <w:rPr>
                <w:rFonts w:hint="eastAsia" w:ascii="宋体" w:hAnsi="宋体" w:cs="宋体"/>
                <w:spacing w:val="5"/>
                <w:sz w:val="18"/>
                <w:szCs w:val="18"/>
              </w:rPr>
              <w:t>原件扫描件</w:t>
            </w:r>
            <w:r>
              <w:rPr>
                <w:rFonts w:hint="eastAsia" w:ascii="宋体" w:hAnsi="宋体" w:cs="宋体"/>
                <w:spacing w:val="8"/>
                <w:sz w:val="18"/>
                <w:szCs w:val="18"/>
              </w:rPr>
              <w:t>。</w:t>
            </w:r>
          </w:p>
        </w:tc>
      </w:tr>
      <w:tr w14:paraId="68FF9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0" w:type="dxa"/>
            <w:vAlign w:val="center"/>
          </w:tcPr>
          <w:p w14:paraId="53D78C56">
            <w:pPr>
              <w:spacing w:line="360" w:lineRule="exact"/>
              <w:jc w:val="center"/>
              <w:rPr>
                <w:rFonts w:hint="eastAsia" w:ascii="宋体" w:hAnsi="宋体" w:cs="宋体"/>
                <w:sz w:val="18"/>
                <w:szCs w:val="18"/>
              </w:rPr>
            </w:pPr>
            <w:r>
              <w:rPr>
                <w:rFonts w:hint="eastAsia" w:ascii="宋体" w:hAnsi="宋体" w:cs="宋体"/>
                <w:sz w:val="18"/>
                <w:szCs w:val="18"/>
              </w:rPr>
              <w:t>资料员</w:t>
            </w:r>
          </w:p>
        </w:tc>
        <w:tc>
          <w:tcPr>
            <w:tcW w:w="1181" w:type="dxa"/>
            <w:vAlign w:val="center"/>
          </w:tcPr>
          <w:p w14:paraId="49FDBB68">
            <w:pPr>
              <w:adjustRightInd w:val="0"/>
              <w:snapToGrid w:val="0"/>
              <w:spacing w:line="360" w:lineRule="exact"/>
              <w:jc w:val="center"/>
              <w:rPr>
                <w:rFonts w:hint="eastAsia"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AUTOTEXT  input592 \* MERGEFORMAT </w:instrText>
            </w:r>
            <w:r>
              <w:rPr>
                <w:rFonts w:hint="eastAsia" w:ascii="宋体" w:hAnsi="宋体" w:cs="宋体"/>
                <w:sz w:val="18"/>
                <w:szCs w:val="18"/>
              </w:rPr>
              <w:fldChar w:fldCharType="separate"/>
            </w:r>
            <w:r>
              <w:rPr>
                <w:rFonts w:hint="eastAsia" w:ascii="宋体" w:hAnsi="宋体" w:cs="宋体"/>
                <w:sz w:val="18"/>
                <w:szCs w:val="18"/>
              </w:rPr>
              <w:t>1</w:t>
            </w:r>
            <w:r>
              <w:rPr>
                <w:rFonts w:hint="eastAsia" w:ascii="宋体" w:hAnsi="宋体" w:cs="宋体"/>
                <w:sz w:val="18"/>
                <w:szCs w:val="18"/>
              </w:rPr>
              <w:fldChar w:fldCharType="end"/>
            </w:r>
          </w:p>
        </w:tc>
        <w:tc>
          <w:tcPr>
            <w:tcW w:w="1007" w:type="dxa"/>
          </w:tcPr>
          <w:p w14:paraId="59C9A6DB">
            <w:pPr>
              <w:spacing w:line="360" w:lineRule="exact"/>
              <w:rPr>
                <w:rFonts w:hint="eastAsia" w:ascii="宋体" w:hAnsi="宋体" w:cs="宋体"/>
                <w:sz w:val="18"/>
                <w:szCs w:val="18"/>
              </w:rPr>
            </w:pPr>
            <w:r>
              <w:rPr>
                <w:rFonts w:hint="eastAsia" w:ascii="宋体" w:hAnsi="宋体" w:cs="宋体"/>
                <w:sz w:val="18"/>
                <w:szCs w:val="18"/>
              </w:rPr>
              <w:t>是：</w:t>
            </w:r>
            <w:r>
              <w:rPr>
                <w:rFonts w:hint="eastAsia" w:ascii="宋体" w:hAnsi="宋体" w:cs="宋体"/>
                <w:sz w:val="18"/>
                <w:szCs w:val="18"/>
              </w:rPr>
              <w:fldChar w:fldCharType="begin"/>
            </w:r>
            <w:r>
              <w:rPr>
                <w:rFonts w:hint="eastAsia" w:ascii="宋体" w:hAnsi="宋体" w:cs="宋体"/>
                <w:sz w:val="18"/>
                <w:szCs w:val="18"/>
              </w:rPr>
              <w:instrText xml:space="preserve"> AUTOTEXT  input559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1693DFE4">
            <w:pPr>
              <w:adjustRightInd w:val="0"/>
              <w:snapToGrid w:val="0"/>
              <w:spacing w:line="360" w:lineRule="exact"/>
              <w:jc w:val="left"/>
              <w:rPr>
                <w:rFonts w:hint="eastAsia" w:ascii="宋体" w:hAnsi="宋体" w:cs="宋体"/>
                <w:sz w:val="18"/>
                <w:szCs w:val="18"/>
              </w:rPr>
            </w:pPr>
            <w:r>
              <w:rPr>
                <w:rFonts w:hint="eastAsia" w:ascii="宋体" w:hAnsi="宋体" w:cs="宋体"/>
                <w:sz w:val="18"/>
                <w:szCs w:val="18"/>
              </w:rPr>
              <w:t>否：</w:t>
            </w:r>
            <w:r>
              <w:rPr>
                <w:rFonts w:hint="eastAsia" w:ascii="宋体" w:hAnsi="宋体" w:cs="宋体"/>
                <w:sz w:val="18"/>
                <w:szCs w:val="18"/>
              </w:rPr>
              <w:fldChar w:fldCharType="begin"/>
            </w:r>
            <w:r>
              <w:rPr>
                <w:rFonts w:hint="eastAsia" w:ascii="宋体" w:hAnsi="宋体" w:cs="宋体"/>
                <w:sz w:val="18"/>
                <w:szCs w:val="18"/>
              </w:rPr>
              <w:instrText xml:space="preserve"> AUTOTEXT  input558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1221" w:type="dxa"/>
          </w:tcPr>
          <w:p w14:paraId="6BAAD277">
            <w:pPr>
              <w:spacing w:line="360" w:lineRule="exact"/>
              <w:rPr>
                <w:rFonts w:hint="eastAsia" w:ascii="宋体" w:hAnsi="宋体" w:cs="宋体"/>
                <w:sz w:val="18"/>
                <w:szCs w:val="18"/>
              </w:rPr>
            </w:pPr>
            <w:r>
              <w:rPr>
                <w:rFonts w:hint="eastAsia" w:ascii="宋体" w:hAnsi="宋体" w:cs="宋体"/>
                <w:sz w:val="18"/>
                <w:szCs w:val="18"/>
              </w:rPr>
              <w:t>专职：</w:t>
            </w:r>
            <w:r>
              <w:rPr>
                <w:rFonts w:hint="eastAsia" w:ascii="宋体" w:hAnsi="宋体" w:cs="宋体"/>
                <w:sz w:val="18"/>
                <w:szCs w:val="18"/>
              </w:rPr>
              <w:fldChar w:fldCharType="begin"/>
            </w:r>
            <w:r>
              <w:rPr>
                <w:rFonts w:hint="eastAsia" w:ascii="宋体" w:hAnsi="宋体" w:cs="宋体"/>
                <w:sz w:val="18"/>
                <w:szCs w:val="18"/>
              </w:rPr>
              <w:instrText xml:space="preserve"> AUTOTEXT  input558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p w14:paraId="52290EDC">
            <w:pPr>
              <w:adjustRightInd w:val="0"/>
              <w:snapToGrid w:val="0"/>
              <w:spacing w:line="360" w:lineRule="exact"/>
              <w:jc w:val="left"/>
              <w:rPr>
                <w:rFonts w:hint="eastAsia" w:ascii="宋体" w:hAnsi="宋体" w:cs="宋体"/>
                <w:sz w:val="18"/>
                <w:szCs w:val="18"/>
              </w:rPr>
            </w:pPr>
            <w:r>
              <w:rPr>
                <w:rFonts w:hint="eastAsia" w:ascii="宋体" w:hAnsi="宋体" w:cs="宋体"/>
                <w:sz w:val="18"/>
                <w:szCs w:val="18"/>
              </w:rPr>
              <w:t>可兼任：</w:t>
            </w:r>
            <w:r>
              <w:rPr>
                <w:rFonts w:hint="eastAsia" w:ascii="宋体" w:hAnsi="宋体" w:cs="宋体"/>
                <w:sz w:val="18"/>
                <w:szCs w:val="18"/>
              </w:rPr>
              <w:fldChar w:fldCharType="begin"/>
            </w:r>
            <w:r>
              <w:rPr>
                <w:rFonts w:hint="eastAsia" w:ascii="宋体" w:hAnsi="宋体" w:cs="宋体"/>
                <w:sz w:val="18"/>
                <w:szCs w:val="18"/>
              </w:rPr>
              <w:instrText xml:space="preserve"> AUTOTEXT  input559 \* MERGEFORMAT </w:instrText>
            </w:r>
            <w:r>
              <w:rPr>
                <w:rFonts w:hint="eastAsia" w:ascii="宋体" w:hAnsi="宋体" w:cs="宋体"/>
                <w:sz w:val="18"/>
                <w:szCs w:val="18"/>
              </w:rPr>
              <w:fldChar w:fldCharType="separate"/>
            </w:r>
            <w:r>
              <w:rPr>
                <w:rFonts w:hint="eastAsia" w:ascii="宋体" w:hAnsi="宋体" w:cs="宋体"/>
                <w:sz w:val="18"/>
                <w:szCs w:val="18"/>
              </w:rPr>
              <w:t>☑</w:t>
            </w:r>
            <w:r>
              <w:rPr>
                <w:rFonts w:hint="eastAsia" w:ascii="宋体" w:hAnsi="宋体" w:cs="宋体"/>
                <w:sz w:val="18"/>
                <w:szCs w:val="18"/>
              </w:rPr>
              <w:fldChar w:fldCharType="end"/>
            </w:r>
          </w:p>
        </w:tc>
        <w:tc>
          <w:tcPr>
            <w:tcW w:w="3883" w:type="dxa"/>
          </w:tcPr>
          <w:p w14:paraId="58A73704">
            <w:pPr>
              <w:adjustRightInd w:val="0"/>
              <w:snapToGrid w:val="0"/>
              <w:spacing w:line="360" w:lineRule="exact"/>
              <w:jc w:val="left"/>
              <w:rPr>
                <w:rFonts w:hint="eastAsia" w:ascii="宋体" w:hAnsi="宋体" w:cs="宋体"/>
                <w:sz w:val="18"/>
                <w:szCs w:val="18"/>
              </w:rPr>
            </w:pPr>
            <w:r>
              <w:rPr>
                <w:rFonts w:hint="eastAsia" w:ascii="宋体" w:hAnsi="宋体" w:cs="宋体"/>
                <w:spacing w:val="10"/>
                <w:sz w:val="18"/>
                <w:szCs w:val="18"/>
              </w:rPr>
              <w:t>须提</w:t>
            </w:r>
            <w:r>
              <w:rPr>
                <w:rFonts w:hint="eastAsia" w:ascii="宋体" w:hAnsi="宋体" w:cs="宋体"/>
                <w:spacing w:val="6"/>
                <w:sz w:val="18"/>
                <w:szCs w:val="18"/>
              </w:rPr>
              <w:t>供</w:t>
            </w:r>
            <w:r>
              <w:rPr>
                <w:rFonts w:hint="eastAsia" w:ascii="宋体" w:hAnsi="宋体" w:cs="宋体"/>
                <w:spacing w:val="5"/>
                <w:sz w:val="18"/>
                <w:szCs w:val="18"/>
              </w:rPr>
              <w:t>相关证书、身份证原件扫描件、</w:t>
            </w:r>
            <w:r>
              <w:rPr>
                <w:rFonts w:hint="eastAsia" w:ascii="宋体" w:hAnsi="宋体" w:cs="宋体"/>
                <w:sz w:val="18"/>
                <w:szCs w:val="18"/>
                <w:lang w:val="zh-CN"/>
              </w:rPr>
              <w:t>基本养老保险参保证明</w:t>
            </w:r>
            <w:r>
              <w:rPr>
                <w:rFonts w:hint="eastAsia" w:ascii="宋体" w:hAnsi="宋体" w:cs="宋体"/>
                <w:spacing w:val="5"/>
                <w:sz w:val="18"/>
                <w:szCs w:val="18"/>
              </w:rPr>
              <w:t>原件扫描件</w:t>
            </w:r>
            <w:r>
              <w:rPr>
                <w:rFonts w:hint="eastAsia" w:ascii="宋体" w:hAnsi="宋体" w:cs="宋体"/>
                <w:spacing w:val="8"/>
                <w:sz w:val="18"/>
                <w:szCs w:val="18"/>
              </w:rPr>
              <w:t>。</w:t>
            </w:r>
          </w:p>
        </w:tc>
      </w:tr>
    </w:tbl>
    <w:p w14:paraId="4E6FB9D9">
      <w:pPr>
        <w:widowControl/>
        <w:snapToGrid w:val="0"/>
        <w:spacing w:line="360" w:lineRule="auto"/>
        <w:ind w:firstLine="361" w:firstLineChars="200"/>
        <w:jc w:val="left"/>
        <w:rPr>
          <w:b/>
          <w:bCs/>
          <w:sz w:val="18"/>
          <w:szCs w:val="18"/>
        </w:rPr>
      </w:pPr>
      <w:r>
        <w:rPr>
          <w:rFonts w:hint="eastAsia" w:cs="宋体"/>
          <w:b/>
          <w:bCs/>
          <w:sz w:val="18"/>
          <w:szCs w:val="18"/>
        </w:rPr>
        <w:t>注：</w:t>
      </w:r>
      <w:r>
        <w:rPr>
          <w:b/>
          <w:bCs/>
          <w:sz w:val="18"/>
          <w:szCs w:val="18"/>
        </w:rPr>
        <w:t>1</w:t>
      </w:r>
      <w:r>
        <w:rPr>
          <w:rFonts w:hint="eastAsia" w:cs="宋体"/>
          <w:b/>
          <w:bCs/>
          <w:sz w:val="18"/>
          <w:szCs w:val="18"/>
        </w:rPr>
        <w:t>、表中“岗位资格要求”栏是、否提供岗位证书</w:t>
      </w:r>
      <w:r>
        <w:rPr>
          <w:b/>
          <w:bCs/>
          <w:sz w:val="18"/>
          <w:szCs w:val="18"/>
        </w:rPr>
        <w:t>(</w:t>
      </w:r>
      <w:r>
        <w:rPr>
          <w:rFonts w:hint="eastAsia" w:cs="宋体"/>
          <w:b/>
          <w:bCs/>
          <w:sz w:val="18"/>
          <w:szCs w:val="18"/>
        </w:rPr>
        <w:t>资格证书）的在“□”内打“√”。</w:t>
      </w:r>
    </w:p>
    <w:p w14:paraId="5D61F097">
      <w:pPr>
        <w:widowControl/>
        <w:snapToGrid w:val="0"/>
        <w:spacing w:line="360" w:lineRule="auto"/>
        <w:ind w:firstLine="361" w:firstLineChars="200"/>
        <w:jc w:val="left"/>
        <w:rPr>
          <w:b/>
          <w:bCs/>
          <w:sz w:val="18"/>
          <w:szCs w:val="18"/>
        </w:rPr>
      </w:pPr>
      <w:r>
        <w:rPr>
          <w:rFonts w:hint="eastAsia"/>
          <w:b/>
          <w:bCs/>
          <w:sz w:val="18"/>
          <w:szCs w:val="18"/>
        </w:rPr>
        <w:t>2.</w:t>
      </w:r>
      <w:r>
        <w:rPr>
          <w:rFonts w:hint="eastAsia" w:cs="宋体"/>
          <w:b/>
          <w:bCs/>
          <w:sz w:val="18"/>
          <w:szCs w:val="18"/>
        </w:rPr>
        <w:t>表中“岗位要求”栏专职、可兼任在“□”内打“√”。</w:t>
      </w:r>
    </w:p>
    <w:p w14:paraId="696A88D2">
      <w:pPr>
        <w:widowControl/>
        <w:snapToGrid w:val="0"/>
        <w:spacing w:line="360" w:lineRule="auto"/>
        <w:ind w:firstLine="361" w:firstLineChars="200"/>
        <w:jc w:val="left"/>
        <w:rPr>
          <w:b/>
          <w:bCs/>
          <w:sz w:val="18"/>
          <w:szCs w:val="18"/>
        </w:rPr>
      </w:pPr>
      <w:r>
        <w:rPr>
          <w:rFonts w:hint="eastAsia"/>
          <w:b/>
          <w:bCs/>
          <w:sz w:val="18"/>
          <w:szCs w:val="18"/>
        </w:rPr>
        <w:t>3.</w:t>
      </w:r>
      <w:r>
        <w:rPr>
          <w:rFonts w:hint="eastAsia" w:cs="宋体"/>
          <w:b/>
          <w:bCs/>
          <w:sz w:val="18"/>
          <w:szCs w:val="18"/>
        </w:rPr>
        <w:t>此表为投标人配置“施工现场专业（管理）人员”最低要求。</w:t>
      </w:r>
    </w:p>
    <w:p w14:paraId="24D037F3">
      <w:pPr>
        <w:widowControl/>
        <w:snapToGrid w:val="0"/>
        <w:spacing w:line="360" w:lineRule="auto"/>
        <w:ind w:firstLine="361" w:firstLineChars="200"/>
        <w:jc w:val="left"/>
        <w:rPr>
          <w:b/>
          <w:bCs/>
          <w:sz w:val="18"/>
          <w:szCs w:val="18"/>
        </w:rPr>
      </w:pPr>
      <w:r>
        <w:rPr>
          <w:rFonts w:hint="eastAsia"/>
          <w:b/>
          <w:bCs/>
          <w:sz w:val="18"/>
          <w:szCs w:val="18"/>
        </w:rPr>
        <w:t>4.</w:t>
      </w:r>
      <w:r>
        <w:rPr>
          <w:rFonts w:hint="eastAsia" w:cs="宋体"/>
          <w:b/>
          <w:bCs/>
          <w:sz w:val="18"/>
          <w:szCs w:val="18"/>
        </w:rPr>
        <w:t>若为退休人员不须提供基本养老保险参保证明，提供退休证及聘用合同原件扫描件即可。</w:t>
      </w:r>
    </w:p>
    <w:p w14:paraId="28A665A8">
      <w:pPr>
        <w:widowControl/>
        <w:snapToGrid w:val="0"/>
        <w:spacing w:line="360" w:lineRule="auto"/>
        <w:ind w:firstLine="361" w:firstLineChars="200"/>
        <w:jc w:val="left"/>
        <w:outlineLvl w:val="1"/>
        <w:rPr>
          <w:rFonts w:cs="宋体"/>
          <w:b/>
          <w:bCs/>
          <w:sz w:val="18"/>
          <w:szCs w:val="18"/>
        </w:rPr>
      </w:pPr>
      <w:r>
        <w:rPr>
          <w:rFonts w:hint="eastAsia"/>
          <w:b/>
          <w:bCs/>
          <w:sz w:val="18"/>
          <w:szCs w:val="18"/>
        </w:rPr>
        <w:t>5.</w:t>
      </w:r>
      <w:r>
        <w:rPr>
          <w:rFonts w:hint="eastAsia" w:cs="宋体"/>
          <w:b/>
          <w:bCs/>
          <w:sz w:val="18"/>
          <w:szCs w:val="18"/>
        </w:rPr>
        <w:t>以上所要求提供的证件均为原件扫描件。</w:t>
      </w:r>
    </w:p>
    <w:p w14:paraId="018ABC65">
      <w:pPr>
        <w:rPr>
          <w:rFonts w:cs="宋体"/>
          <w:sz w:val="36"/>
          <w:szCs w:val="36"/>
        </w:rPr>
      </w:pPr>
      <w:bookmarkStart w:id="72" w:name="_Toc30679"/>
      <w:r>
        <w:rPr>
          <w:rFonts w:hint="eastAsia" w:cs="宋体"/>
          <w:sz w:val="36"/>
          <w:szCs w:val="36"/>
        </w:rPr>
        <w:br w:type="page"/>
      </w:r>
    </w:p>
    <w:bookmarkEnd w:id="21"/>
    <w:bookmarkEnd w:id="22"/>
    <w:bookmarkEnd w:id="23"/>
    <w:bookmarkEnd w:id="24"/>
    <w:bookmarkEnd w:id="25"/>
    <w:bookmarkEnd w:id="66"/>
    <w:bookmarkEnd w:id="67"/>
    <w:bookmarkEnd w:id="68"/>
    <w:bookmarkEnd w:id="72"/>
    <w:p w14:paraId="7C399447">
      <w:pPr>
        <w:pStyle w:val="2"/>
        <w:spacing w:before="0" w:after="0" w:line="240" w:lineRule="auto"/>
        <w:jc w:val="center"/>
        <w:rPr>
          <w:rFonts w:hint="eastAsia" w:ascii="黑体" w:hAnsi="黑体" w:eastAsia="黑体" w:cs="Times New Roman"/>
          <w:sz w:val="36"/>
          <w:szCs w:val="36"/>
        </w:rPr>
      </w:pPr>
      <w:bookmarkStart w:id="73" w:name="_Toc20964_WPSOffice_Level2"/>
      <w:bookmarkStart w:id="74" w:name="_Toc16868_WPSOffice_Level2"/>
      <w:bookmarkStart w:id="75" w:name="_Toc144974497"/>
      <w:bookmarkStart w:id="76" w:name="_Toc247527553"/>
      <w:bookmarkStart w:id="77" w:name="_Toc152042305"/>
      <w:bookmarkStart w:id="78" w:name="_Toc247513952"/>
      <w:bookmarkStart w:id="79" w:name="_Toc23748"/>
      <w:bookmarkStart w:id="80" w:name="_Toc152045529"/>
      <w:r>
        <w:rPr>
          <w:rFonts w:hint="eastAsia" w:cs="宋体"/>
          <w:sz w:val="36"/>
          <w:szCs w:val="36"/>
        </w:rPr>
        <w:t>第二章  投标人须知</w:t>
      </w:r>
    </w:p>
    <w:p w14:paraId="66A597F7">
      <w:pPr>
        <w:pStyle w:val="3"/>
        <w:spacing w:before="0" w:after="0" w:line="240" w:lineRule="auto"/>
        <w:ind w:firstLine="3534" w:firstLineChars="1100"/>
        <w:rPr>
          <w:rFonts w:cs="Times New Roman"/>
        </w:rPr>
      </w:pPr>
      <w:bookmarkStart w:id="81" w:name="_Toc152045528"/>
      <w:bookmarkEnd w:id="81"/>
      <w:bookmarkStart w:id="82" w:name="_Toc247513951"/>
      <w:bookmarkEnd w:id="82"/>
      <w:bookmarkStart w:id="83" w:name="_Toc16632"/>
      <w:bookmarkEnd w:id="83"/>
      <w:bookmarkStart w:id="84" w:name="_Toc247527552"/>
      <w:bookmarkEnd w:id="84"/>
      <w:bookmarkStart w:id="85" w:name="_Toc3861_WPSOffice_Level2"/>
      <w:bookmarkEnd w:id="85"/>
      <w:bookmarkStart w:id="86" w:name="_Toc152042304"/>
      <w:bookmarkEnd w:id="86"/>
      <w:bookmarkStart w:id="87" w:name="_Toc45896605"/>
      <w:bookmarkEnd w:id="87"/>
      <w:bookmarkStart w:id="88" w:name="_Toc144974496"/>
      <w:bookmarkEnd w:id="88"/>
      <w:bookmarkStart w:id="89" w:name="_Toc45896901"/>
      <w:bookmarkEnd w:id="89"/>
      <w:bookmarkStart w:id="90" w:name="_Toc17617_WPSOffice_Level2"/>
      <w:bookmarkEnd w:id="90"/>
      <w:bookmarkStart w:id="91" w:name="_Toc31078"/>
      <w:bookmarkEnd w:id="91"/>
      <w:r>
        <w:rPr>
          <w:rFonts w:hint="eastAsia" w:cs="黑体"/>
        </w:rPr>
        <w:t>投标人须知前附表</w:t>
      </w:r>
    </w:p>
    <w:tbl>
      <w:tblPr>
        <w:tblStyle w:val="25"/>
        <w:tblW w:w="9552" w:type="dxa"/>
        <w:tblInd w:w="0" w:type="dxa"/>
        <w:tblLayout w:type="fixed"/>
        <w:tblCellMar>
          <w:top w:w="0" w:type="dxa"/>
          <w:left w:w="108" w:type="dxa"/>
          <w:bottom w:w="0" w:type="dxa"/>
          <w:right w:w="108" w:type="dxa"/>
        </w:tblCellMar>
      </w:tblPr>
      <w:tblGrid>
        <w:gridCol w:w="6"/>
        <w:gridCol w:w="933"/>
        <w:gridCol w:w="2273"/>
        <w:gridCol w:w="6340"/>
      </w:tblGrid>
      <w:tr w14:paraId="3709849A">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1390EE08">
            <w:pPr>
              <w:snapToGrid w:val="0"/>
              <w:spacing w:line="360" w:lineRule="auto"/>
              <w:jc w:val="center"/>
              <w:rPr>
                <w:rFonts w:hint="eastAsia" w:ascii="宋体" w:hAnsi="宋体" w:cs="宋体"/>
                <w:b/>
                <w:bCs/>
              </w:rPr>
            </w:pPr>
            <w:r>
              <w:rPr>
                <w:rFonts w:hint="eastAsia" w:ascii="宋体" w:hAnsi="宋体" w:cs="宋体"/>
                <w:b/>
                <w:bCs/>
              </w:rPr>
              <w:t>条款号</w:t>
            </w:r>
          </w:p>
        </w:tc>
        <w:tc>
          <w:tcPr>
            <w:tcW w:w="2273" w:type="dxa"/>
            <w:tcBorders>
              <w:top w:val="single" w:color="auto" w:sz="4" w:space="0"/>
              <w:left w:val="single" w:color="auto" w:sz="4" w:space="0"/>
              <w:bottom w:val="single" w:color="auto" w:sz="4" w:space="0"/>
              <w:right w:val="single" w:color="auto" w:sz="4" w:space="0"/>
            </w:tcBorders>
            <w:vAlign w:val="center"/>
          </w:tcPr>
          <w:p w14:paraId="657170FF">
            <w:pPr>
              <w:snapToGrid w:val="0"/>
              <w:spacing w:line="360" w:lineRule="auto"/>
              <w:jc w:val="center"/>
              <w:rPr>
                <w:rFonts w:hint="eastAsia" w:ascii="宋体" w:hAnsi="宋体" w:cs="宋体"/>
                <w:b/>
                <w:bCs/>
              </w:rPr>
            </w:pPr>
            <w:r>
              <w:rPr>
                <w:rFonts w:hint="eastAsia" w:ascii="宋体" w:hAnsi="宋体" w:cs="宋体"/>
                <w:b/>
                <w:bCs/>
              </w:rPr>
              <w:t>条款名称</w:t>
            </w:r>
          </w:p>
        </w:tc>
        <w:tc>
          <w:tcPr>
            <w:tcW w:w="6340" w:type="dxa"/>
            <w:tcBorders>
              <w:top w:val="single" w:color="auto" w:sz="4" w:space="0"/>
              <w:left w:val="single" w:color="auto" w:sz="4" w:space="0"/>
              <w:bottom w:val="single" w:color="auto" w:sz="4" w:space="0"/>
              <w:right w:val="single" w:color="auto" w:sz="4" w:space="0"/>
            </w:tcBorders>
            <w:vAlign w:val="center"/>
          </w:tcPr>
          <w:p w14:paraId="42023C95">
            <w:pPr>
              <w:snapToGrid w:val="0"/>
              <w:spacing w:line="360" w:lineRule="auto"/>
              <w:jc w:val="center"/>
              <w:rPr>
                <w:rFonts w:hint="eastAsia" w:ascii="宋体" w:hAnsi="宋体" w:cs="宋体"/>
                <w:b/>
                <w:bCs/>
              </w:rPr>
            </w:pPr>
            <w:r>
              <w:rPr>
                <w:rFonts w:hint="eastAsia" w:ascii="宋体" w:hAnsi="宋体" w:cs="宋体"/>
                <w:b/>
                <w:bCs/>
              </w:rPr>
              <w:t>编列内容</w:t>
            </w:r>
          </w:p>
        </w:tc>
      </w:tr>
      <w:tr w14:paraId="4E90E9DF">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7F769B93">
            <w:pPr>
              <w:snapToGrid w:val="0"/>
              <w:spacing w:line="360" w:lineRule="auto"/>
              <w:jc w:val="center"/>
              <w:rPr>
                <w:rFonts w:hint="eastAsia" w:ascii="宋体" w:hAnsi="宋体" w:cs="宋体"/>
              </w:rPr>
            </w:pPr>
            <w:r>
              <w:rPr>
                <w:rFonts w:hint="eastAsia" w:ascii="宋体" w:hAnsi="宋体" w:cs="宋体"/>
              </w:rPr>
              <w:t>1.1.2</w:t>
            </w:r>
          </w:p>
        </w:tc>
        <w:tc>
          <w:tcPr>
            <w:tcW w:w="2273" w:type="dxa"/>
            <w:tcBorders>
              <w:top w:val="single" w:color="auto" w:sz="4" w:space="0"/>
              <w:left w:val="single" w:color="auto" w:sz="4" w:space="0"/>
              <w:bottom w:val="single" w:color="auto" w:sz="4" w:space="0"/>
              <w:right w:val="single" w:color="auto" w:sz="4" w:space="0"/>
            </w:tcBorders>
            <w:vAlign w:val="center"/>
          </w:tcPr>
          <w:p w14:paraId="524FE8D1">
            <w:pPr>
              <w:snapToGrid w:val="0"/>
              <w:spacing w:line="360" w:lineRule="auto"/>
              <w:jc w:val="center"/>
              <w:rPr>
                <w:rFonts w:hint="eastAsia" w:ascii="宋体" w:hAnsi="宋体" w:cs="宋体"/>
              </w:rPr>
            </w:pPr>
            <w:r>
              <w:rPr>
                <w:rFonts w:hint="eastAsia" w:ascii="宋体" w:hAnsi="宋体" w:cs="宋体"/>
              </w:rPr>
              <w:t>招标人</w:t>
            </w:r>
          </w:p>
        </w:tc>
        <w:tc>
          <w:tcPr>
            <w:tcW w:w="6340" w:type="dxa"/>
            <w:tcBorders>
              <w:top w:val="single" w:color="auto" w:sz="4" w:space="0"/>
              <w:left w:val="single" w:color="auto" w:sz="4" w:space="0"/>
              <w:bottom w:val="single" w:color="auto" w:sz="4" w:space="0"/>
              <w:right w:val="single" w:color="auto" w:sz="4" w:space="0"/>
            </w:tcBorders>
            <w:vAlign w:val="center"/>
          </w:tcPr>
          <w:p w14:paraId="759F880B">
            <w:pPr>
              <w:snapToGrid w:val="0"/>
              <w:spacing w:line="360" w:lineRule="auto"/>
              <w:rPr>
                <w:rFonts w:hint="eastAsia" w:ascii="宋体" w:hAnsi="宋体" w:cs="宋体"/>
                <w:lang w:val="zh-CN"/>
              </w:rPr>
            </w:pPr>
            <w:r>
              <w:rPr>
                <w:rFonts w:hint="eastAsia" w:ascii="宋体" w:hAnsi="宋体" w:cs="宋体"/>
              </w:rPr>
              <w:t>名称：</w:t>
            </w:r>
            <w:r>
              <w:rPr>
                <w:rFonts w:hint="eastAsia" w:ascii="宋体" w:hAnsi="宋体" w:cs="宋体"/>
                <w:lang w:val="zh-CN"/>
              </w:rPr>
              <w:t xml:space="preserve">姚安县工业开发投资有限公司 </w:t>
            </w:r>
          </w:p>
          <w:p w14:paraId="072C0F09">
            <w:pPr>
              <w:snapToGrid w:val="0"/>
              <w:spacing w:line="360" w:lineRule="auto"/>
              <w:rPr>
                <w:rFonts w:hint="eastAsia" w:ascii="宋体" w:hAnsi="宋体" w:cs="宋体"/>
              </w:rPr>
            </w:pPr>
            <w:r>
              <w:rPr>
                <w:rFonts w:hint="eastAsia" w:ascii="宋体" w:hAnsi="宋体" w:cs="宋体"/>
              </w:rPr>
              <w:t>地址：云南省楚雄彝族自治州姚安县栋川镇府前街88号</w:t>
            </w:r>
          </w:p>
          <w:p w14:paraId="2D416927">
            <w:pPr>
              <w:snapToGrid w:val="0"/>
              <w:spacing w:line="360" w:lineRule="auto"/>
              <w:rPr>
                <w:rFonts w:hint="eastAsia" w:ascii="宋体" w:hAnsi="宋体" w:cs="宋体"/>
              </w:rPr>
            </w:pPr>
            <w:r>
              <w:rPr>
                <w:rFonts w:hint="eastAsia" w:ascii="宋体" w:hAnsi="宋体" w:cs="宋体"/>
              </w:rPr>
              <w:t>联系人：官涵勇</w:t>
            </w:r>
          </w:p>
          <w:p w14:paraId="091A456C">
            <w:pPr>
              <w:snapToGrid w:val="0"/>
              <w:spacing w:line="360" w:lineRule="auto"/>
              <w:rPr>
                <w:rFonts w:hint="eastAsia" w:ascii="宋体" w:hAnsi="宋体" w:cs="宋体"/>
              </w:rPr>
            </w:pPr>
            <w:r>
              <w:rPr>
                <w:rFonts w:hint="eastAsia" w:ascii="宋体" w:hAnsi="宋体" w:cs="宋体"/>
              </w:rPr>
              <w:t xml:space="preserve">联系电话：18087885124  </w:t>
            </w:r>
            <w:r>
              <w:rPr>
                <w:rFonts w:hint="eastAsia" w:ascii="宋体" w:hAnsi="宋体" w:cs="宋体"/>
                <w:lang w:val="zh-CN"/>
              </w:rPr>
              <w:t xml:space="preserve">   </w:t>
            </w:r>
          </w:p>
        </w:tc>
      </w:tr>
      <w:tr w14:paraId="1A6E1936">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40909F42">
            <w:pPr>
              <w:snapToGrid w:val="0"/>
              <w:spacing w:line="360" w:lineRule="auto"/>
              <w:jc w:val="center"/>
              <w:rPr>
                <w:rFonts w:hint="eastAsia" w:ascii="宋体" w:hAnsi="宋体" w:cs="宋体"/>
              </w:rPr>
            </w:pPr>
            <w:r>
              <w:rPr>
                <w:rFonts w:hint="eastAsia" w:ascii="宋体" w:hAnsi="宋体" w:cs="宋体"/>
              </w:rPr>
              <w:t>1.1.3</w:t>
            </w:r>
          </w:p>
        </w:tc>
        <w:tc>
          <w:tcPr>
            <w:tcW w:w="2273" w:type="dxa"/>
            <w:tcBorders>
              <w:top w:val="single" w:color="auto" w:sz="4" w:space="0"/>
              <w:left w:val="single" w:color="auto" w:sz="4" w:space="0"/>
              <w:bottom w:val="single" w:color="auto" w:sz="4" w:space="0"/>
              <w:right w:val="single" w:color="auto" w:sz="4" w:space="0"/>
            </w:tcBorders>
            <w:vAlign w:val="center"/>
          </w:tcPr>
          <w:p w14:paraId="18F0CD84">
            <w:pPr>
              <w:snapToGrid w:val="0"/>
              <w:spacing w:line="360" w:lineRule="auto"/>
              <w:jc w:val="center"/>
              <w:rPr>
                <w:rFonts w:hint="eastAsia" w:ascii="宋体" w:hAnsi="宋体" w:cs="宋体"/>
              </w:rPr>
            </w:pPr>
            <w:r>
              <w:rPr>
                <w:rFonts w:hint="eastAsia" w:ascii="宋体" w:hAnsi="宋体" w:cs="宋体"/>
              </w:rPr>
              <w:t>招标代理机构</w:t>
            </w:r>
          </w:p>
        </w:tc>
        <w:tc>
          <w:tcPr>
            <w:tcW w:w="6340" w:type="dxa"/>
            <w:tcBorders>
              <w:top w:val="single" w:color="auto" w:sz="4" w:space="0"/>
              <w:left w:val="single" w:color="auto" w:sz="4" w:space="0"/>
              <w:bottom w:val="single" w:color="auto" w:sz="4" w:space="0"/>
              <w:right w:val="single" w:color="auto" w:sz="4" w:space="0"/>
            </w:tcBorders>
            <w:vAlign w:val="center"/>
          </w:tcPr>
          <w:p w14:paraId="04A2770A">
            <w:pPr>
              <w:snapToGrid w:val="0"/>
              <w:spacing w:line="360" w:lineRule="auto"/>
              <w:rPr>
                <w:rFonts w:hint="eastAsia" w:ascii="宋体" w:hAnsi="宋体" w:cs="宋体"/>
                <w:lang w:val="zh-CN"/>
              </w:rPr>
            </w:pPr>
            <w:r>
              <w:rPr>
                <w:rFonts w:hint="eastAsia" w:ascii="宋体" w:hAnsi="宋体" w:cs="宋体"/>
              </w:rPr>
              <w:t>名称：云南策澜工程管理服务有限公司</w:t>
            </w:r>
          </w:p>
          <w:p w14:paraId="529BDFCC">
            <w:pPr>
              <w:snapToGrid w:val="0"/>
              <w:spacing w:line="360" w:lineRule="auto"/>
              <w:rPr>
                <w:rFonts w:hint="eastAsia" w:ascii="宋体" w:hAnsi="宋体" w:cs="宋体"/>
              </w:rPr>
            </w:pPr>
            <w:r>
              <w:rPr>
                <w:rFonts w:hint="eastAsia" w:ascii="宋体" w:hAnsi="宋体" w:cs="宋体"/>
              </w:rPr>
              <w:t>地址：楚雄市汇东胜景小区357幢</w:t>
            </w:r>
          </w:p>
          <w:p w14:paraId="5F187E27">
            <w:pPr>
              <w:snapToGrid w:val="0"/>
              <w:spacing w:line="360" w:lineRule="auto"/>
              <w:rPr>
                <w:rFonts w:hint="eastAsia" w:ascii="宋体" w:hAnsi="宋体" w:cs="宋体"/>
              </w:rPr>
            </w:pPr>
            <w:r>
              <w:rPr>
                <w:rFonts w:hint="eastAsia" w:ascii="宋体" w:hAnsi="宋体" w:cs="宋体"/>
              </w:rPr>
              <w:t>联系人：王鸿靖</w:t>
            </w:r>
          </w:p>
          <w:p w14:paraId="385AF94B">
            <w:pPr>
              <w:snapToGrid w:val="0"/>
              <w:spacing w:line="360" w:lineRule="auto"/>
              <w:rPr>
                <w:rFonts w:hint="eastAsia" w:ascii="宋体" w:hAnsi="宋体" w:cs="宋体"/>
              </w:rPr>
            </w:pPr>
            <w:r>
              <w:rPr>
                <w:rFonts w:hint="eastAsia" w:ascii="宋体" w:hAnsi="宋体" w:cs="宋体"/>
              </w:rPr>
              <w:t>联系电话：13187647775</w:t>
            </w:r>
          </w:p>
        </w:tc>
      </w:tr>
      <w:tr w14:paraId="33BD24B5">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480D202C">
            <w:pPr>
              <w:snapToGrid w:val="0"/>
              <w:spacing w:line="360" w:lineRule="auto"/>
              <w:jc w:val="center"/>
              <w:rPr>
                <w:rFonts w:hint="eastAsia" w:ascii="宋体" w:hAnsi="宋体" w:cs="宋体"/>
              </w:rPr>
            </w:pPr>
            <w:r>
              <w:rPr>
                <w:rFonts w:hint="eastAsia" w:ascii="宋体" w:hAnsi="宋体" w:cs="宋体"/>
              </w:rPr>
              <w:t>1.1.4</w:t>
            </w:r>
          </w:p>
        </w:tc>
        <w:tc>
          <w:tcPr>
            <w:tcW w:w="2273" w:type="dxa"/>
            <w:tcBorders>
              <w:top w:val="single" w:color="auto" w:sz="4" w:space="0"/>
              <w:left w:val="single" w:color="auto" w:sz="4" w:space="0"/>
              <w:bottom w:val="single" w:color="auto" w:sz="4" w:space="0"/>
              <w:right w:val="single" w:color="auto" w:sz="4" w:space="0"/>
            </w:tcBorders>
            <w:vAlign w:val="center"/>
          </w:tcPr>
          <w:p w14:paraId="7A445A8B">
            <w:pPr>
              <w:snapToGrid w:val="0"/>
              <w:spacing w:line="360" w:lineRule="auto"/>
              <w:jc w:val="center"/>
              <w:rPr>
                <w:rFonts w:hint="eastAsia" w:ascii="宋体" w:hAnsi="宋体" w:cs="宋体"/>
              </w:rPr>
            </w:pPr>
            <w:r>
              <w:rPr>
                <w:rFonts w:hint="eastAsia" w:ascii="宋体" w:hAnsi="宋体" w:cs="宋体"/>
              </w:rPr>
              <w:t>项目名称</w:t>
            </w:r>
          </w:p>
        </w:tc>
        <w:tc>
          <w:tcPr>
            <w:tcW w:w="6340" w:type="dxa"/>
            <w:tcBorders>
              <w:top w:val="single" w:color="auto" w:sz="4" w:space="0"/>
              <w:left w:val="single" w:color="auto" w:sz="4" w:space="0"/>
              <w:bottom w:val="single" w:color="auto" w:sz="4" w:space="0"/>
              <w:right w:val="single" w:color="auto" w:sz="4" w:space="0"/>
            </w:tcBorders>
            <w:vAlign w:val="center"/>
          </w:tcPr>
          <w:p w14:paraId="11CD4379">
            <w:pPr>
              <w:snapToGrid w:val="0"/>
              <w:spacing w:line="360" w:lineRule="auto"/>
              <w:rPr>
                <w:rFonts w:hint="eastAsia" w:ascii="宋体" w:hAnsi="宋体" w:cs="宋体"/>
              </w:rPr>
            </w:pPr>
            <w:r>
              <w:rPr>
                <w:rFonts w:hint="eastAsia" w:ascii="宋体" w:hAnsi="宋体" w:cs="宋体"/>
              </w:rPr>
              <w:t xml:space="preserve">姚安县官屯加油站建设项目设计施工总承包（EPC） </w:t>
            </w:r>
          </w:p>
        </w:tc>
      </w:tr>
      <w:tr w14:paraId="4668A44A">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78EA3363">
            <w:pPr>
              <w:snapToGrid w:val="0"/>
              <w:spacing w:line="360" w:lineRule="auto"/>
              <w:jc w:val="center"/>
              <w:rPr>
                <w:rFonts w:hint="eastAsia" w:ascii="宋体" w:hAnsi="宋体" w:cs="宋体"/>
              </w:rPr>
            </w:pPr>
            <w:r>
              <w:rPr>
                <w:rFonts w:hint="eastAsia" w:ascii="宋体" w:hAnsi="宋体" w:cs="宋体"/>
              </w:rPr>
              <w:t>1.1.5</w:t>
            </w:r>
          </w:p>
        </w:tc>
        <w:tc>
          <w:tcPr>
            <w:tcW w:w="2273" w:type="dxa"/>
            <w:tcBorders>
              <w:top w:val="single" w:color="auto" w:sz="4" w:space="0"/>
              <w:left w:val="single" w:color="auto" w:sz="4" w:space="0"/>
              <w:bottom w:val="single" w:color="auto" w:sz="4" w:space="0"/>
              <w:right w:val="single" w:color="auto" w:sz="4" w:space="0"/>
            </w:tcBorders>
            <w:vAlign w:val="center"/>
          </w:tcPr>
          <w:p w14:paraId="2672BD51">
            <w:pPr>
              <w:snapToGrid w:val="0"/>
              <w:spacing w:line="360" w:lineRule="auto"/>
              <w:jc w:val="center"/>
              <w:rPr>
                <w:rFonts w:hint="eastAsia" w:ascii="宋体" w:hAnsi="宋体" w:cs="宋体"/>
              </w:rPr>
            </w:pPr>
            <w:r>
              <w:rPr>
                <w:rFonts w:hint="eastAsia" w:ascii="宋体" w:hAnsi="宋体" w:cs="宋体"/>
              </w:rPr>
              <w:t>建设地点及内容</w:t>
            </w:r>
          </w:p>
        </w:tc>
        <w:tc>
          <w:tcPr>
            <w:tcW w:w="6340" w:type="dxa"/>
            <w:tcBorders>
              <w:top w:val="single" w:color="auto" w:sz="4" w:space="0"/>
              <w:left w:val="single" w:color="auto" w:sz="4" w:space="0"/>
              <w:bottom w:val="single" w:color="auto" w:sz="4" w:space="0"/>
              <w:right w:val="single" w:color="auto" w:sz="4" w:space="0"/>
            </w:tcBorders>
            <w:vAlign w:val="center"/>
          </w:tcPr>
          <w:p w14:paraId="38B1867E">
            <w:pPr>
              <w:snapToGrid w:val="0"/>
              <w:spacing w:line="360" w:lineRule="auto"/>
              <w:rPr>
                <w:rFonts w:hint="eastAsia" w:ascii="宋体" w:hAnsi="宋体" w:cs="宋体"/>
              </w:rPr>
            </w:pPr>
            <w:r>
              <w:rPr>
                <w:rFonts w:hint="eastAsia" w:ascii="宋体" w:hAnsi="宋体" w:cs="宋体"/>
                <w:spacing w:val="7"/>
              </w:rPr>
              <w:t>详见招标文件第一章“招标公告2、项目概况及招标范围”</w:t>
            </w:r>
          </w:p>
        </w:tc>
      </w:tr>
      <w:tr w14:paraId="3247B40C">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5521FB22">
            <w:pPr>
              <w:snapToGrid w:val="0"/>
              <w:spacing w:line="360" w:lineRule="auto"/>
              <w:jc w:val="center"/>
              <w:rPr>
                <w:rFonts w:hint="eastAsia" w:ascii="宋体" w:hAnsi="宋体" w:cs="宋体"/>
              </w:rPr>
            </w:pPr>
            <w:r>
              <w:rPr>
                <w:rFonts w:hint="eastAsia" w:ascii="宋体" w:hAnsi="宋体" w:cs="宋体"/>
              </w:rPr>
              <w:t>1.2.1</w:t>
            </w:r>
          </w:p>
        </w:tc>
        <w:tc>
          <w:tcPr>
            <w:tcW w:w="2273" w:type="dxa"/>
            <w:tcBorders>
              <w:top w:val="single" w:color="auto" w:sz="4" w:space="0"/>
              <w:left w:val="single" w:color="auto" w:sz="4" w:space="0"/>
              <w:bottom w:val="single" w:color="auto" w:sz="4" w:space="0"/>
              <w:right w:val="single" w:color="auto" w:sz="4" w:space="0"/>
            </w:tcBorders>
            <w:vAlign w:val="center"/>
          </w:tcPr>
          <w:p w14:paraId="18B9763B">
            <w:pPr>
              <w:snapToGrid w:val="0"/>
              <w:spacing w:line="360" w:lineRule="auto"/>
              <w:jc w:val="center"/>
              <w:rPr>
                <w:rFonts w:hint="eastAsia" w:ascii="宋体" w:hAnsi="宋体" w:cs="宋体"/>
              </w:rPr>
            </w:pPr>
            <w:r>
              <w:rPr>
                <w:rFonts w:hint="eastAsia" w:ascii="宋体" w:hAnsi="宋体" w:cs="宋体"/>
              </w:rPr>
              <w:t>资金来源</w:t>
            </w:r>
          </w:p>
        </w:tc>
        <w:tc>
          <w:tcPr>
            <w:tcW w:w="6340" w:type="dxa"/>
            <w:tcBorders>
              <w:top w:val="single" w:color="auto" w:sz="4" w:space="0"/>
              <w:left w:val="single" w:color="auto" w:sz="4" w:space="0"/>
              <w:bottom w:val="single" w:color="auto" w:sz="4" w:space="0"/>
              <w:right w:val="single" w:color="auto" w:sz="4" w:space="0"/>
            </w:tcBorders>
            <w:vAlign w:val="center"/>
          </w:tcPr>
          <w:p w14:paraId="0A8B476B">
            <w:pPr>
              <w:snapToGrid w:val="0"/>
              <w:spacing w:line="360" w:lineRule="auto"/>
              <w:rPr>
                <w:rFonts w:hint="eastAsia" w:ascii="宋体" w:hAnsi="宋体" w:cs="宋体"/>
              </w:rPr>
            </w:pPr>
            <w:r>
              <w:rPr>
                <w:rFonts w:hint="eastAsia" w:ascii="宋体" w:hAnsi="宋体" w:cs="宋体"/>
                <w:spacing w:val="7"/>
              </w:rPr>
              <w:t>详见招标文件第一章“招标公告1、招标条件”</w:t>
            </w:r>
          </w:p>
        </w:tc>
      </w:tr>
      <w:tr w14:paraId="31634561">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47684B0B">
            <w:pPr>
              <w:snapToGrid w:val="0"/>
              <w:spacing w:line="360" w:lineRule="auto"/>
              <w:jc w:val="center"/>
              <w:rPr>
                <w:rFonts w:hint="eastAsia" w:ascii="宋体" w:hAnsi="宋体" w:cs="宋体"/>
              </w:rPr>
            </w:pPr>
            <w:r>
              <w:rPr>
                <w:rFonts w:hint="eastAsia" w:ascii="宋体" w:hAnsi="宋体" w:cs="宋体"/>
              </w:rPr>
              <w:t>1.2.2</w:t>
            </w:r>
          </w:p>
        </w:tc>
        <w:tc>
          <w:tcPr>
            <w:tcW w:w="2273" w:type="dxa"/>
            <w:tcBorders>
              <w:top w:val="single" w:color="auto" w:sz="4" w:space="0"/>
              <w:left w:val="single" w:color="auto" w:sz="4" w:space="0"/>
              <w:bottom w:val="single" w:color="auto" w:sz="4" w:space="0"/>
              <w:right w:val="single" w:color="auto" w:sz="4" w:space="0"/>
            </w:tcBorders>
            <w:vAlign w:val="center"/>
          </w:tcPr>
          <w:p w14:paraId="1CE0C4B1">
            <w:pPr>
              <w:snapToGrid w:val="0"/>
              <w:spacing w:line="360" w:lineRule="auto"/>
              <w:jc w:val="center"/>
              <w:rPr>
                <w:rFonts w:hint="eastAsia" w:ascii="宋体" w:hAnsi="宋体" w:cs="宋体"/>
              </w:rPr>
            </w:pPr>
            <w:r>
              <w:rPr>
                <w:rFonts w:hint="eastAsia" w:ascii="宋体" w:hAnsi="宋体" w:cs="宋体"/>
              </w:rPr>
              <w:t>资金落实情况</w:t>
            </w:r>
          </w:p>
        </w:tc>
        <w:tc>
          <w:tcPr>
            <w:tcW w:w="6340" w:type="dxa"/>
            <w:tcBorders>
              <w:top w:val="single" w:color="auto" w:sz="4" w:space="0"/>
              <w:left w:val="single" w:color="auto" w:sz="4" w:space="0"/>
              <w:bottom w:val="single" w:color="auto" w:sz="4" w:space="0"/>
              <w:right w:val="single" w:color="auto" w:sz="4" w:space="0"/>
            </w:tcBorders>
            <w:vAlign w:val="center"/>
          </w:tcPr>
          <w:p w14:paraId="15C6AD8A">
            <w:pPr>
              <w:snapToGrid w:val="0"/>
              <w:spacing w:line="360" w:lineRule="auto"/>
              <w:rPr>
                <w:rFonts w:hint="eastAsia" w:ascii="宋体" w:hAnsi="宋体" w:cs="宋体"/>
              </w:rPr>
            </w:pPr>
            <w:r>
              <w:rPr>
                <w:rFonts w:hint="eastAsia" w:ascii="宋体" w:hAnsi="宋体" w:cs="宋体"/>
                <w:spacing w:val="7"/>
              </w:rPr>
              <w:t>已落实</w:t>
            </w:r>
          </w:p>
        </w:tc>
      </w:tr>
      <w:tr w14:paraId="72E46B31">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63FFADF9">
            <w:pPr>
              <w:snapToGrid w:val="0"/>
              <w:spacing w:line="360" w:lineRule="auto"/>
              <w:jc w:val="center"/>
              <w:rPr>
                <w:rFonts w:hint="eastAsia" w:ascii="宋体" w:hAnsi="宋体" w:cs="宋体"/>
              </w:rPr>
            </w:pPr>
            <w:r>
              <w:rPr>
                <w:rFonts w:hint="eastAsia" w:ascii="宋体" w:hAnsi="宋体" w:cs="宋体"/>
              </w:rPr>
              <w:t>1.3.1</w:t>
            </w:r>
          </w:p>
        </w:tc>
        <w:tc>
          <w:tcPr>
            <w:tcW w:w="2273" w:type="dxa"/>
            <w:tcBorders>
              <w:top w:val="single" w:color="auto" w:sz="4" w:space="0"/>
              <w:left w:val="single" w:color="auto" w:sz="4" w:space="0"/>
              <w:bottom w:val="single" w:color="auto" w:sz="4" w:space="0"/>
              <w:right w:val="single" w:color="auto" w:sz="4" w:space="0"/>
            </w:tcBorders>
            <w:vAlign w:val="center"/>
          </w:tcPr>
          <w:p w14:paraId="53580892">
            <w:pPr>
              <w:snapToGrid w:val="0"/>
              <w:spacing w:line="360" w:lineRule="auto"/>
              <w:jc w:val="center"/>
              <w:rPr>
                <w:rFonts w:hint="eastAsia" w:ascii="宋体" w:hAnsi="宋体" w:cs="宋体"/>
              </w:rPr>
            </w:pPr>
            <w:r>
              <w:rPr>
                <w:rFonts w:hint="eastAsia" w:ascii="宋体" w:hAnsi="宋体" w:cs="宋体"/>
              </w:rPr>
              <w:t>招标范围</w:t>
            </w:r>
          </w:p>
        </w:tc>
        <w:tc>
          <w:tcPr>
            <w:tcW w:w="6340" w:type="dxa"/>
            <w:tcBorders>
              <w:top w:val="single" w:color="auto" w:sz="4" w:space="0"/>
              <w:left w:val="single" w:color="auto" w:sz="4" w:space="0"/>
              <w:bottom w:val="single" w:color="auto" w:sz="4" w:space="0"/>
              <w:right w:val="single" w:color="auto" w:sz="4" w:space="0"/>
            </w:tcBorders>
            <w:vAlign w:val="center"/>
          </w:tcPr>
          <w:p w14:paraId="6DB0D3B6">
            <w:pPr>
              <w:snapToGrid w:val="0"/>
              <w:spacing w:line="360" w:lineRule="auto"/>
              <w:rPr>
                <w:rFonts w:hint="eastAsia" w:ascii="宋体" w:hAnsi="宋体" w:cs="宋体"/>
              </w:rPr>
            </w:pPr>
            <w:r>
              <w:rPr>
                <w:rFonts w:hint="eastAsia" w:ascii="宋体" w:hAnsi="宋体" w:cs="宋体"/>
                <w:spacing w:val="7"/>
              </w:rPr>
              <w:t>详见招标文件第一章“招标公告2、项目概况及招标范围”</w:t>
            </w:r>
          </w:p>
        </w:tc>
      </w:tr>
      <w:tr w14:paraId="33732752">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04F320E7">
            <w:pPr>
              <w:snapToGrid w:val="0"/>
              <w:spacing w:line="360" w:lineRule="auto"/>
              <w:jc w:val="center"/>
              <w:rPr>
                <w:rFonts w:hint="eastAsia" w:ascii="宋体" w:hAnsi="宋体" w:cs="宋体"/>
              </w:rPr>
            </w:pPr>
            <w:r>
              <w:rPr>
                <w:rFonts w:hint="eastAsia" w:ascii="宋体" w:hAnsi="宋体" w:cs="宋体"/>
              </w:rPr>
              <w:t>1.3.2</w:t>
            </w:r>
          </w:p>
        </w:tc>
        <w:tc>
          <w:tcPr>
            <w:tcW w:w="2273" w:type="dxa"/>
            <w:tcBorders>
              <w:top w:val="single" w:color="auto" w:sz="4" w:space="0"/>
              <w:left w:val="single" w:color="auto" w:sz="4" w:space="0"/>
              <w:bottom w:val="single" w:color="auto" w:sz="4" w:space="0"/>
              <w:right w:val="single" w:color="auto" w:sz="4" w:space="0"/>
            </w:tcBorders>
            <w:vAlign w:val="center"/>
          </w:tcPr>
          <w:p w14:paraId="69C541F2">
            <w:pPr>
              <w:snapToGrid w:val="0"/>
              <w:spacing w:line="360" w:lineRule="auto"/>
              <w:jc w:val="center"/>
              <w:rPr>
                <w:rFonts w:hint="eastAsia" w:ascii="宋体" w:hAnsi="宋体" w:cs="宋体"/>
              </w:rPr>
            </w:pPr>
            <w:r>
              <w:rPr>
                <w:rFonts w:hint="eastAsia" w:ascii="宋体" w:hAnsi="宋体" w:cs="宋体"/>
              </w:rPr>
              <w:t>工期要求</w:t>
            </w:r>
          </w:p>
        </w:tc>
        <w:tc>
          <w:tcPr>
            <w:tcW w:w="6340" w:type="dxa"/>
            <w:tcBorders>
              <w:top w:val="single" w:color="auto" w:sz="4" w:space="0"/>
              <w:left w:val="single" w:color="auto" w:sz="4" w:space="0"/>
              <w:bottom w:val="single" w:color="auto" w:sz="4" w:space="0"/>
              <w:right w:val="single" w:color="auto" w:sz="4" w:space="0"/>
            </w:tcBorders>
            <w:vAlign w:val="center"/>
          </w:tcPr>
          <w:p w14:paraId="448CAE51">
            <w:pPr>
              <w:pStyle w:val="22"/>
              <w:shd w:val="clear" w:color="auto" w:fill="FFFFFF"/>
              <w:snapToGrid w:val="0"/>
              <w:spacing w:before="0" w:beforeAutospacing="0" w:after="0" w:afterAutospacing="0" w:line="360" w:lineRule="auto"/>
              <w:rPr>
                <w:rFonts w:hint="eastAsia"/>
                <w:sz w:val="21"/>
                <w:szCs w:val="21"/>
                <w:lang w:val="zh-CN"/>
              </w:rPr>
            </w:pPr>
            <w:r>
              <w:rPr>
                <w:rFonts w:hint="eastAsia"/>
                <w:spacing w:val="7"/>
                <w:sz w:val="21"/>
                <w:szCs w:val="21"/>
              </w:rPr>
              <w:t>详见招标文件第一章“招标公告2、项目概况及招标范围”</w:t>
            </w:r>
          </w:p>
        </w:tc>
      </w:tr>
      <w:tr w14:paraId="1EEB0D97">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3DFA2DE7">
            <w:pPr>
              <w:snapToGrid w:val="0"/>
              <w:spacing w:line="360" w:lineRule="auto"/>
              <w:jc w:val="center"/>
              <w:rPr>
                <w:rFonts w:hint="eastAsia" w:ascii="宋体" w:hAnsi="宋体" w:cs="宋体"/>
              </w:rPr>
            </w:pPr>
            <w:r>
              <w:rPr>
                <w:rFonts w:hint="eastAsia" w:ascii="宋体" w:hAnsi="宋体" w:cs="宋体"/>
              </w:rPr>
              <w:t>1.3.3</w:t>
            </w:r>
          </w:p>
        </w:tc>
        <w:tc>
          <w:tcPr>
            <w:tcW w:w="2273" w:type="dxa"/>
            <w:tcBorders>
              <w:top w:val="single" w:color="auto" w:sz="4" w:space="0"/>
              <w:left w:val="single" w:color="auto" w:sz="4" w:space="0"/>
              <w:bottom w:val="single" w:color="auto" w:sz="4" w:space="0"/>
              <w:right w:val="single" w:color="auto" w:sz="4" w:space="0"/>
            </w:tcBorders>
            <w:vAlign w:val="center"/>
          </w:tcPr>
          <w:p w14:paraId="63896B60">
            <w:pPr>
              <w:snapToGrid w:val="0"/>
              <w:spacing w:line="360" w:lineRule="auto"/>
              <w:jc w:val="center"/>
              <w:rPr>
                <w:rFonts w:hint="eastAsia" w:ascii="宋体" w:hAnsi="宋体" w:cs="宋体"/>
              </w:rPr>
            </w:pPr>
            <w:r>
              <w:rPr>
                <w:rFonts w:hint="eastAsia" w:ascii="宋体" w:hAnsi="宋体" w:cs="宋体"/>
              </w:rPr>
              <w:t>质量标准</w:t>
            </w:r>
          </w:p>
        </w:tc>
        <w:tc>
          <w:tcPr>
            <w:tcW w:w="6340" w:type="dxa"/>
            <w:tcBorders>
              <w:top w:val="single" w:color="auto" w:sz="4" w:space="0"/>
              <w:left w:val="single" w:color="auto" w:sz="4" w:space="0"/>
              <w:bottom w:val="single" w:color="auto" w:sz="4" w:space="0"/>
              <w:right w:val="single" w:color="auto" w:sz="4" w:space="0"/>
            </w:tcBorders>
            <w:vAlign w:val="center"/>
          </w:tcPr>
          <w:p w14:paraId="12F52DC8">
            <w:pPr>
              <w:snapToGrid w:val="0"/>
              <w:spacing w:line="360" w:lineRule="auto"/>
              <w:jc w:val="left"/>
              <w:rPr>
                <w:rFonts w:hint="eastAsia" w:ascii="宋体" w:hAnsi="宋体" w:cs="宋体"/>
                <w:lang w:val="zh-CN"/>
              </w:rPr>
            </w:pPr>
            <w:r>
              <w:rPr>
                <w:rFonts w:hint="eastAsia" w:ascii="宋体" w:hAnsi="宋体" w:cs="宋体"/>
                <w:spacing w:val="7"/>
              </w:rPr>
              <w:t>详见招标文件第一章“招标公告2、项目概况及招标范围”</w:t>
            </w:r>
          </w:p>
        </w:tc>
      </w:tr>
      <w:tr w14:paraId="323A2ADB">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678C85EC">
            <w:pPr>
              <w:snapToGrid w:val="0"/>
              <w:spacing w:line="360" w:lineRule="auto"/>
              <w:jc w:val="center"/>
              <w:rPr>
                <w:rFonts w:hint="eastAsia" w:ascii="宋体" w:hAnsi="宋体" w:cs="宋体"/>
              </w:rPr>
            </w:pPr>
            <w:r>
              <w:rPr>
                <w:rFonts w:hint="eastAsia" w:ascii="宋体" w:hAnsi="宋体" w:cs="宋体"/>
              </w:rPr>
              <w:t>1.4.1</w:t>
            </w:r>
          </w:p>
        </w:tc>
        <w:tc>
          <w:tcPr>
            <w:tcW w:w="2273" w:type="dxa"/>
            <w:tcBorders>
              <w:top w:val="single" w:color="auto" w:sz="4" w:space="0"/>
              <w:left w:val="single" w:color="auto" w:sz="4" w:space="0"/>
              <w:bottom w:val="single" w:color="auto" w:sz="4" w:space="0"/>
              <w:right w:val="single" w:color="auto" w:sz="4" w:space="0"/>
            </w:tcBorders>
            <w:vAlign w:val="center"/>
          </w:tcPr>
          <w:p w14:paraId="336ACA2F">
            <w:pPr>
              <w:snapToGrid w:val="0"/>
              <w:spacing w:line="360" w:lineRule="auto"/>
              <w:jc w:val="center"/>
              <w:rPr>
                <w:rFonts w:hint="eastAsia" w:ascii="宋体" w:hAnsi="宋体" w:cs="宋体"/>
              </w:rPr>
            </w:pPr>
            <w:r>
              <w:rPr>
                <w:rFonts w:hint="eastAsia" w:ascii="宋体" w:hAnsi="宋体" w:cs="宋体"/>
              </w:rPr>
              <w:t>投标人资质条件、能力和信誉</w:t>
            </w:r>
          </w:p>
        </w:tc>
        <w:tc>
          <w:tcPr>
            <w:tcW w:w="6340" w:type="dxa"/>
            <w:tcBorders>
              <w:top w:val="single" w:color="auto" w:sz="4" w:space="0"/>
              <w:left w:val="single" w:color="auto" w:sz="4" w:space="0"/>
              <w:bottom w:val="single" w:color="auto" w:sz="4" w:space="0"/>
              <w:right w:val="single" w:color="auto" w:sz="4" w:space="0"/>
            </w:tcBorders>
            <w:vAlign w:val="center"/>
          </w:tcPr>
          <w:p w14:paraId="0ED0EC28">
            <w:pPr>
              <w:snapToGrid w:val="0"/>
              <w:spacing w:line="360" w:lineRule="auto"/>
              <w:rPr>
                <w:rFonts w:hint="eastAsia" w:ascii="宋体" w:hAnsi="宋体" w:cs="宋体"/>
              </w:rPr>
            </w:pPr>
            <w:r>
              <w:rPr>
                <w:rFonts w:hint="eastAsia" w:ascii="宋体" w:hAnsi="宋体" w:cs="宋体"/>
                <w:spacing w:val="7"/>
              </w:rPr>
              <w:t>详见招标文件第一章“招标公告3、投标人资格要求”</w:t>
            </w:r>
          </w:p>
        </w:tc>
      </w:tr>
      <w:tr w14:paraId="20F8DF48">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7E6AA8ED">
            <w:pPr>
              <w:snapToGrid w:val="0"/>
              <w:spacing w:line="360" w:lineRule="auto"/>
              <w:jc w:val="center"/>
              <w:rPr>
                <w:rFonts w:hint="eastAsia" w:ascii="宋体" w:hAnsi="宋体" w:cs="宋体"/>
              </w:rPr>
            </w:pPr>
            <w:r>
              <w:rPr>
                <w:rFonts w:hint="eastAsia" w:ascii="宋体" w:hAnsi="宋体" w:cs="宋体"/>
              </w:rPr>
              <w:t>1.4.2</w:t>
            </w:r>
          </w:p>
        </w:tc>
        <w:tc>
          <w:tcPr>
            <w:tcW w:w="2273" w:type="dxa"/>
            <w:tcBorders>
              <w:top w:val="single" w:color="auto" w:sz="4" w:space="0"/>
              <w:left w:val="single" w:color="auto" w:sz="4" w:space="0"/>
              <w:bottom w:val="single" w:color="auto" w:sz="4" w:space="0"/>
              <w:right w:val="single" w:color="auto" w:sz="4" w:space="0"/>
            </w:tcBorders>
            <w:vAlign w:val="center"/>
          </w:tcPr>
          <w:p w14:paraId="32578A4B">
            <w:pPr>
              <w:snapToGrid w:val="0"/>
              <w:spacing w:line="360" w:lineRule="auto"/>
              <w:jc w:val="center"/>
              <w:rPr>
                <w:rFonts w:hint="eastAsia" w:ascii="宋体" w:hAnsi="宋体" w:cs="宋体"/>
              </w:rPr>
            </w:pPr>
            <w:r>
              <w:rPr>
                <w:rFonts w:hint="eastAsia" w:ascii="宋体" w:hAnsi="宋体" w:cs="宋体"/>
              </w:rPr>
              <w:t>是否接受联合体投标</w:t>
            </w:r>
          </w:p>
        </w:tc>
        <w:tc>
          <w:tcPr>
            <w:tcW w:w="6340" w:type="dxa"/>
            <w:tcBorders>
              <w:top w:val="single" w:color="auto" w:sz="4" w:space="0"/>
              <w:left w:val="single" w:color="auto" w:sz="4" w:space="0"/>
              <w:bottom w:val="single" w:color="auto" w:sz="4" w:space="0"/>
              <w:right w:val="single" w:color="auto" w:sz="4" w:space="0"/>
            </w:tcBorders>
            <w:vAlign w:val="center"/>
          </w:tcPr>
          <w:p w14:paraId="15A80545">
            <w:pPr>
              <w:topLinePunct/>
              <w:snapToGrid w:val="0"/>
              <w:spacing w:line="360" w:lineRule="auto"/>
              <w:rPr>
                <w:rFonts w:hint="eastAsia" w:ascii="宋体" w:hAnsi="宋体" w:cs="宋体"/>
              </w:rPr>
            </w:pPr>
            <w:r>
              <w:rPr>
                <w:rFonts w:hint="eastAsia" w:ascii="宋体" w:hAnsi="宋体" w:cs="宋体"/>
              </w:rPr>
              <w:t>□不接受</w:t>
            </w:r>
          </w:p>
          <w:p w14:paraId="1430624C">
            <w:pPr>
              <w:snapToGrid w:val="0"/>
              <w:spacing w:line="360" w:lineRule="auto"/>
              <w:rPr>
                <w:rFonts w:hint="eastAsia" w:ascii="宋体" w:hAnsi="宋体" w:cs="宋体"/>
              </w:rPr>
            </w:pPr>
            <w:r>
              <w:rPr>
                <w:rFonts w:hint="eastAsia" w:ascii="宋体" w:hAnsi="宋体" w:cs="宋体"/>
              </w:rPr>
              <w:t>■接受，应满足下列要求：</w:t>
            </w:r>
          </w:p>
          <w:p w14:paraId="3A97E9CE">
            <w:pPr>
              <w:snapToGrid w:val="0"/>
              <w:spacing w:line="360" w:lineRule="auto"/>
              <w:ind w:firstLine="420" w:firstLineChars="200"/>
              <w:rPr>
                <w:rFonts w:hint="eastAsia" w:ascii="宋体" w:hAnsi="宋体" w:cs="宋体"/>
                <w:lang w:val="zh-CN"/>
              </w:rPr>
            </w:pPr>
            <w:r>
              <w:rPr>
                <w:rFonts w:hint="eastAsia" w:ascii="宋体" w:hAnsi="宋体" w:cs="宋体"/>
              </w:rPr>
              <w:t>（1）</w:t>
            </w:r>
            <w:r>
              <w:rPr>
                <w:rFonts w:hint="eastAsia" w:ascii="宋体" w:hAnsi="宋体" w:cs="宋体"/>
                <w:lang w:val="zh-CN"/>
              </w:rPr>
              <w:t>联合体各方应按招标文件提供的格式签订联合体协议书，明确联合体牵头人和各方权利义务。联合体中的各成员应具备所承包工作范围相应的资质，联合体家数不得超过</w:t>
            </w:r>
            <w:r>
              <w:rPr>
                <w:rFonts w:hint="eastAsia" w:ascii="宋体" w:hAnsi="宋体" w:cs="宋体"/>
              </w:rPr>
              <w:t>2</w:t>
            </w:r>
            <w:r>
              <w:rPr>
                <w:rFonts w:hint="eastAsia" w:ascii="宋体" w:hAnsi="宋体" w:cs="宋体"/>
                <w:lang w:val="zh-CN"/>
              </w:rPr>
              <w:t>家，牵头人必须具备</w:t>
            </w:r>
            <w:r>
              <w:rPr>
                <w:rFonts w:hint="eastAsia" w:ascii="宋体" w:hAnsi="宋体" w:cs="宋体"/>
              </w:rPr>
              <w:t>建筑工程施工总承包叁级以上（含叁级）</w:t>
            </w:r>
            <w:r>
              <w:rPr>
                <w:rFonts w:hint="eastAsia" w:ascii="宋体" w:hAnsi="宋体" w:cs="宋体"/>
                <w:lang w:val="zh-CN"/>
              </w:rPr>
              <w:t>资质，并持有有效的安全生产许可证书的施工单位；</w:t>
            </w:r>
          </w:p>
          <w:p w14:paraId="37A88BC5">
            <w:pPr>
              <w:snapToGrid w:val="0"/>
              <w:spacing w:line="360" w:lineRule="auto"/>
              <w:ind w:firstLine="420" w:firstLineChars="200"/>
              <w:rPr>
                <w:rFonts w:hint="eastAsia" w:ascii="宋体" w:hAnsi="宋体" w:cs="宋体"/>
                <w:lang w:val="zh-CN"/>
              </w:rPr>
            </w:pPr>
            <w:r>
              <w:rPr>
                <w:rFonts w:hint="eastAsia" w:ascii="宋体" w:hAnsi="宋体" w:cs="宋体"/>
              </w:rPr>
              <w:t>（2）</w:t>
            </w:r>
            <w:r>
              <w:rPr>
                <w:rFonts w:hint="eastAsia" w:ascii="宋体" w:hAnsi="宋体" w:cs="宋体"/>
                <w:lang w:val="zh-CN"/>
              </w:rPr>
              <w:t>由同一专业的单位组成的联合体，按照资质等级较低的单位确定资质等级；</w:t>
            </w:r>
          </w:p>
          <w:p w14:paraId="413D51F0">
            <w:pPr>
              <w:snapToGrid w:val="0"/>
              <w:spacing w:line="360" w:lineRule="auto"/>
              <w:ind w:firstLine="420" w:firstLineChars="200"/>
              <w:rPr>
                <w:rFonts w:hint="eastAsia" w:ascii="宋体" w:hAnsi="宋体" w:cs="宋体"/>
              </w:rPr>
            </w:pPr>
            <w:r>
              <w:rPr>
                <w:rFonts w:hint="eastAsia" w:ascii="宋体" w:hAnsi="宋体" w:cs="宋体"/>
              </w:rPr>
              <w:t>（3）</w:t>
            </w:r>
            <w:r>
              <w:rPr>
                <w:rFonts w:hint="eastAsia" w:ascii="宋体" w:hAnsi="宋体" w:cs="宋体"/>
                <w:lang w:val="zh-CN"/>
              </w:rPr>
              <w:t>联合体各方不得再以自己名义单独或参加其他联合体在本招标项目中投标。</w:t>
            </w:r>
          </w:p>
        </w:tc>
      </w:tr>
      <w:tr w14:paraId="706F3DB9">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31C3CE22">
            <w:pPr>
              <w:snapToGrid w:val="0"/>
              <w:spacing w:line="360" w:lineRule="auto"/>
              <w:jc w:val="center"/>
              <w:rPr>
                <w:rFonts w:hint="eastAsia" w:ascii="宋体" w:hAnsi="宋体" w:cs="宋体"/>
              </w:rPr>
            </w:pPr>
            <w:r>
              <w:rPr>
                <w:rFonts w:hint="eastAsia" w:ascii="宋体" w:hAnsi="宋体" w:cs="宋体"/>
              </w:rPr>
              <w:t>1.5</w:t>
            </w:r>
          </w:p>
        </w:tc>
        <w:tc>
          <w:tcPr>
            <w:tcW w:w="2273" w:type="dxa"/>
            <w:tcBorders>
              <w:top w:val="single" w:color="auto" w:sz="4" w:space="0"/>
              <w:left w:val="single" w:color="auto" w:sz="4" w:space="0"/>
              <w:bottom w:val="single" w:color="auto" w:sz="4" w:space="0"/>
              <w:right w:val="single" w:color="auto" w:sz="4" w:space="0"/>
            </w:tcBorders>
            <w:vAlign w:val="center"/>
          </w:tcPr>
          <w:p w14:paraId="656FEDBA">
            <w:pPr>
              <w:snapToGrid w:val="0"/>
              <w:spacing w:line="360" w:lineRule="auto"/>
              <w:jc w:val="center"/>
              <w:rPr>
                <w:rFonts w:hint="eastAsia" w:ascii="宋体" w:hAnsi="宋体" w:cs="宋体"/>
              </w:rPr>
            </w:pPr>
            <w:r>
              <w:rPr>
                <w:rFonts w:hint="eastAsia" w:ascii="宋体" w:hAnsi="宋体" w:cs="宋体"/>
              </w:rPr>
              <w:t>费用承担和设计成果补偿</w:t>
            </w:r>
          </w:p>
        </w:tc>
        <w:tc>
          <w:tcPr>
            <w:tcW w:w="6340" w:type="dxa"/>
            <w:tcBorders>
              <w:top w:val="single" w:color="auto" w:sz="4" w:space="0"/>
              <w:left w:val="single" w:color="auto" w:sz="4" w:space="0"/>
              <w:bottom w:val="single" w:color="auto" w:sz="4" w:space="0"/>
              <w:right w:val="single" w:color="auto" w:sz="4" w:space="0"/>
            </w:tcBorders>
            <w:vAlign w:val="center"/>
          </w:tcPr>
          <w:p w14:paraId="42841F5E">
            <w:pPr>
              <w:snapToGrid w:val="0"/>
              <w:spacing w:line="360" w:lineRule="auto"/>
              <w:rPr>
                <w:rFonts w:hint="eastAsia" w:ascii="宋体" w:hAnsi="宋体" w:cs="宋体"/>
              </w:rPr>
            </w:pPr>
            <w:r>
              <w:rPr>
                <w:rFonts w:hint="eastAsia" w:ascii="宋体" w:hAnsi="宋体" w:cs="宋体"/>
              </w:rPr>
              <w:t>■不补偿</w:t>
            </w:r>
          </w:p>
          <w:p w14:paraId="1CAE6C9D">
            <w:pPr>
              <w:snapToGrid w:val="0"/>
              <w:spacing w:line="360" w:lineRule="auto"/>
              <w:rPr>
                <w:rFonts w:hint="eastAsia" w:ascii="宋体" w:hAnsi="宋体" w:cs="宋体"/>
              </w:rPr>
            </w:pPr>
            <w:r>
              <w:rPr>
                <w:rFonts w:hint="eastAsia" w:ascii="宋体" w:hAnsi="宋体" w:cs="宋体"/>
              </w:rPr>
              <w:t>□补偿，补偿标准：</w:t>
            </w:r>
          </w:p>
        </w:tc>
      </w:tr>
      <w:tr w14:paraId="05CD69DA">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7E07F578">
            <w:pPr>
              <w:snapToGrid w:val="0"/>
              <w:spacing w:line="360" w:lineRule="auto"/>
              <w:jc w:val="center"/>
              <w:rPr>
                <w:rFonts w:hint="eastAsia" w:ascii="宋体" w:hAnsi="宋体" w:cs="宋体"/>
              </w:rPr>
            </w:pPr>
            <w:r>
              <w:rPr>
                <w:rFonts w:hint="eastAsia" w:ascii="宋体" w:hAnsi="宋体" w:cs="宋体"/>
              </w:rPr>
              <w:t>1.9.1</w:t>
            </w:r>
          </w:p>
        </w:tc>
        <w:tc>
          <w:tcPr>
            <w:tcW w:w="2273" w:type="dxa"/>
            <w:tcBorders>
              <w:top w:val="single" w:color="auto" w:sz="4" w:space="0"/>
              <w:left w:val="single" w:color="auto" w:sz="4" w:space="0"/>
              <w:bottom w:val="single" w:color="auto" w:sz="4" w:space="0"/>
              <w:right w:val="single" w:color="auto" w:sz="4" w:space="0"/>
            </w:tcBorders>
            <w:vAlign w:val="center"/>
          </w:tcPr>
          <w:p w14:paraId="2AA3AAD0">
            <w:pPr>
              <w:snapToGrid w:val="0"/>
              <w:spacing w:line="360" w:lineRule="auto"/>
              <w:jc w:val="center"/>
              <w:rPr>
                <w:rFonts w:hint="eastAsia" w:ascii="宋体" w:hAnsi="宋体" w:cs="宋体"/>
              </w:rPr>
            </w:pPr>
            <w:r>
              <w:rPr>
                <w:rFonts w:hint="eastAsia" w:ascii="宋体" w:hAnsi="宋体" w:cs="宋体"/>
              </w:rPr>
              <w:t>踏勘现场</w:t>
            </w:r>
          </w:p>
        </w:tc>
        <w:tc>
          <w:tcPr>
            <w:tcW w:w="6340" w:type="dxa"/>
            <w:tcBorders>
              <w:top w:val="single" w:color="auto" w:sz="4" w:space="0"/>
              <w:left w:val="single" w:color="auto" w:sz="4" w:space="0"/>
              <w:bottom w:val="single" w:color="auto" w:sz="4" w:space="0"/>
              <w:right w:val="single" w:color="auto" w:sz="4" w:space="0"/>
            </w:tcBorders>
            <w:vAlign w:val="center"/>
          </w:tcPr>
          <w:p w14:paraId="16E32FB1">
            <w:pPr>
              <w:snapToGrid w:val="0"/>
              <w:spacing w:line="360" w:lineRule="auto"/>
              <w:rPr>
                <w:rFonts w:hint="eastAsia" w:ascii="宋体" w:hAnsi="宋体" w:cs="宋体"/>
              </w:rPr>
            </w:pPr>
            <w:r>
              <w:rPr>
                <w:rFonts w:hint="eastAsia" w:ascii="宋体" w:hAnsi="宋体" w:cs="宋体"/>
              </w:rPr>
              <w:t>□组织</w:t>
            </w:r>
          </w:p>
          <w:p w14:paraId="2F335392">
            <w:pPr>
              <w:snapToGrid w:val="0"/>
              <w:spacing w:line="360" w:lineRule="auto"/>
              <w:rPr>
                <w:rFonts w:hint="eastAsia" w:ascii="宋体" w:hAnsi="宋体" w:cs="宋体"/>
              </w:rPr>
            </w:pPr>
            <w:r>
              <w:rPr>
                <w:rFonts w:hint="eastAsia" w:ascii="宋体" w:hAnsi="宋体" w:cs="宋体"/>
              </w:rPr>
              <w:t>■不组织。</w:t>
            </w:r>
          </w:p>
        </w:tc>
      </w:tr>
      <w:tr w14:paraId="7CE2F1ED">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7327D5B3">
            <w:pPr>
              <w:snapToGrid w:val="0"/>
              <w:spacing w:line="360" w:lineRule="auto"/>
              <w:jc w:val="center"/>
              <w:rPr>
                <w:rFonts w:hint="eastAsia" w:ascii="宋体" w:hAnsi="宋体" w:cs="宋体"/>
              </w:rPr>
            </w:pPr>
            <w:r>
              <w:rPr>
                <w:rFonts w:hint="eastAsia" w:ascii="宋体" w:hAnsi="宋体" w:cs="宋体"/>
              </w:rPr>
              <w:t>1.10.1</w:t>
            </w:r>
          </w:p>
        </w:tc>
        <w:tc>
          <w:tcPr>
            <w:tcW w:w="2273" w:type="dxa"/>
            <w:tcBorders>
              <w:top w:val="single" w:color="auto" w:sz="4" w:space="0"/>
              <w:left w:val="single" w:color="auto" w:sz="4" w:space="0"/>
              <w:bottom w:val="single" w:color="auto" w:sz="4" w:space="0"/>
              <w:right w:val="single" w:color="auto" w:sz="4" w:space="0"/>
            </w:tcBorders>
            <w:vAlign w:val="center"/>
          </w:tcPr>
          <w:p w14:paraId="049F8EB0">
            <w:pPr>
              <w:snapToGrid w:val="0"/>
              <w:spacing w:line="360" w:lineRule="auto"/>
              <w:jc w:val="center"/>
              <w:rPr>
                <w:rFonts w:hint="eastAsia" w:ascii="宋体" w:hAnsi="宋体" w:cs="宋体"/>
              </w:rPr>
            </w:pPr>
            <w:r>
              <w:rPr>
                <w:rFonts w:hint="eastAsia" w:ascii="宋体" w:hAnsi="宋体" w:cs="宋体"/>
              </w:rPr>
              <w:t>投标预备会</w:t>
            </w:r>
          </w:p>
        </w:tc>
        <w:tc>
          <w:tcPr>
            <w:tcW w:w="6340" w:type="dxa"/>
            <w:tcBorders>
              <w:top w:val="single" w:color="auto" w:sz="4" w:space="0"/>
              <w:left w:val="single" w:color="auto" w:sz="4" w:space="0"/>
              <w:bottom w:val="single" w:color="auto" w:sz="4" w:space="0"/>
              <w:right w:val="single" w:color="auto" w:sz="4" w:space="0"/>
            </w:tcBorders>
            <w:vAlign w:val="center"/>
          </w:tcPr>
          <w:p w14:paraId="4013B44D">
            <w:pPr>
              <w:topLinePunct/>
              <w:snapToGrid w:val="0"/>
              <w:spacing w:line="360" w:lineRule="auto"/>
              <w:rPr>
                <w:rFonts w:hint="eastAsia" w:ascii="宋体" w:hAnsi="宋体" w:cs="宋体"/>
              </w:rPr>
            </w:pPr>
            <w:r>
              <w:rPr>
                <w:rFonts w:hint="eastAsia" w:ascii="宋体" w:hAnsi="宋体" w:cs="宋体"/>
              </w:rPr>
              <w:t>■不召开</w:t>
            </w:r>
          </w:p>
          <w:p w14:paraId="5FB46412">
            <w:pPr>
              <w:snapToGrid w:val="0"/>
              <w:spacing w:line="360" w:lineRule="auto"/>
              <w:rPr>
                <w:rFonts w:hint="eastAsia" w:ascii="宋体" w:hAnsi="宋体" w:cs="宋体"/>
              </w:rPr>
            </w:pPr>
            <w:r>
              <w:rPr>
                <w:rFonts w:hint="eastAsia" w:ascii="宋体" w:hAnsi="宋体" w:cs="宋体"/>
              </w:rPr>
              <w:t>□召开，召开时间：</w:t>
            </w:r>
          </w:p>
          <w:p w14:paraId="76261E2D">
            <w:pPr>
              <w:snapToGrid w:val="0"/>
              <w:spacing w:line="360" w:lineRule="auto"/>
              <w:ind w:firstLine="840" w:firstLineChars="400"/>
              <w:rPr>
                <w:rFonts w:hint="eastAsia" w:ascii="宋体" w:hAnsi="宋体" w:cs="宋体"/>
              </w:rPr>
            </w:pPr>
            <w:r>
              <w:rPr>
                <w:rFonts w:hint="eastAsia" w:ascii="宋体" w:hAnsi="宋体" w:cs="宋体"/>
              </w:rPr>
              <w:t>召开地点：</w:t>
            </w:r>
          </w:p>
        </w:tc>
      </w:tr>
      <w:tr w14:paraId="1C483E3B">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15254B33">
            <w:pPr>
              <w:snapToGrid w:val="0"/>
              <w:spacing w:line="360" w:lineRule="auto"/>
              <w:jc w:val="center"/>
              <w:rPr>
                <w:rFonts w:hint="eastAsia" w:ascii="宋体" w:hAnsi="宋体" w:cs="宋体"/>
              </w:rPr>
            </w:pPr>
            <w:r>
              <w:rPr>
                <w:rFonts w:hint="eastAsia" w:ascii="宋体" w:hAnsi="宋体" w:cs="宋体"/>
              </w:rPr>
              <w:t>1.10.2</w:t>
            </w:r>
          </w:p>
        </w:tc>
        <w:tc>
          <w:tcPr>
            <w:tcW w:w="2273" w:type="dxa"/>
            <w:tcBorders>
              <w:top w:val="single" w:color="auto" w:sz="4" w:space="0"/>
              <w:left w:val="single" w:color="auto" w:sz="4" w:space="0"/>
              <w:bottom w:val="single" w:color="auto" w:sz="4" w:space="0"/>
              <w:right w:val="single" w:color="auto" w:sz="4" w:space="0"/>
            </w:tcBorders>
            <w:vAlign w:val="center"/>
          </w:tcPr>
          <w:p w14:paraId="2188C74B">
            <w:pPr>
              <w:snapToGrid w:val="0"/>
              <w:spacing w:line="360" w:lineRule="auto"/>
              <w:jc w:val="center"/>
              <w:rPr>
                <w:rFonts w:hint="eastAsia" w:ascii="宋体" w:hAnsi="宋体" w:cs="宋体"/>
              </w:rPr>
            </w:pPr>
            <w:r>
              <w:rPr>
                <w:rFonts w:hint="eastAsia" w:ascii="宋体" w:hAnsi="宋体" w:cs="宋体"/>
              </w:rPr>
              <w:t>投标人提出问题的截止时间</w:t>
            </w:r>
          </w:p>
        </w:tc>
        <w:tc>
          <w:tcPr>
            <w:tcW w:w="6340" w:type="dxa"/>
            <w:tcBorders>
              <w:top w:val="single" w:color="auto" w:sz="4" w:space="0"/>
              <w:left w:val="single" w:color="auto" w:sz="4" w:space="0"/>
              <w:bottom w:val="single" w:color="auto" w:sz="4" w:space="0"/>
              <w:right w:val="single" w:color="auto" w:sz="4" w:space="0"/>
            </w:tcBorders>
            <w:vAlign w:val="center"/>
          </w:tcPr>
          <w:p w14:paraId="067AFC19">
            <w:pPr>
              <w:snapToGrid w:val="0"/>
              <w:spacing w:line="360" w:lineRule="auto"/>
              <w:rPr>
                <w:rFonts w:hint="eastAsia" w:ascii="宋体" w:hAnsi="宋体" w:cs="宋体"/>
              </w:rPr>
            </w:pPr>
            <w:r>
              <w:rPr>
                <w:rFonts w:hint="eastAsia" w:ascii="宋体" w:hAnsi="宋体" w:cs="宋体"/>
              </w:rPr>
              <w:t>投标截止时间</w:t>
            </w:r>
            <w:r>
              <w:rPr>
                <w:rFonts w:hint="eastAsia" w:ascii="宋体" w:hAnsi="宋体" w:cs="宋体"/>
                <w:kern w:val="0"/>
              </w:rPr>
              <w:t>10日</w:t>
            </w:r>
            <w:r>
              <w:rPr>
                <w:rFonts w:hint="eastAsia" w:ascii="宋体" w:hAnsi="宋体" w:cs="宋体"/>
              </w:rPr>
              <w:t>以前，</w:t>
            </w:r>
            <w:r>
              <w:rPr>
                <w:rFonts w:hint="eastAsia" w:ascii="宋体" w:hAnsi="宋体" w:cs="宋体"/>
                <w:kern w:val="0"/>
              </w:rPr>
              <w:t>所有获取了招标文件的潜在投标人凭企业数字证书（CA）登录云南省公共资源交易信息网（网址：https://ggzy.yn.gov.cn/）选择“楚雄州”，通过网络在线方式向招标人或招标代理进行不署名提问。</w:t>
            </w:r>
          </w:p>
        </w:tc>
      </w:tr>
      <w:tr w14:paraId="1A06FDB9">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59A66131">
            <w:pPr>
              <w:snapToGrid w:val="0"/>
              <w:spacing w:line="360" w:lineRule="auto"/>
              <w:jc w:val="center"/>
              <w:rPr>
                <w:rFonts w:hint="eastAsia" w:ascii="宋体" w:hAnsi="宋体" w:cs="宋体"/>
              </w:rPr>
            </w:pPr>
            <w:r>
              <w:rPr>
                <w:rFonts w:hint="eastAsia" w:ascii="宋体" w:hAnsi="宋体" w:cs="宋体"/>
              </w:rPr>
              <w:t>1.10.3</w:t>
            </w:r>
          </w:p>
        </w:tc>
        <w:tc>
          <w:tcPr>
            <w:tcW w:w="2273" w:type="dxa"/>
            <w:tcBorders>
              <w:top w:val="single" w:color="auto" w:sz="4" w:space="0"/>
              <w:left w:val="single" w:color="auto" w:sz="4" w:space="0"/>
              <w:bottom w:val="single" w:color="auto" w:sz="4" w:space="0"/>
              <w:right w:val="single" w:color="auto" w:sz="4" w:space="0"/>
            </w:tcBorders>
            <w:vAlign w:val="center"/>
          </w:tcPr>
          <w:p w14:paraId="4DADDF09">
            <w:pPr>
              <w:snapToGrid w:val="0"/>
              <w:spacing w:line="360" w:lineRule="auto"/>
              <w:jc w:val="center"/>
              <w:rPr>
                <w:rFonts w:hint="eastAsia" w:ascii="宋体" w:hAnsi="宋体" w:cs="宋体"/>
              </w:rPr>
            </w:pPr>
            <w:r>
              <w:rPr>
                <w:rFonts w:hint="eastAsia" w:ascii="宋体" w:hAnsi="宋体" w:cs="宋体"/>
              </w:rPr>
              <w:t>招标人书面澄清的时间</w:t>
            </w:r>
          </w:p>
        </w:tc>
        <w:tc>
          <w:tcPr>
            <w:tcW w:w="6340" w:type="dxa"/>
            <w:tcBorders>
              <w:top w:val="single" w:color="auto" w:sz="4" w:space="0"/>
              <w:left w:val="single" w:color="auto" w:sz="4" w:space="0"/>
              <w:bottom w:val="single" w:color="auto" w:sz="4" w:space="0"/>
              <w:right w:val="single" w:color="auto" w:sz="4" w:space="0"/>
            </w:tcBorders>
            <w:vAlign w:val="center"/>
          </w:tcPr>
          <w:p w14:paraId="4175C04E">
            <w:pPr>
              <w:snapToGrid w:val="0"/>
              <w:spacing w:line="360" w:lineRule="auto"/>
              <w:rPr>
                <w:rFonts w:hint="eastAsia" w:ascii="宋体" w:hAnsi="宋体" w:cs="宋体"/>
              </w:rPr>
            </w:pPr>
            <w:r>
              <w:rPr>
                <w:rFonts w:hint="eastAsia" w:ascii="宋体" w:hAnsi="宋体" w:cs="宋体"/>
                <w:kern w:val="0"/>
              </w:rPr>
              <w:t>投标截止时间至少15日前，由招标人以补遗书方式按程序报有关主管部门备案后，提交公共资源交易中心统一通过网络向潜在投标人发布，所有获取了招标文件的潜在投标人登录云南省公共资源交易信息网（网址：https://ggzy.yn.gov.cn/）选择“楚雄州”，凭企业身份认证数字证书（CA）查看澄清内容。</w:t>
            </w:r>
          </w:p>
        </w:tc>
      </w:tr>
      <w:tr w14:paraId="091FD5F4">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1C06389F">
            <w:pPr>
              <w:snapToGrid w:val="0"/>
              <w:spacing w:line="360" w:lineRule="auto"/>
              <w:jc w:val="center"/>
              <w:rPr>
                <w:rFonts w:hint="eastAsia" w:ascii="宋体" w:hAnsi="宋体" w:cs="宋体"/>
              </w:rPr>
            </w:pPr>
            <w:r>
              <w:rPr>
                <w:rFonts w:hint="eastAsia" w:ascii="宋体" w:hAnsi="宋体" w:cs="宋体"/>
              </w:rPr>
              <w:t>1.11.1</w:t>
            </w:r>
          </w:p>
        </w:tc>
        <w:tc>
          <w:tcPr>
            <w:tcW w:w="2273" w:type="dxa"/>
            <w:tcBorders>
              <w:top w:val="single" w:color="auto" w:sz="4" w:space="0"/>
              <w:left w:val="single" w:color="auto" w:sz="4" w:space="0"/>
              <w:bottom w:val="single" w:color="auto" w:sz="4" w:space="0"/>
              <w:right w:val="single" w:color="auto" w:sz="4" w:space="0"/>
            </w:tcBorders>
            <w:vAlign w:val="center"/>
          </w:tcPr>
          <w:p w14:paraId="4F10A9BA">
            <w:pPr>
              <w:snapToGrid w:val="0"/>
              <w:spacing w:line="360" w:lineRule="auto"/>
              <w:jc w:val="center"/>
              <w:rPr>
                <w:rFonts w:hint="eastAsia" w:ascii="宋体" w:hAnsi="宋体" w:cs="宋体"/>
              </w:rPr>
            </w:pPr>
            <w:r>
              <w:rPr>
                <w:rFonts w:hint="eastAsia" w:ascii="宋体" w:hAnsi="宋体" w:cs="宋体"/>
              </w:rPr>
              <w:t>招标人规定由分包人承担的工作</w:t>
            </w:r>
          </w:p>
        </w:tc>
        <w:tc>
          <w:tcPr>
            <w:tcW w:w="6340" w:type="dxa"/>
            <w:tcBorders>
              <w:top w:val="single" w:color="auto" w:sz="4" w:space="0"/>
              <w:left w:val="single" w:color="auto" w:sz="4" w:space="0"/>
              <w:bottom w:val="single" w:color="auto" w:sz="4" w:space="0"/>
              <w:right w:val="single" w:color="auto" w:sz="4" w:space="0"/>
            </w:tcBorders>
            <w:vAlign w:val="center"/>
          </w:tcPr>
          <w:p w14:paraId="13130C4F">
            <w:pPr>
              <w:snapToGrid w:val="0"/>
              <w:spacing w:line="360" w:lineRule="auto"/>
              <w:rPr>
                <w:rFonts w:hint="eastAsia" w:ascii="宋体" w:hAnsi="宋体" w:cs="宋体"/>
              </w:rPr>
            </w:pPr>
            <w:r>
              <w:rPr>
                <w:rFonts w:hint="eastAsia" w:ascii="宋体" w:hAnsi="宋体" w:cs="宋体"/>
              </w:rPr>
              <w:t>无</w:t>
            </w:r>
          </w:p>
        </w:tc>
      </w:tr>
      <w:tr w14:paraId="59265837">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7826E520">
            <w:pPr>
              <w:snapToGrid w:val="0"/>
              <w:spacing w:line="360" w:lineRule="auto"/>
              <w:jc w:val="center"/>
              <w:rPr>
                <w:rFonts w:hint="eastAsia" w:ascii="宋体" w:hAnsi="宋体" w:cs="宋体"/>
              </w:rPr>
            </w:pPr>
            <w:r>
              <w:rPr>
                <w:rFonts w:hint="eastAsia" w:ascii="宋体" w:hAnsi="宋体" w:cs="宋体"/>
              </w:rPr>
              <w:t>1.11.2</w:t>
            </w:r>
          </w:p>
        </w:tc>
        <w:tc>
          <w:tcPr>
            <w:tcW w:w="2273" w:type="dxa"/>
            <w:tcBorders>
              <w:top w:val="single" w:color="auto" w:sz="4" w:space="0"/>
              <w:left w:val="single" w:color="auto" w:sz="4" w:space="0"/>
              <w:bottom w:val="single" w:color="auto" w:sz="4" w:space="0"/>
              <w:right w:val="single" w:color="auto" w:sz="4" w:space="0"/>
            </w:tcBorders>
            <w:vAlign w:val="center"/>
          </w:tcPr>
          <w:p w14:paraId="32F27852">
            <w:pPr>
              <w:snapToGrid w:val="0"/>
              <w:spacing w:line="360" w:lineRule="auto"/>
              <w:jc w:val="center"/>
              <w:rPr>
                <w:rFonts w:hint="eastAsia" w:ascii="宋体" w:hAnsi="宋体" w:cs="宋体"/>
              </w:rPr>
            </w:pPr>
            <w:r>
              <w:rPr>
                <w:rFonts w:hint="eastAsia" w:ascii="宋体" w:hAnsi="宋体" w:cs="宋体"/>
              </w:rPr>
              <w:t>分包</w:t>
            </w:r>
          </w:p>
        </w:tc>
        <w:tc>
          <w:tcPr>
            <w:tcW w:w="6340" w:type="dxa"/>
            <w:tcBorders>
              <w:top w:val="single" w:color="auto" w:sz="4" w:space="0"/>
              <w:left w:val="single" w:color="auto" w:sz="4" w:space="0"/>
              <w:bottom w:val="single" w:color="auto" w:sz="4" w:space="0"/>
              <w:right w:val="single" w:color="auto" w:sz="4" w:space="0"/>
            </w:tcBorders>
            <w:vAlign w:val="center"/>
          </w:tcPr>
          <w:p w14:paraId="0EA5FFD1">
            <w:pPr>
              <w:topLinePunct/>
              <w:snapToGrid w:val="0"/>
              <w:spacing w:line="360" w:lineRule="auto"/>
              <w:rPr>
                <w:rFonts w:hint="eastAsia" w:ascii="宋体" w:hAnsi="宋体" w:cs="宋体"/>
              </w:rPr>
            </w:pPr>
            <w:r>
              <w:rPr>
                <w:rFonts w:hint="eastAsia" w:ascii="宋体" w:hAnsi="宋体" w:cs="宋体"/>
              </w:rPr>
              <w:t>□不允许</w:t>
            </w:r>
          </w:p>
          <w:p w14:paraId="6BF8F3D4">
            <w:pPr>
              <w:snapToGrid w:val="0"/>
              <w:spacing w:line="360" w:lineRule="auto"/>
              <w:rPr>
                <w:rFonts w:hint="eastAsia" w:ascii="宋体" w:hAnsi="宋体" w:cs="宋体"/>
              </w:rPr>
            </w:pPr>
            <w:r>
              <w:rPr>
                <w:rFonts w:hint="eastAsia" w:ascii="宋体" w:hAnsi="宋体" w:cs="宋体"/>
              </w:rPr>
              <w:t>■允许。</w:t>
            </w:r>
          </w:p>
          <w:p w14:paraId="11407FBA">
            <w:pPr>
              <w:snapToGrid w:val="0"/>
              <w:spacing w:line="360" w:lineRule="auto"/>
              <w:rPr>
                <w:rFonts w:hint="eastAsia" w:ascii="宋体" w:hAnsi="宋体" w:cs="宋体"/>
              </w:rPr>
            </w:pPr>
            <w:r>
              <w:rPr>
                <w:rFonts w:hint="eastAsia" w:ascii="宋体" w:hAnsi="宋体" w:cs="宋体"/>
              </w:rPr>
              <w:t>承包人不得将工程主体、关键性工作的设计和施工分包给第三人。</w:t>
            </w:r>
          </w:p>
          <w:p w14:paraId="6F8A04AF">
            <w:pPr>
              <w:snapToGrid w:val="0"/>
              <w:spacing w:line="360" w:lineRule="auto"/>
              <w:rPr>
                <w:rFonts w:hint="eastAsia" w:ascii="宋体" w:hAnsi="宋体" w:cs="宋体"/>
              </w:rPr>
            </w:pPr>
            <w:r>
              <w:rPr>
                <w:rFonts w:hint="eastAsia" w:ascii="宋体" w:hAnsi="宋体" w:cs="宋体"/>
              </w:rPr>
              <w:t>专业性较强的工程（项目建设过程中由发包人确认）允许分包。分包单位的确定须符合法律法规规定并取得发包人同意。拟分包项目必须分包给具有相应资质和设计施工能力的专业承包单位施工，并签订分包合同。且承包人应将其选择的分包单位的施工资质、专业施工能力等情况报监理及发包人审查同意并审批后，方可签订分包合同并进行施工，所有分包单位的施工质量和施工安全责任由承包人承担。分包只能是一次分包，即分包单位不得再将其承包的工程分包出去。</w:t>
            </w:r>
          </w:p>
        </w:tc>
      </w:tr>
      <w:tr w14:paraId="45166F8C">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3588BC97">
            <w:pPr>
              <w:snapToGrid w:val="0"/>
              <w:spacing w:line="360" w:lineRule="auto"/>
              <w:jc w:val="center"/>
              <w:rPr>
                <w:rFonts w:hint="eastAsia" w:ascii="宋体" w:hAnsi="宋体" w:cs="宋体"/>
              </w:rPr>
            </w:pPr>
            <w:r>
              <w:rPr>
                <w:rFonts w:hint="eastAsia" w:ascii="宋体" w:hAnsi="宋体" w:cs="宋体"/>
              </w:rPr>
              <w:t>1.12</w:t>
            </w:r>
          </w:p>
        </w:tc>
        <w:tc>
          <w:tcPr>
            <w:tcW w:w="2273" w:type="dxa"/>
            <w:tcBorders>
              <w:top w:val="single" w:color="auto" w:sz="4" w:space="0"/>
              <w:left w:val="single" w:color="auto" w:sz="4" w:space="0"/>
              <w:bottom w:val="single" w:color="auto" w:sz="4" w:space="0"/>
              <w:right w:val="single" w:color="auto" w:sz="4" w:space="0"/>
            </w:tcBorders>
            <w:vAlign w:val="center"/>
          </w:tcPr>
          <w:p w14:paraId="3A536A58">
            <w:pPr>
              <w:snapToGrid w:val="0"/>
              <w:spacing w:line="360" w:lineRule="auto"/>
              <w:jc w:val="center"/>
              <w:rPr>
                <w:rFonts w:hint="eastAsia" w:ascii="宋体" w:hAnsi="宋体" w:cs="宋体"/>
              </w:rPr>
            </w:pPr>
            <w:r>
              <w:rPr>
                <w:rFonts w:hint="eastAsia" w:ascii="宋体" w:hAnsi="宋体" w:cs="宋体"/>
              </w:rPr>
              <w:t>偏离</w:t>
            </w:r>
          </w:p>
        </w:tc>
        <w:tc>
          <w:tcPr>
            <w:tcW w:w="6340" w:type="dxa"/>
            <w:tcBorders>
              <w:top w:val="single" w:color="auto" w:sz="4" w:space="0"/>
              <w:left w:val="single" w:color="auto" w:sz="4" w:space="0"/>
              <w:bottom w:val="single" w:color="auto" w:sz="4" w:space="0"/>
              <w:right w:val="single" w:color="auto" w:sz="4" w:space="0"/>
            </w:tcBorders>
            <w:vAlign w:val="center"/>
          </w:tcPr>
          <w:p w14:paraId="6BCF5C5D">
            <w:pPr>
              <w:topLinePunct/>
              <w:snapToGrid w:val="0"/>
              <w:spacing w:line="360" w:lineRule="auto"/>
              <w:rPr>
                <w:rFonts w:hint="eastAsia" w:ascii="宋体" w:hAnsi="宋体" w:cs="宋体"/>
              </w:rPr>
            </w:pPr>
            <w:r>
              <w:rPr>
                <w:rFonts w:hint="eastAsia" w:ascii="宋体" w:hAnsi="宋体" w:cs="宋体"/>
              </w:rPr>
              <w:t>□不允许</w:t>
            </w:r>
          </w:p>
          <w:p w14:paraId="1DB92ABF">
            <w:pPr>
              <w:topLinePunct/>
              <w:snapToGrid w:val="0"/>
              <w:spacing w:line="360" w:lineRule="auto"/>
              <w:rPr>
                <w:rFonts w:hint="eastAsia" w:ascii="宋体" w:hAnsi="宋体" w:cs="宋体"/>
              </w:rPr>
            </w:pPr>
            <w:r>
              <w:rPr>
                <w:rFonts w:hint="eastAsia" w:ascii="宋体" w:hAnsi="宋体" w:cs="宋体"/>
              </w:rPr>
              <w:t>■投标人可在招标文件要求的条件上作出正偏离的承诺（如工期提前、质量标准提高、处罚额度增大等）。</w:t>
            </w:r>
          </w:p>
        </w:tc>
      </w:tr>
      <w:tr w14:paraId="47061F09">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2CF4DB2D">
            <w:pPr>
              <w:snapToGrid w:val="0"/>
              <w:spacing w:line="360" w:lineRule="auto"/>
              <w:jc w:val="center"/>
              <w:rPr>
                <w:rFonts w:hint="eastAsia" w:ascii="宋体" w:hAnsi="宋体" w:cs="宋体"/>
              </w:rPr>
            </w:pPr>
            <w:r>
              <w:rPr>
                <w:rFonts w:hint="eastAsia" w:ascii="宋体" w:hAnsi="宋体" w:cs="宋体"/>
              </w:rPr>
              <w:t>2.1</w:t>
            </w:r>
          </w:p>
        </w:tc>
        <w:tc>
          <w:tcPr>
            <w:tcW w:w="2273" w:type="dxa"/>
            <w:tcBorders>
              <w:top w:val="single" w:color="auto" w:sz="4" w:space="0"/>
              <w:left w:val="single" w:color="auto" w:sz="4" w:space="0"/>
              <w:bottom w:val="single" w:color="auto" w:sz="4" w:space="0"/>
              <w:right w:val="single" w:color="auto" w:sz="4" w:space="0"/>
            </w:tcBorders>
            <w:vAlign w:val="center"/>
          </w:tcPr>
          <w:p w14:paraId="1D237B16">
            <w:pPr>
              <w:snapToGrid w:val="0"/>
              <w:spacing w:line="360" w:lineRule="auto"/>
              <w:jc w:val="center"/>
              <w:rPr>
                <w:rFonts w:hint="eastAsia" w:ascii="宋体" w:hAnsi="宋体" w:cs="宋体"/>
              </w:rPr>
            </w:pPr>
            <w:r>
              <w:rPr>
                <w:rFonts w:hint="eastAsia" w:ascii="宋体" w:hAnsi="宋体" w:cs="宋体"/>
              </w:rPr>
              <w:t>构成招标文件的其他资料</w:t>
            </w:r>
          </w:p>
        </w:tc>
        <w:tc>
          <w:tcPr>
            <w:tcW w:w="6340" w:type="dxa"/>
            <w:tcBorders>
              <w:top w:val="single" w:color="auto" w:sz="4" w:space="0"/>
              <w:left w:val="single" w:color="auto" w:sz="4" w:space="0"/>
              <w:bottom w:val="single" w:color="auto" w:sz="4" w:space="0"/>
              <w:right w:val="single" w:color="auto" w:sz="4" w:space="0"/>
            </w:tcBorders>
            <w:vAlign w:val="center"/>
          </w:tcPr>
          <w:p w14:paraId="0FEC4434">
            <w:pPr>
              <w:snapToGrid w:val="0"/>
              <w:spacing w:line="360" w:lineRule="auto"/>
              <w:rPr>
                <w:rFonts w:hint="eastAsia" w:ascii="宋体" w:hAnsi="宋体" w:cs="宋体"/>
              </w:rPr>
            </w:pPr>
            <w:r>
              <w:rPr>
                <w:rFonts w:hint="eastAsia" w:ascii="宋体" w:hAnsi="宋体" w:cs="宋体"/>
              </w:rPr>
              <w:t>招标文件答疑、补遗、修改（如有）等</w:t>
            </w:r>
          </w:p>
        </w:tc>
      </w:tr>
      <w:tr w14:paraId="0A55CAD1">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48101D0C">
            <w:pPr>
              <w:snapToGrid w:val="0"/>
              <w:spacing w:line="360" w:lineRule="auto"/>
              <w:jc w:val="center"/>
              <w:rPr>
                <w:rFonts w:hint="eastAsia" w:ascii="宋体" w:hAnsi="宋体" w:cs="宋体"/>
              </w:rPr>
            </w:pPr>
            <w:r>
              <w:rPr>
                <w:rFonts w:hint="eastAsia" w:ascii="宋体" w:hAnsi="宋体" w:cs="宋体"/>
              </w:rPr>
              <w:t>2.2.1</w:t>
            </w:r>
          </w:p>
        </w:tc>
        <w:tc>
          <w:tcPr>
            <w:tcW w:w="2273" w:type="dxa"/>
            <w:tcBorders>
              <w:top w:val="single" w:color="auto" w:sz="4" w:space="0"/>
              <w:left w:val="single" w:color="auto" w:sz="4" w:space="0"/>
              <w:bottom w:val="single" w:color="auto" w:sz="4" w:space="0"/>
              <w:right w:val="single" w:color="auto" w:sz="4" w:space="0"/>
            </w:tcBorders>
            <w:vAlign w:val="center"/>
          </w:tcPr>
          <w:p w14:paraId="5D68266C">
            <w:pPr>
              <w:snapToGrid w:val="0"/>
              <w:spacing w:line="360" w:lineRule="auto"/>
              <w:jc w:val="center"/>
              <w:rPr>
                <w:rFonts w:hint="eastAsia" w:ascii="宋体" w:hAnsi="宋体" w:cs="宋体"/>
              </w:rPr>
            </w:pPr>
            <w:r>
              <w:rPr>
                <w:rFonts w:hint="eastAsia" w:ascii="宋体" w:hAnsi="宋体" w:cs="宋体"/>
              </w:rPr>
              <w:t>投标人要求澄清招标文件的截止时间</w:t>
            </w:r>
          </w:p>
        </w:tc>
        <w:tc>
          <w:tcPr>
            <w:tcW w:w="6340" w:type="dxa"/>
            <w:tcBorders>
              <w:top w:val="single" w:color="auto" w:sz="4" w:space="0"/>
              <w:left w:val="single" w:color="auto" w:sz="4" w:space="0"/>
              <w:bottom w:val="single" w:color="auto" w:sz="4" w:space="0"/>
              <w:right w:val="single" w:color="auto" w:sz="4" w:space="0"/>
            </w:tcBorders>
            <w:vAlign w:val="center"/>
          </w:tcPr>
          <w:p w14:paraId="2C9ADFDF">
            <w:pPr>
              <w:snapToGrid w:val="0"/>
              <w:spacing w:line="360" w:lineRule="auto"/>
              <w:rPr>
                <w:rFonts w:hint="eastAsia" w:ascii="宋体" w:hAnsi="宋体" w:cs="宋体"/>
              </w:rPr>
            </w:pPr>
            <w:r>
              <w:rPr>
                <w:rFonts w:hint="eastAsia" w:ascii="宋体" w:hAnsi="宋体" w:cs="宋体"/>
              </w:rPr>
              <w:t>同1.10.2的时间要求</w:t>
            </w:r>
          </w:p>
          <w:p w14:paraId="798C92FB">
            <w:pPr>
              <w:snapToGrid w:val="0"/>
              <w:spacing w:line="360" w:lineRule="auto"/>
              <w:rPr>
                <w:rFonts w:hint="eastAsia" w:ascii="宋体" w:hAnsi="宋体" w:cs="宋体"/>
              </w:rPr>
            </w:pPr>
            <w:r>
              <w:rPr>
                <w:rFonts w:hint="eastAsia" w:ascii="宋体" w:hAnsi="宋体" w:cs="宋体"/>
              </w:rPr>
              <w:t>投标人应仔细阅读和检查招标文件的全部内容。如发现缺页或附件不全，应及时向招标人提出，以便补齐。如有疑问，应在投标人须知前附表规定的时间前以在线不署名提交方式</w:t>
            </w:r>
            <w:r>
              <w:rPr>
                <w:rFonts w:hint="eastAsia" w:ascii="宋体" w:hAnsi="宋体" w:cs="宋体"/>
                <w:kern w:val="0"/>
              </w:rPr>
              <w:t>登录云南省公共资源交易信息网（网址：https://ggzy.yn.gov.cn/）选择“楚雄州”</w:t>
            </w:r>
            <w:r>
              <w:rPr>
                <w:rFonts w:hint="eastAsia" w:ascii="宋体" w:hAnsi="宋体" w:cs="宋体"/>
              </w:rPr>
              <w:t>，要求招标人对招标文件予以澄清。</w:t>
            </w:r>
          </w:p>
        </w:tc>
      </w:tr>
      <w:tr w14:paraId="26F06719">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2488372F">
            <w:pPr>
              <w:snapToGrid w:val="0"/>
              <w:spacing w:line="360" w:lineRule="auto"/>
              <w:jc w:val="center"/>
              <w:rPr>
                <w:rFonts w:hint="eastAsia" w:ascii="宋体" w:hAnsi="宋体" w:cs="宋体"/>
              </w:rPr>
            </w:pPr>
            <w:r>
              <w:rPr>
                <w:rFonts w:hint="eastAsia" w:ascii="宋体" w:hAnsi="宋体" w:cs="宋体"/>
              </w:rPr>
              <w:t>2.2.2</w:t>
            </w:r>
          </w:p>
        </w:tc>
        <w:tc>
          <w:tcPr>
            <w:tcW w:w="2273" w:type="dxa"/>
            <w:tcBorders>
              <w:top w:val="single" w:color="auto" w:sz="4" w:space="0"/>
              <w:left w:val="single" w:color="auto" w:sz="4" w:space="0"/>
              <w:bottom w:val="single" w:color="auto" w:sz="4" w:space="0"/>
              <w:right w:val="single" w:color="auto" w:sz="4" w:space="0"/>
            </w:tcBorders>
            <w:vAlign w:val="center"/>
          </w:tcPr>
          <w:p w14:paraId="66D9621D">
            <w:pPr>
              <w:snapToGrid w:val="0"/>
              <w:spacing w:line="360" w:lineRule="auto"/>
              <w:jc w:val="center"/>
              <w:rPr>
                <w:rFonts w:hint="eastAsia" w:ascii="宋体" w:hAnsi="宋体" w:cs="宋体"/>
                <w:b/>
                <w:bCs/>
              </w:rPr>
            </w:pPr>
            <w:r>
              <w:rPr>
                <w:rFonts w:hint="eastAsia" w:ascii="宋体" w:hAnsi="宋体" w:cs="宋体"/>
              </w:rPr>
              <w:t>投标截止时间</w:t>
            </w:r>
          </w:p>
        </w:tc>
        <w:tc>
          <w:tcPr>
            <w:tcW w:w="6340" w:type="dxa"/>
            <w:tcBorders>
              <w:top w:val="single" w:color="auto" w:sz="4" w:space="0"/>
              <w:left w:val="single" w:color="auto" w:sz="4" w:space="0"/>
              <w:bottom w:val="single" w:color="auto" w:sz="4" w:space="0"/>
              <w:right w:val="single" w:color="auto" w:sz="4" w:space="0"/>
            </w:tcBorders>
            <w:vAlign w:val="center"/>
          </w:tcPr>
          <w:p w14:paraId="2819D08F">
            <w:pPr>
              <w:snapToGrid w:val="0"/>
              <w:spacing w:line="360" w:lineRule="auto"/>
            </w:pPr>
            <w:r>
              <w:rPr>
                <w:rFonts w:hint="eastAsia" w:ascii="宋体" w:hAnsi="宋体" w:cs="宋体"/>
              </w:rPr>
              <w:t>2026年    日</w:t>
            </w:r>
            <w:r>
              <w:rPr>
                <w:rFonts w:hint="eastAsia" w:ascii="宋体" w:hAnsi="宋体" w:cs="宋体"/>
                <w:lang w:eastAsia="zh-CN"/>
              </w:rPr>
              <w:t>08:30</w:t>
            </w:r>
            <w:r>
              <w:rPr>
                <w:rFonts w:hint="eastAsia" w:ascii="宋体" w:hAnsi="宋体" w:cs="宋体"/>
              </w:rPr>
              <w:t>时。</w:t>
            </w:r>
          </w:p>
        </w:tc>
      </w:tr>
      <w:tr w14:paraId="1B35F2D6">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02590871">
            <w:pPr>
              <w:snapToGrid w:val="0"/>
              <w:spacing w:line="360" w:lineRule="auto"/>
              <w:jc w:val="center"/>
              <w:rPr>
                <w:rFonts w:hint="eastAsia" w:ascii="宋体" w:hAnsi="宋体" w:cs="宋体"/>
              </w:rPr>
            </w:pPr>
            <w:r>
              <w:rPr>
                <w:rFonts w:hint="eastAsia" w:ascii="宋体" w:hAnsi="宋体" w:cs="宋体"/>
              </w:rPr>
              <w:t>2.2.3</w:t>
            </w:r>
          </w:p>
        </w:tc>
        <w:tc>
          <w:tcPr>
            <w:tcW w:w="2273" w:type="dxa"/>
            <w:tcBorders>
              <w:top w:val="single" w:color="auto" w:sz="4" w:space="0"/>
              <w:left w:val="single" w:color="auto" w:sz="4" w:space="0"/>
              <w:bottom w:val="single" w:color="auto" w:sz="4" w:space="0"/>
              <w:right w:val="single" w:color="auto" w:sz="4" w:space="0"/>
            </w:tcBorders>
            <w:vAlign w:val="center"/>
          </w:tcPr>
          <w:p w14:paraId="735CC372">
            <w:pPr>
              <w:snapToGrid w:val="0"/>
              <w:spacing w:line="360" w:lineRule="auto"/>
              <w:jc w:val="center"/>
              <w:rPr>
                <w:rFonts w:hint="eastAsia" w:ascii="宋体" w:hAnsi="宋体" w:cs="宋体"/>
              </w:rPr>
            </w:pPr>
            <w:r>
              <w:rPr>
                <w:rFonts w:hint="eastAsia" w:ascii="宋体" w:hAnsi="宋体" w:cs="宋体"/>
              </w:rPr>
              <w:t>投标人确认收到招标文件澄清的时间</w:t>
            </w:r>
          </w:p>
        </w:tc>
        <w:tc>
          <w:tcPr>
            <w:tcW w:w="6340" w:type="dxa"/>
            <w:tcBorders>
              <w:top w:val="single" w:color="auto" w:sz="4" w:space="0"/>
              <w:left w:val="single" w:color="auto" w:sz="4" w:space="0"/>
              <w:bottom w:val="single" w:color="auto" w:sz="4" w:space="0"/>
              <w:right w:val="single" w:color="auto" w:sz="4" w:space="0"/>
            </w:tcBorders>
            <w:vAlign w:val="center"/>
          </w:tcPr>
          <w:p w14:paraId="2C486E82">
            <w:pPr>
              <w:snapToGrid w:val="0"/>
              <w:spacing w:line="360" w:lineRule="auto"/>
              <w:rPr>
                <w:rFonts w:hint="eastAsia" w:ascii="宋体" w:hAnsi="宋体" w:cs="宋体"/>
              </w:rPr>
            </w:pPr>
            <w:r>
              <w:rPr>
                <w:rFonts w:hint="eastAsia" w:ascii="宋体" w:hAnsi="宋体" w:cs="宋体"/>
                <w:kern w:val="0"/>
              </w:rPr>
              <w:t>投标人自行登录云南省公共资源交易信息网（网址：https://ggzy.yn.gov.cn/）选择“楚雄州”，获取澄清，无须回复确认已收到该澄清。</w:t>
            </w:r>
          </w:p>
        </w:tc>
      </w:tr>
      <w:tr w14:paraId="06B5E290">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7AAF26A2">
            <w:pPr>
              <w:snapToGrid w:val="0"/>
              <w:spacing w:line="360" w:lineRule="auto"/>
              <w:jc w:val="center"/>
              <w:rPr>
                <w:rFonts w:hint="eastAsia" w:ascii="宋体" w:hAnsi="宋体" w:cs="宋体"/>
              </w:rPr>
            </w:pPr>
            <w:r>
              <w:rPr>
                <w:rFonts w:hint="eastAsia" w:ascii="宋体" w:hAnsi="宋体" w:cs="宋体"/>
              </w:rPr>
              <w:t>2.3.2</w:t>
            </w:r>
          </w:p>
        </w:tc>
        <w:tc>
          <w:tcPr>
            <w:tcW w:w="2273" w:type="dxa"/>
            <w:tcBorders>
              <w:top w:val="single" w:color="auto" w:sz="4" w:space="0"/>
              <w:left w:val="single" w:color="auto" w:sz="4" w:space="0"/>
              <w:bottom w:val="single" w:color="auto" w:sz="4" w:space="0"/>
              <w:right w:val="single" w:color="auto" w:sz="4" w:space="0"/>
            </w:tcBorders>
            <w:vAlign w:val="center"/>
          </w:tcPr>
          <w:p w14:paraId="04222719">
            <w:pPr>
              <w:snapToGrid w:val="0"/>
              <w:spacing w:line="360" w:lineRule="auto"/>
              <w:jc w:val="center"/>
              <w:rPr>
                <w:rFonts w:hint="eastAsia" w:ascii="宋体" w:hAnsi="宋体" w:cs="宋体"/>
              </w:rPr>
            </w:pPr>
            <w:r>
              <w:rPr>
                <w:rFonts w:hint="eastAsia" w:ascii="宋体" w:hAnsi="宋体" w:cs="宋体"/>
              </w:rPr>
              <w:t>投标人确认收到招标文件修改的时间</w:t>
            </w:r>
          </w:p>
        </w:tc>
        <w:tc>
          <w:tcPr>
            <w:tcW w:w="6340" w:type="dxa"/>
            <w:tcBorders>
              <w:top w:val="single" w:color="auto" w:sz="4" w:space="0"/>
              <w:left w:val="single" w:color="auto" w:sz="4" w:space="0"/>
              <w:bottom w:val="single" w:color="auto" w:sz="4" w:space="0"/>
              <w:right w:val="single" w:color="auto" w:sz="4" w:space="0"/>
            </w:tcBorders>
            <w:vAlign w:val="center"/>
          </w:tcPr>
          <w:p w14:paraId="140175CE">
            <w:pPr>
              <w:snapToGrid w:val="0"/>
              <w:spacing w:line="360" w:lineRule="auto"/>
              <w:rPr>
                <w:rFonts w:hint="eastAsia" w:ascii="宋体" w:hAnsi="宋体" w:cs="宋体"/>
              </w:rPr>
            </w:pPr>
            <w:r>
              <w:rPr>
                <w:rFonts w:hint="eastAsia" w:ascii="宋体" w:hAnsi="宋体" w:cs="宋体"/>
                <w:kern w:val="0"/>
              </w:rPr>
              <w:t>投标人自行登录云南省公共资源交易信息网（网址：https://ggzy.yn.gov.cn/）选择“楚雄州”，收取修改内容，无须回复确认已收到该修改。</w:t>
            </w:r>
          </w:p>
        </w:tc>
      </w:tr>
      <w:tr w14:paraId="0ACFCAFE">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3386D1BD">
            <w:pPr>
              <w:snapToGrid w:val="0"/>
              <w:spacing w:line="360" w:lineRule="auto"/>
              <w:jc w:val="center"/>
              <w:rPr>
                <w:rFonts w:hint="eastAsia" w:ascii="宋体" w:hAnsi="宋体" w:cs="宋体"/>
              </w:rPr>
            </w:pPr>
            <w:r>
              <w:rPr>
                <w:rFonts w:hint="eastAsia" w:ascii="宋体" w:hAnsi="宋体" w:cs="宋体"/>
              </w:rPr>
              <w:t>3.1.1</w:t>
            </w:r>
          </w:p>
        </w:tc>
        <w:tc>
          <w:tcPr>
            <w:tcW w:w="2273" w:type="dxa"/>
            <w:tcBorders>
              <w:top w:val="single" w:color="auto" w:sz="4" w:space="0"/>
              <w:left w:val="single" w:color="auto" w:sz="4" w:space="0"/>
              <w:bottom w:val="single" w:color="auto" w:sz="4" w:space="0"/>
              <w:right w:val="single" w:color="auto" w:sz="4" w:space="0"/>
            </w:tcBorders>
            <w:vAlign w:val="center"/>
          </w:tcPr>
          <w:p w14:paraId="5056A2C7">
            <w:pPr>
              <w:snapToGrid w:val="0"/>
              <w:spacing w:line="360" w:lineRule="auto"/>
              <w:jc w:val="center"/>
              <w:rPr>
                <w:rFonts w:hint="eastAsia" w:ascii="宋体" w:hAnsi="宋体" w:cs="宋体"/>
              </w:rPr>
            </w:pPr>
            <w:r>
              <w:rPr>
                <w:rFonts w:hint="eastAsia" w:ascii="宋体" w:hAnsi="宋体" w:cs="宋体"/>
              </w:rPr>
              <w:t>构成投标文件的其他资料</w:t>
            </w:r>
          </w:p>
        </w:tc>
        <w:tc>
          <w:tcPr>
            <w:tcW w:w="6340" w:type="dxa"/>
            <w:tcBorders>
              <w:top w:val="single" w:color="auto" w:sz="4" w:space="0"/>
              <w:left w:val="single" w:color="auto" w:sz="4" w:space="0"/>
              <w:bottom w:val="single" w:color="auto" w:sz="4" w:space="0"/>
              <w:right w:val="single" w:color="auto" w:sz="4" w:space="0"/>
            </w:tcBorders>
            <w:vAlign w:val="center"/>
          </w:tcPr>
          <w:p w14:paraId="2DD7F99D">
            <w:pPr>
              <w:snapToGrid w:val="0"/>
              <w:spacing w:line="360" w:lineRule="auto"/>
              <w:rPr>
                <w:rFonts w:hint="eastAsia" w:ascii="宋体" w:hAnsi="宋体" w:cs="宋体"/>
              </w:rPr>
            </w:pPr>
            <w:r>
              <w:rPr>
                <w:rFonts w:hint="eastAsia" w:ascii="宋体" w:hAnsi="宋体" w:cs="宋体"/>
                <w:lang w:val="zh-TW"/>
              </w:rPr>
              <w:t>在投标文件递交截止时间前提交的补充、修改资料及</w:t>
            </w:r>
            <w:r>
              <w:rPr>
                <w:rFonts w:hint="eastAsia" w:ascii="宋体" w:hAnsi="宋体" w:cs="宋体"/>
              </w:rPr>
              <w:fldChar w:fldCharType="begin"/>
            </w:r>
            <w:r>
              <w:rPr>
                <w:rFonts w:hint="eastAsia" w:ascii="宋体" w:hAnsi="宋体" w:cs="宋体"/>
              </w:rPr>
              <w:instrText xml:space="preserve"> AUTOTEXT  input137 \* MERGEFORMAT </w:instrText>
            </w:r>
            <w:r>
              <w:rPr>
                <w:rFonts w:hint="eastAsia" w:ascii="宋体" w:hAnsi="宋体" w:cs="宋体"/>
              </w:rPr>
              <w:fldChar w:fldCharType="separate"/>
            </w:r>
            <w:r>
              <w:rPr>
                <w:rFonts w:hint="eastAsia" w:ascii="宋体" w:hAnsi="宋体" w:cs="宋体"/>
                <w:lang w:val="zh-TW"/>
              </w:rPr>
              <w:t>承诺书和投标人认为能证明自身实力的材料等</w:t>
            </w:r>
            <w:r>
              <w:rPr>
                <w:rFonts w:hint="eastAsia" w:ascii="宋体" w:hAnsi="宋体" w:cs="宋体"/>
                <w:lang w:val="zh-TW"/>
              </w:rPr>
              <w:fldChar w:fldCharType="end"/>
            </w:r>
            <w:r>
              <w:rPr>
                <w:rFonts w:hint="eastAsia" w:ascii="宋体" w:hAnsi="宋体" w:cs="宋体"/>
                <w:lang w:val="zh-TW"/>
              </w:rPr>
              <w:t>。</w:t>
            </w:r>
          </w:p>
        </w:tc>
      </w:tr>
      <w:tr w14:paraId="7EB50CCA">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706C02E4">
            <w:pPr>
              <w:snapToGrid w:val="0"/>
              <w:spacing w:line="360" w:lineRule="auto"/>
              <w:jc w:val="center"/>
              <w:rPr>
                <w:rFonts w:hint="eastAsia" w:ascii="宋体" w:hAnsi="宋体" w:cs="宋体"/>
              </w:rPr>
            </w:pPr>
            <w:r>
              <w:rPr>
                <w:rFonts w:hint="eastAsia" w:ascii="宋体" w:hAnsi="宋体" w:cs="宋体"/>
              </w:rPr>
              <w:t>3.2.1</w:t>
            </w:r>
          </w:p>
        </w:tc>
        <w:tc>
          <w:tcPr>
            <w:tcW w:w="2273" w:type="dxa"/>
            <w:tcBorders>
              <w:top w:val="single" w:color="auto" w:sz="4" w:space="0"/>
              <w:left w:val="single" w:color="auto" w:sz="4" w:space="0"/>
              <w:bottom w:val="single" w:color="auto" w:sz="4" w:space="0"/>
              <w:right w:val="single" w:color="auto" w:sz="4" w:space="0"/>
            </w:tcBorders>
            <w:vAlign w:val="center"/>
          </w:tcPr>
          <w:p w14:paraId="7E818F18">
            <w:pPr>
              <w:snapToGrid w:val="0"/>
              <w:spacing w:line="360" w:lineRule="auto"/>
              <w:jc w:val="center"/>
              <w:rPr>
                <w:rFonts w:hint="eastAsia" w:ascii="宋体" w:hAnsi="宋体" w:cs="宋体"/>
              </w:rPr>
            </w:pPr>
            <w:r>
              <w:rPr>
                <w:rFonts w:hint="eastAsia" w:ascii="宋体" w:hAnsi="宋体" w:cs="宋体"/>
              </w:rPr>
              <w:t>投标报价方式</w:t>
            </w:r>
          </w:p>
        </w:tc>
        <w:tc>
          <w:tcPr>
            <w:tcW w:w="6340" w:type="dxa"/>
            <w:tcBorders>
              <w:top w:val="single" w:color="auto" w:sz="4" w:space="0"/>
              <w:left w:val="single" w:color="auto" w:sz="4" w:space="0"/>
              <w:bottom w:val="single" w:color="auto" w:sz="4" w:space="0"/>
              <w:right w:val="single" w:color="auto" w:sz="4" w:space="0"/>
            </w:tcBorders>
            <w:vAlign w:val="center"/>
          </w:tcPr>
          <w:p w14:paraId="741AFD4B">
            <w:pPr>
              <w:snapToGrid w:val="0"/>
              <w:spacing w:line="360" w:lineRule="auto"/>
              <w:rPr>
                <w:rFonts w:hint="eastAsia" w:ascii="宋体" w:hAnsi="宋体" w:cs="宋体"/>
                <w:b/>
                <w:bCs/>
              </w:rPr>
            </w:pPr>
            <w:r>
              <w:rPr>
                <w:rFonts w:hint="eastAsia" w:ascii="宋体" w:hAnsi="宋体" w:cs="宋体"/>
                <w:b/>
                <w:bCs/>
              </w:rPr>
              <w:t>一、工程设计费</w:t>
            </w:r>
          </w:p>
          <w:p w14:paraId="030B2A3A">
            <w:pPr>
              <w:snapToGrid w:val="0"/>
              <w:spacing w:line="360" w:lineRule="auto"/>
              <w:rPr>
                <w:rFonts w:hint="eastAsia" w:ascii="宋体" w:hAnsi="宋体" w:cs="宋体"/>
              </w:rPr>
            </w:pPr>
            <w:bookmarkStart w:id="92" w:name="_Hlk120742992"/>
            <w:r>
              <w:rPr>
                <w:rFonts w:hint="eastAsia" w:ascii="宋体" w:hAnsi="宋体" w:cs="宋体"/>
              </w:rPr>
              <w:t>工程设计费报价方式：</w:t>
            </w:r>
            <w:r>
              <w:rPr>
                <w:rFonts w:hint="eastAsia" w:ascii="宋体" w:hAnsi="宋体" w:cs="宋体"/>
                <w:lang w:val="zh-TW"/>
              </w:rPr>
              <w:t>含税包干价。</w:t>
            </w:r>
          </w:p>
          <w:p w14:paraId="2A87AA51">
            <w:pPr>
              <w:snapToGrid w:val="0"/>
              <w:spacing w:line="360" w:lineRule="auto"/>
              <w:jc w:val="left"/>
              <w:rPr>
                <w:rFonts w:hint="eastAsia" w:ascii="宋体" w:hAnsi="宋体" w:cs="宋体"/>
                <w:lang w:val="zh-TW"/>
              </w:rPr>
            </w:pPr>
            <w:r>
              <w:rPr>
                <w:rFonts w:hint="eastAsia" w:ascii="宋体" w:hAnsi="宋体" w:cs="宋体"/>
                <w:lang w:val="zh-TW"/>
              </w:rPr>
              <w:t>(包含但不限于承包人按照招标范围规定的完成本项目的施工图设计、全套成果资料制作、配合发包人完成施工图审查、专家咨询、资料收集等相关工作，以及项目实施过程中的全过程设计服务及协调工作，施工阶段设计人员驻场服务及后续服务等全部费用，且包含本合同工作所需缴纳的一切税费，设计费包含设计全过程的一切费用，不得以任何理由予以增加），投标人的设计费报价不得高于招标人设置的招标控制价，否则作否决投标处理；</w:t>
            </w:r>
          </w:p>
          <w:p w14:paraId="100D258E">
            <w:pPr>
              <w:snapToGrid w:val="0"/>
              <w:spacing w:line="360" w:lineRule="auto"/>
              <w:rPr>
                <w:rFonts w:hint="eastAsia" w:ascii="宋体" w:hAnsi="宋体" w:cs="宋体"/>
                <w:b/>
                <w:bCs/>
              </w:rPr>
            </w:pPr>
            <w:r>
              <w:rPr>
                <w:rFonts w:hint="eastAsia" w:ascii="宋体" w:hAnsi="宋体" w:cs="宋体"/>
                <w:b/>
                <w:bCs/>
              </w:rPr>
              <w:t>二、建安工程费</w:t>
            </w:r>
          </w:p>
          <w:bookmarkEnd w:id="92"/>
          <w:p w14:paraId="2EB1B453">
            <w:pPr>
              <w:snapToGrid w:val="0"/>
              <w:spacing w:line="360" w:lineRule="auto"/>
              <w:rPr>
                <w:rFonts w:cs="Times New Roman"/>
                <w:sz w:val="24"/>
                <w:szCs w:val="24"/>
              </w:rPr>
            </w:pPr>
            <w:r>
              <w:rPr>
                <w:rFonts w:hint="eastAsia" w:ascii="宋体" w:hAnsi="宋体" w:cs="宋体"/>
              </w:rPr>
              <w:t>建安工程费报价方式：</w:t>
            </w:r>
            <w:r>
              <w:rPr>
                <w:rFonts w:hint="eastAsia" w:ascii="宋体" w:hAnsi="宋体" w:cs="宋体"/>
                <w:lang w:val="zh-TW"/>
              </w:rPr>
              <w:t>按</w:t>
            </w:r>
            <w:r>
              <w:rPr>
                <w:rFonts w:hint="eastAsia" w:ascii="宋体" w:hAnsi="宋体" w:cs="宋体"/>
              </w:rPr>
              <w:t>下浮率</w:t>
            </w:r>
            <w:r>
              <w:rPr>
                <w:rFonts w:hint="eastAsia" w:ascii="宋体" w:hAnsi="宋体" w:cs="宋体"/>
                <w:lang w:val="zh-TW"/>
              </w:rPr>
              <w:t xml:space="preserve">（%）自行报价。建安工程费以经审计机构审定的建安工程费为基数，投标人根据市场行情及自身情况填报下浮率。根据中标下浮率，以经审计机构审定的建安工程费为基数据实进行结算。 </w:t>
            </w:r>
          </w:p>
        </w:tc>
      </w:tr>
      <w:tr w14:paraId="243CEF02">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28395E52">
            <w:pPr>
              <w:snapToGrid w:val="0"/>
              <w:spacing w:line="360" w:lineRule="auto"/>
              <w:jc w:val="center"/>
              <w:rPr>
                <w:rFonts w:hint="eastAsia" w:ascii="宋体" w:hAnsi="宋体" w:cs="宋体"/>
              </w:rPr>
            </w:pPr>
            <w:r>
              <w:rPr>
                <w:rFonts w:hint="eastAsia" w:ascii="宋体" w:hAnsi="宋体" w:cs="宋体"/>
              </w:rPr>
              <w:t>3.2.3</w:t>
            </w:r>
          </w:p>
        </w:tc>
        <w:tc>
          <w:tcPr>
            <w:tcW w:w="2273" w:type="dxa"/>
            <w:tcBorders>
              <w:top w:val="single" w:color="auto" w:sz="4" w:space="0"/>
              <w:left w:val="single" w:color="auto" w:sz="4" w:space="0"/>
              <w:bottom w:val="single" w:color="auto" w:sz="4" w:space="0"/>
              <w:right w:val="single" w:color="auto" w:sz="4" w:space="0"/>
            </w:tcBorders>
            <w:vAlign w:val="center"/>
          </w:tcPr>
          <w:p w14:paraId="60530569">
            <w:pPr>
              <w:snapToGrid w:val="0"/>
              <w:spacing w:line="360" w:lineRule="auto"/>
              <w:jc w:val="center"/>
              <w:rPr>
                <w:rFonts w:hint="eastAsia" w:ascii="宋体" w:hAnsi="宋体" w:cs="宋体"/>
              </w:rPr>
            </w:pPr>
            <w:r>
              <w:rPr>
                <w:rFonts w:hint="eastAsia" w:ascii="宋体" w:hAnsi="宋体" w:cs="宋体"/>
              </w:rPr>
              <w:t>招标控制价</w:t>
            </w:r>
          </w:p>
        </w:tc>
        <w:tc>
          <w:tcPr>
            <w:tcW w:w="6340" w:type="dxa"/>
            <w:tcBorders>
              <w:top w:val="single" w:color="auto" w:sz="4" w:space="0"/>
              <w:left w:val="single" w:color="auto" w:sz="4" w:space="0"/>
              <w:bottom w:val="single" w:color="auto" w:sz="4" w:space="0"/>
              <w:right w:val="single" w:color="auto" w:sz="4" w:space="0"/>
            </w:tcBorders>
            <w:vAlign w:val="center"/>
          </w:tcPr>
          <w:p w14:paraId="77D26FCC">
            <w:pPr>
              <w:snapToGrid w:val="0"/>
              <w:spacing w:line="360" w:lineRule="auto"/>
              <w:rPr>
                <w:rFonts w:hint="eastAsia" w:ascii="宋体" w:hAnsi="宋体" w:cs="宋体"/>
                <w:b/>
                <w:bCs/>
                <w:lang w:val="zh-TW"/>
              </w:rPr>
            </w:pPr>
            <w:r>
              <w:rPr>
                <w:rFonts w:hint="eastAsia" w:ascii="宋体" w:hAnsi="宋体" w:cs="宋体"/>
                <w:b/>
                <w:bCs/>
                <w:lang w:val="zh-TW"/>
              </w:rPr>
              <w:t>本项目中</w:t>
            </w:r>
            <w:r>
              <w:rPr>
                <w:rFonts w:hint="eastAsia" w:ascii="宋体" w:hAnsi="宋体" w:cs="宋体"/>
                <w:b/>
                <w:bCs/>
              </w:rPr>
              <w:t>工程</w:t>
            </w:r>
            <w:r>
              <w:rPr>
                <w:rFonts w:hint="eastAsia" w:ascii="宋体" w:hAnsi="宋体" w:cs="宋体"/>
                <w:b/>
                <w:bCs/>
                <w:lang w:val="zh-TW"/>
              </w:rPr>
              <w:t>设计费和</w:t>
            </w:r>
            <w:r>
              <w:rPr>
                <w:rFonts w:hint="eastAsia" w:ascii="宋体" w:hAnsi="宋体" w:cs="宋体"/>
                <w:b/>
                <w:bCs/>
              </w:rPr>
              <w:t>建安工程费</w:t>
            </w:r>
            <w:r>
              <w:rPr>
                <w:rFonts w:hint="eastAsia" w:ascii="宋体" w:hAnsi="宋体" w:cs="宋体"/>
                <w:b/>
                <w:bCs/>
                <w:lang w:val="zh-TW"/>
              </w:rPr>
              <w:t>均设定招标控制价，投标人的</w:t>
            </w:r>
            <w:r>
              <w:rPr>
                <w:rFonts w:hint="eastAsia" w:ascii="宋体" w:hAnsi="宋体" w:cs="宋体"/>
                <w:b/>
                <w:bCs/>
              </w:rPr>
              <w:t>投标报价按下列规定填写</w:t>
            </w:r>
            <w:r>
              <w:rPr>
                <w:rFonts w:hint="eastAsia" w:ascii="宋体" w:hAnsi="宋体" w:cs="宋体"/>
                <w:b/>
                <w:bCs/>
                <w:lang w:val="zh-TW"/>
              </w:rPr>
              <w:t>，否则作否决投标处理。</w:t>
            </w:r>
          </w:p>
          <w:p w14:paraId="5949A1D1">
            <w:pPr>
              <w:snapToGrid w:val="0"/>
              <w:spacing w:line="360" w:lineRule="auto"/>
              <w:rPr>
                <w:rFonts w:hint="eastAsia" w:ascii="宋体" w:hAnsi="宋体" w:cs="宋体"/>
                <w:b/>
                <w:bCs/>
                <w:lang w:val="zh-TW"/>
              </w:rPr>
            </w:pPr>
            <w:r>
              <w:rPr>
                <w:rFonts w:hint="eastAsia" w:ascii="宋体" w:hAnsi="宋体" w:cs="宋体"/>
                <w:b/>
                <w:bCs/>
                <w:lang w:val="zh-TW"/>
              </w:rPr>
              <w:t>（1）</w:t>
            </w:r>
            <w:r>
              <w:rPr>
                <w:rFonts w:hint="eastAsia" w:ascii="宋体" w:hAnsi="宋体" w:cs="宋体"/>
                <w:b/>
                <w:bCs/>
              </w:rPr>
              <w:t>工程设计费招标控制价：9.25万元，</w:t>
            </w:r>
            <w:r>
              <w:rPr>
                <w:rFonts w:hint="eastAsia" w:ascii="宋体" w:hAnsi="宋体" w:cs="宋体"/>
                <w:b/>
                <w:bCs/>
                <w:lang w:val="zh-TW"/>
              </w:rPr>
              <w:t>投标人所报</w:t>
            </w:r>
            <w:r>
              <w:rPr>
                <w:rFonts w:hint="eastAsia" w:ascii="宋体" w:hAnsi="宋体" w:cs="宋体"/>
                <w:b/>
                <w:bCs/>
              </w:rPr>
              <w:t>工程设计费≤92500.00元</w:t>
            </w:r>
            <w:r>
              <w:rPr>
                <w:rFonts w:hint="eastAsia" w:ascii="宋体" w:hAnsi="宋体" w:cs="宋体"/>
                <w:b/>
                <w:bCs/>
                <w:lang w:val="zh-TW"/>
              </w:rPr>
              <w:t>；否则作否决投标处理。</w:t>
            </w:r>
          </w:p>
          <w:p w14:paraId="441EC0FE">
            <w:pPr>
              <w:snapToGrid w:val="0"/>
              <w:spacing w:line="360" w:lineRule="auto"/>
              <w:rPr>
                <w:rFonts w:hint="eastAsia" w:ascii="宋体" w:hAnsi="宋体" w:cs="宋体"/>
              </w:rPr>
            </w:pPr>
            <w:r>
              <w:rPr>
                <w:rFonts w:hint="eastAsia" w:ascii="宋体" w:hAnsi="宋体" w:cs="宋体"/>
                <w:b/>
                <w:bCs/>
                <w:lang w:val="zh-TW"/>
              </w:rPr>
              <w:t>（</w:t>
            </w:r>
            <w:r>
              <w:rPr>
                <w:rFonts w:hint="eastAsia" w:ascii="宋体" w:hAnsi="宋体" w:cs="宋体"/>
                <w:b/>
                <w:bCs/>
              </w:rPr>
              <w:t>2</w:t>
            </w:r>
            <w:r>
              <w:rPr>
                <w:rFonts w:hint="eastAsia" w:ascii="宋体" w:hAnsi="宋体" w:cs="宋体"/>
                <w:b/>
                <w:bCs/>
                <w:lang w:val="zh-TW"/>
              </w:rPr>
              <w:t>）</w:t>
            </w:r>
            <w:r>
              <w:rPr>
                <w:rFonts w:hint="eastAsia" w:ascii="宋体" w:hAnsi="宋体" w:cs="宋体"/>
                <w:b/>
                <w:bCs/>
              </w:rPr>
              <w:t>建安工程</w:t>
            </w:r>
            <w:r>
              <w:rPr>
                <w:rFonts w:hint="eastAsia" w:ascii="宋体" w:hAnsi="宋体" w:cs="宋体"/>
                <w:b/>
                <w:bCs/>
                <w:lang w:val="zh-TW"/>
              </w:rPr>
              <w:t>费</w:t>
            </w:r>
            <w:r>
              <w:rPr>
                <w:rFonts w:hint="eastAsia" w:ascii="宋体" w:hAnsi="宋体" w:cs="宋体"/>
                <w:b/>
                <w:bCs/>
              </w:rPr>
              <w:t>下浮率招标控制价：本项目的建安工程费暂定价为616.39万元；本项目建安工程费投标限价为：下浮率不低于1.00%，（小数点后保</w:t>
            </w:r>
            <w:r>
              <w:rPr>
                <w:rFonts w:hint="eastAsia" w:ascii="宋体" w:hAnsi="宋体" w:cs="宋体"/>
                <w:b/>
                <w:bCs/>
                <w:color w:val="000000"/>
                <w:kern w:val="0"/>
                <w:sz w:val="22"/>
                <w:szCs w:val="22"/>
                <w:lang w:bidi="ar"/>
              </w:rPr>
              <w:t>留一位小数）</w:t>
            </w:r>
            <w:r>
              <w:rPr>
                <w:rFonts w:hint="eastAsia" w:ascii="宋体" w:hAnsi="宋体" w:cs="宋体"/>
                <w:color w:val="000000"/>
                <w:kern w:val="0"/>
                <w:sz w:val="22"/>
                <w:szCs w:val="22"/>
                <w:lang w:bidi="ar"/>
              </w:rPr>
              <w:t>。合同执行期间中标下浮率不作调整</w:t>
            </w:r>
            <w:r>
              <w:rPr>
                <w:rFonts w:hint="eastAsia" w:ascii="宋体" w:hAnsi="宋体" w:cs="宋体"/>
                <w:b/>
                <w:bCs/>
                <w:lang w:val="zh-TW"/>
              </w:rPr>
              <w:t>；否则作否决投标处理。</w:t>
            </w:r>
          </w:p>
        </w:tc>
      </w:tr>
      <w:tr w14:paraId="73EBEC2B">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7378EA01">
            <w:pPr>
              <w:snapToGrid w:val="0"/>
              <w:spacing w:line="360" w:lineRule="auto"/>
              <w:jc w:val="center"/>
              <w:rPr>
                <w:rFonts w:hint="eastAsia" w:ascii="宋体" w:hAnsi="宋体" w:cs="宋体"/>
              </w:rPr>
            </w:pPr>
            <w:r>
              <w:rPr>
                <w:rFonts w:hint="eastAsia" w:ascii="宋体" w:hAnsi="宋体" w:cs="宋体"/>
              </w:rPr>
              <w:t>3.2.4</w:t>
            </w:r>
          </w:p>
        </w:tc>
        <w:tc>
          <w:tcPr>
            <w:tcW w:w="2273" w:type="dxa"/>
            <w:tcBorders>
              <w:top w:val="single" w:color="auto" w:sz="4" w:space="0"/>
              <w:left w:val="single" w:color="auto" w:sz="4" w:space="0"/>
              <w:bottom w:val="single" w:color="auto" w:sz="4" w:space="0"/>
              <w:right w:val="single" w:color="auto" w:sz="4" w:space="0"/>
            </w:tcBorders>
            <w:vAlign w:val="center"/>
          </w:tcPr>
          <w:p w14:paraId="61B5849C">
            <w:pPr>
              <w:snapToGrid w:val="0"/>
              <w:spacing w:line="360" w:lineRule="auto"/>
              <w:jc w:val="center"/>
              <w:rPr>
                <w:rFonts w:hint="eastAsia" w:ascii="宋体" w:hAnsi="宋体" w:cs="宋体"/>
              </w:rPr>
            </w:pPr>
            <w:r>
              <w:rPr>
                <w:rFonts w:hint="eastAsia" w:ascii="宋体" w:hAnsi="宋体" w:cs="宋体"/>
              </w:rPr>
              <w:t>竣工结算方法</w:t>
            </w:r>
          </w:p>
        </w:tc>
        <w:tc>
          <w:tcPr>
            <w:tcW w:w="6340" w:type="dxa"/>
            <w:tcBorders>
              <w:top w:val="single" w:color="auto" w:sz="4" w:space="0"/>
              <w:left w:val="single" w:color="auto" w:sz="4" w:space="0"/>
              <w:bottom w:val="single" w:color="auto" w:sz="4" w:space="0"/>
              <w:right w:val="single" w:color="auto" w:sz="4" w:space="0"/>
            </w:tcBorders>
            <w:vAlign w:val="center"/>
          </w:tcPr>
          <w:p w14:paraId="0E25491E">
            <w:pPr>
              <w:snapToGrid w:val="0"/>
              <w:spacing w:line="360" w:lineRule="auto"/>
              <w:rPr>
                <w:rFonts w:hint="eastAsia" w:ascii="宋体" w:hAnsi="宋体" w:cs="宋体"/>
                <w:b/>
                <w:bCs/>
                <w:lang w:val="zh-TW"/>
              </w:rPr>
            </w:pPr>
            <w:r>
              <w:rPr>
                <w:rFonts w:hint="eastAsia" w:ascii="宋体" w:hAnsi="宋体" w:cs="宋体"/>
                <w:b/>
                <w:bCs/>
                <w:lang w:val="zh-TW"/>
              </w:rPr>
              <w:t>1.工程竣工结算时按经发包人、监理人、承包人等现场签证实际完成的工程量据实结算；</w:t>
            </w:r>
          </w:p>
          <w:p w14:paraId="252F4C48">
            <w:pPr>
              <w:snapToGrid w:val="0"/>
              <w:spacing w:line="360" w:lineRule="auto"/>
              <w:rPr>
                <w:rFonts w:hint="eastAsia" w:ascii="宋体" w:hAnsi="宋体" w:cs="宋体"/>
                <w:b/>
                <w:bCs/>
                <w:lang w:val="zh-TW"/>
              </w:rPr>
            </w:pPr>
            <w:r>
              <w:rPr>
                <w:rFonts w:hint="eastAsia" w:ascii="宋体" w:hAnsi="宋体" w:cs="宋体"/>
                <w:b/>
                <w:bCs/>
                <w:lang w:val="zh-TW"/>
              </w:rPr>
              <w:t>2.工程竣工最终结算总价=设计</w:t>
            </w:r>
            <w:r>
              <w:rPr>
                <w:rFonts w:hint="eastAsia" w:ascii="宋体" w:hAnsi="宋体" w:cs="宋体"/>
                <w:b/>
                <w:bCs/>
              </w:rPr>
              <w:t>费</w:t>
            </w:r>
            <w:r>
              <w:rPr>
                <w:rFonts w:hint="eastAsia" w:ascii="宋体" w:hAnsi="宋体" w:cs="宋体"/>
                <w:b/>
                <w:bCs/>
                <w:lang w:val="zh-TW"/>
              </w:rPr>
              <w:t>+工程</w:t>
            </w:r>
            <w:r>
              <w:rPr>
                <w:rFonts w:hint="eastAsia" w:ascii="宋体" w:hAnsi="宋体" w:cs="宋体"/>
                <w:b/>
                <w:bCs/>
              </w:rPr>
              <w:t>建安工程费</w:t>
            </w:r>
            <w:r>
              <w:rPr>
                <w:rFonts w:hint="eastAsia" w:ascii="宋体" w:hAnsi="宋体" w:cs="宋体"/>
                <w:b/>
                <w:bCs/>
                <w:lang w:val="zh-TW"/>
              </w:rPr>
              <w:t>结算价；</w:t>
            </w:r>
          </w:p>
          <w:p w14:paraId="2CFF6C7E">
            <w:pPr>
              <w:snapToGrid w:val="0"/>
              <w:spacing w:line="360" w:lineRule="auto"/>
              <w:rPr>
                <w:rFonts w:hint="eastAsia" w:ascii="宋体" w:hAnsi="宋体" w:cs="宋体"/>
                <w:lang w:val="zh-TW"/>
              </w:rPr>
            </w:pPr>
            <w:r>
              <w:rPr>
                <w:rFonts w:hint="eastAsia" w:ascii="宋体" w:hAnsi="宋体" w:cs="宋体"/>
              </w:rPr>
              <w:t>2.1</w:t>
            </w:r>
            <w:r>
              <w:rPr>
                <w:rFonts w:hint="eastAsia" w:ascii="宋体" w:hAnsi="宋体" w:cs="宋体"/>
                <w:b/>
                <w:bCs/>
              </w:rPr>
              <w:t>设计费为含税包干价</w:t>
            </w:r>
            <w:r>
              <w:rPr>
                <w:rFonts w:hint="eastAsia" w:ascii="宋体" w:hAnsi="宋体" w:cs="宋体"/>
                <w:lang w:val="zh-TW"/>
              </w:rPr>
              <w:t>包含但不限于承包人按照招标范围规定的完成本项目的施工图设计、全套成果资料制作、配合发包人完成施工图审查、专家咨询、资料收集等相关工作，以及项目实施过程中的全过程设计服务及协调工作，施工阶段设计人员驻场服务及后续服务等全部费用，且包含本合同工作所需缴纳的一切税费，设计费包含设计全过程的一切费用，不得以任何理由予以增加）。</w:t>
            </w:r>
          </w:p>
          <w:p w14:paraId="13ED8469">
            <w:pPr>
              <w:snapToGrid w:val="0"/>
              <w:spacing w:line="360" w:lineRule="auto"/>
              <w:rPr>
                <w:rFonts w:hint="eastAsia" w:ascii="宋体" w:hAnsi="宋体" w:eastAsia="宋体" w:cs="宋体"/>
                <w:lang w:eastAsia="zh-CN"/>
              </w:rPr>
            </w:pPr>
            <w:r>
              <w:rPr>
                <w:rFonts w:hint="eastAsia" w:ascii="宋体" w:hAnsi="宋体" w:cs="宋体"/>
              </w:rPr>
              <w:t>2.2</w:t>
            </w:r>
            <w:r>
              <w:rPr>
                <w:rFonts w:hint="eastAsia" w:ascii="宋体" w:hAnsi="宋体" w:cs="宋体"/>
                <w:b/>
                <w:bCs/>
                <w:lang w:val="zh-TW"/>
              </w:rPr>
              <w:t>本项目的工程</w:t>
            </w:r>
            <w:r>
              <w:rPr>
                <w:rFonts w:hint="eastAsia" w:ascii="宋体" w:hAnsi="宋体" w:cs="宋体"/>
                <w:b/>
                <w:bCs/>
              </w:rPr>
              <w:t>建安工程费</w:t>
            </w:r>
            <w:r>
              <w:rPr>
                <w:rFonts w:hint="eastAsia" w:ascii="宋体" w:hAnsi="宋体" w:cs="宋体"/>
                <w:b/>
                <w:bCs/>
                <w:lang w:val="zh-TW"/>
              </w:rPr>
              <w:t>结算价</w:t>
            </w:r>
            <w:r>
              <w:rPr>
                <w:rFonts w:hint="eastAsia" w:ascii="宋体" w:hAnsi="宋体" w:cs="宋体"/>
                <w:lang w:val="zh-TW"/>
              </w:rPr>
              <w:t>不得超过</w:t>
            </w:r>
            <w:r>
              <w:rPr>
                <w:rFonts w:hint="eastAsia" w:ascii="宋体" w:hAnsi="宋体" w:cs="宋体"/>
              </w:rPr>
              <w:t>616.39万元，结算后如果</w:t>
            </w:r>
            <w:r>
              <w:rPr>
                <w:rFonts w:hint="eastAsia" w:ascii="宋体" w:hAnsi="宋体" w:cs="宋体"/>
                <w:lang w:val="zh-TW"/>
              </w:rPr>
              <w:t>工程</w:t>
            </w:r>
            <w:r>
              <w:rPr>
                <w:rFonts w:hint="eastAsia" w:ascii="宋体" w:hAnsi="宋体" w:cs="宋体"/>
              </w:rPr>
              <w:t>建安工程费</w:t>
            </w:r>
            <w:r>
              <w:rPr>
                <w:rFonts w:hint="eastAsia" w:ascii="宋体" w:hAnsi="宋体" w:cs="宋体"/>
                <w:lang w:val="zh-TW"/>
              </w:rPr>
              <w:t>结算价小于</w:t>
            </w:r>
            <w:r>
              <w:rPr>
                <w:rFonts w:hint="eastAsia" w:ascii="宋体" w:hAnsi="宋体" w:cs="宋体"/>
              </w:rPr>
              <w:t>616.39万元，则</w:t>
            </w:r>
            <w:r>
              <w:rPr>
                <w:rFonts w:hint="eastAsia" w:ascii="宋体" w:hAnsi="宋体" w:cs="宋体"/>
                <w:lang w:val="zh-TW"/>
              </w:rPr>
              <w:t>本项目的工程</w:t>
            </w:r>
            <w:r>
              <w:rPr>
                <w:rFonts w:hint="eastAsia" w:ascii="宋体" w:hAnsi="宋体" w:cs="宋体"/>
              </w:rPr>
              <w:t>建安工程费</w:t>
            </w:r>
            <w:r>
              <w:rPr>
                <w:rFonts w:hint="eastAsia" w:ascii="宋体" w:hAnsi="宋体" w:cs="宋体"/>
                <w:lang w:val="zh-TW"/>
              </w:rPr>
              <w:t>结算价=</w:t>
            </w:r>
            <w:r>
              <w:rPr>
                <w:rFonts w:hint="eastAsia" w:ascii="宋体" w:hAnsi="宋体" w:cs="宋体"/>
              </w:rPr>
              <w:t>(最终审计单位审定的建筑安装工程费-安全文明施工费-规费-税金</w:t>
            </w:r>
            <w:r>
              <w:rPr>
                <w:rFonts w:hint="eastAsia" w:ascii="宋体" w:hAnsi="宋体" w:cs="宋体"/>
                <w:lang w:eastAsia="zh-CN"/>
              </w:rPr>
              <w:t>）</w:t>
            </w:r>
            <w:r>
              <w:rPr>
                <w:rFonts w:hint="eastAsia" w:ascii="宋体" w:hAnsi="宋体" w:cs="宋体"/>
              </w:rPr>
              <w:t>x(1-中标优惠下浮率</w:t>
            </w:r>
            <w:r>
              <w:rPr>
                <w:rFonts w:hint="eastAsia" w:ascii="宋体" w:hAnsi="宋体" w:cs="宋体"/>
                <w:lang w:eastAsia="zh-CN"/>
              </w:rPr>
              <w:t>）</w:t>
            </w:r>
            <w:r>
              <w:rPr>
                <w:rFonts w:hint="eastAsia" w:ascii="宋体" w:hAnsi="宋体" w:cs="宋体"/>
              </w:rPr>
              <w:t>+安全文明施工费+规费+税金。如果本项目的工程建安工程费结算价大于616.39万元，则本项目的工程施工竣工结算价为616.39万元。</w:t>
            </w:r>
          </w:p>
          <w:p w14:paraId="777B83B4">
            <w:pPr>
              <w:snapToGrid w:val="0"/>
              <w:spacing w:line="360" w:lineRule="auto"/>
              <w:rPr>
                <w:rFonts w:hint="eastAsia" w:ascii="宋体" w:hAnsi="宋体" w:cs="宋体"/>
                <w:lang w:val="zh-TW"/>
              </w:rPr>
            </w:pPr>
            <w:r>
              <w:rPr>
                <w:rFonts w:hint="eastAsia" w:ascii="宋体" w:hAnsi="宋体" w:cs="宋体"/>
              </w:rPr>
              <w:t xml:space="preserve">1.按下列原则采用定额计价模式计算建安工程费： </w:t>
            </w:r>
          </w:p>
          <w:p w14:paraId="32700A3B">
            <w:pPr>
              <w:snapToGrid w:val="0"/>
              <w:spacing w:line="360" w:lineRule="auto"/>
              <w:rPr>
                <w:rFonts w:hint="eastAsia" w:ascii="宋体" w:hAnsi="宋体" w:cs="宋体"/>
                <w:lang w:val="zh-TW"/>
              </w:rPr>
            </w:pPr>
            <w:r>
              <w:rPr>
                <w:rFonts w:hint="eastAsia" w:ascii="宋体" w:hAnsi="宋体" w:cs="宋体"/>
              </w:rPr>
              <w:t xml:space="preserve">①结算编制依据：合同、施工图、签证变更、经批准的施工组织设计及其他，并执行云南省住房和城乡建设厅《关于发布施行云南省2020版建设工程造价计价依据的通知》、相关配套定额及云南省现行计价调整文件（若施工期间发布新的定额及政策性文件时，在符合要求的前提下按新发布的定额、文件执行）。 </w:t>
            </w:r>
          </w:p>
          <w:p w14:paraId="09DEC3C9">
            <w:pPr>
              <w:snapToGrid w:val="0"/>
              <w:spacing w:line="360" w:lineRule="auto"/>
              <w:rPr>
                <w:rFonts w:hint="eastAsia" w:ascii="宋体" w:hAnsi="宋体" w:cs="宋体"/>
                <w:lang w:val="zh-TW"/>
              </w:rPr>
            </w:pPr>
            <w:r>
              <w:rPr>
                <w:rFonts w:hint="eastAsia" w:ascii="宋体" w:hAnsi="宋体" w:cs="宋体"/>
              </w:rPr>
              <w:t xml:space="preserve">②材料价格的确定：材料价格的确定：材料价格按照工程开工令下达当月《楚雄州建设工程材料及设备价格信息》中“姚安县除税综合参考价”，缺项部分先按《楚雄州建设工程材料及设备价格信息》中“楚雄市除税综合参考价”，以上价格信息缺项部分再按《云南省建设工程材料及设备价格信息》除税信息价为准。 </w:t>
            </w:r>
          </w:p>
          <w:p w14:paraId="7CE07D9D">
            <w:pPr>
              <w:snapToGrid w:val="0"/>
              <w:spacing w:line="360" w:lineRule="auto"/>
              <w:rPr>
                <w:rFonts w:hint="eastAsia" w:ascii="宋体" w:hAnsi="宋体" w:cs="宋体"/>
                <w:lang w:val="zh-TW"/>
              </w:rPr>
            </w:pPr>
            <w:r>
              <w:rPr>
                <w:rFonts w:hint="eastAsia" w:ascii="宋体" w:hAnsi="宋体" w:cs="宋体"/>
              </w:rPr>
              <w:t xml:space="preserve">以上未有的材料价格信息，由四方（建设单位、施工单位、监理单位、造价单位）共同询价确定并做好签证记录。 </w:t>
            </w:r>
          </w:p>
          <w:p w14:paraId="2C277379">
            <w:pPr>
              <w:snapToGrid w:val="0"/>
              <w:spacing w:line="360" w:lineRule="auto"/>
              <w:rPr>
                <w:rFonts w:hint="eastAsia" w:ascii="宋体" w:hAnsi="宋体" w:cs="宋体"/>
                <w:lang w:val="zh-TW"/>
              </w:rPr>
            </w:pPr>
            <w:r>
              <w:rPr>
                <w:rFonts w:hint="eastAsia" w:ascii="宋体" w:hAnsi="宋体" w:cs="宋体"/>
              </w:rPr>
              <w:t>③工程量的确认：计量按照《建设工程工程量清单计价标准》GB/T50500-2024、《云南省建设工程造价计价规则及机械仪器仪表台班费用定额》（DBJ53/T-58-2020）、《市政工程工程量计算标准》GB/T50857-2024、《云南省园林绿化工程计价标准》（DBJ53/T-60-2020）、《云南省建筑工程计价标准》（DBJ53/T-61-2020）、《通用安装工程工程量计算标准》GB/T50856-2024、《云南省装配式建筑工程计价标准》（DBJ53/T-110-2020）、《云南省城市地下综合管廊工程计价标准》（DBJ53/T-111-2020）、《云南省绿色建筑工程计价标准（DBJ53/T-112-2020）、云南省住房和城乡建设厅《关于云南省建设工程造价计价标准调整人工费的通知》（云建科</w:t>
            </w:r>
            <w:r>
              <w:rPr>
                <w:rFonts w:hint="eastAsia" w:ascii="宋体" w:hAnsi="宋体" w:cs="宋体"/>
                <w:lang w:eastAsia="zh-CN"/>
              </w:rPr>
              <w:t>〔2023〕54号</w:t>
            </w:r>
            <w:r>
              <w:rPr>
                <w:rFonts w:hint="eastAsia" w:ascii="宋体" w:hAnsi="宋体" w:cs="宋体"/>
              </w:rPr>
              <w:t>）及相应配套文件执行，工程量以造价咨询公司及监理人审定的实际完成工程量计算。</w:t>
            </w:r>
          </w:p>
          <w:p w14:paraId="434AF3E6">
            <w:pPr>
              <w:snapToGrid w:val="0"/>
              <w:spacing w:line="360" w:lineRule="auto"/>
              <w:rPr>
                <w:rFonts w:hint="eastAsia" w:ascii="宋体" w:hAnsi="宋体" w:cs="宋体"/>
              </w:rPr>
            </w:pPr>
            <w:r>
              <w:rPr>
                <w:rFonts w:hint="eastAsia" w:ascii="宋体" w:hAnsi="宋体" w:cs="宋体"/>
              </w:rPr>
              <w:t xml:space="preserve">④建安工程费最终结算编制依据：合同、施工图、签证、变更、通知、会议纪要、图纸会审记录、经批准的施工组织设计、专项施工方案、经审查的工程量清单。 </w:t>
            </w:r>
          </w:p>
          <w:p w14:paraId="7D21D645">
            <w:pPr>
              <w:snapToGrid w:val="0"/>
              <w:spacing w:line="360" w:lineRule="auto"/>
              <w:rPr>
                <w:rFonts w:hint="eastAsia" w:ascii="宋体" w:hAnsi="宋体" w:cs="宋体"/>
                <w:lang w:val="zh-TW"/>
              </w:rPr>
            </w:pPr>
            <w:r>
              <w:rPr>
                <w:rFonts w:hint="eastAsia" w:ascii="宋体" w:hAnsi="宋体" w:cs="宋体"/>
              </w:rPr>
              <w:t>注：1、建安工程费不得上浮，所报投标报价为下浮率。否则按否决投标处理。</w:t>
            </w:r>
          </w:p>
          <w:p w14:paraId="4FFC01D6">
            <w:pPr>
              <w:snapToGrid w:val="0"/>
              <w:spacing w:line="360" w:lineRule="auto"/>
              <w:rPr>
                <w:rFonts w:hint="eastAsia" w:ascii="宋体" w:hAnsi="宋体" w:cs="宋体"/>
              </w:rPr>
            </w:pPr>
            <w:r>
              <w:rPr>
                <w:rFonts w:hint="eastAsia" w:ascii="宋体" w:hAnsi="宋体" w:cs="宋体"/>
              </w:rPr>
              <w:t>2、本项目设备采购按政府采购相关法律法规实施，设备总价结算按建安工程费的结算金额的中标下浮率执行。</w:t>
            </w:r>
          </w:p>
        </w:tc>
      </w:tr>
      <w:tr w14:paraId="6743FD9B">
        <w:tblPrEx>
          <w:tblCellMar>
            <w:top w:w="0" w:type="dxa"/>
            <w:left w:w="108" w:type="dxa"/>
            <w:bottom w:w="0" w:type="dxa"/>
            <w:right w:w="108" w:type="dxa"/>
          </w:tblCellMar>
        </w:tblPrEx>
        <w:tc>
          <w:tcPr>
            <w:tcW w:w="939" w:type="dxa"/>
            <w:gridSpan w:val="2"/>
            <w:tcBorders>
              <w:top w:val="single" w:color="auto" w:sz="4" w:space="0"/>
              <w:left w:val="single" w:color="auto" w:sz="4" w:space="0"/>
              <w:bottom w:val="single" w:color="auto" w:sz="4" w:space="0"/>
              <w:right w:val="single" w:color="auto" w:sz="4" w:space="0"/>
            </w:tcBorders>
            <w:vAlign w:val="center"/>
          </w:tcPr>
          <w:p w14:paraId="7C47FC68">
            <w:pPr>
              <w:snapToGrid w:val="0"/>
              <w:spacing w:line="360" w:lineRule="auto"/>
              <w:jc w:val="center"/>
              <w:rPr>
                <w:rFonts w:hint="eastAsia" w:ascii="宋体" w:hAnsi="宋体" w:cs="宋体"/>
              </w:rPr>
            </w:pPr>
            <w:r>
              <w:rPr>
                <w:rFonts w:hint="eastAsia" w:ascii="宋体" w:hAnsi="宋体" w:cs="宋体"/>
              </w:rPr>
              <w:t>3.3.3</w:t>
            </w:r>
          </w:p>
        </w:tc>
        <w:tc>
          <w:tcPr>
            <w:tcW w:w="2273" w:type="dxa"/>
            <w:tcBorders>
              <w:top w:val="single" w:color="auto" w:sz="4" w:space="0"/>
              <w:left w:val="single" w:color="auto" w:sz="4" w:space="0"/>
              <w:bottom w:val="single" w:color="auto" w:sz="4" w:space="0"/>
              <w:right w:val="single" w:color="auto" w:sz="4" w:space="0"/>
            </w:tcBorders>
            <w:vAlign w:val="center"/>
          </w:tcPr>
          <w:p w14:paraId="1E45866D">
            <w:pPr>
              <w:snapToGrid w:val="0"/>
              <w:spacing w:line="360" w:lineRule="auto"/>
              <w:jc w:val="center"/>
              <w:rPr>
                <w:rFonts w:hint="eastAsia" w:ascii="宋体" w:hAnsi="宋体" w:cs="宋体"/>
              </w:rPr>
            </w:pPr>
            <w:r>
              <w:rPr>
                <w:rFonts w:hint="eastAsia" w:ascii="宋体" w:hAnsi="宋体" w:cs="宋体"/>
              </w:rPr>
              <w:t>投标有效期</w:t>
            </w:r>
          </w:p>
        </w:tc>
        <w:tc>
          <w:tcPr>
            <w:tcW w:w="6340" w:type="dxa"/>
            <w:tcBorders>
              <w:top w:val="single" w:color="auto" w:sz="4" w:space="0"/>
              <w:left w:val="single" w:color="auto" w:sz="4" w:space="0"/>
              <w:bottom w:val="single" w:color="auto" w:sz="4" w:space="0"/>
              <w:right w:val="single" w:color="auto" w:sz="4" w:space="0"/>
            </w:tcBorders>
            <w:vAlign w:val="center"/>
          </w:tcPr>
          <w:p w14:paraId="33E38BEA">
            <w:pPr>
              <w:snapToGrid w:val="0"/>
              <w:spacing w:line="360" w:lineRule="auto"/>
              <w:rPr>
                <w:rFonts w:hint="eastAsia" w:ascii="宋体" w:hAnsi="宋体" w:cs="宋体"/>
              </w:rPr>
            </w:pPr>
            <w:r>
              <w:rPr>
                <w:rFonts w:ascii="宋体" w:hAnsi="宋体" w:cs="宋体"/>
              </w:rPr>
              <w:t>从投标截止之日起</w:t>
            </w:r>
            <w:r>
              <w:rPr>
                <w:rFonts w:hint="eastAsia" w:ascii="宋体" w:hAnsi="宋体" w:cs="宋体"/>
              </w:rPr>
              <w:t>90日历天。</w:t>
            </w:r>
          </w:p>
        </w:tc>
      </w:tr>
      <w:tr w14:paraId="17A128D2">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52AFF721">
            <w:pPr>
              <w:snapToGrid w:val="0"/>
              <w:spacing w:line="360" w:lineRule="auto"/>
              <w:jc w:val="center"/>
              <w:rPr>
                <w:rFonts w:hint="eastAsia" w:ascii="宋体" w:hAnsi="宋体" w:cs="宋体"/>
              </w:rPr>
            </w:pPr>
            <w:r>
              <w:rPr>
                <w:rFonts w:hint="eastAsia" w:ascii="宋体" w:hAnsi="宋体" w:cs="宋体"/>
              </w:rPr>
              <w:t>3.4.1</w:t>
            </w:r>
          </w:p>
        </w:tc>
        <w:tc>
          <w:tcPr>
            <w:tcW w:w="2273" w:type="dxa"/>
            <w:tcBorders>
              <w:top w:val="single" w:color="auto" w:sz="4" w:space="0"/>
              <w:left w:val="single" w:color="auto" w:sz="4" w:space="0"/>
              <w:bottom w:val="single" w:color="auto" w:sz="4" w:space="0"/>
              <w:right w:val="single" w:color="auto" w:sz="4" w:space="0"/>
            </w:tcBorders>
            <w:vAlign w:val="center"/>
          </w:tcPr>
          <w:p w14:paraId="1204CBD4">
            <w:pPr>
              <w:snapToGrid w:val="0"/>
              <w:spacing w:line="360" w:lineRule="auto"/>
              <w:jc w:val="center"/>
              <w:rPr>
                <w:rFonts w:hint="eastAsia" w:ascii="宋体" w:hAnsi="宋体" w:cs="宋体"/>
              </w:rPr>
            </w:pPr>
            <w:r>
              <w:rPr>
                <w:rFonts w:hint="eastAsia" w:ascii="宋体" w:hAnsi="宋体" w:cs="宋体"/>
              </w:rPr>
              <w:t>投标保证金</w:t>
            </w:r>
          </w:p>
        </w:tc>
        <w:tc>
          <w:tcPr>
            <w:tcW w:w="6340" w:type="dxa"/>
            <w:tcBorders>
              <w:top w:val="single" w:color="auto" w:sz="4" w:space="0"/>
              <w:left w:val="single" w:color="auto" w:sz="4" w:space="0"/>
              <w:bottom w:val="single" w:color="auto" w:sz="4" w:space="0"/>
              <w:right w:val="single" w:color="auto" w:sz="4" w:space="0"/>
            </w:tcBorders>
            <w:vAlign w:val="center"/>
          </w:tcPr>
          <w:p w14:paraId="039D278F">
            <w:pPr>
              <w:snapToGrid w:val="0"/>
              <w:spacing w:line="360" w:lineRule="auto"/>
              <w:ind w:firstLine="420" w:firstLineChars="200"/>
            </w:pPr>
            <w:r>
              <w:rPr>
                <w:rFonts w:hint="eastAsia"/>
              </w:rPr>
              <w:t>本项目招标金额为</w:t>
            </w:r>
            <w:r>
              <w:rPr>
                <w:rFonts w:hint="eastAsia"/>
                <w:lang w:val="en-US" w:eastAsia="zh-CN"/>
              </w:rPr>
              <w:t>965</w:t>
            </w:r>
            <w:r>
              <w:rPr>
                <w:rFonts w:hint="eastAsia"/>
              </w:rPr>
              <w:t>万元。根据投标保 证金减免相关规定，对本项目投标保证金给予减免。投标人根据自身情况自行选择确定享受免于收取、降低收取数额等政策。选择享受降低收取数额政策的，投标人可采用保险保函、银行转账任一形式缴纳投标保证金。</w:t>
            </w:r>
          </w:p>
          <w:p w14:paraId="0B1F1E94">
            <w:pPr>
              <w:snapToGrid w:val="0"/>
              <w:spacing w:line="360" w:lineRule="auto"/>
              <w:ind w:firstLine="420" w:firstLineChars="200"/>
            </w:pPr>
            <w:r>
              <w:rPr>
                <w:rFonts w:hint="eastAsia"/>
              </w:rPr>
              <w:t>（一）降低收取金额。按照投标保证金不得超过招标项目估算价的2%的规定，本项目应收取投标保证金金额为</w:t>
            </w:r>
            <w:r>
              <w:rPr>
                <w:rFonts w:hint="eastAsia"/>
                <w:lang w:val="en-US" w:eastAsia="zh-CN"/>
              </w:rPr>
              <w:t>19.3</w:t>
            </w:r>
            <w:r>
              <w:rPr>
                <w:rFonts w:hint="eastAsia"/>
              </w:rPr>
              <w:t>万元。现落实减免投标保证金降幅不得低于现收取金额的50%的政策要求，实际收取5万元，降幅为</w:t>
            </w:r>
            <w:r>
              <w:rPr>
                <w:rFonts w:hint="eastAsia"/>
                <w:lang w:val="en-US" w:eastAsia="zh-CN"/>
              </w:rPr>
              <w:t>74.09</w:t>
            </w:r>
            <w:r>
              <w:rPr>
                <w:rFonts w:hint="eastAsia"/>
              </w:rPr>
              <w:t>%。</w:t>
            </w:r>
          </w:p>
          <w:p w14:paraId="5928F6DE">
            <w:pPr>
              <w:snapToGrid w:val="0"/>
              <w:spacing w:line="360" w:lineRule="auto"/>
              <w:ind w:firstLine="420" w:firstLineChars="200"/>
            </w:pPr>
            <w:r>
              <w:rPr>
                <w:rFonts w:hint="eastAsia"/>
              </w:rPr>
              <w:t>（二）免于收取情况。本项目免于收取无失信记录企业投标保证金。对提交无失信记录免交投标保证金的项目，投标人可在交易系统保证金缴纳页面直接获取信用报告，签名确认后即可完成无失信记录证明材料的提交工作。若无法获取信用报告，则需登录信用中国等网站，对照招标文件要求自行下载相关信用信息并按要求上传至系统。开标后，将组织对投标人提交的无失信记录信息进行核验。如发现上传信息错误、存在失信记录等情况的，将不予受理通过，相关后果将由投标人自行承担。</w:t>
            </w:r>
          </w:p>
          <w:p w14:paraId="027E99A1">
            <w:pPr>
              <w:snapToGrid w:val="0"/>
              <w:spacing w:line="360" w:lineRule="auto"/>
              <w:ind w:firstLine="420" w:firstLineChars="200"/>
            </w:pPr>
            <w:r>
              <w:rPr>
                <w:rFonts w:hint="eastAsia"/>
              </w:rPr>
              <w:t>（三）银行转账。投标人使用注册企业数字证书（CA）时提供的基本账户，向本项目交易保证金账户转账，收款银行及</w:t>
            </w:r>
          </w:p>
          <w:p w14:paraId="62946DBB">
            <w:pPr>
              <w:snapToGrid w:val="0"/>
              <w:spacing w:line="360" w:lineRule="auto"/>
              <w:ind w:firstLine="420" w:firstLineChars="200"/>
            </w:pPr>
            <w:r>
              <w:rPr>
                <w:rFonts w:hint="eastAsia"/>
              </w:rPr>
              <w:t>（动态）账号如下。</w:t>
            </w:r>
          </w:p>
          <w:p w14:paraId="4D47CD45">
            <w:pPr>
              <w:snapToGrid w:val="0"/>
              <w:spacing w:line="360" w:lineRule="auto"/>
              <w:ind w:firstLine="420" w:firstLineChars="200"/>
            </w:pPr>
            <w:r>
              <w:rPr>
                <w:rFonts w:hint="eastAsia"/>
              </w:rPr>
              <w:t>户名：姚安县政务服务管理局保证金专户</w:t>
            </w:r>
          </w:p>
          <w:p w14:paraId="4BC4E5AA">
            <w:pPr>
              <w:snapToGrid w:val="0"/>
              <w:spacing w:line="360" w:lineRule="auto"/>
              <w:ind w:firstLine="420" w:firstLineChars="200"/>
            </w:pPr>
            <w:r>
              <w:rPr>
                <w:rFonts w:hint="eastAsia"/>
              </w:rPr>
              <w:t>银行：姚安县农村信用合作联社营业部</w:t>
            </w:r>
          </w:p>
          <w:p w14:paraId="1C7C60A3">
            <w:pPr>
              <w:snapToGrid w:val="0"/>
              <w:spacing w:line="360" w:lineRule="auto"/>
              <w:ind w:firstLine="420" w:firstLineChars="200"/>
            </w:pPr>
            <w:r>
              <w:rPr>
                <w:rFonts w:hint="eastAsia"/>
              </w:rPr>
              <w:t>账号：</w:t>
            </w:r>
          </w:p>
          <w:p w14:paraId="31309B49">
            <w:pPr>
              <w:snapToGrid w:val="0"/>
              <w:spacing w:line="360" w:lineRule="auto"/>
              <w:ind w:firstLine="420" w:firstLineChars="200"/>
            </w:pPr>
            <w:r>
              <w:rPr>
                <w:rFonts w:hint="eastAsia"/>
              </w:rPr>
              <w:t>转账成功后，登录交易服务系统，进入“我的项目—选择我确认投标的项目—缴纳保证金—确认投标保证金—保证金”，按系统指引确认绑定。绑定后打印保证金缴纳回执，将保证金缴纳回执、银行付款回单附于投标文件中。</w:t>
            </w:r>
          </w:p>
          <w:p w14:paraId="70C762EB">
            <w:pPr>
              <w:snapToGrid w:val="0"/>
              <w:spacing w:line="360" w:lineRule="auto"/>
              <w:ind w:firstLine="420" w:firstLineChars="200"/>
            </w:pPr>
            <w:r>
              <w:rPr>
                <w:rFonts w:hint="eastAsia"/>
              </w:rPr>
              <w:t>（四）保险保函。登录交易服务系统，进入“我的项目—选择我确认投标的项目—缴纳保证金—确认投标保证金—电子保险保函—购买保险保函”，按系统指引从云南省公共资源交易电子保函服务系统购买电子保险保函。购买成功后下载保单并附于投标文件中。</w:t>
            </w:r>
          </w:p>
          <w:p w14:paraId="27F603DF">
            <w:pPr>
              <w:snapToGrid w:val="0"/>
              <w:spacing w:line="360" w:lineRule="auto"/>
              <w:ind w:firstLine="420" w:firstLineChars="200"/>
            </w:pPr>
            <w:r>
              <w:rPr>
                <w:rFonts w:hint="eastAsia"/>
              </w:rPr>
              <w:t>若投标人线下购买保函（保证保险），开标时开标一览表中会显示保证金未缴纳，需由招标人或其委托的招标代理机构现场通知投标人，在异议菜单栏上传纸质保函（保证保险）扫描件等相关证明材料。经招标人或其委托的招标代理机构现场确认后修改开标一览表中保证金缴纳状态。</w:t>
            </w:r>
          </w:p>
        </w:tc>
      </w:tr>
      <w:tr w14:paraId="0540B135">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7FC5AA30">
            <w:pPr>
              <w:pStyle w:val="31"/>
              <w:ind w:firstLine="0" w:firstLineChars="0"/>
              <w:rPr>
                <w:rFonts w:hint="eastAsia" w:ascii="宋体" w:hAnsi="宋体" w:cs="宋体"/>
                <w:sz w:val="21"/>
                <w:szCs w:val="21"/>
              </w:rPr>
            </w:pPr>
            <w:r>
              <w:rPr>
                <w:rFonts w:hint="eastAsia" w:ascii="宋体" w:hAnsi="宋体" w:cs="宋体"/>
                <w:sz w:val="21"/>
                <w:szCs w:val="21"/>
              </w:rPr>
              <w:t>3.4.2</w:t>
            </w:r>
          </w:p>
        </w:tc>
        <w:tc>
          <w:tcPr>
            <w:tcW w:w="2273" w:type="dxa"/>
            <w:tcBorders>
              <w:top w:val="single" w:color="auto" w:sz="4" w:space="0"/>
              <w:left w:val="single" w:color="auto" w:sz="4" w:space="0"/>
              <w:bottom w:val="single" w:color="auto" w:sz="4" w:space="0"/>
              <w:right w:val="single" w:color="auto" w:sz="4" w:space="0"/>
            </w:tcBorders>
            <w:vAlign w:val="center"/>
          </w:tcPr>
          <w:p w14:paraId="6BE90BCC">
            <w:pPr>
              <w:pStyle w:val="31"/>
              <w:ind w:firstLine="210"/>
              <w:rPr>
                <w:rFonts w:hint="eastAsia" w:ascii="宋体" w:hAnsi="宋体" w:cs="宋体"/>
                <w:sz w:val="21"/>
                <w:szCs w:val="21"/>
              </w:rPr>
            </w:pPr>
            <w:r>
              <w:rPr>
                <w:rFonts w:hint="eastAsia" w:ascii="宋体" w:hAnsi="宋体" w:cs="宋体"/>
                <w:sz w:val="21"/>
                <w:szCs w:val="21"/>
                <w:lang w:val="zh-CN"/>
              </w:rPr>
              <w:t>投标保证金退还</w:t>
            </w:r>
          </w:p>
        </w:tc>
        <w:tc>
          <w:tcPr>
            <w:tcW w:w="6340" w:type="dxa"/>
            <w:tcBorders>
              <w:top w:val="single" w:color="auto" w:sz="4" w:space="0"/>
              <w:left w:val="single" w:color="auto" w:sz="4" w:space="0"/>
              <w:bottom w:val="single" w:color="auto" w:sz="4" w:space="0"/>
              <w:right w:val="single" w:color="auto" w:sz="4" w:space="0"/>
            </w:tcBorders>
            <w:vAlign w:val="center"/>
          </w:tcPr>
          <w:p w14:paraId="6BA72629">
            <w:pPr>
              <w:snapToGrid w:val="0"/>
              <w:spacing w:line="360" w:lineRule="auto"/>
              <w:rPr>
                <w:rFonts w:hint="eastAsia" w:ascii="宋体" w:hAnsi="宋体" w:cs="宋体"/>
              </w:rPr>
            </w:pPr>
            <w:r>
              <w:rPr>
                <w:rFonts w:hint="eastAsia" w:ascii="宋体" w:hAnsi="宋体" w:cs="宋体"/>
              </w:rPr>
              <w:t>投标保证金退还到投标人的基本账户(仅限于转账或电汇的情形)未中标人投标保证金的退还时间为在中标通知书发出后5日内，一次性退还未中标人投标保证金及同期银行存款利息。中标人投标保证金退还时间为合同签订后5日内，一次性退还中标人投标保证金及同期银行存款利息。</w:t>
            </w:r>
          </w:p>
        </w:tc>
      </w:tr>
      <w:tr w14:paraId="1794EA29">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5C5F0FAC">
            <w:pPr>
              <w:snapToGrid w:val="0"/>
              <w:spacing w:line="360" w:lineRule="auto"/>
              <w:jc w:val="center"/>
              <w:rPr>
                <w:rFonts w:hint="eastAsia" w:ascii="宋体" w:hAnsi="宋体" w:cs="宋体"/>
              </w:rPr>
            </w:pPr>
            <w:r>
              <w:rPr>
                <w:rFonts w:hint="eastAsia" w:ascii="宋体" w:hAnsi="宋体" w:cs="宋体"/>
              </w:rPr>
              <w:t>3.5.2</w:t>
            </w:r>
          </w:p>
        </w:tc>
        <w:tc>
          <w:tcPr>
            <w:tcW w:w="2273" w:type="dxa"/>
            <w:tcBorders>
              <w:top w:val="single" w:color="auto" w:sz="4" w:space="0"/>
              <w:left w:val="single" w:color="auto" w:sz="4" w:space="0"/>
              <w:bottom w:val="single" w:color="auto" w:sz="4" w:space="0"/>
              <w:right w:val="single" w:color="auto" w:sz="4" w:space="0"/>
            </w:tcBorders>
            <w:vAlign w:val="center"/>
          </w:tcPr>
          <w:p w14:paraId="2D0284D3">
            <w:pPr>
              <w:snapToGrid w:val="0"/>
              <w:spacing w:line="360" w:lineRule="auto"/>
              <w:jc w:val="center"/>
              <w:rPr>
                <w:rFonts w:hint="eastAsia" w:ascii="宋体" w:hAnsi="宋体" w:cs="宋体"/>
              </w:rPr>
            </w:pPr>
            <w:r>
              <w:rPr>
                <w:rFonts w:hint="eastAsia" w:ascii="宋体" w:hAnsi="宋体" w:cs="宋体"/>
              </w:rPr>
              <w:t>近年来财务状况</w:t>
            </w:r>
          </w:p>
        </w:tc>
        <w:tc>
          <w:tcPr>
            <w:tcW w:w="6340" w:type="dxa"/>
            <w:tcBorders>
              <w:top w:val="single" w:color="auto" w:sz="4" w:space="0"/>
              <w:left w:val="single" w:color="auto" w:sz="4" w:space="0"/>
              <w:bottom w:val="single" w:color="auto" w:sz="4" w:space="0"/>
              <w:right w:val="single" w:color="auto" w:sz="4" w:space="0"/>
            </w:tcBorders>
            <w:vAlign w:val="center"/>
          </w:tcPr>
          <w:p w14:paraId="3489F010">
            <w:pPr>
              <w:snapToGrid w:val="0"/>
              <w:spacing w:line="360" w:lineRule="auto"/>
              <w:rPr>
                <w:rFonts w:hint="eastAsia" w:ascii="宋体" w:hAnsi="宋体" w:cs="宋体"/>
              </w:rPr>
            </w:pPr>
            <w:r>
              <w:rPr>
                <w:rFonts w:hint="eastAsia" w:ascii="宋体" w:hAnsi="宋体" w:cs="宋体"/>
              </w:rPr>
              <w:t>提供2022年—2024年连续3年经审计机构审计的财务报表（包括资产负债表、现金流量表、利润表或损益表、财务情况说明书）；2022年后成立的企业（成立时间以企业安全生产许可证颁发时间为准），提供成立年度至今经审计机构审计的财务报表（包括资产负债表、现金流量表、利润表或损益表、财务情况说明书）；为新成立不满1年的企业（成立时间以企业安全生产许可证颁发时间为准）提供公司情况说明（若为联合体投标的，由牵头人提供，并对其真实性负责）。</w:t>
            </w:r>
          </w:p>
        </w:tc>
      </w:tr>
      <w:tr w14:paraId="2E6C4B16">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66DEBE72">
            <w:pPr>
              <w:snapToGrid w:val="0"/>
              <w:spacing w:line="360" w:lineRule="auto"/>
              <w:jc w:val="center"/>
              <w:rPr>
                <w:rFonts w:hint="eastAsia" w:ascii="宋体" w:hAnsi="宋体" w:cs="宋体"/>
              </w:rPr>
            </w:pPr>
            <w:r>
              <w:rPr>
                <w:rFonts w:hint="eastAsia" w:ascii="宋体" w:hAnsi="宋体" w:cs="宋体"/>
              </w:rPr>
              <w:t>3.5.3</w:t>
            </w:r>
          </w:p>
        </w:tc>
        <w:tc>
          <w:tcPr>
            <w:tcW w:w="2273" w:type="dxa"/>
            <w:tcBorders>
              <w:top w:val="single" w:color="auto" w:sz="4" w:space="0"/>
              <w:left w:val="single" w:color="auto" w:sz="4" w:space="0"/>
              <w:bottom w:val="single" w:color="auto" w:sz="4" w:space="0"/>
              <w:right w:val="single" w:color="auto" w:sz="4" w:space="0"/>
            </w:tcBorders>
            <w:vAlign w:val="center"/>
          </w:tcPr>
          <w:p w14:paraId="2EBDC85D">
            <w:pPr>
              <w:snapToGrid w:val="0"/>
              <w:spacing w:line="360" w:lineRule="auto"/>
              <w:rPr>
                <w:rFonts w:hint="eastAsia" w:ascii="宋体" w:hAnsi="宋体" w:cs="宋体"/>
              </w:rPr>
            </w:pPr>
            <w:r>
              <w:rPr>
                <w:rFonts w:hint="eastAsia" w:ascii="宋体" w:hAnsi="宋体" w:cs="宋体"/>
              </w:rPr>
              <w:t>近年来完成的类似项目</w:t>
            </w:r>
          </w:p>
        </w:tc>
        <w:tc>
          <w:tcPr>
            <w:tcW w:w="6340" w:type="dxa"/>
            <w:tcBorders>
              <w:top w:val="single" w:color="auto" w:sz="4" w:space="0"/>
              <w:left w:val="single" w:color="auto" w:sz="4" w:space="0"/>
              <w:bottom w:val="single" w:color="auto" w:sz="4" w:space="0"/>
              <w:right w:val="single" w:color="auto" w:sz="4" w:space="0"/>
            </w:tcBorders>
            <w:vAlign w:val="center"/>
          </w:tcPr>
          <w:p w14:paraId="726189F1">
            <w:pPr>
              <w:snapToGrid w:val="0"/>
              <w:spacing w:line="360" w:lineRule="auto"/>
              <w:rPr>
                <w:rFonts w:hint="eastAsia" w:ascii="宋体" w:hAnsi="宋体" w:cs="宋体"/>
              </w:rPr>
            </w:pPr>
            <w:r>
              <w:rPr>
                <w:rFonts w:hint="eastAsia" w:ascii="宋体" w:hAnsi="宋体" w:cs="宋体"/>
              </w:rPr>
              <w:t>不要求</w:t>
            </w:r>
          </w:p>
        </w:tc>
      </w:tr>
      <w:tr w14:paraId="2BA09BAB">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7F755BB3">
            <w:pPr>
              <w:snapToGrid w:val="0"/>
              <w:spacing w:line="360" w:lineRule="auto"/>
              <w:jc w:val="center"/>
              <w:rPr>
                <w:rFonts w:hint="eastAsia" w:ascii="宋体" w:hAnsi="宋体" w:cs="宋体"/>
              </w:rPr>
            </w:pPr>
            <w:r>
              <w:rPr>
                <w:rFonts w:hint="eastAsia" w:ascii="宋体" w:hAnsi="宋体" w:cs="宋体"/>
              </w:rPr>
              <w:t>3.6</w:t>
            </w:r>
          </w:p>
        </w:tc>
        <w:tc>
          <w:tcPr>
            <w:tcW w:w="2273" w:type="dxa"/>
            <w:tcBorders>
              <w:top w:val="single" w:color="auto" w:sz="4" w:space="0"/>
              <w:left w:val="single" w:color="auto" w:sz="4" w:space="0"/>
              <w:bottom w:val="single" w:color="auto" w:sz="4" w:space="0"/>
              <w:right w:val="single" w:color="auto" w:sz="4" w:space="0"/>
            </w:tcBorders>
            <w:vAlign w:val="center"/>
          </w:tcPr>
          <w:p w14:paraId="73DC8503">
            <w:pPr>
              <w:snapToGrid w:val="0"/>
              <w:spacing w:line="360" w:lineRule="auto"/>
              <w:jc w:val="center"/>
              <w:rPr>
                <w:rFonts w:hint="eastAsia" w:ascii="宋体" w:hAnsi="宋体" w:cs="宋体"/>
              </w:rPr>
            </w:pPr>
            <w:r>
              <w:rPr>
                <w:rFonts w:hint="eastAsia" w:ascii="宋体" w:hAnsi="宋体" w:cs="宋体"/>
              </w:rPr>
              <w:t>是否允许递交备选投标方案</w:t>
            </w:r>
          </w:p>
        </w:tc>
        <w:tc>
          <w:tcPr>
            <w:tcW w:w="6340" w:type="dxa"/>
            <w:tcBorders>
              <w:top w:val="single" w:color="auto" w:sz="4" w:space="0"/>
              <w:left w:val="single" w:color="auto" w:sz="4" w:space="0"/>
              <w:bottom w:val="single" w:color="auto" w:sz="4" w:space="0"/>
              <w:right w:val="single" w:color="auto" w:sz="4" w:space="0"/>
            </w:tcBorders>
            <w:vAlign w:val="center"/>
          </w:tcPr>
          <w:p w14:paraId="4DC46963">
            <w:pPr>
              <w:topLinePunct/>
              <w:snapToGrid w:val="0"/>
              <w:spacing w:line="360" w:lineRule="auto"/>
              <w:rPr>
                <w:rFonts w:hint="eastAsia" w:ascii="宋体" w:hAnsi="宋体" w:cs="宋体"/>
              </w:rPr>
            </w:pPr>
            <w:r>
              <w:rPr>
                <w:rFonts w:hint="eastAsia" w:ascii="宋体" w:hAnsi="宋体" w:cs="宋体"/>
              </w:rPr>
              <w:t>■不允许</w:t>
            </w:r>
          </w:p>
          <w:p w14:paraId="3FF47CD1">
            <w:pPr>
              <w:snapToGrid w:val="0"/>
              <w:spacing w:line="360" w:lineRule="auto"/>
              <w:rPr>
                <w:rFonts w:hint="eastAsia" w:ascii="宋体" w:hAnsi="宋体" w:cs="宋体"/>
              </w:rPr>
            </w:pPr>
            <w:r>
              <w:rPr>
                <w:rFonts w:hint="eastAsia" w:ascii="宋体" w:hAnsi="宋体" w:cs="宋体"/>
              </w:rPr>
              <w:t>□允许</w:t>
            </w:r>
          </w:p>
        </w:tc>
      </w:tr>
      <w:tr w14:paraId="5DB9C8ED">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4D2CB13A">
            <w:pPr>
              <w:snapToGrid w:val="0"/>
              <w:spacing w:line="360" w:lineRule="auto"/>
              <w:jc w:val="center"/>
              <w:rPr>
                <w:rFonts w:hint="eastAsia" w:ascii="宋体" w:hAnsi="宋体" w:cs="宋体"/>
              </w:rPr>
            </w:pPr>
            <w:r>
              <w:rPr>
                <w:rFonts w:hint="eastAsia" w:ascii="宋体" w:hAnsi="宋体" w:cs="宋体"/>
              </w:rPr>
              <w:t>3.7.1</w:t>
            </w:r>
          </w:p>
        </w:tc>
        <w:tc>
          <w:tcPr>
            <w:tcW w:w="2273" w:type="dxa"/>
            <w:tcBorders>
              <w:top w:val="single" w:color="auto" w:sz="4" w:space="0"/>
              <w:left w:val="single" w:color="auto" w:sz="4" w:space="0"/>
              <w:bottom w:val="single" w:color="auto" w:sz="4" w:space="0"/>
              <w:right w:val="single" w:color="auto" w:sz="4" w:space="0"/>
            </w:tcBorders>
            <w:vAlign w:val="center"/>
          </w:tcPr>
          <w:p w14:paraId="2A7FAC8B">
            <w:pPr>
              <w:snapToGrid w:val="0"/>
              <w:spacing w:line="360" w:lineRule="auto"/>
              <w:jc w:val="center"/>
              <w:rPr>
                <w:rFonts w:hint="eastAsia" w:ascii="宋体" w:hAnsi="宋体" w:cs="宋体"/>
              </w:rPr>
            </w:pPr>
            <w:r>
              <w:rPr>
                <w:rFonts w:hint="eastAsia" w:ascii="宋体" w:hAnsi="宋体" w:cs="宋体"/>
              </w:rPr>
              <w:t>电子投标文件格式</w:t>
            </w:r>
          </w:p>
        </w:tc>
        <w:tc>
          <w:tcPr>
            <w:tcW w:w="6340" w:type="dxa"/>
            <w:tcBorders>
              <w:top w:val="single" w:color="auto" w:sz="4" w:space="0"/>
              <w:left w:val="single" w:color="auto" w:sz="4" w:space="0"/>
              <w:bottom w:val="single" w:color="auto" w:sz="4" w:space="0"/>
              <w:right w:val="single" w:color="auto" w:sz="4" w:space="0"/>
            </w:tcBorders>
            <w:vAlign w:val="center"/>
          </w:tcPr>
          <w:p w14:paraId="6FC45902">
            <w:pPr>
              <w:adjustRightInd w:val="0"/>
              <w:snapToGrid w:val="0"/>
              <w:spacing w:line="360" w:lineRule="auto"/>
              <w:rPr>
                <w:rFonts w:hint="eastAsia" w:ascii="宋体" w:hAnsi="宋体" w:cs="宋体"/>
                <w:kern w:val="0"/>
              </w:rPr>
            </w:pPr>
            <w:r>
              <w:rPr>
                <w:rFonts w:hint="eastAsia" w:ascii="宋体" w:hAnsi="宋体" w:cs="宋体"/>
                <w:kern w:val="0"/>
              </w:rPr>
              <w:t>（1）投标文件全部采用电子文档，格式为*.BTBJ，应使用《云南省工程建设模块化投标文件编制系统》制作，并进行电子签名（或签字）及加密。</w:t>
            </w:r>
          </w:p>
          <w:p w14:paraId="776D9C35">
            <w:pPr>
              <w:adjustRightInd w:val="0"/>
              <w:snapToGrid w:val="0"/>
              <w:spacing w:line="360" w:lineRule="auto"/>
              <w:rPr>
                <w:rFonts w:hint="eastAsia" w:ascii="宋体" w:hAnsi="宋体" w:cs="宋体"/>
                <w:kern w:val="0"/>
              </w:rPr>
            </w:pPr>
            <w:r>
              <w:rPr>
                <w:rFonts w:hint="eastAsia" w:ascii="宋体" w:hAnsi="宋体" w:cs="宋体"/>
                <w:kern w:val="0"/>
              </w:rPr>
              <w:t>（2）在</w:t>
            </w:r>
            <w:r>
              <w:rPr>
                <w:rFonts w:hint="eastAsia" w:ascii="宋体" w:hAnsi="宋体" w:cs="宋体"/>
                <w:kern w:val="0"/>
                <w:lang w:eastAsia="zh-CN"/>
              </w:rPr>
              <w:t>编制</w:t>
            </w:r>
            <w:r>
              <w:rPr>
                <w:rFonts w:hint="eastAsia" w:ascii="宋体" w:hAnsi="宋体" w:cs="宋体"/>
                <w:kern w:val="0"/>
              </w:rPr>
              <w:t>投标文件时，粘贴图片建议使用JPG格式的文件，并且每张图片的分辨率应小于100dpi。</w:t>
            </w:r>
          </w:p>
          <w:p w14:paraId="0BF6EFF8">
            <w:pPr>
              <w:adjustRightInd w:val="0"/>
              <w:snapToGrid w:val="0"/>
              <w:spacing w:line="360" w:lineRule="auto"/>
              <w:rPr>
                <w:rFonts w:hint="eastAsia" w:ascii="宋体" w:hAnsi="宋体" w:cs="宋体"/>
              </w:rPr>
            </w:pPr>
            <w:r>
              <w:rPr>
                <w:rFonts w:hint="eastAsia" w:ascii="宋体" w:hAnsi="宋体" w:cs="宋体"/>
                <w:kern w:val="0"/>
              </w:rPr>
              <w:t>编制要求见附件《电子投标文件编制及报送要求》。</w:t>
            </w:r>
          </w:p>
        </w:tc>
      </w:tr>
      <w:tr w14:paraId="2FB41F6B">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2E52AE63">
            <w:pPr>
              <w:snapToGrid w:val="0"/>
              <w:spacing w:line="360" w:lineRule="auto"/>
              <w:jc w:val="center"/>
              <w:rPr>
                <w:rFonts w:hint="eastAsia" w:ascii="宋体" w:hAnsi="宋体" w:cs="宋体"/>
              </w:rPr>
            </w:pPr>
            <w:r>
              <w:rPr>
                <w:rFonts w:hint="eastAsia" w:ascii="宋体" w:hAnsi="宋体" w:cs="宋体"/>
              </w:rPr>
              <w:t>3.7.3</w:t>
            </w:r>
          </w:p>
        </w:tc>
        <w:tc>
          <w:tcPr>
            <w:tcW w:w="2273" w:type="dxa"/>
            <w:tcBorders>
              <w:top w:val="single" w:color="auto" w:sz="4" w:space="0"/>
              <w:left w:val="single" w:color="auto" w:sz="4" w:space="0"/>
              <w:bottom w:val="single" w:color="auto" w:sz="4" w:space="0"/>
              <w:right w:val="single" w:color="auto" w:sz="4" w:space="0"/>
            </w:tcBorders>
            <w:vAlign w:val="center"/>
          </w:tcPr>
          <w:p w14:paraId="60247A85">
            <w:pPr>
              <w:snapToGrid w:val="0"/>
              <w:spacing w:line="360" w:lineRule="auto"/>
              <w:jc w:val="center"/>
              <w:rPr>
                <w:rFonts w:hint="eastAsia" w:ascii="宋体" w:hAnsi="宋体" w:cs="宋体"/>
              </w:rPr>
            </w:pPr>
            <w:r>
              <w:rPr>
                <w:rFonts w:hint="eastAsia" w:ascii="宋体" w:hAnsi="宋体" w:cs="宋体"/>
              </w:rPr>
              <w:t>签字或盖章要求</w:t>
            </w:r>
          </w:p>
        </w:tc>
        <w:tc>
          <w:tcPr>
            <w:tcW w:w="6340" w:type="dxa"/>
            <w:tcBorders>
              <w:top w:val="single" w:color="auto" w:sz="4" w:space="0"/>
              <w:left w:val="single" w:color="auto" w:sz="4" w:space="0"/>
              <w:bottom w:val="single" w:color="auto" w:sz="4" w:space="0"/>
              <w:right w:val="single" w:color="auto" w:sz="4" w:space="0"/>
            </w:tcBorders>
            <w:vAlign w:val="center"/>
          </w:tcPr>
          <w:p w14:paraId="3C3803C6">
            <w:pPr>
              <w:numPr>
                <w:ilvl w:val="0"/>
                <w:numId w:val="4"/>
              </w:numPr>
              <w:snapToGrid w:val="0"/>
              <w:spacing w:line="360" w:lineRule="auto"/>
              <w:rPr>
                <w:rFonts w:hint="eastAsia" w:ascii="宋体" w:hAnsi="宋体" w:cs="宋体"/>
              </w:rPr>
            </w:pPr>
            <w:r>
              <w:rPr>
                <w:rFonts w:hint="eastAsia" w:ascii="宋体" w:hAnsi="宋体" w:cs="宋体"/>
              </w:rPr>
              <w:t>按照投标文件格式，采用单位和个人数字证书电子签章（或盖章）及电子签名（或签字）。</w:t>
            </w:r>
          </w:p>
          <w:p w14:paraId="74E5696A">
            <w:pPr>
              <w:numPr>
                <w:ilvl w:val="0"/>
                <w:numId w:val="4"/>
              </w:numPr>
              <w:snapToGrid w:val="0"/>
              <w:spacing w:line="360" w:lineRule="auto"/>
              <w:rPr>
                <w:rFonts w:hint="eastAsia" w:ascii="宋体" w:hAnsi="宋体" w:cs="宋体"/>
              </w:rPr>
            </w:pPr>
            <w:r>
              <w:rPr>
                <w:rFonts w:hint="eastAsia" w:ascii="宋体" w:hAnsi="宋体" w:cs="宋体"/>
              </w:rPr>
              <w:t>投标文件在需要电子签章（或盖章）的地方进行电子签章（或盖章），无需逐页电子签章（或盖章）。</w:t>
            </w:r>
          </w:p>
          <w:p w14:paraId="49642424">
            <w:pPr>
              <w:numPr>
                <w:ilvl w:val="0"/>
                <w:numId w:val="4"/>
              </w:numPr>
              <w:snapToGrid w:val="0"/>
              <w:spacing w:line="360" w:lineRule="auto"/>
              <w:rPr>
                <w:rFonts w:hint="eastAsia" w:ascii="宋体" w:hAnsi="宋体" w:cs="宋体"/>
              </w:rPr>
            </w:pPr>
            <w:r>
              <w:rPr>
                <w:rFonts w:hint="eastAsia" w:ascii="宋体" w:hAnsi="宋体" w:cs="宋体"/>
              </w:rPr>
              <w:t>联合体投标的，投标文件所有要求签字或盖章的地方由联合体牵头人单位根据投标文件格式盖章或签字即可(即投标文件中除法定代表人身份证明、联合体协议书等其格式中有明确要求由各联合体成员单位分别盖章或签字的部分以外，其余要求盖章或签字处可以只由联合体牵头人盖章或签字，与联合体中各成员的行为具有同等法律效力）。</w:t>
            </w:r>
          </w:p>
        </w:tc>
      </w:tr>
      <w:tr w14:paraId="26A7C284">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00C1B946">
            <w:pPr>
              <w:snapToGrid w:val="0"/>
              <w:spacing w:line="360" w:lineRule="auto"/>
              <w:jc w:val="center"/>
              <w:rPr>
                <w:rFonts w:hint="eastAsia" w:ascii="宋体" w:hAnsi="宋体" w:cs="宋体"/>
              </w:rPr>
            </w:pPr>
            <w:r>
              <w:rPr>
                <w:rFonts w:hint="eastAsia" w:ascii="宋体" w:hAnsi="宋体" w:cs="宋体"/>
              </w:rPr>
              <w:t>3.7.4</w:t>
            </w:r>
          </w:p>
        </w:tc>
        <w:tc>
          <w:tcPr>
            <w:tcW w:w="2273" w:type="dxa"/>
            <w:tcBorders>
              <w:top w:val="single" w:color="auto" w:sz="4" w:space="0"/>
              <w:left w:val="single" w:color="auto" w:sz="4" w:space="0"/>
              <w:bottom w:val="single" w:color="auto" w:sz="4" w:space="0"/>
              <w:right w:val="single" w:color="auto" w:sz="4" w:space="0"/>
            </w:tcBorders>
            <w:vAlign w:val="center"/>
          </w:tcPr>
          <w:p w14:paraId="5E483E7D">
            <w:pPr>
              <w:snapToGrid w:val="0"/>
              <w:spacing w:line="360" w:lineRule="auto"/>
              <w:jc w:val="center"/>
              <w:rPr>
                <w:rFonts w:hint="eastAsia" w:ascii="宋体" w:hAnsi="宋体" w:cs="宋体"/>
              </w:rPr>
            </w:pPr>
            <w:r>
              <w:rPr>
                <w:rFonts w:hint="eastAsia" w:ascii="宋体" w:hAnsi="宋体" w:cs="宋体"/>
              </w:rPr>
              <w:t>纸质投标文件份数</w:t>
            </w:r>
          </w:p>
        </w:tc>
        <w:tc>
          <w:tcPr>
            <w:tcW w:w="6340" w:type="dxa"/>
            <w:tcBorders>
              <w:top w:val="single" w:color="auto" w:sz="4" w:space="0"/>
              <w:left w:val="single" w:color="auto" w:sz="4" w:space="0"/>
              <w:bottom w:val="single" w:color="auto" w:sz="4" w:space="0"/>
              <w:right w:val="single" w:color="auto" w:sz="4" w:space="0"/>
            </w:tcBorders>
            <w:vAlign w:val="center"/>
          </w:tcPr>
          <w:p w14:paraId="3B32151E">
            <w:pPr>
              <w:adjustRightInd w:val="0"/>
              <w:snapToGrid w:val="0"/>
              <w:spacing w:line="360" w:lineRule="auto"/>
              <w:rPr>
                <w:rFonts w:hint="eastAsia" w:ascii="宋体" w:hAnsi="宋体" w:cs="宋体"/>
                <w:kern w:val="0"/>
              </w:rPr>
            </w:pPr>
            <w:r>
              <w:rPr>
                <w:rFonts w:hint="eastAsia" w:ascii="宋体" w:hAnsi="宋体" w:cs="宋体"/>
                <w:kern w:val="0"/>
              </w:rPr>
              <w:t>（1）投标人中标后须提交3份（一正二副）与网上上传的电子投标文件完全一致的纸质标书给招标人。</w:t>
            </w:r>
          </w:p>
          <w:p w14:paraId="6A10FAC8">
            <w:pPr>
              <w:adjustRightInd w:val="0"/>
              <w:snapToGrid w:val="0"/>
              <w:spacing w:line="360" w:lineRule="auto"/>
              <w:rPr>
                <w:rFonts w:hint="eastAsia" w:ascii="宋体" w:hAnsi="宋体" w:cs="宋体"/>
              </w:rPr>
            </w:pPr>
            <w:r>
              <w:rPr>
                <w:rFonts w:hint="eastAsia" w:ascii="宋体" w:hAnsi="宋体" w:cs="宋体"/>
                <w:kern w:val="0"/>
              </w:rPr>
              <w:t>（2）中标后提交的纸质投标文件应按要求装订成册，不得采用活页夹，并编制目录和连续页码。</w:t>
            </w:r>
          </w:p>
        </w:tc>
      </w:tr>
      <w:tr w14:paraId="64EF618D">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right w:val="single" w:color="auto" w:sz="4" w:space="0"/>
            </w:tcBorders>
            <w:vAlign w:val="center"/>
          </w:tcPr>
          <w:p w14:paraId="082B89CB">
            <w:pPr>
              <w:snapToGrid w:val="0"/>
              <w:spacing w:line="360" w:lineRule="auto"/>
              <w:jc w:val="center"/>
              <w:rPr>
                <w:rFonts w:hint="eastAsia" w:ascii="宋体" w:hAnsi="宋体" w:cs="宋体"/>
              </w:rPr>
            </w:pPr>
            <w:r>
              <w:rPr>
                <w:rFonts w:hint="eastAsia" w:ascii="宋体" w:hAnsi="宋体" w:cs="宋体"/>
              </w:rPr>
              <w:t>4.1</w:t>
            </w:r>
          </w:p>
        </w:tc>
        <w:tc>
          <w:tcPr>
            <w:tcW w:w="2273" w:type="dxa"/>
            <w:tcBorders>
              <w:top w:val="single" w:color="auto" w:sz="4" w:space="0"/>
              <w:left w:val="single" w:color="auto" w:sz="4" w:space="0"/>
              <w:bottom w:val="single" w:color="auto" w:sz="4" w:space="0"/>
              <w:right w:val="single" w:color="auto" w:sz="4" w:space="0"/>
            </w:tcBorders>
            <w:vAlign w:val="center"/>
          </w:tcPr>
          <w:p w14:paraId="3612EB5A">
            <w:pPr>
              <w:snapToGrid w:val="0"/>
              <w:spacing w:line="360" w:lineRule="auto"/>
              <w:jc w:val="center"/>
              <w:rPr>
                <w:rFonts w:hint="eastAsia" w:ascii="宋体" w:hAnsi="宋体" w:cs="宋体"/>
              </w:rPr>
            </w:pPr>
            <w:r>
              <w:rPr>
                <w:rFonts w:hint="eastAsia" w:ascii="宋体" w:hAnsi="宋体" w:cs="宋体"/>
              </w:rPr>
              <w:t>投标文件的上传要求</w:t>
            </w:r>
          </w:p>
        </w:tc>
        <w:tc>
          <w:tcPr>
            <w:tcW w:w="6340" w:type="dxa"/>
            <w:tcBorders>
              <w:top w:val="single" w:color="auto" w:sz="4" w:space="0"/>
              <w:left w:val="single" w:color="auto" w:sz="4" w:space="0"/>
              <w:bottom w:val="single" w:color="auto" w:sz="4" w:space="0"/>
              <w:right w:val="single" w:color="auto" w:sz="4" w:space="0"/>
            </w:tcBorders>
            <w:vAlign w:val="center"/>
          </w:tcPr>
          <w:p w14:paraId="5A463919">
            <w:pPr>
              <w:snapToGrid w:val="0"/>
              <w:spacing w:line="360" w:lineRule="auto"/>
              <w:rPr>
                <w:rFonts w:hint="eastAsia" w:ascii="宋体" w:hAnsi="宋体" w:cs="宋体"/>
              </w:rPr>
            </w:pPr>
            <w:r>
              <w:rPr>
                <w:rFonts w:hint="eastAsia" w:ascii="宋体" w:hAnsi="宋体" w:cs="宋体"/>
              </w:rPr>
              <w:t>网上递交：投标人须在投标截止时间前</w:t>
            </w:r>
            <w:r>
              <w:rPr>
                <w:rFonts w:hint="eastAsia" w:ascii="宋体" w:hAnsi="宋体" w:cs="宋体"/>
                <w:kern w:val="0"/>
              </w:rPr>
              <w:t>登录云南省公共资源交易信息网（网址：https://ggzy.yn.gov.cn/）选择“楚雄州”，</w:t>
            </w:r>
            <w:r>
              <w:rPr>
                <w:rFonts w:hint="eastAsia" w:ascii="宋体" w:hAnsi="宋体" w:cs="宋体"/>
              </w:rPr>
              <w:t>完成所有电子投标文件的上传，网上确认电子签名，并打印“上传投标文件回执”，投标截止时间前未完成投标文件传输的，视为撤回投标文件（如因修改重新上传投标文件后，需再次确认并打印回执）。</w:t>
            </w:r>
          </w:p>
        </w:tc>
      </w:tr>
      <w:tr w14:paraId="3971A053">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right w:val="single" w:color="auto" w:sz="4" w:space="0"/>
            </w:tcBorders>
            <w:vAlign w:val="center"/>
          </w:tcPr>
          <w:p w14:paraId="0AE82776">
            <w:pPr>
              <w:snapToGrid w:val="0"/>
              <w:spacing w:line="360" w:lineRule="auto"/>
              <w:jc w:val="center"/>
              <w:rPr>
                <w:rFonts w:hint="eastAsia" w:ascii="宋体" w:hAnsi="宋体" w:cs="宋体"/>
              </w:rPr>
            </w:pPr>
            <w:r>
              <w:rPr>
                <w:rFonts w:hint="eastAsia" w:ascii="宋体" w:hAnsi="宋体" w:cs="宋体"/>
              </w:rPr>
              <w:t>4.2</w:t>
            </w:r>
          </w:p>
        </w:tc>
        <w:tc>
          <w:tcPr>
            <w:tcW w:w="2273" w:type="dxa"/>
            <w:tcBorders>
              <w:top w:val="single" w:color="auto" w:sz="4" w:space="0"/>
              <w:left w:val="single" w:color="auto" w:sz="4" w:space="0"/>
              <w:bottom w:val="single" w:color="auto" w:sz="4" w:space="0"/>
              <w:right w:val="single" w:color="auto" w:sz="4" w:space="0"/>
            </w:tcBorders>
            <w:vAlign w:val="center"/>
          </w:tcPr>
          <w:p w14:paraId="4748FFC3">
            <w:pPr>
              <w:snapToGrid w:val="0"/>
              <w:spacing w:line="360" w:lineRule="auto"/>
              <w:jc w:val="center"/>
              <w:rPr>
                <w:rFonts w:hint="eastAsia" w:ascii="宋体" w:hAnsi="宋体" w:cs="宋体"/>
              </w:rPr>
            </w:pPr>
            <w:r>
              <w:rPr>
                <w:rFonts w:hint="eastAsia" w:ascii="宋体" w:hAnsi="宋体" w:cs="宋体"/>
              </w:rPr>
              <w:t>投标文件的密封</w:t>
            </w:r>
          </w:p>
        </w:tc>
        <w:tc>
          <w:tcPr>
            <w:tcW w:w="6340" w:type="dxa"/>
            <w:tcBorders>
              <w:top w:val="single" w:color="auto" w:sz="4" w:space="0"/>
              <w:left w:val="single" w:color="auto" w:sz="4" w:space="0"/>
              <w:bottom w:val="single" w:color="auto" w:sz="4" w:space="0"/>
              <w:right w:val="single" w:color="auto" w:sz="4" w:space="0"/>
            </w:tcBorders>
            <w:vAlign w:val="center"/>
          </w:tcPr>
          <w:p w14:paraId="14F9EB1E">
            <w:pPr>
              <w:pStyle w:val="33"/>
              <w:snapToGrid w:val="0"/>
              <w:spacing w:line="360" w:lineRule="auto"/>
              <w:ind w:left="1470" w:hanging="1470" w:hangingChars="700"/>
              <w:jc w:val="left"/>
              <w:rPr>
                <w:rFonts w:hint="eastAsia" w:ascii="宋体" w:hAnsi="宋体" w:cs="宋体"/>
                <w:sz w:val="21"/>
                <w:szCs w:val="21"/>
              </w:rPr>
            </w:pPr>
            <w:r>
              <w:rPr>
                <w:rFonts w:hint="eastAsia" w:ascii="宋体" w:hAnsi="宋体" w:cs="宋体"/>
                <w:b w:val="0"/>
                <w:bCs w:val="0"/>
                <w:sz w:val="21"/>
                <w:szCs w:val="21"/>
              </w:rPr>
              <w:t>网上递交的投标文件应使用数字证书进行加密。</w:t>
            </w:r>
          </w:p>
        </w:tc>
      </w:tr>
      <w:tr w14:paraId="01617633">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73CD3F4B">
            <w:pPr>
              <w:snapToGrid w:val="0"/>
              <w:spacing w:line="360" w:lineRule="auto"/>
              <w:jc w:val="center"/>
              <w:rPr>
                <w:rFonts w:hint="eastAsia" w:ascii="宋体" w:hAnsi="宋体" w:cs="宋体"/>
              </w:rPr>
            </w:pPr>
            <w:r>
              <w:rPr>
                <w:rFonts w:hint="eastAsia" w:ascii="宋体" w:hAnsi="宋体" w:cs="宋体"/>
              </w:rPr>
              <w:t>5.1</w:t>
            </w:r>
          </w:p>
        </w:tc>
        <w:tc>
          <w:tcPr>
            <w:tcW w:w="2273" w:type="dxa"/>
            <w:tcBorders>
              <w:top w:val="single" w:color="auto" w:sz="4" w:space="0"/>
              <w:left w:val="single" w:color="auto" w:sz="4" w:space="0"/>
              <w:bottom w:val="single" w:color="auto" w:sz="4" w:space="0"/>
              <w:right w:val="single" w:color="auto" w:sz="4" w:space="0"/>
            </w:tcBorders>
            <w:vAlign w:val="center"/>
          </w:tcPr>
          <w:p w14:paraId="7DEA6782">
            <w:pPr>
              <w:snapToGrid w:val="0"/>
              <w:spacing w:line="360" w:lineRule="auto"/>
              <w:jc w:val="center"/>
              <w:rPr>
                <w:rFonts w:hint="eastAsia" w:ascii="宋体" w:hAnsi="宋体" w:cs="宋体"/>
              </w:rPr>
            </w:pPr>
            <w:r>
              <w:rPr>
                <w:rFonts w:hint="eastAsia" w:ascii="宋体" w:hAnsi="宋体" w:cs="宋体"/>
              </w:rPr>
              <w:t>开标时间和地点</w:t>
            </w:r>
          </w:p>
        </w:tc>
        <w:tc>
          <w:tcPr>
            <w:tcW w:w="6340" w:type="dxa"/>
            <w:tcBorders>
              <w:top w:val="single" w:color="auto" w:sz="4" w:space="0"/>
              <w:left w:val="single" w:color="auto" w:sz="4" w:space="0"/>
              <w:bottom w:val="single" w:color="auto" w:sz="4" w:space="0"/>
              <w:right w:val="single" w:color="auto" w:sz="4" w:space="0"/>
            </w:tcBorders>
            <w:vAlign w:val="center"/>
          </w:tcPr>
          <w:p w14:paraId="1FE1D1A0">
            <w:pPr>
              <w:snapToGrid w:val="0"/>
              <w:spacing w:line="360" w:lineRule="auto"/>
              <w:jc w:val="left"/>
              <w:rPr>
                <w:rFonts w:hint="eastAsia" w:ascii="宋体" w:hAnsi="宋体" w:cs="宋体"/>
              </w:rPr>
            </w:pPr>
            <w:r>
              <w:rPr>
                <w:rFonts w:hint="eastAsia" w:ascii="宋体" w:hAnsi="宋体" w:cs="宋体"/>
              </w:rPr>
              <w:t>开标时间：同投标截止时间</w:t>
            </w:r>
          </w:p>
          <w:p w14:paraId="15042694">
            <w:pPr>
              <w:snapToGrid w:val="0"/>
              <w:spacing w:line="360" w:lineRule="auto"/>
              <w:jc w:val="left"/>
              <w:rPr>
                <w:rFonts w:hint="eastAsia" w:ascii="宋体" w:hAnsi="宋体" w:cs="宋体"/>
              </w:rPr>
            </w:pPr>
            <w:r>
              <w:rPr>
                <w:rFonts w:hint="eastAsia" w:ascii="宋体" w:hAnsi="宋体" w:cs="宋体"/>
              </w:rPr>
              <w:t>开标地点：姚安县公共资源交易中心</w:t>
            </w:r>
          </w:p>
        </w:tc>
      </w:tr>
      <w:tr w14:paraId="5CD3CF99">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620BD9AD">
            <w:pPr>
              <w:snapToGrid w:val="0"/>
              <w:spacing w:line="360" w:lineRule="auto"/>
              <w:jc w:val="center"/>
              <w:rPr>
                <w:rFonts w:hint="eastAsia" w:ascii="宋体" w:hAnsi="宋体" w:cs="宋体"/>
              </w:rPr>
            </w:pPr>
            <w:r>
              <w:rPr>
                <w:rFonts w:hint="eastAsia" w:ascii="宋体" w:hAnsi="宋体" w:cs="宋体"/>
              </w:rPr>
              <w:t>5.2</w:t>
            </w:r>
          </w:p>
        </w:tc>
        <w:tc>
          <w:tcPr>
            <w:tcW w:w="2273" w:type="dxa"/>
            <w:tcBorders>
              <w:top w:val="single" w:color="auto" w:sz="4" w:space="0"/>
              <w:left w:val="single" w:color="auto" w:sz="4" w:space="0"/>
              <w:bottom w:val="single" w:color="auto" w:sz="4" w:space="0"/>
              <w:right w:val="single" w:color="auto" w:sz="4" w:space="0"/>
            </w:tcBorders>
            <w:vAlign w:val="center"/>
          </w:tcPr>
          <w:p w14:paraId="5BE2BD46">
            <w:pPr>
              <w:snapToGrid w:val="0"/>
              <w:spacing w:line="360" w:lineRule="auto"/>
              <w:jc w:val="center"/>
              <w:rPr>
                <w:rFonts w:hint="eastAsia" w:ascii="宋体" w:hAnsi="宋体" w:cs="宋体"/>
              </w:rPr>
            </w:pPr>
            <w:r>
              <w:rPr>
                <w:rFonts w:hint="eastAsia" w:ascii="宋体" w:hAnsi="宋体" w:cs="宋体"/>
              </w:rPr>
              <w:t>开标程序及要求</w:t>
            </w:r>
          </w:p>
        </w:tc>
        <w:tc>
          <w:tcPr>
            <w:tcW w:w="6340" w:type="dxa"/>
            <w:tcBorders>
              <w:top w:val="single" w:color="auto" w:sz="4" w:space="0"/>
              <w:left w:val="single" w:color="auto" w:sz="4" w:space="0"/>
              <w:bottom w:val="single" w:color="auto" w:sz="4" w:space="0"/>
              <w:right w:val="single" w:color="auto" w:sz="4" w:space="0"/>
            </w:tcBorders>
            <w:vAlign w:val="center"/>
          </w:tcPr>
          <w:p w14:paraId="6944B48A">
            <w:pPr>
              <w:snapToGrid w:val="0"/>
              <w:spacing w:line="360" w:lineRule="auto"/>
              <w:ind w:firstLine="420" w:firstLineChars="200"/>
              <w:rPr>
                <w:rFonts w:hint="eastAsia" w:ascii="宋体" w:hAnsi="宋体" w:cs="宋体"/>
                <w:kern w:val="0"/>
              </w:rPr>
            </w:pPr>
            <w:r>
              <w:rPr>
                <w:rFonts w:hint="eastAsia" w:ascii="宋体" w:hAnsi="宋体" w:cs="宋体"/>
                <w:kern w:val="0"/>
              </w:rPr>
              <w:t>（1）在规定的开标时间内，由招标人（招标代理机构）下达开标命令，并按规定设置解密时间，在规定的解密时间内（解密时长：在网络系统正常运行条件下投标人总数为10家以内的，解密时长一般为10分钟；投标人总数为50家以内的，解密时长一般为20分钟；投标人总数为100家以内的，解密时长一般为30分钟；投标人总数超过100家的，解密时长一般为45分钟），若投标人未在规定时</w:t>
            </w:r>
            <w:r>
              <w:rPr>
                <w:rFonts w:hint="eastAsia" w:ascii="宋体" w:hAnsi="宋体" w:cs="宋体"/>
                <w:kern w:val="0"/>
                <w:lang w:eastAsia="zh-CN"/>
              </w:rPr>
              <w:t>间内</w:t>
            </w:r>
            <w:r>
              <w:rPr>
                <w:rFonts w:hint="eastAsia" w:ascii="宋体" w:hAnsi="宋体" w:cs="宋体"/>
                <w:kern w:val="0"/>
              </w:rPr>
              <w:t>完成解密的，视为撤销其投标文件，不再进入评标。开标过程中如有疑问，可以在线提出，由招标代理机构给予对应回复。在规定的签名确认时间内不进行开标一览表确认的，则视为对开标结果无异议。</w:t>
            </w:r>
          </w:p>
          <w:p w14:paraId="5F4DF505">
            <w:pPr>
              <w:snapToGrid w:val="0"/>
              <w:spacing w:line="360" w:lineRule="auto"/>
              <w:ind w:firstLine="420" w:firstLineChars="200"/>
              <w:rPr>
                <w:rFonts w:hint="eastAsia" w:ascii="宋体" w:hAnsi="宋体" w:cs="宋体"/>
                <w:kern w:val="0"/>
              </w:rPr>
            </w:pPr>
            <w:r>
              <w:rPr>
                <w:rFonts w:hint="eastAsia" w:ascii="宋体" w:hAnsi="宋体" w:cs="宋体"/>
                <w:kern w:val="0"/>
              </w:rPr>
              <w:t>（2）投标人应充分考虑所在地网络条件、供电状况和其他突发情况的影响。投标人无法正常登录系统或无法正常解密的，应及时联系筑龙客服说明问题并请求远程协助，同时联系招标代理机构说明情况，解密不成功的投标文件无效。因网络、设备（包括CA数字证书）或供电异常、操作不当或其他突发情况等影响，导致投标人无法正常登录系统、无法正常解密的，责任自负；</w:t>
            </w:r>
          </w:p>
          <w:p w14:paraId="34A0B091">
            <w:pPr>
              <w:snapToGrid w:val="0"/>
              <w:spacing w:line="360" w:lineRule="auto"/>
              <w:ind w:firstLine="420" w:firstLineChars="200"/>
              <w:rPr>
                <w:rFonts w:hint="eastAsia" w:ascii="宋体" w:hAnsi="宋体" w:cs="宋体"/>
                <w:kern w:val="0"/>
              </w:rPr>
            </w:pPr>
            <w:r>
              <w:rPr>
                <w:rFonts w:hint="eastAsia" w:ascii="宋体" w:hAnsi="宋体" w:cs="宋体"/>
                <w:kern w:val="0"/>
              </w:rPr>
              <w:t>（3）各投标人若对开标有异议，可以在线发起异议，点击右上角的〔提出异议〕按钮，填写异议详细内容之后进行提交，由招标人(招标代理机构）给予对应的回复；</w:t>
            </w:r>
          </w:p>
          <w:p w14:paraId="5ED5B419">
            <w:pPr>
              <w:snapToGrid w:val="0"/>
              <w:spacing w:line="360" w:lineRule="auto"/>
              <w:ind w:firstLine="420" w:firstLineChars="200"/>
              <w:rPr>
                <w:rFonts w:hint="eastAsia" w:ascii="宋体" w:hAnsi="宋体" w:cs="宋体"/>
                <w:kern w:val="0"/>
              </w:rPr>
            </w:pPr>
            <w:r>
              <w:rPr>
                <w:rFonts w:hint="eastAsia" w:ascii="宋体" w:hAnsi="宋体" w:cs="宋体"/>
                <w:kern w:val="0"/>
              </w:rPr>
              <w:t>（4）各投标人在规定的时间内用数字证书在开标记录表上进行签名确认，未在规定时限内签名确认的视为对此次开标结果无异议；</w:t>
            </w:r>
          </w:p>
          <w:p w14:paraId="0AF1CF4E">
            <w:pPr>
              <w:snapToGrid w:val="0"/>
              <w:spacing w:line="360" w:lineRule="auto"/>
              <w:ind w:firstLine="420" w:firstLineChars="200"/>
              <w:rPr>
                <w:rFonts w:hint="eastAsia" w:ascii="宋体" w:hAnsi="宋体" w:cs="宋体"/>
                <w:kern w:val="0"/>
              </w:rPr>
            </w:pPr>
            <w:r>
              <w:rPr>
                <w:rFonts w:hint="eastAsia" w:ascii="宋体" w:hAnsi="宋体" w:cs="宋体"/>
                <w:kern w:val="0"/>
              </w:rPr>
              <w:t>(5）招标人、纪律监察、行政监管人员、招标代理机构、交易中心有关人员在开标记录上签字确认；</w:t>
            </w:r>
          </w:p>
          <w:p w14:paraId="03D5BF8A">
            <w:pPr>
              <w:snapToGrid w:val="0"/>
              <w:spacing w:line="360" w:lineRule="auto"/>
              <w:ind w:firstLine="420" w:firstLineChars="200"/>
              <w:rPr>
                <w:rFonts w:hint="eastAsia" w:ascii="宋体" w:hAnsi="宋体" w:cs="宋体"/>
                <w:kern w:val="0"/>
              </w:rPr>
            </w:pPr>
            <w:r>
              <w:rPr>
                <w:rFonts w:hint="eastAsia" w:ascii="宋体" w:hAnsi="宋体" w:cs="宋体"/>
                <w:kern w:val="0"/>
              </w:rPr>
              <w:t>(6）开标结束。</w:t>
            </w:r>
          </w:p>
        </w:tc>
      </w:tr>
      <w:tr w14:paraId="1A11BDD7">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515E9AD5">
            <w:pPr>
              <w:snapToGrid w:val="0"/>
              <w:spacing w:line="360" w:lineRule="auto"/>
              <w:jc w:val="center"/>
              <w:rPr>
                <w:rFonts w:hint="eastAsia" w:ascii="宋体" w:hAnsi="宋体" w:cs="宋体"/>
              </w:rPr>
            </w:pPr>
            <w:r>
              <w:rPr>
                <w:rFonts w:hint="eastAsia" w:ascii="宋体" w:hAnsi="宋体" w:cs="宋体"/>
              </w:rPr>
              <w:t>6.1.1</w:t>
            </w:r>
          </w:p>
        </w:tc>
        <w:tc>
          <w:tcPr>
            <w:tcW w:w="2273" w:type="dxa"/>
            <w:tcBorders>
              <w:top w:val="single" w:color="auto" w:sz="4" w:space="0"/>
              <w:left w:val="single" w:color="auto" w:sz="4" w:space="0"/>
              <w:bottom w:val="single" w:color="auto" w:sz="4" w:space="0"/>
              <w:right w:val="single" w:color="auto" w:sz="4" w:space="0"/>
            </w:tcBorders>
            <w:vAlign w:val="center"/>
          </w:tcPr>
          <w:p w14:paraId="1E26E9F0">
            <w:pPr>
              <w:snapToGrid w:val="0"/>
              <w:spacing w:line="360" w:lineRule="auto"/>
              <w:jc w:val="center"/>
              <w:rPr>
                <w:rFonts w:hint="eastAsia" w:ascii="宋体" w:hAnsi="宋体" w:cs="宋体"/>
              </w:rPr>
            </w:pPr>
            <w:r>
              <w:rPr>
                <w:rFonts w:hint="eastAsia" w:ascii="宋体" w:hAnsi="宋体" w:cs="宋体"/>
              </w:rPr>
              <w:t>评标委员会的组建</w:t>
            </w:r>
          </w:p>
        </w:tc>
        <w:tc>
          <w:tcPr>
            <w:tcW w:w="6340" w:type="dxa"/>
            <w:tcBorders>
              <w:top w:val="single" w:color="auto" w:sz="4" w:space="0"/>
              <w:left w:val="single" w:color="auto" w:sz="4" w:space="0"/>
              <w:bottom w:val="single" w:color="auto" w:sz="4" w:space="0"/>
              <w:right w:val="single" w:color="auto" w:sz="4" w:space="0"/>
            </w:tcBorders>
            <w:vAlign w:val="center"/>
          </w:tcPr>
          <w:p w14:paraId="2E8A7DA0">
            <w:pPr>
              <w:snapToGrid w:val="0"/>
              <w:spacing w:line="360" w:lineRule="auto"/>
              <w:rPr>
                <w:rFonts w:hint="eastAsia" w:ascii="宋体" w:hAnsi="宋体" w:cs="宋体"/>
              </w:rPr>
            </w:pPr>
            <w:r>
              <w:rPr>
                <w:rFonts w:hint="eastAsia" w:ascii="宋体" w:hAnsi="宋体" w:cs="宋体"/>
                <w:kern w:val="0"/>
              </w:rPr>
              <w:t>评标委员会构成:7人及以上单数，其中技术、经济等方面的专家不得少于成员总数的2/3，招标人代表不得担任评标委员会主任委;评标专家确定方式:由招标人代表2人和《云南省综合评标专家库》中心评标专家库中随机抽取组成。</w:t>
            </w:r>
          </w:p>
        </w:tc>
      </w:tr>
      <w:tr w14:paraId="201AB0D9">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26F63DC6">
            <w:pPr>
              <w:snapToGrid w:val="0"/>
              <w:spacing w:line="360" w:lineRule="auto"/>
              <w:jc w:val="center"/>
              <w:rPr>
                <w:rFonts w:hint="eastAsia" w:ascii="宋体" w:hAnsi="宋体" w:cs="宋体"/>
              </w:rPr>
            </w:pPr>
            <w:r>
              <w:rPr>
                <w:rFonts w:hint="eastAsia" w:ascii="宋体" w:hAnsi="宋体" w:cs="宋体"/>
              </w:rPr>
              <w:t>6.3</w:t>
            </w:r>
          </w:p>
        </w:tc>
        <w:tc>
          <w:tcPr>
            <w:tcW w:w="2273" w:type="dxa"/>
            <w:tcBorders>
              <w:top w:val="single" w:color="auto" w:sz="4" w:space="0"/>
              <w:left w:val="single" w:color="auto" w:sz="4" w:space="0"/>
              <w:bottom w:val="single" w:color="auto" w:sz="4" w:space="0"/>
              <w:right w:val="single" w:color="auto" w:sz="4" w:space="0"/>
            </w:tcBorders>
            <w:vAlign w:val="center"/>
          </w:tcPr>
          <w:p w14:paraId="70BB2C8F">
            <w:pPr>
              <w:snapToGrid w:val="0"/>
              <w:spacing w:line="360" w:lineRule="auto"/>
              <w:jc w:val="center"/>
              <w:rPr>
                <w:rFonts w:hint="eastAsia" w:ascii="宋体" w:hAnsi="宋体" w:cs="宋体"/>
              </w:rPr>
            </w:pPr>
            <w:r>
              <w:rPr>
                <w:rFonts w:hint="eastAsia" w:ascii="宋体" w:hAnsi="宋体" w:cs="宋体"/>
              </w:rPr>
              <w:t>评标方法及标准</w:t>
            </w:r>
          </w:p>
        </w:tc>
        <w:tc>
          <w:tcPr>
            <w:tcW w:w="6340" w:type="dxa"/>
            <w:tcBorders>
              <w:top w:val="single" w:color="auto" w:sz="4" w:space="0"/>
              <w:left w:val="single" w:color="auto" w:sz="4" w:space="0"/>
              <w:bottom w:val="single" w:color="auto" w:sz="4" w:space="0"/>
              <w:right w:val="single" w:color="auto" w:sz="4" w:space="0"/>
            </w:tcBorders>
            <w:vAlign w:val="center"/>
          </w:tcPr>
          <w:p w14:paraId="2BEAD6B0">
            <w:pPr>
              <w:snapToGrid w:val="0"/>
              <w:spacing w:line="360" w:lineRule="auto"/>
              <w:rPr>
                <w:rFonts w:hint="eastAsia" w:ascii="宋体" w:hAnsi="宋体" w:cs="宋体"/>
                <w:b/>
                <w:bCs/>
              </w:rPr>
            </w:pPr>
            <w:r>
              <w:rPr>
                <w:rFonts w:hint="eastAsia" w:ascii="宋体" w:hAnsi="宋体" w:cs="宋体"/>
                <w:b/>
                <w:bCs/>
              </w:rPr>
              <w:t>综合评估法</w:t>
            </w:r>
            <w:r>
              <w:rPr>
                <w:rFonts w:hint="eastAsia" w:ascii="宋体" w:hAnsi="宋体" w:cs="宋体"/>
              </w:rPr>
              <w:t>（详见第三章）</w:t>
            </w:r>
          </w:p>
        </w:tc>
      </w:tr>
      <w:tr w14:paraId="25E3A8DF">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2CBD0F78">
            <w:pPr>
              <w:snapToGrid w:val="0"/>
              <w:spacing w:line="360" w:lineRule="auto"/>
              <w:jc w:val="center"/>
              <w:rPr>
                <w:rFonts w:hint="eastAsia" w:ascii="宋体" w:hAnsi="宋体" w:cs="宋体"/>
              </w:rPr>
            </w:pPr>
            <w:r>
              <w:rPr>
                <w:rFonts w:hint="eastAsia" w:ascii="宋体" w:hAnsi="宋体" w:cs="宋体"/>
              </w:rPr>
              <w:t>7.1</w:t>
            </w:r>
          </w:p>
        </w:tc>
        <w:tc>
          <w:tcPr>
            <w:tcW w:w="2273" w:type="dxa"/>
            <w:tcBorders>
              <w:top w:val="single" w:color="auto" w:sz="4" w:space="0"/>
              <w:left w:val="single" w:color="auto" w:sz="4" w:space="0"/>
              <w:bottom w:val="single" w:color="auto" w:sz="4" w:space="0"/>
              <w:right w:val="single" w:color="auto" w:sz="4" w:space="0"/>
            </w:tcBorders>
            <w:vAlign w:val="center"/>
          </w:tcPr>
          <w:p w14:paraId="77C92192">
            <w:pPr>
              <w:snapToGrid w:val="0"/>
              <w:spacing w:line="360" w:lineRule="auto"/>
              <w:jc w:val="center"/>
              <w:rPr>
                <w:rFonts w:hint="eastAsia" w:ascii="宋体" w:hAnsi="宋体" w:cs="宋体"/>
              </w:rPr>
            </w:pPr>
            <w:r>
              <w:rPr>
                <w:rFonts w:hint="eastAsia" w:ascii="宋体" w:hAnsi="宋体" w:cs="宋体"/>
              </w:rPr>
              <w:t>是否授权评标委员会确定中标人</w:t>
            </w:r>
          </w:p>
        </w:tc>
        <w:tc>
          <w:tcPr>
            <w:tcW w:w="6340" w:type="dxa"/>
            <w:tcBorders>
              <w:top w:val="single" w:color="auto" w:sz="4" w:space="0"/>
              <w:left w:val="single" w:color="auto" w:sz="4" w:space="0"/>
              <w:bottom w:val="single" w:color="auto" w:sz="4" w:space="0"/>
              <w:right w:val="single" w:color="auto" w:sz="4" w:space="0"/>
            </w:tcBorders>
            <w:vAlign w:val="center"/>
          </w:tcPr>
          <w:p w14:paraId="7B095292">
            <w:pPr>
              <w:snapToGrid w:val="0"/>
              <w:spacing w:line="360" w:lineRule="auto"/>
              <w:rPr>
                <w:rFonts w:hint="eastAsia" w:ascii="宋体" w:hAnsi="宋体" w:cs="宋体"/>
              </w:rPr>
            </w:pPr>
            <w:r>
              <w:rPr>
                <w:rFonts w:hint="eastAsia" w:ascii="宋体" w:hAnsi="宋体" w:cs="宋体"/>
              </w:rPr>
              <w:t>□是</w:t>
            </w:r>
          </w:p>
          <w:p w14:paraId="3B783BC3">
            <w:pPr>
              <w:snapToGrid w:val="0"/>
              <w:spacing w:line="360" w:lineRule="auto"/>
              <w:rPr>
                <w:rFonts w:hint="eastAsia" w:ascii="宋体" w:hAnsi="宋体" w:cs="宋体"/>
              </w:rPr>
            </w:pPr>
            <w:r>
              <w:rPr>
                <w:rFonts w:hint="eastAsia" w:ascii="宋体" w:hAnsi="宋体" w:cs="宋体"/>
              </w:rPr>
              <w:t>■否，</w:t>
            </w:r>
            <w:r>
              <w:rPr>
                <w:rFonts w:hint="eastAsia" w:ascii="宋体" w:hAnsi="宋体" w:cs="宋体"/>
                <w:kern w:val="0"/>
              </w:rPr>
              <w:t>推荐的中标候选人数：</w:t>
            </w:r>
            <w:r>
              <w:rPr>
                <w:rFonts w:hint="eastAsia" w:ascii="宋体" w:hAnsi="宋体" w:cs="宋体"/>
              </w:rPr>
              <w:fldChar w:fldCharType="begin"/>
            </w:r>
            <w:r>
              <w:rPr>
                <w:rFonts w:hint="eastAsia" w:ascii="宋体" w:hAnsi="宋体" w:cs="宋体"/>
              </w:rPr>
              <w:instrText xml:space="preserve"> AUTOTEXT  input165 \* MERGEFORMAT </w:instrText>
            </w:r>
            <w:r>
              <w:rPr>
                <w:rFonts w:hint="eastAsia" w:ascii="宋体" w:hAnsi="宋体" w:cs="宋体"/>
              </w:rPr>
              <w:fldChar w:fldCharType="separate"/>
            </w:r>
            <w:r>
              <w:rPr>
                <w:rFonts w:hint="eastAsia" w:ascii="宋体" w:hAnsi="宋体" w:cs="宋体"/>
                <w:kern w:val="0"/>
              </w:rPr>
              <w:t>3</w:t>
            </w:r>
            <w:r>
              <w:rPr>
                <w:rFonts w:hint="eastAsia" w:ascii="宋体" w:hAnsi="宋体" w:cs="宋体"/>
                <w:kern w:val="0"/>
              </w:rPr>
              <w:fldChar w:fldCharType="end"/>
            </w:r>
            <w:r>
              <w:rPr>
                <w:rFonts w:hint="eastAsia" w:ascii="宋体" w:hAnsi="宋体" w:cs="宋体"/>
                <w:kern w:val="0"/>
              </w:rPr>
              <w:t>人</w:t>
            </w:r>
          </w:p>
        </w:tc>
      </w:tr>
      <w:tr w14:paraId="362BD1DC">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142BE040">
            <w:pPr>
              <w:snapToGrid w:val="0"/>
              <w:spacing w:line="360" w:lineRule="auto"/>
              <w:jc w:val="center"/>
              <w:rPr>
                <w:rFonts w:hint="eastAsia" w:ascii="宋体" w:hAnsi="宋体" w:cs="宋体"/>
              </w:rPr>
            </w:pPr>
            <w:r>
              <w:rPr>
                <w:rFonts w:hint="eastAsia" w:ascii="宋体" w:hAnsi="宋体" w:cs="宋体"/>
              </w:rPr>
              <w:t>7.2</w:t>
            </w:r>
          </w:p>
        </w:tc>
        <w:tc>
          <w:tcPr>
            <w:tcW w:w="2273" w:type="dxa"/>
            <w:tcBorders>
              <w:top w:val="single" w:color="auto" w:sz="4" w:space="0"/>
              <w:left w:val="single" w:color="auto" w:sz="4" w:space="0"/>
              <w:bottom w:val="single" w:color="auto" w:sz="4" w:space="0"/>
              <w:right w:val="single" w:color="auto" w:sz="4" w:space="0"/>
            </w:tcBorders>
            <w:vAlign w:val="center"/>
          </w:tcPr>
          <w:p w14:paraId="265E27B6">
            <w:pPr>
              <w:snapToGrid w:val="0"/>
              <w:spacing w:line="360" w:lineRule="auto"/>
              <w:ind w:firstLine="420" w:firstLineChars="200"/>
              <w:rPr>
                <w:rFonts w:hint="eastAsia" w:ascii="宋体" w:hAnsi="宋体" w:cs="宋体"/>
              </w:rPr>
            </w:pPr>
            <w:r>
              <w:rPr>
                <w:rFonts w:hint="eastAsia" w:ascii="宋体" w:hAnsi="宋体" w:cs="宋体"/>
              </w:rPr>
              <w:t>中标候选人公示媒介</w:t>
            </w:r>
          </w:p>
        </w:tc>
        <w:tc>
          <w:tcPr>
            <w:tcW w:w="6340" w:type="dxa"/>
            <w:tcBorders>
              <w:top w:val="single" w:color="auto" w:sz="4" w:space="0"/>
              <w:left w:val="single" w:color="auto" w:sz="4" w:space="0"/>
              <w:bottom w:val="single" w:color="auto" w:sz="4" w:space="0"/>
              <w:right w:val="single" w:color="auto" w:sz="4" w:space="0"/>
            </w:tcBorders>
            <w:vAlign w:val="center"/>
          </w:tcPr>
          <w:p w14:paraId="3D490C4F">
            <w:pPr>
              <w:snapToGrid w:val="0"/>
              <w:spacing w:line="360" w:lineRule="auto"/>
              <w:rPr>
                <w:rFonts w:hint="eastAsia" w:ascii="宋体" w:hAnsi="宋体" w:cs="宋体"/>
              </w:rPr>
            </w:pPr>
            <w:r>
              <w:rPr>
                <w:rFonts w:hint="eastAsia" w:ascii="宋体" w:hAnsi="宋体" w:cs="宋体"/>
              </w:rPr>
              <w:t>与招标公告发布媒介一致，公示期不少于3日</w:t>
            </w:r>
            <w:r>
              <w:rPr>
                <w:rFonts w:hint="eastAsia" w:ascii="宋体" w:hAnsi="宋体" w:cs="宋体"/>
                <w:lang w:val="zh-TW"/>
              </w:rPr>
              <w:t>。</w:t>
            </w:r>
          </w:p>
        </w:tc>
      </w:tr>
      <w:tr w14:paraId="60201DEB">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036A1BD2">
            <w:pPr>
              <w:snapToGrid w:val="0"/>
              <w:spacing w:line="360" w:lineRule="auto"/>
              <w:jc w:val="center"/>
              <w:rPr>
                <w:rFonts w:hint="eastAsia" w:ascii="宋体" w:hAnsi="宋体" w:cs="宋体"/>
              </w:rPr>
            </w:pPr>
            <w:r>
              <w:rPr>
                <w:rFonts w:hint="eastAsia" w:ascii="宋体" w:hAnsi="宋体" w:cs="宋体"/>
              </w:rPr>
              <w:t>7.4.1</w:t>
            </w:r>
          </w:p>
        </w:tc>
        <w:tc>
          <w:tcPr>
            <w:tcW w:w="2273" w:type="dxa"/>
            <w:tcBorders>
              <w:top w:val="single" w:color="auto" w:sz="4" w:space="0"/>
              <w:left w:val="single" w:color="auto" w:sz="4" w:space="0"/>
              <w:bottom w:val="single" w:color="auto" w:sz="4" w:space="0"/>
              <w:right w:val="single" w:color="auto" w:sz="4" w:space="0"/>
            </w:tcBorders>
            <w:vAlign w:val="center"/>
          </w:tcPr>
          <w:p w14:paraId="7AFA3DFB">
            <w:pPr>
              <w:snapToGrid w:val="0"/>
              <w:spacing w:line="360" w:lineRule="auto"/>
              <w:jc w:val="center"/>
              <w:rPr>
                <w:rFonts w:hint="eastAsia" w:ascii="宋体" w:hAnsi="宋体" w:cs="宋体"/>
              </w:rPr>
            </w:pPr>
            <w:r>
              <w:rPr>
                <w:rFonts w:hint="eastAsia" w:ascii="宋体" w:hAnsi="宋体" w:cs="宋体"/>
              </w:rPr>
              <w:t>履约担保</w:t>
            </w:r>
          </w:p>
        </w:tc>
        <w:tc>
          <w:tcPr>
            <w:tcW w:w="6340" w:type="dxa"/>
            <w:tcBorders>
              <w:top w:val="single" w:color="auto" w:sz="4" w:space="0"/>
              <w:left w:val="single" w:color="auto" w:sz="4" w:space="0"/>
              <w:bottom w:val="single" w:color="auto" w:sz="4" w:space="0"/>
              <w:right w:val="single" w:color="auto" w:sz="4" w:space="0"/>
            </w:tcBorders>
            <w:vAlign w:val="center"/>
          </w:tcPr>
          <w:p w14:paraId="7956F64F">
            <w:pPr>
              <w:adjustRightInd w:val="0"/>
              <w:snapToGrid w:val="0"/>
              <w:spacing w:line="360" w:lineRule="auto"/>
              <w:rPr>
                <w:rFonts w:hint="eastAsia" w:ascii="宋体" w:hAnsi="宋体" w:cs="宋体"/>
              </w:rPr>
            </w:pPr>
            <w:r>
              <w:rPr>
                <w:rFonts w:hint="eastAsia" w:ascii="宋体" w:hAnsi="宋体" w:cs="宋体"/>
                <w:kern w:val="0"/>
              </w:rPr>
              <w:t>履约担保的形式：</w:t>
            </w:r>
            <w:r>
              <w:rPr>
                <w:rFonts w:hint="eastAsia" w:ascii="宋体" w:hAnsi="宋体" w:cs="宋体"/>
              </w:rPr>
              <w:fldChar w:fldCharType="begin"/>
            </w:r>
            <w:r>
              <w:rPr>
                <w:rFonts w:hint="eastAsia" w:ascii="宋体" w:hAnsi="宋体" w:cs="宋体"/>
              </w:rPr>
              <w:instrText xml:space="preserve"> AUTOTEXT  input167 \* MERGEFORMAT </w:instrText>
            </w:r>
            <w:r>
              <w:rPr>
                <w:rFonts w:hint="eastAsia" w:ascii="宋体" w:hAnsi="宋体" w:cs="宋体"/>
              </w:rPr>
              <w:fldChar w:fldCharType="separate"/>
            </w:r>
            <w:r>
              <w:rPr>
                <w:rFonts w:hint="eastAsia" w:ascii="宋体" w:hAnsi="宋体" w:cs="宋体"/>
              </w:rPr>
              <w:t>现金（转账或电汇）或银行保函</w:t>
            </w:r>
            <w:r>
              <w:rPr>
                <w:rFonts w:hint="eastAsia" w:ascii="宋体" w:hAnsi="宋体" w:cs="宋体"/>
              </w:rPr>
              <w:fldChar w:fldCharType="end"/>
            </w:r>
            <w:r>
              <w:rPr>
                <w:rFonts w:hint="eastAsia" w:ascii="宋体" w:hAnsi="宋体" w:cs="宋体"/>
              </w:rPr>
              <w:t>、保险保函，履约担保形式由招标人与中标人签订合同时商定。</w:t>
            </w:r>
          </w:p>
          <w:p w14:paraId="695EAEBE">
            <w:pPr>
              <w:adjustRightInd w:val="0"/>
              <w:snapToGrid w:val="0"/>
              <w:spacing w:line="360" w:lineRule="auto"/>
              <w:rPr>
                <w:rFonts w:hint="eastAsia" w:ascii="宋体" w:hAnsi="宋体" w:cs="宋体"/>
              </w:rPr>
            </w:pPr>
            <w:r>
              <w:rPr>
                <w:rFonts w:hint="eastAsia" w:ascii="宋体" w:hAnsi="宋体" w:cs="宋体"/>
              </w:rPr>
              <w:t>履约担保的金额：</w:t>
            </w:r>
            <w:r>
              <w:rPr>
                <w:rFonts w:hint="eastAsia" w:ascii="宋体" w:hAnsi="宋体" w:cs="宋体"/>
              </w:rPr>
              <w:fldChar w:fldCharType="begin"/>
            </w:r>
            <w:r>
              <w:rPr>
                <w:rFonts w:hint="eastAsia" w:ascii="宋体" w:hAnsi="宋体" w:cs="宋体"/>
              </w:rPr>
              <w:instrText xml:space="preserve"> AUTOTEXT  input168 \* MERGEFORMAT </w:instrText>
            </w:r>
            <w:r>
              <w:rPr>
                <w:rFonts w:hint="eastAsia" w:ascii="宋体" w:hAnsi="宋体" w:cs="宋体"/>
              </w:rPr>
              <w:fldChar w:fldCharType="separate"/>
            </w:r>
            <w:r>
              <w:rPr>
                <w:rFonts w:hint="eastAsia" w:ascii="宋体" w:hAnsi="宋体" w:cs="宋体"/>
              </w:rPr>
              <w:t>中标合同金额的</w:t>
            </w:r>
            <w:r>
              <w:rPr>
                <w:rFonts w:hint="eastAsia" w:ascii="宋体" w:hAnsi="宋体" w:cs="宋体"/>
              </w:rPr>
              <w:fldChar w:fldCharType="end"/>
            </w:r>
            <w:r>
              <w:rPr>
                <w:rFonts w:hint="eastAsia" w:ascii="宋体" w:hAnsi="宋体" w:cs="宋体"/>
              </w:rPr>
              <w:t>5.00%～10.00%，具体金额由招标人与中标人签订合同时确认</w:t>
            </w:r>
            <w:r>
              <w:rPr>
                <w:rFonts w:hint="eastAsia" w:ascii="宋体" w:hAnsi="宋体" w:cs="宋体"/>
                <w:sz w:val="24"/>
                <w:szCs w:val="24"/>
              </w:rPr>
              <w:t>。</w:t>
            </w:r>
          </w:p>
        </w:tc>
      </w:tr>
      <w:tr w14:paraId="796B7624">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6BC10507">
            <w:pPr>
              <w:snapToGrid w:val="0"/>
              <w:spacing w:line="360" w:lineRule="auto"/>
              <w:jc w:val="center"/>
              <w:rPr>
                <w:rFonts w:hint="eastAsia" w:ascii="宋体" w:hAnsi="宋体" w:cs="宋体"/>
              </w:rPr>
            </w:pPr>
            <w:r>
              <w:rPr>
                <w:rFonts w:hint="eastAsia" w:ascii="宋体" w:hAnsi="宋体" w:cs="宋体"/>
              </w:rPr>
              <w:t>8.1</w:t>
            </w:r>
          </w:p>
        </w:tc>
        <w:tc>
          <w:tcPr>
            <w:tcW w:w="2273" w:type="dxa"/>
            <w:tcBorders>
              <w:top w:val="single" w:color="auto" w:sz="4" w:space="0"/>
              <w:left w:val="single" w:color="auto" w:sz="4" w:space="0"/>
              <w:bottom w:val="single" w:color="auto" w:sz="4" w:space="0"/>
              <w:right w:val="single" w:color="auto" w:sz="4" w:space="0"/>
            </w:tcBorders>
            <w:vAlign w:val="center"/>
          </w:tcPr>
          <w:p w14:paraId="22E078A0">
            <w:pPr>
              <w:snapToGrid w:val="0"/>
              <w:spacing w:line="360" w:lineRule="auto"/>
              <w:jc w:val="center"/>
              <w:rPr>
                <w:rFonts w:hint="eastAsia" w:ascii="宋体" w:hAnsi="宋体" w:cs="宋体"/>
              </w:rPr>
            </w:pPr>
            <w:r>
              <w:rPr>
                <w:rFonts w:hint="eastAsia" w:ascii="宋体" w:hAnsi="宋体" w:cs="宋体"/>
              </w:rPr>
              <w:t>监督部门</w:t>
            </w:r>
          </w:p>
        </w:tc>
        <w:tc>
          <w:tcPr>
            <w:tcW w:w="6340" w:type="dxa"/>
            <w:tcBorders>
              <w:top w:val="single" w:color="auto" w:sz="4" w:space="0"/>
              <w:left w:val="single" w:color="auto" w:sz="4" w:space="0"/>
              <w:bottom w:val="single" w:color="auto" w:sz="4" w:space="0"/>
              <w:right w:val="single" w:color="auto" w:sz="4" w:space="0"/>
            </w:tcBorders>
            <w:vAlign w:val="center"/>
          </w:tcPr>
          <w:p w14:paraId="54E05D02">
            <w:pPr>
              <w:adjustRightInd w:val="0"/>
              <w:snapToGrid w:val="0"/>
              <w:spacing w:line="360" w:lineRule="auto"/>
              <w:rPr>
                <w:rFonts w:hint="eastAsia" w:ascii="宋体" w:hAnsi="宋体" w:cs="宋体"/>
              </w:rPr>
            </w:pPr>
            <w:r>
              <w:rPr>
                <w:rFonts w:hint="eastAsia" w:ascii="宋体" w:hAnsi="宋体" w:cs="宋体"/>
              </w:rPr>
              <w:t>行政监督单位：姚安县住房和城乡建设局</w:t>
            </w:r>
          </w:p>
          <w:p w14:paraId="54634FA9">
            <w:pPr>
              <w:adjustRightInd w:val="0"/>
              <w:snapToGrid w:val="0"/>
              <w:spacing w:line="360" w:lineRule="auto"/>
              <w:rPr>
                <w:rFonts w:hint="eastAsia" w:ascii="宋体" w:hAnsi="宋体" w:cs="宋体"/>
              </w:rPr>
            </w:pPr>
            <w:r>
              <w:rPr>
                <w:rFonts w:hint="eastAsia" w:ascii="宋体" w:hAnsi="宋体" w:cs="宋体"/>
              </w:rPr>
              <w:t>监督电话；0878-5711952</w:t>
            </w:r>
          </w:p>
        </w:tc>
      </w:tr>
      <w:tr w14:paraId="509D8C6E">
        <w:tblPrEx>
          <w:tblCellMar>
            <w:top w:w="0" w:type="dxa"/>
            <w:left w:w="108" w:type="dxa"/>
            <w:bottom w:w="0" w:type="dxa"/>
            <w:right w:w="108" w:type="dxa"/>
          </w:tblCellMar>
        </w:tblPrEx>
        <w:trPr>
          <w:gridBefore w:val="1"/>
          <w:wBefore w:w="6" w:type="dxa"/>
        </w:trPr>
        <w:tc>
          <w:tcPr>
            <w:tcW w:w="9546" w:type="dxa"/>
            <w:gridSpan w:val="3"/>
            <w:tcBorders>
              <w:top w:val="single" w:color="auto" w:sz="4" w:space="0"/>
              <w:left w:val="single" w:color="auto" w:sz="4" w:space="0"/>
              <w:bottom w:val="single" w:color="auto" w:sz="4" w:space="0"/>
              <w:right w:val="single" w:color="auto" w:sz="4" w:space="0"/>
            </w:tcBorders>
            <w:vAlign w:val="center"/>
          </w:tcPr>
          <w:p w14:paraId="267FFB9B">
            <w:pPr>
              <w:snapToGrid w:val="0"/>
              <w:spacing w:line="360" w:lineRule="auto"/>
              <w:rPr>
                <w:rFonts w:hint="eastAsia" w:ascii="宋体" w:hAnsi="宋体" w:cs="宋体"/>
                <w:b/>
                <w:bCs/>
              </w:rPr>
            </w:pPr>
            <w:r>
              <w:rPr>
                <w:rFonts w:hint="eastAsia" w:ascii="宋体" w:hAnsi="宋体" w:cs="宋体"/>
                <w:kern w:val="0"/>
              </w:rPr>
              <w:t>需要补充的其他内容：</w:t>
            </w:r>
          </w:p>
        </w:tc>
      </w:tr>
      <w:tr w14:paraId="32EF217D">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70F7F087">
            <w:pPr>
              <w:snapToGrid w:val="0"/>
              <w:spacing w:line="360" w:lineRule="auto"/>
              <w:jc w:val="center"/>
              <w:rPr>
                <w:rFonts w:hint="eastAsia" w:ascii="宋体" w:hAnsi="宋体" w:cs="宋体"/>
              </w:rPr>
            </w:pPr>
            <w:r>
              <w:rPr>
                <w:rFonts w:hint="eastAsia" w:ascii="宋体" w:hAnsi="宋体" w:cs="宋体"/>
              </w:rPr>
              <w:t>9.1</w:t>
            </w:r>
          </w:p>
        </w:tc>
        <w:tc>
          <w:tcPr>
            <w:tcW w:w="2273" w:type="dxa"/>
            <w:tcBorders>
              <w:top w:val="single" w:color="auto" w:sz="4" w:space="0"/>
              <w:left w:val="single" w:color="auto" w:sz="4" w:space="0"/>
              <w:bottom w:val="single" w:color="auto" w:sz="4" w:space="0"/>
              <w:right w:val="single" w:color="auto" w:sz="4" w:space="0"/>
            </w:tcBorders>
            <w:vAlign w:val="center"/>
          </w:tcPr>
          <w:p w14:paraId="44F699FA">
            <w:pPr>
              <w:snapToGrid w:val="0"/>
              <w:spacing w:line="360" w:lineRule="auto"/>
              <w:jc w:val="center"/>
              <w:rPr>
                <w:rFonts w:hint="eastAsia" w:ascii="宋体" w:hAnsi="宋体" w:cs="宋体"/>
              </w:rPr>
            </w:pPr>
            <w:r>
              <w:rPr>
                <w:rFonts w:hint="eastAsia" w:ascii="宋体" w:hAnsi="宋体" w:cs="宋体"/>
                <w:kern w:val="0"/>
                <w:lang w:bidi="en-US"/>
              </w:rPr>
              <w:t>评标结果公示</w:t>
            </w:r>
          </w:p>
        </w:tc>
        <w:tc>
          <w:tcPr>
            <w:tcW w:w="6340" w:type="dxa"/>
            <w:tcBorders>
              <w:top w:val="single" w:color="auto" w:sz="4" w:space="0"/>
              <w:left w:val="single" w:color="auto" w:sz="4" w:space="0"/>
              <w:bottom w:val="single" w:color="auto" w:sz="4" w:space="0"/>
              <w:right w:val="single" w:color="auto" w:sz="4" w:space="0"/>
            </w:tcBorders>
            <w:vAlign w:val="center"/>
          </w:tcPr>
          <w:p w14:paraId="4177AD57">
            <w:pPr>
              <w:snapToGrid w:val="0"/>
              <w:spacing w:line="360" w:lineRule="auto"/>
              <w:rPr>
                <w:rFonts w:hint="eastAsia" w:ascii="宋体" w:hAnsi="宋体" w:cs="宋体"/>
              </w:rPr>
            </w:pPr>
            <w:r>
              <w:rPr>
                <w:rFonts w:hint="eastAsia" w:ascii="宋体" w:hAnsi="宋体" w:cs="宋体"/>
                <w:kern w:val="0"/>
                <w:lang w:bidi="en-US"/>
              </w:rPr>
              <w:t>在中标通知书发出前，招标人将中标候选人的情况在本招标项目招标公告发布的同一媒介予以公示，公示期不少于3日。</w:t>
            </w:r>
          </w:p>
        </w:tc>
      </w:tr>
      <w:tr w14:paraId="3044428F">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0F65BD12">
            <w:pPr>
              <w:snapToGrid w:val="0"/>
              <w:spacing w:line="360" w:lineRule="auto"/>
              <w:jc w:val="center"/>
              <w:rPr>
                <w:rFonts w:hint="eastAsia" w:ascii="宋体" w:hAnsi="宋体" w:cs="宋体"/>
              </w:rPr>
            </w:pPr>
            <w:r>
              <w:rPr>
                <w:rFonts w:hint="eastAsia" w:ascii="宋体" w:hAnsi="宋体" w:cs="宋体"/>
              </w:rPr>
              <w:t>9.2</w:t>
            </w:r>
          </w:p>
        </w:tc>
        <w:tc>
          <w:tcPr>
            <w:tcW w:w="2273" w:type="dxa"/>
            <w:tcBorders>
              <w:top w:val="single" w:color="auto" w:sz="4" w:space="0"/>
              <w:left w:val="single" w:color="auto" w:sz="4" w:space="0"/>
              <w:bottom w:val="single" w:color="auto" w:sz="4" w:space="0"/>
              <w:right w:val="single" w:color="auto" w:sz="4" w:space="0"/>
            </w:tcBorders>
            <w:vAlign w:val="center"/>
          </w:tcPr>
          <w:p w14:paraId="1B9049EB">
            <w:pPr>
              <w:snapToGrid w:val="0"/>
              <w:spacing w:line="360" w:lineRule="auto"/>
              <w:jc w:val="center"/>
              <w:rPr>
                <w:rFonts w:hint="eastAsia" w:ascii="宋体" w:hAnsi="宋体" w:cs="宋体"/>
              </w:rPr>
            </w:pPr>
            <w:r>
              <w:rPr>
                <w:rFonts w:hint="eastAsia" w:ascii="宋体" w:hAnsi="宋体" w:cs="宋体"/>
              </w:rPr>
              <w:t>知识产权</w:t>
            </w:r>
          </w:p>
        </w:tc>
        <w:tc>
          <w:tcPr>
            <w:tcW w:w="6340" w:type="dxa"/>
            <w:tcBorders>
              <w:top w:val="single" w:color="auto" w:sz="4" w:space="0"/>
              <w:left w:val="single" w:color="auto" w:sz="4" w:space="0"/>
              <w:bottom w:val="single" w:color="auto" w:sz="4" w:space="0"/>
              <w:right w:val="single" w:color="auto" w:sz="4" w:space="0"/>
            </w:tcBorders>
            <w:vAlign w:val="center"/>
          </w:tcPr>
          <w:p w14:paraId="2EB788A6">
            <w:pPr>
              <w:snapToGrid w:val="0"/>
              <w:spacing w:line="360" w:lineRule="auto"/>
              <w:rPr>
                <w:rFonts w:hint="eastAsia" w:ascii="宋体" w:hAnsi="宋体" w:cs="宋体"/>
              </w:rPr>
            </w:pPr>
            <w:r>
              <w:rPr>
                <w:rFonts w:hint="eastAsia" w:ascii="宋体" w:hAnsi="宋体" w:cs="宋体"/>
                <w:kern w:val="0"/>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4318B6B4">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1854436F">
            <w:pPr>
              <w:snapToGrid w:val="0"/>
              <w:spacing w:line="360" w:lineRule="auto"/>
              <w:jc w:val="center"/>
              <w:rPr>
                <w:rFonts w:hint="eastAsia" w:ascii="宋体" w:hAnsi="宋体" w:cs="宋体"/>
              </w:rPr>
            </w:pPr>
            <w:r>
              <w:rPr>
                <w:rFonts w:hint="eastAsia" w:ascii="宋体" w:hAnsi="宋体" w:cs="宋体"/>
              </w:rPr>
              <w:t>9.3</w:t>
            </w:r>
          </w:p>
        </w:tc>
        <w:tc>
          <w:tcPr>
            <w:tcW w:w="2273" w:type="dxa"/>
            <w:tcBorders>
              <w:top w:val="single" w:color="auto" w:sz="4" w:space="0"/>
              <w:left w:val="single" w:color="auto" w:sz="4" w:space="0"/>
              <w:bottom w:val="single" w:color="auto" w:sz="4" w:space="0"/>
              <w:right w:val="single" w:color="auto" w:sz="4" w:space="0"/>
            </w:tcBorders>
            <w:vAlign w:val="center"/>
          </w:tcPr>
          <w:p w14:paraId="2D49CA2A">
            <w:pPr>
              <w:snapToGrid w:val="0"/>
              <w:spacing w:line="360" w:lineRule="auto"/>
              <w:jc w:val="center"/>
              <w:rPr>
                <w:rFonts w:hint="eastAsia" w:ascii="宋体" w:hAnsi="宋体" w:cs="宋体"/>
              </w:rPr>
            </w:pPr>
            <w:r>
              <w:rPr>
                <w:rFonts w:hint="eastAsia" w:ascii="宋体" w:hAnsi="宋体" w:cs="宋体"/>
              </w:rPr>
              <w:t>重新招标的其他情形</w:t>
            </w:r>
          </w:p>
        </w:tc>
        <w:tc>
          <w:tcPr>
            <w:tcW w:w="6340" w:type="dxa"/>
            <w:tcBorders>
              <w:top w:val="single" w:color="auto" w:sz="4" w:space="0"/>
              <w:left w:val="single" w:color="auto" w:sz="4" w:space="0"/>
              <w:bottom w:val="single" w:color="auto" w:sz="4" w:space="0"/>
              <w:right w:val="single" w:color="auto" w:sz="4" w:space="0"/>
            </w:tcBorders>
            <w:vAlign w:val="center"/>
          </w:tcPr>
          <w:p w14:paraId="03BF158C">
            <w:pPr>
              <w:snapToGrid w:val="0"/>
              <w:spacing w:line="360" w:lineRule="auto"/>
              <w:rPr>
                <w:rFonts w:hint="eastAsia" w:ascii="宋体" w:hAnsi="宋体" w:cs="宋体"/>
              </w:rPr>
            </w:pPr>
            <w:r>
              <w:rPr>
                <w:rFonts w:hint="eastAsia" w:ascii="宋体" w:hAnsi="宋体" w:cs="宋体"/>
              </w:rPr>
              <w:t>除投标人须知正文第8条规定的情形外，除非已经产生中标候选人，在投标有效期内同意延长投标有效期的投标人少于三个的，招标人应当依法重新招标。</w:t>
            </w:r>
          </w:p>
        </w:tc>
      </w:tr>
      <w:tr w14:paraId="1AE4C659">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27B10801">
            <w:pPr>
              <w:snapToGrid w:val="0"/>
              <w:spacing w:line="360" w:lineRule="auto"/>
              <w:jc w:val="center"/>
              <w:rPr>
                <w:rFonts w:hint="eastAsia" w:ascii="宋体" w:hAnsi="宋体" w:cs="宋体"/>
              </w:rPr>
            </w:pPr>
            <w:r>
              <w:rPr>
                <w:rFonts w:hint="eastAsia" w:ascii="宋体" w:hAnsi="宋体" w:cs="宋体"/>
              </w:rPr>
              <w:t>9.4</w:t>
            </w:r>
          </w:p>
        </w:tc>
        <w:tc>
          <w:tcPr>
            <w:tcW w:w="2273" w:type="dxa"/>
            <w:tcBorders>
              <w:top w:val="single" w:color="auto" w:sz="4" w:space="0"/>
              <w:left w:val="single" w:color="auto" w:sz="4" w:space="0"/>
              <w:bottom w:val="single" w:color="auto" w:sz="4" w:space="0"/>
              <w:right w:val="single" w:color="auto" w:sz="4" w:space="0"/>
            </w:tcBorders>
            <w:vAlign w:val="center"/>
          </w:tcPr>
          <w:p w14:paraId="0EC9E552">
            <w:pPr>
              <w:snapToGrid w:val="0"/>
              <w:spacing w:line="360" w:lineRule="auto"/>
              <w:jc w:val="center"/>
              <w:rPr>
                <w:rFonts w:hint="eastAsia" w:ascii="宋体" w:hAnsi="宋体" w:cs="宋体"/>
              </w:rPr>
            </w:pPr>
            <w:r>
              <w:rPr>
                <w:rFonts w:hint="eastAsia" w:ascii="宋体" w:hAnsi="宋体" w:cs="宋体"/>
              </w:rPr>
              <w:t>同义词语</w:t>
            </w:r>
          </w:p>
        </w:tc>
        <w:tc>
          <w:tcPr>
            <w:tcW w:w="6340" w:type="dxa"/>
            <w:tcBorders>
              <w:top w:val="single" w:color="auto" w:sz="4" w:space="0"/>
              <w:left w:val="single" w:color="auto" w:sz="4" w:space="0"/>
              <w:bottom w:val="single" w:color="auto" w:sz="4" w:space="0"/>
              <w:right w:val="single" w:color="auto" w:sz="4" w:space="0"/>
            </w:tcBorders>
            <w:vAlign w:val="center"/>
          </w:tcPr>
          <w:p w14:paraId="04AB5350">
            <w:pPr>
              <w:snapToGrid w:val="0"/>
              <w:spacing w:line="360" w:lineRule="auto"/>
              <w:rPr>
                <w:rFonts w:hint="eastAsia" w:ascii="宋体" w:hAnsi="宋体" w:cs="宋体"/>
              </w:rPr>
            </w:pPr>
            <w:r>
              <w:rPr>
                <w:rFonts w:hint="eastAsia" w:ascii="宋体" w:hAnsi="宋体" w:cs="宋体"/>
              </w:rPr>
              <w:t>构成招标文件组成部分的“通用合同条款”“专用合同条款”“技术标准和要求”等章节中出现的措辞“发包人”和“承包人”，在招标投标阶段应当分别按“招标人”和“投标人”进行理解。</w:t>
            </w:r>
          </w:p>
        </w:tc>
      </w:tr>
      <w:tr w14:paraId="4557DC08">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3C2A19FB">
            <w:pPr>
              <w:snapToGrid w:val="0"/>
              <w:spacing w:line="360" w:lineRule="auto"/>
              <w:jc w:val="center"/>
              <w:rPr>
                <w:rFonts w:hint="eastAsia" w:ascii="宋体" w:hAnsi="宋体" w:cs="宋体"/>
              </w:rPr>
            </w:pPr>
            <w:r>
              <w:rPr>
                <w:rFonts w:hint="eastAsia" w:ascii="宋体" w:hAnsi="宋体" w:cs="宋体"/>
              </w:rPr>
              <w:t>9.5</w:t>
            </w:r>
          </w:p>
        </w:tc>
        <w:tc>
          <w:tcPr>
            <w:tcW w:w="2273" w:type="dxa"/>
            <w:tcBorders>
              <w:top w:val="single" w:color="auto" w:sz="4" w:space="0"/>
              <w:left w:val="single" w:color="auto" w:sz="4" w:space="0"/>
              <w:bottom w:val="single" w:color="auto" w:sz="4" w:space="0"/>
              <w:right w:val="single" w:color="auto" w:sz="4" w:space="0"/>
            </w:tcBorders>
            <w:vAlign w:val="center"/>
          </w:tcPr>
          <w:p w14:paraId="799C4C27">
            <w:pPr>
              <w:snapToGrid w:val="0"/>
              <w:spacing w:line="360" w:lineRule="auto"/>
              <w:jc w:val="center"/>
              <w:rPr>
                <w:rFonts w:hint="eastAsia" w:ascii="宋体" w:hAnsi="宋体" w:cs="宋体"/>
              </w:rPr>
            </w:pPr>
            <w:r>
              <w:rPr>
                <w:rFonts w:hint="eastAsia" w:ascii="宋体" w:hAnsi="宋体" w:cs="宋体"/>
              </w:rPr>
              <w:t>设计补偿</w:t>
            </w:r>
          </w:p>
        </w:tc>
        <w:tc>
          <w:tcPr>
            <w:tcW w:w="6340" w:type="dxa"/>
            <w:tcBorders>
              <w:top w:val="single" w:color="auto" w:sz="4" w:space="0"/>
              <w:left w:val="single" w:color="auto" w:sz="4" w:space="0"/>
              <w:bottom w:val="single" w:color="auto" w:sz="4" w:space="0"/>
              <w:right w:val="single" w:color="auto" w:sz="4" w:space="0"/>
            </w:tcBorders>
            <w:vAlign w:val="center"/>
          </w:tcPr>
          <w:p w14:paraId="47866A3D">
            <w:pPr>
              <w:snapToGrid w:val="0"/>
              <w:spacing w:line="360" w:lineRule="auto"/>
              <w:rPr>
                <w:rFonts w:hint="eastAsia" w:ascii="宋体" w:hAnsi="宋体" w:cs="宋体"/>
              </w:rPr>
            </w:pPr>
            <w:r>
              <w:rPr>
                <w:rFonts w:hint="eastAsia" w:ascii="宋体" w:hAnsi="宋体" w:cs="宋体"/>
              </w:rPr>
              <w:t>本项目招标人对中标及未中标的投标人不给予经济补偿，但征得未中标单位同意后，招标人可以在中标单位设计方案优化过程中采纳其余未中标单位设计方案的优点。</w:t>
            </w:r>
          </w:p>
        </w:tc>
      </w:tr>
      <w:tr w14:paraId="7CB5C1F4">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4C283FBF">
            <w:pPr>
              <w:snapToGrid w:val="0"/>
              <w:spacing w:line="360" w:lineRule="auto"/>
              <w:jc w:val="center"/>
              <w:rPr>
                <w:rFonts w:hint="eastAsia" w:ascii="宋体" w:hAnsi="宋体" w:cs="宋体"/>
              </w:rPr>
            </w:pPr>
            <w:r>
              <w:rPr>
                <w:rFonts w:hint="eastAsia" w:ascii="宋体" w:hAnsi="宋体" w:cs="宋体"/>
              </w:rPr>
              <w:t>9.6</w:t>
            </w:r>
          </w:p>
        </w:tc>
        <w:tc>
          <w:tcPr>
            <w:tcW w:w="2273" w:type="dxa"/>
            <w:tcBorders>
              <w:top w:val="single" w:color="auto" w:sz="4" w:space="0"/>
              <w:left w:val="single" w:color="auto" w:sz="4" w:space="0"/>
              <w:bottom w:val="single" w:color="auto" w:sz="4" w:space="0"/>
              <w:right w:val="single" w:color="auto" w:sz="4" w:space="0"/>
            </w:tcBorders>
            <w:vAlign w:val="center"/>
          </w:tcPr>
          <w:p w14:paraId="7479E13B">
            <w:pPr>
              <w:snapToGrid w:val="0"/>
              <w:spacing w:line="360" w:lineRule="auto"/>
              <w:jc w:val="center"/>
              <w:rPr>
                <w:rFonts w:hint="eastAsia" w:ascii="宋体" w:hAnsi="宋体" w:cs="宋体"/>
              </w:rPr>
            </w:pPr>
            <w:r>
              <w:rPr>
                <w:rFonts w:hint="eastAsia" w:ascii="宋体" w:hAnsi="宋体" w:cs="宋体"/>
              </w:rPr>
              <w:t>解释权</w:t>
            </w:r>
          </w:p>
        </w:tc>
        <w:tc>
          <w:tcPr>
            <w:tcW w:w="6340" w:type="dxa"/>
            <w:tcBorders>
              <w:top w:val="single" w:color="auto" w:sz="4" w:space="0"/>
              <w:left w:val="single" w:color="auto" w:sz="4" w:space="0"/>
              <w:bottom w:val="single" w:color="auto" w:sz="4" w:space="0"/>
              <w:right w:val="single" w:color="auto" w:sz="4" w:space="0"/>
            </w:tcBorders>
            <w:vAlign w:val="center"/>
          </w:tcPr>
          <w:p w14:paraId="405AF8BC">
            <w:pPr>
              <w:snapToGrid w:val="0"/>
              <w:spacing w:line="360" w:lineRule="auto"/>
              <w:rPr>
                <w:rFonts w:hint="eastAsia" w:ascii="宋体" w:hAnsi="宋体" w:cs="宋体"/>
              </w:rPr>
            </w:pPr>
            <w:r>
              <w:rPr>
                <w:rFonts w:hint="eastAsia" w:ascii="宋体" w:hAnsi="宋体" w:cs="宋体"/>
              </w:rPr>
              <w:t>解释权：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按照有利于所有投标人进行解释。</w:t>
            </w:r>
          </w:p>
        </w:tc>
      </w:tr>
      <w:tr w14:paraId="1145F0F2">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60B94757">
            <w:pPr>
              <w:snapToGrid w:val="0"/>
              <w:spacing w:line="360" w:lineRule="auto"/>
              <w:jc w:val="center"/>
              <w:rPr>
                <w:rFonts w:hint="eastAsia" w:ascii="宋体" w:hAnsi="宋体" w:cs="宋体"/>
              </w:rPr>
            </w:pPr>
            <w:r>
              <w:rPr>
                <w:rFonts w:hint="eastAsia" w:ascii="宋体" w:hAnsi="宋体" w:cs="宋体"/>
              </w:rPr>
              <w:t>9.7</w:t>
            </w:r>
          </w:p>
        </w:tc>
        <w:tc>
          <w:tcPr>
            <w:tcW w:w="2273" w:type="dxa"/>
            <w:tcBorders>
              <w:top w:val="single" w:color="auto" w:sz="4" w:space="0"/>
              <w:left w:val="single" w:color="auto" w:sz="4" w:space="0"/>
              <w:bottom w:val="single" w:color="auto" w:sz="4" w:space="0"/>
              <w:right w:val="single" w:color="auto" w:sz="4" w:space="0"/>
            </w:tcBorders>
            <w:vAlign w:val="center"/>
          </w:tcPr>
          <w:p w14:paraId="1F736D6C">
            <w:pPr>
              <w:snapToGrid w:val="0"/>
              <w:spacing w:line="360" w:lineRule="auto"/>
              <w:jc w:val="center"/>
              <w:rPr>
                <w:rFonts w:hint="eastAsia" w:ascii="宋体" w:hAnsi="宋体" w:cs="宋体"/>
                <w:lang w:val="zh-TW"/>
              </w:rPr>
            </w:pPr>
            <w:r>
              <w:rPr>
                <w:rFonts w:hint="eastAsia" w:ascii="宋体" w:hAnsi="宋体" w:cs="宋体"/>
                <w:lang w:val="zh-TW"/>
              </w:rPr>
              <w:t>“暗标”评审</w:t>
            </w:r>
          </w:p>
        </w:tc>
        <w:tc>
          <w:tcPr>
            <w:tcW w:w="6340" w:type="dxa"/>
            <w:tcBorders>
              <w:top w:val="single" w:color="auto" w:sz="4" w:space="0"/>
              <w:left w:val="single" w:color="auto" w:sz="4" w:space="0"/>
              <w:bottom w:val="single" w:color="auto" w:sz="4" w:space="0"/>
              <w:right w:val="single" w:color="auto" w:sz="4" w:space="0"/>
            </w:tcBorders>
            <w:vAlign w:val="center"/>
          </w:tcPr>
          <w:p w14:paraId="12ECEC3D">
            <w:pPr>
              <w:snapToGrid w:val="0"/>
              <w:spacing w:line="360" w:lineRule="auto"/>
              <w:rPr>
                <w:rFonts w:hint="eastAsia" w:ascii="宋体" w:hAnsi="宋体" w:cs="宋体"/>
                <w:lang w:val="zh-TW"/>
              </w:rPr>
            </w:pPr>
            <w:r>
              <w:rPr>
                <w:rFonts w:hint="eastAsia" w:ascii="宋体" w:hAnsi="宋体" w:cs="宋体"/>
              </w:rPr>
              <w:t>■不采用</w:t>
            </w:r>
          </w:p>
          <w:p w14:paraId="0DE2302B">
            <w:pPr>
              <w:snapToGrid w:val="0"/>
              <w:spacing w:line="360" w:lineRule="auto"/>
              <w:rPr>
                <w:rFonts w:hint="eastAsia" w:ascii="宋体" w:hAnsi="宋体" w:cs="宋体"/>
                <w:lang w:val="zh-TW"/>
              </w:rPr>
            </w:pPr>
            <w:r>
              <w:rPr>
                <w:rFonts w:hint="eastAsia" w:ascii="宋体" w:hAnsi="宋体" w:cs="宋体"/>
              </w:rPr>
              <w:t>□采用</w:t>
            </w:r>
            <w:r>
              <w:rPr>
                <w:rFonts w:hint="eastAsia" w:ascii="宋体" w:hAnsi="宋体" w:cs="宋体"/>
                <w:lang w:val="zh-TW"/>
              </w:rPr>
              <w:t>，投标人应按“投标文件”中暗标的编制要求</w:t>
            </w:r>
          </w:p>
          <w:p w14:paraId="61B3489F">
            <w:pPr>
              <w:numPr>
                <w:ilvl w:val="0"/>
                <w:numId w:val="5"/>
              </w:numPr>
              <w:snapToGrid w:val="0"/>
              <w:spacing w:line="360" w:lineRule="auto"/>
              <w:rPr>
                <w:rFonts w:hint="eastAsia" w:ascii="宋体" w:hAnsi="宋体" w:cs="宋体"/>
              </w:rPr>
            </w:pPr>
            <w:r>
              <w:rPr>
                <w:rFonts w:hint="eastAsia" w:ascii="宋体" w:hAnsi="宋体" w:cs="宋体"/>
              </w:rPr>
              <w:t>字体：全篇文字仿宋四号字；</w:t>
            </w:r>
          </w:p>
          <w:p w14:paraId="11901A23">
            <w:pPr>
              <w:snapToGrid w:val="0"/>
              <w:spacing w:line="360" w:lineRule="auto"/>
              <w:rPr>
                <w:rFonts w:hint="eastAsia" w:ascii="宋体" w:hAnsi="宋体" w:cs="宋体"/>
                <w:lang w:val="zh-TW"/>
              </w:rPr>
            </w:pPr>
            <w:r>
              <w:rPr>
                <w:rFonts w:hint="eastAsia" w:ascii="宋体" w:hAnsi="宋体" w:cs="宋体"/>
                <w:lang w:val="zh-TW"/>
              </w:rPr>
              <w:t>2.颜色：全篇文字黑色；</w:t>
            </w:r>
          </w:p>
          <w:p w14:paraId="19D2DA40">
            <w:pPr>
              <w:snapToGrid w:val="0"/>
              <w:spacing w:line="360" w:lineRule="auto"/>
              <w:rPr>
                <w:rFonts w:hint="eastAsia" w:ascii="宋体" w:hAnsi="宋体" w:cs="宋体"/>
                <w:lang w:val="zh-TW"/>
              </w:rPr>
            </w:pPr>
            <w:r>
              <w:rPr>
                <w:rFonts w:hint="eastAsia" w:ascii="宋体" w:hAnsi="宋体" w:cs="宋体"/>
              </w:rPr>
              <w:t>3.</w:t>
            </w:r>
            <w:r>
              <w:rPr>
                <w:rFonts w:hint="eastAsia" w:ascii="宋体" w:hAnsi="宋体" w:cs="宋体"/>
                <w:lang w:val="zh-TW"/>
              </w:rPr>
              <w:t>段落：全篇文字单倍行距；</w:t>
            </w:r>
          </w:p>
          <w:p w14:paraId="6B46807B">
            <w:pPr>
              <w:snapToGrid w:val="0"/>
              <w:spacing w:line="360" w:lineRule="auto"/>
              <w:rPr>
                <w:rFonts w:hint="eastAsia" w:ascii="宋体" w:hAnsi="宋体" w:cs="宋体"/>
                <w:lang w:val="zh-TW"/>
              </w:rPr>
            </w:pPr>
            <w:r>
              <w:rPr>
                <w:rFonts w:hint="eastAsia" w:ascii="宋体" w:hAnsi="宋体" w:cs="宋体"/>
              </w:rPr>
              <w:t>4.</w:t>
            </w:r>
            <w:r>
              <w:rPr>
                <w:rFonts w:hint="eastAsia" w:ascii="宋体" w:hAnsi="宋体" w:cs="宋体"/>
                <w:lang w:val="zh-TW"/>
              </w:rPr>
              <w:t>内容：全篇文字不得出现投标人的名称和可识别投标人身份的字符、徽标、人员名称以及其他特殊标记等。</w:t>
            </w:r>
          </w:p>
        </w:tc>
      </w:tr>
      <w:tr w14:paraId="4268801B">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4FE98DC0">
            <w:pPr>
              <w:snapToGrid w:val="0"/>
              <w:spacing w:line="360" w:lineRule="auto"/>
              <w:jc w:val="center"/>
              <w:rPr>
                <w:rFonts w:hint="eastAsia" w:ascii="宋体" w:hAnsi="宋体" w:cs="宋体"/>
              </w:rPr>
            </w:pPr>
            <w:r>
              <w:rPr>
                <w:rFonts w:hint="eastAsia" w:ascii="宋体" w:hAnsi="宋体" w:cs="宋体"/>
              </w:rPr>
              <w:t>9.8</w:t>
            </w:r>
          </w:p>
        </w:tc>
        <w:tc>
          <w:tcPr>
            <w:tcW w:w="2273" w:type="dxa"/>
            <w:tcBorders>
              <w:top w:val="single" w:color="auto" w:sz="4" w:space="0"/>
              <w:left w:val="single" w:color="auto" w:sz="4" w:space="0"/>
              <w:bottom w:val="single" w:color="auto" w:sz="4" w:space="0"/>
              <w:right w:val="single" w:color="auto" w:sz="4" w:space="0"/>
            </w:tcBorders>
            <w:vAlign w:val="center"/>
          </w:tcPr>
          <w:p w14:paraId="72BA4B9B">
            <w:pPr>
              <w:snapToGrid w:val="0"/>
              <w:spacing w:line="360" w:lineRule="auto"/>
              <w:jc w:val="center"/>
              <w:rPr>
                <w:rFonts w:hint="eastAsia" w:ascii="宋体" w:hAnsi="宋体" w:cs="宋体"/>
              </w:rPr>
            </w:pPr>
            <w:r>
              <w:rPr>
                <w:rFonts w:hint="eastAsia" w:ascii="宋体" w:hAnsi="宋体" w:cs="宋体"/>
                <w:kern w:val="0"/>
              </w:rPr>
              <w:t>询问、质疑及投诉</w:t>
            </w:r>
          </w:p>
        </w:tc>
        <w:tc>
          <w:tcPr>
            <w:tcW w:w="6340" w:type="dxa"/>
            <w:tcBorders>
              <w:top w:val="single" w:color="auto" w:sz="4" w:space="0"/>
              <w:left w:val="single" w:color="auto" w:sz="4" w:space="0"/>
              <w:bottom w:val="single" w:color="auto" w:sz="4" w:space="0"/>
              <w:right w:val="single" w:color="auto" w:sz="4" w:space="0"/>
            </w:tcBorders>
            <w:vAlign w:val="center"/>
          </w:tcPr>
          <w:p w14:paraId="47443C68">
            <w:pPr>
              <w:widowControl/>
              <w:autoSpaceDE w:val="0"/>
              <w:autoSpaceDN w:val="0"/>
              <w:adjustRightInd w:val="0"/>
              <w:snapToGrid w:val="0"/>
              <w:spacing w:line="360" w:lineRule="auto"/>
              <w:ind w:left="123"/>
              <w:textAlignment w:val="baseline"/>
              <w:rPr>
                <w:rFonts w:hint="eastAsia" w:ascii="宋体" w:hAnsi="宋体" w:cs="宋体"/>
                <w:spacing w:val="8"/>
              </w:rPr>
            </w:pPr>
            <w:r>
              <w:rPr>
                <w:rFonts w:hint="eastAsia" w:ascii="宋体" w:hAnsi="宋体" w:cs="宋体"/>
                <w:spacing w:val="8"/>
              </w:rPr>
              <w:t>（1）潜在投标人或者其他利害关系人对招标文件有异议的，应当在投标截止时间10日前提出。对开标的异议应当在开标会上当场提出。对依法必须进行招标项目的评标结果有异议的，应当在中标候选人公示期间提出。</w:t>
            </w:r>
          </w:p>
          <w:p w14:paraId="3026E3E0">
            <w:pPr>
              <w:widowControl/>
              <w:autoSpaceDE w:val="0"/>
              <w:autoSpaceDN w:val="0"/>
              <w:adjustRightInd w:val="0"/>
              <w:snapToGrid w:val="0"/>
              <w:spacing w:line="360" w:lineRule="auto"/>
              <w:ind w:left="123"/>
              <w:textAlignment w:val="baseline"/>
              <w:rPr>
                <w:rFonts w:hint="eastAsia" w:ascii="宋体" w:hAnsi="宋体" w:cs="宋体"/>
                <w:spacing w:val="8"/>
              </w:rPr>
            </w:pPr>
            <w:r>
              <w:rPr>
                <w:rFonts w:hint="eastAsia" w:ascii="宋体" w:hAnsi="宋体" w:cs="宋体"/>
                <w:spacing w:val="8"/>
              </w:rPr>
              <w:t>（2）投标人或者其他利害关系人认为招标投标活动不符合法律、行政法规规定的，应当在知道或者应当知道其权益受到侵害之日起十日内向有关行政监督部门提出投诉。投诉应当有明确的请求和必要的证明材料。对招标文件、开标和评标结果的投诉，应当以向招标人提出异议为前提，先向招标人提出异议，对招标人在规定时限内不答复或对招标人答复不满意时才能进行投诉。</w:t>
            </w:r>
          </w:p>
          <w:p w14:paraId="28E793E1">
            <w:pPr>
              <w:widowControl/>
              <w:autoSpaceDE w:val="0"/>
              <w:autoSpaceDN w:val="0"/>
              <w:adjustRightInd w:val="0"/>
              <w:snapToGrid w:val="0"/>
              <w:spacing w:line="360" w:lineRule="auto"/>
              <w:ind w:left="123"/>
              <w:textAlignment w:val="baseline"/>
              <w:rPr>
                <w:rFonts w:hint="eastAsia" w:ascii="宋体" w:hAnsi="宋体" w:cs="宋体"/>
                <w:spacing w:val="8"/>
              </w:rPr>
            </w:pPr>
            <w:r>
              <w:rPr>
                <w:rFonts w:hint="eastAsia" w:ascii="宋体" w:hAnsi="宋体" w:cs="宋体"/>
                <w:spacing w:val="8"/>
              </w:rPr>
              <w:t>（3）鉴于已经实行全流程电子化交易和在线监督，鼓励异议及投诉通过线上方式进行，也可采用线下纸质方式进行。</w:t>
            </w:r>
          </w:p>
          <w:p w14:paraId="4C3E1FD0">
            <w:pPr>
              <w:widowControl/>
              <w:autoSpaceDE w:val="0"/>
              <w:autoSpaceDN w:val="0"/>
              <w:adjustRightInd w:val="0"/>
              <w:snapToGrid w:val="0"/>
              <w:spacing w:line="360" w:lineRule="auto"/>
              <w:ind w:left="123"/>
              <w:textAlignment w:val="baseline"/>
              <w:rPr>
                <w:rFonts w:hint="eastAsia" w:ascii="宋体" w:hAnsi="宋体" w:cs="宋体"/>
                <w:spacing w:val="8"/>
              </w:rPr>
            </w:pPr>
            <w:r>
              <w:rPr>
                <w:rFonts w:ascii="宋体" w:hAnsi="宋体" w:cs="宋体"/>
                <w:spacing w:val="8"/>
              </w:rPr>
              <w:t>①</w:t>
            </w:r>
            <w:r>
              <w:rPr>
                <w:rFonts w:hint="eastAsia" w:ascii="宋体" w:hAnsi="宋体" w:cs="宋体"/>
                <w:spacing w:val="8"/>
              </w:rPr>
              <w:t>根据系统功能和要求，直接参与具体项目交易的投标人线上异议及投诉，使用CA数字证书通过全国公共资源交易平台（云南省）暨云南省公共资源交易信息网“投标人”模块进行提交，其他利害关系人通过全国公共资源交易平台（云南省）暨云南省公共资源交易信息网“交易监督”模块进行提交。</w:t>
            </w:r>
          </w:p>
          <w:p w14:paraId="571B77B2">
            <w:pPr>
              <w:widowControl/>
              <w:autoSpaceDE w:val="0"/>
              <w:autoSpaceDN w:val="0"/>
              <w:adjustRightInd w:val="0"/>
              <w:snapToGrid w:val="0"/>
              <w:spacing w:line="360" w:lineRule="auto"/>
              <w:ind w:left="123"/>
              <w:textAlignment w:val="baseline"/>
              <w:rPr>
                <w:rFonts w:hint="eastAsia" w:ascii="宋体" w:hAnsi="宋体" w:cs="宋体"/>
                <w:spacing w:val="8"/>
              </w:rPr>
            </w:pPr>
            <w:r>
              <w:rPr>
                <w:rFonts w:ascii="宋体" w:hAnsi="宋体" w:cs="宋体"/>
                <w:spacing w:val="8"/>
              </w:rPr>
              <w:t>②</w:t>
            </w:r>
            <w:r>
              <w:rPr>
                <w:rFonts w:hint="eastAsia" w:ascii="宋体" w:hAnsi="宋体" w:cs="宋体"/>
                <w:spacing w:val="8"/>
              </w:rPr>
              <w:t>招标人及招标代理机构和行政监督部门对线上异议及投诉的，采用线上方式进行受理答复，对通过线下纸质方式进行异议及投诉的，按纸质方式进行受理答复。同一内容同时进行线上异议及投诉和提交纸质进行异议及投诉的，以线上答复为主，通过在线答复后不再进行书面答复。</w:t>
            </w:r>
          </w:p>
          <w:p w14:paraId="50444E98">
            <w:pPr>
              <w:widowControl/>
              <w:autoSpaceDE w:val="0"/>
              <w:autoSpaceDN w:val="0"/>
              <w:adjustRightInd w:val="0"/>
              <w:snapToGrid w:val="0"/>
              <w:spacing w:line="360" w:lineRule="auto"/>
              <w:ind w:left="123"/>
              <w:textAlignment w:val="baseline"/>
              <w:rPr>
                <w:rFonts w:hint="eastAsia" w:ascii="宋体" w:hAnsi="宋体" w:cs="宋体"/>
                <w:spacing w:val="8"/>
              </w:rPr>
            </w:pPr>
            <w:r>
              <w:rPr>
                <w:rFonts w:ascii="宋体" w:hAnsi="宋体" w:cs="宋体"/>
                <w:spacing w:val="8"/>
              </w:rPr>
              <w:t>③</w:t>
            </w:r>
            <w:r>
              <w:rPr>
                <w:rFonts w:hint="eastAsia" w:ascii="宋体" w:hAnsi="宋体" w:cs="宋体"/>
                <w:spacing w:val="8"/>
              </w:rPr>
              <w:t>就同一内容同时通过两个模块提交异议及投诉的，招标人及行政监督部门只通过“投标人”模块进行受理答复，在“交易监督”模块作简要告知。</w:t>
            </w:r>
          </w:p>
          <w:p w14:paraId="420E2438">
            <w:pPr>
              <w:widowControl/>
              <w:autoSpaceDE w:val="0"/>
              <w:autoSpaceDN w:val="0"/>
              <w:adjustRightInd w:val="0"/>
              <w:snapToGrid w:val="0"/>
              <w:spacing w:line="360" w:lineRule="auto"/>
              <w:ind w:left="123"/>
              <w:textAlignment w:val="baseline"/>
              <w:rPr>
                <w:rFonts w:hint="eastAsia" w:ascii="宋体" w:hAnsi="宋体" w:cs="宋体"/>
              </w:rPr>
            </w:pPr>
            <w:r>
              <w:rPr>
                <w:rFonts w:hint="eastAsia" w:ascii="宋体" w:hAnsi="宋体" w:cs="宋体"/>
                <w:spacing w:val="8"/>
              </w:rPr>
              <w:t>④投诉人不得以投诉为名排挤竞争对手，不得进行虚假、恶意投诉，阻碍招标投标活动的正常进行。投诉人可以直接投诉，也可以委托代理人办理投诉事务。代理人通过线上方式办理投诉事务的，应将授权委托书连同投诉书一并扫描上传。代理人采用纸质方式办理投诉事务的，应将授权委托书连同投诉书一并提交给行政监督部门，授权委托书应当明确有关委托代理权限和事项。</w:t>
            </w:r>
          </w:p>
        </w:tc>
      </w:tr>
      <w:tr w14:paraId="4D414587">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18108738">
            <w:pPr>
              <w:snapToGrid w:val="0"/>
              <w:spacing w:line="360" w:lineRule="auto"/>
              <w:jc w:val="center"/>
              <w:rPr>
                <w:rFonts w:hint="eastAsia" w:ascii="宋体" w:hAnsi="宋体" w:cs="宋体"/>
              </w:rPr>
            </w:pPr>
            <w:bookmarkStart w:id="93" w:name="_Toc45896615"/>
            <w:bookmarkStart w:id="94" w:name="_Toc45896911"/>
            <w:r>
              <w:rPr>
                <w:rFonts w:hint="eastAsia" w:ascii="宋体" w:hAnsi="宋体" w:cs="宋体"/>
              </w:rPr>
              <w:t>9.9</w:t>
            </w:r>
          </w:p>
        </w:tc>
        <w:tc>
          <w:tcPr>
            <w:tcW w:w="2273" w:type="dxa"/>
            <w:tcBorders>
              <w:top w:val="single" w:color="auto" w:sz="4" w:space="0"/>
              <w:left w:val="single" w:color="auto" w:sz="4" w:space="0"/>
              <w:bottom w:val="single" w:color="auto" w:sz="4" w:space="0"/>
              <w:right w:val="single" w:color="auto" w:sz="4" w:space="0"/>
            </w:tcBorders>
            <w:vAlign w:val="center"/>
          </w:tcPr>
          <w:p w14:paraId="1A1E7AF4">
            <w:pPr>
              <w:snapToGrid w:val="0"/>
              <w:spacing w:line="360" w:lineRule="auto"/>
              <w:jc w:val="center"/>
              <w:rPr>
                <w:rFonts w:hint="eastAsia" w:ascii="宋体" w:hAnsi="宋体" w:cs="宋体"/>
                <w:lang w:val="zh-TW"/>
              </w:rPr>
            </w:pPr>
            <w:r>
              <w:rPr>
                <w:rFonts w:hint="eastAsia" w:ascii="宋体" w:hAnsi="宋体" w:cs="宋体"/>
                <w:lang w:val="zh-TW"/>
              </w:rPr>
              <w:t>招标代理服务费</w:t>
            </w:r>
          </w:p>
        </w:tc>
        <w:tc>
          <w:tcPr>
            <w:tcW w:w="6340" w:type="dxa"/>
            <w:tcBorders>
              <w:top w:val="single" w:color="auto" w:sz="4" w:space="0"/>
              <w:left w:val="single" w:color="auto" w:sz="4" w:space="0"/>
              <w:bottom w:val="single" w:color="auto" w:sz="4" w:space="0"/>
              <w:right w:val="single" w:color="auto" w:sz="4" w:space="0"/>
            </w:tcBorders>
            <w:vAlign w:val="center"/>
          </w:tcPr>
          <w:p w14:paraId="5813C9D3">
            <w:pPr>
              <w:snapToGrid w:val="0"/>
              <w:spacing w:line="360" w:lineRule="auto"/>
              <w:rPr>
                <w:rFonts w:hint="eastAsia" w:ascii="宋体" w:hAnsi="宋体" w:cs="宋体"/>
                <w:lang w:val="zh-TW"/>
              </w:rPr>
            </w:pPr>
            <w:r>
              <w:rPr>
                <w:rFonts w:hint="eastAsia" w:ascii="宋体" w:hAnsi="宋体" w:cs="宋体"/>
              </w:rPr>
              <w:t>根据招标代理合同约定由招标人支付。</w:t>
            </w:r>
          </w:p>
        </w:tc>
      </w:tr>
      <w:tr w14:paraId="581FB349">
        <w:tblPrEx>
          <w:tblCellMar>
            <w:top w:w="0" w:type="dxa"/>
            <w:left w:w="108" w:type="dxa"/>
            <w:bottom w:w="0" w:type="dxa"/>
            <w:right w:w="108" w:type="dxa"/>
          </w:tblCellMar>
        </w:tblPrEx>
        <w:trPr>
          <w:gridBefore w:val="1"/>
          <w:wBefore w:w="6" w:type="dxa"/>
        </w:trPr>
        <w:tc>
          <w:tcPr>
            <w:tcW w:w="933" w:type="dxa"/>
            <w:tcBorders>
              <w:top w:val="single" w:color="auto" w:sz="4" w:space="0"/>
              <w:left w:val="single" w:color="auto" w:sz="4" w:space="0"/>
              <w:bottom w:val="single" w:color="auto" w:sz="4" w:space="0"/>
              <w:right w:val="single" w:color="auto" w:sz="4" w:space="0"/>
            </w:tcBorders>
            <w:vAlign w:val="center"/>
          </w:tcPr>
          <w:p w14:paraId="524B30AC">
            <w:pPr>
              <w:snapToGrid w:val="0"/>
              <w:spacing w:line="360" w:lineRule="auto"/>
              <w:jc w:val="center"/>
              <w:rPr>
                <w:rFonts w:hint="eastAsia" w:ascii="宋体" w:hAnsi="宋体" w:cs="宋体"/>
              </w:rPr>
            </w:pPr>
            <w:r>
              <w:rPr>
                <w:rFonts w:hint="eastAsia" w:ascii="宋体" w:hAnsi="宋体" w:cs="宋体"/>
              </w:rPr>
              <w:t>9.10</w:t>
            </w:r>
          </w:p>
        </w:tc>
        <w:tc>
          <w:tcPr>
            <w:tcW w:w="2273" w:type="dxa"/>
            <w:tcBorders>
              <w:top w:val="single" w:color="auto" w:sz="4" w:space="0"/>
              <w:left w:val="single" w:color="auto" w:sz="4" w:space="0"/>
              <w:bottom w:val="single" w:color="auto" w:sz="4" w:space="0"/>
              <w:right w:val="single" w:color="auto" w:sz="4" w:space="0"/>
            </w:tcBorders>
            <w:vAlign w:val="center"/>
          </w:tcPr>
          <w:p w14:paraId="54082A80">
            <w:pPr>
              <w:snapToGrid w:val="0"/>
              <w:spacing w:line="360" w:lineRule="auto"/>
              <w:jc w:val="center"/>
              <w:rPr>
                <w:rFonts w:hint="eastAsia" w:ascii="宋体" w:hAnsi="宋体" w:cs="宋体"/>
                <w:lang w:val="zh-TW"/>
              </w:rPr>
            </w:pPr>
            <w:r>
              <w:rPr>
                <w:rFonts w:hint="eastAsia" w:ascii="宋体" w:hAnsi="宋体" w:cs="宋体"/>
                <w:lang w:val="zh-TW"/>
              </w:rPr>
              <w:t>中标通知书和合同签订</w:t>
            </w:r>
          </w:p>
        </w:tc>
        <w:tc>
          <w:tcPr>
            <w:tcW w:w="6340" w:type="dxa"/>
            <w:tcBorders>
              <w:top w:val="single" w:color="auto" w:sz="4" w:space="0"/>
              <w:left w:val="single" w:color="auto" w:sz="4" w:space="0"/>
              <w:bottom w:val="single" w:color="auto" w:sz="4" w:space="0"/>
              <w:right w:val="single" w:color="auto" w:sz="4" w:space="0"/>
            </w:tcBorders>
            <w:vAlign w:val="center"/>
          </w:tcPr>
          <w:p w14:paraId="28C7542B">
            <w:pPr>
              <w:snapToGrid w:val="0"/>
              <w:spacing w:line="360" w:lineRule="auto"/>
              <w:rPr>
                <w:rFonts w:hint="eastAsia" w:ascii="宋体" w:hAnsi="宋体" w:cs="宋体"/>
                <w:lang w:val="zh-TW"/>
              </w:rPr>
            </w:pPr>
            <w:r>
              <w:rPr>
                <w:rFonts w:hint="eastAsia" w:ascii="宋体" w:hAnsi="宋体" w:cs="宋体"/>
                <w:lang w:val="zh-TW"/>
              </w:rPr>
              <w:t>中标通知书和合同签订以在线方式发放(布</w:t>
            </w:r>
            <w:r>
              <w:rPr>
                <w:rFonts w:hint="eastAsia" w:ascii="宋体" w:hAnsi="宋体" w:cs="宋体"/>
                <w:lang w:val="zh-TW" w:eastAsia="zh-CN"/>
              </w:rPr>
              <w:t>）</w:t>
            </w:r>
            <w:r>
              <w:rPr>
                <w:rFonts w:hint="eastAsia" w:ascii="宋体" w:hAnsi="宋体" w:cs="宋体"/>
                <w:lang w:val="zh-TW"/>
              </w:rPr>
              <w:t>，实施全流程电子化交易。</w:t>
            </w:r>
          </w:p>
        </w:tc>
      </w:tr>
      <w:bookmarkEnd w:id="73"/>
      <w:bookmarkEnd w:id="74"/>
      <w:bookmarkEnd w:id="93"/>
      <w:bookmarkEnd w:id="94"/>
    </w:tbl>
    <w:p w14:paraId="29A6710B">
      <w:pPr>
        <w:rPr>
          <w:rFonts w:hint="eastAsia" w:ascii="黑体" w:hAnsi="黑体" w:eastAsia="黑体" w:cs="黑体"/>
          <w:b/>
          <w:bCs/>
          <w:sz w:val="32"/>
          <w:szCs w:val="32"/>
        </w:rPr>
      </w:pPr>
      <w:r>
        <w:rPr>
          <w:rFonts w:hint="eastAsia" w:ascii="黑体" w:hAnsi="黑体" w:eastAsia="黑体" w:cs="黑体"/>
          <w:b/>
          <w:bCs/>
          <w:sz w:val="32"/>
          <w:szCs w:val="32"/>
        </w:rPr>
        <w:br w:type="page"/>
      </w:r>
    </w:p>
    <w:p w14:paraId="16EE4DDF">
      <w:pPr>
        <w:adjustRightInd w:val="0"/>
        <w:snapToGrid w:val="0"/>
        <w:spacing w:line="360" w:lineRule="auto"/>
        <w:ind w:firstLine="3534" w:firstLineChars="1100"/>
        <w:jc w:val="left"/>
        <w:outlineLvl w:val="1"/>
        <w:rPr>
          <w:rFonts w:cs="Times New Roman"/>
        </w:rPr>
      </w:pPr>
      <w:r>
        <w:rPr>
          <w:rFonts w:hint="eastAsia" w:ascii="黑体" w:hAnsi="黑体" w:eastAsia="黑体" w:cs="黑体"/>
          <w:b/>
          <w:bCs/>
          <w:sz w:val="32"/>
          <w:szCs w:val="32"/>
        </w:rPr>
        <w:t>投标人须知正文部分</w:t>
      </w:r>
    </w:p>
    <w:bookmarkEnd w:id="75"/>
    <w:bookmarkEnd w:id="76"/>
    <w:bookmarkEnd w:id="77"/>
    <w:bookmarkEnd w:id="78"/>
    <w:bookmarkEnd w:id="79"/>
    <w:bookmarkEnd w:id="80"/>
    <w:p w14:paraId="5011D6ED">
      <w:pPr>
        <w:pStyle w:val="3"/>
        <w:spacing w:before="0" w:after="0" w:line="360" w:lineRule="auto"/>
        <w:rPr>
          <w:rFonts w:cs="Times New Roman"/>
        </w:rPr>
      </w:pPr>
      <w:bookmarkStart w:id="95" w:name="_Toc45896616"/>
      <w:bookmarkEnd w:id="95"/>
      <w:bookmarkStart w:id="96" w:name="_Toc20504"/>
      <w:bookmarkEnd w:id="96"/>
      <w:bookmarkStart w:id="97" w:name="_Toc25402_WPSOffice_Level2"/>
      <w:bookmarkEnd w:id="97"/>
      <w:bookmarkStart w:id="98" w:name="_Toc19934_WPSOffice_Level2"/>
      <w:bookmarkEnd w:id="98"/>
      <w:bookmarkStart w:id="99" w:name="_Toc45896912"/>
      <w:bookmarkEnd w:id="99"/>
      <w:r>
        <w:t xml:space="preserve">1. </w:t>
      </w:r>
      <w:r>
        <w:rPr>
          <w:rFonts w:hint="eastAsia" w:cs="黑体"/>
        </w:rPr>
        <w:t>总则</w:t>
      </w:r>
    </w:p>
    <w:p w14:paraId="75B5BA23">
      <w:pPr>
        <w:pStyle w:val="4"/>
        <w:spacing w:before="0" w:after="0" w:line="360" w:lineRule="auto"/>
        <w:rPr>
          <w:rFonts w:ascii="Times New Roman" w:hAnsi="Times New Roman" w:cs="Times New Roman"/>
        </w:rPr>
      </w:pPr>
      <w:bookmarkStart w:id="100" w:name="_Toc144974498"/>
      <w:bookmarkEnd w:id="100"/>
      <w:bookmarkStart w:id="101" w:name="_Toc247527554"/>
      <w:bookmarkEnd w:id="101"/>
      <w:bookmarkStart w:id="102" w:name="_Toc16932"/>
      <w:bookmarkEnd w:id="102"/>
      <w:bookmarkStart w:id="103" w:name="_Toc247513953"/>
      <w:bookmarkEnd w:id="103"/>
      <w:bookmarkStart w:id="104" w:name="_Toc152045530"/>
      <w:bookmarkEnd w:id="104"/>
      <w:bookmarkStart w:id="105" w:name="_Toc152042306"/>
      <w:bookmarkEnd w:id="105"/>
      <w:bookmarkStart w:id="106" w:name="_Toc45896617"/>
      <w:bookmarkEnd w:id="106"/>
      <w:bookmarkStart w:id="107" w:name="_Toc6553"/>
      <w:bookmarkEnd w:id="107"/>
      <w:bookmarkStart w:id="108" w:name="_Toc11187"/>
      <w:bookmarkEnd w:id="108"/>
      <w:bookmarkStart w:id="109" w:name="_Toc45896913"/>
      <w:bookmarkEnd w:id="109"/>
      <w:r>
        <w:rPr>
          <w:rFonts w:ascii="Times New Roman" w:hAnsi="Times New Roman" w:cs="Times New Roman"/>
        </w:rPr>
        <w:t xml:space="preserve">1.1 </w:t>
      </w:r>
      <w:r>
        <w:rPr>
          <w:rFonts w:hint="eastAsia" w:ascii="Times New Roman" w:hAnsi="Times New Roman"/>
        </w:rPr>
        <w:t>项目概况</w:t>
      </w:r>
    </w:p>
    <w:p w14:paraId="08D40024">
      <w:pPr>
        <w:spacing w:line="360" w:lineRule="auto"/>
        <w:ind w:firstLine="420" w:firstLineChars="200"/>
        <w:rPr>
          <w:rFonts w:cs="Times New Roman"/>
        </w:rPr>
      </w:pPr>
      <w:r>
        <w:t>1.1.1</w:t>
      </w:r>
      <w:r>
        <w:rPr>
          <w:rFonts w:hint="eastAsia" w:cs="宋体"/>
        </w:rPr>
        <w:t>根据《中华人民共和国招标投标法》等有关法律法规和规章的规定，本招标项目已具备招标条件，现对该项目设计、施工进行总承包招标。</w:t>
      </w:r>
    </w:p>
    <w:p w14:paraId="28909D88">
      <w:pPr>
        <w:spacing w:line="360" w:lineRule="auto"/>
        <w:ind w:firstLine="420" w:firstLineChars="200"/>
        <w:rPr>
          <w:rFonts w:cs="Times New Roman"/>
        </w:rPr>
      </w:pPr>
      <w:r>
        <w:t xml:space="preserve">1.1.2 </w:t>
      </w:r>
      <w:r>
        <w:rPr>
          <w:rFonts w:hint="eastAsia" w:cs="宋体"/>
        </w:rPr>
        <w:t>招标人：见投标人须知前附表。</w:t>
      </w:r>
    </w:p>
    <w:p w14:paraId="1B236E46">
      <w:pPr>
        <w:spacing w:line="360" w:lineRule="auto"/>
        <w:ind w:firstLine="420" w:firstLineChars="200"/>
        <w:rPr>
          <w:rFonts w:cs="Times New Roman"/>
        </w:rPr>
      </w:pPr>
      <w:r>
        <w:t xml:space="preserve">1.1.3 </w:t>
      </w:r>
      <w:r>
        <w:rPr>
          <w:rFonts w:hint="eastAsia" w:cs="宋体"/>
        </w:rPr>
        <w:t>招标代理机构：见投标人须知前附表。</w:t>
      </w:r>
    </w:p>
    <w:p w14:paraId="11031509">
      <w:pPr>
        <w:spacing w:line="360" w:lineRule="auto"/>
        <w:ind w:firstLine="420" w:firstLineChars="200"/>
        <w:rPr>
          <w:rFonts w:cs="Times New Roman"/>
        </w:rPr>
      </w:pPr>
      <w:r>
        <w:t xml:space="preserve">1.1.4 </w:t>
      </w:r>
      <w:r>
        <w:rPr>
          <w:rFonts w:hint="eastAsia" w:cs="宋体"/>
        </w:rPr>
        <w:t>招标项目名称：见投标人须知前附表。</w:t>
      </w:r>
    </w:p>
    <w:p w14:paraId="11B82836">
      <w:pPr>
        <w:spacing w:line="360" w:lineRule="auto"/>
        <w:ind w:firstLine="420" w:firstLineChars="200"/>
        <w:rPr>
          <w:rFonts w:cs="Times New Roman"/>
        </w:rPr>
      </w:pPr>
      <w:r>
        <w:t xml:space="preserve">1.1.5 </w:t>
      </w:r>
      <w:r>
        <w:rPr>
          <w:rFonts w:hint="eastAsia" w:cs="宋体"/>
        </w:rPr>
        <w:t>项目建设地点：见投标人须知前附表。</w:t>
      </w:r>
    </w:p>
    <w:p w14:paraId="7C9C087D">
      <w:pPr>
        <w:pStyle w:val="4"/>
        <w:spacing w:before="0" w:after="0" w:line="360" w:lineRule="auto"/>
        <w:rPr>
          <w:rFonts w:hint="eastAsia" w:cs="Times New Roman"/>
        </w:rPr>
      </w:pPr>
      <w:bookmarkStart w:id="110" w:name="_Toc12892"/>
      <w:bookmarkEnd w:id="110"/>
      <w:bookmarkStart w:id="111" w:name="_Toc6485"/>
      <w:bookmarkEnd w:id="111"/>
      <w:bookmarkStart w:id="112" w:name="_Toc152042307"/>
      <w:bookmarkEnd w:id="112"/>
      <w:bookmarkStart w:id="113" w:name="_Toc247513954"/>
      <w:bookmarkEnd w:id="113"/>
      <w:bookmarkStart w:id="114" w:name="_Toc144974499"/>
      <w:bookmarkEnd w:id="114"/>
      <w:bookmarkStart w:id="115" w:name="_Toc8028"/>
      <w:bookmarkEnd w:id="115"/>
      <w:bookmarkStart w:id="116" w:name="_Toc45896618"/>
      <w:bookmarkEnd w:id="116"/>
      <w:bookmarkStart w:id="117" w:name="_Toc152045531"/>
      <w:bookmarkEnd w:id="117"/>
      <w:bookmarkStart w:id="118" w:name="_Toc45896914"/>
      <w:bookmarkEnd w:id="118"/>
      <w:bookmarkStart w:id="119" w:name="_Toc247527555"/>
      <w:bookmarkEnd w:id="119"/>
      <w:r>
        <w:rPr>
          <w:rFonts w:ascii="Times New Roman" w:hAnsi="Times New Roman" w:cs="Times New Roman"/>
        </w:rPr>
        <w:t xml:space="preserve">1.2 </w:t>
      </w:r>
      <w:r>
        <w:rPr>
          <w:rFonts w:hint="eastAsia"/>
        </w:rPr>
        <w:t>项目的资金来源和落实情况</w:t>
      </w:r>
    </w:p>
    <w:p w14:paraId="1EE21937">
      <w:pPr>
        <w:spacing w:line="360" w:lineRule="auto"/>
        <w:ind w:firstLine="420" w:firstLineChars="200"/>
        <w:rPr>
          <w:rFonts w:cs="Times New Roman"/>
        </w:rPr>
      </w:pPr>
      <w:r>
        <w:t xml:space="preserve">1.2.1 </w:t>
      </w:r>
      <w:r>
        <w:rPr>
          <w:rFonts w:hint="eastAsia" w:cs="宋体"/>
        </w:rPr>
        <w:t>资金来源及比例：见投标人须知前附表。</w:t>
      </w:r>
    </w:p>
    <w:p w14:paraId="6C249FE5">
      <w:pPr>
        <w:spacing w:line="360" w:lineRule="auto"/>
        <w:ind w:firstLine="420" w:firstLineChars="200"/>
        <w:rPr>
          <w:rFonts w:cs="Times New Roman"/>
        </w:rPr>
      </w:pPr>
      <w:r>
        <w:t xml:space="preserve">1.2.2 </w:t>
      </w:r>
      <w:r>
        <w:rPr>
          <w:rFonts w:hint="eastAsia" w:cs="宋体"/>
        </w:rPr>
        <w:t>资金落实情况：见投标人须知前附表。</w:t>
      </w:r>
    </w:p>
    <w:p w14:paraId="10256248">
      <w:pPr>
        <w:pStyle w:val="4"/>
        <w:spacing w:before="0" w:after="0" w:line="360" w:lineRule="auto"/>
        <w:rPr>
          <w:rFonts w:hint="eastAsia" w:cs="Times New Roman"/>
        </w:rPr>
      </w:pPr>
      <w:bookmarkStart w:id="120" w:name="_Toc152045532"/>
      <w:bookmarkEnd w:id="120"/>
      <w:bookmarkStart w:id="121" w:name="_Toc45896619"/>
      <w:bookmarkEnd w:id="121"/>
      <w:bookmarkStart w:id="122" w:name="_Toc9840"/>
      <w:bookmarkEnd w:id="122"/>
      <w:bookmarkStart w:id="123" w:name="_Toc247527556"/>
      <w:bookmarkEnd w:id="123"/>
      <w:bookmarkStart w:id="124" w:name="_Toc152042308"/>
      <w:bookmarkEnd w:id="124"/>
      <w:bookmarkStart w:id="125" w:name="_Toc13016"/>
      <w:bookmarkEnd w:id="125"/>
      <w:bookmarkStart w:id="126" w:name="_Toc247513955"/>
      <w:bookmarkEnd w:id="126"/>
      <w:bookmarkStart w:id="127" w:name="_Toc45896915"/>
      <w:bookmarkEnd w:id="127"/>
      <w:bookmarkStart w:id="128" w:name="_Toc144974500"/>
      <w:bookmarkEnd w:id="128"/>
      <w:bookmarkStart w:id="129" w:name="_Toc7632"/>
      <w:bookmarkEnd w:id="129"/>
      <w:r>
        <w:rPr>
          <w:rFonts w:ascii="Times New Roman" w:hAnsi="Times New Roman" w:cs="Times New Roman"/>
        </w:rPr>
        <w:t xml:space="preserve">1.3 </w:t>
      </w:r>
      <w:r>
        <w:rPr>
          <w:rFonts w:hint="eastAsia" w:ascii="Times New Roman" w:hAnsi="Times New Roman"/>
        </w:rPr>
        <w:t>招标范围、计划工期和质量标准</w:t>
      </w:r>
    </w:p>
    <w:p w14:paraId="69724638">
      <w:pPr>
        <w:spacing w:line="360" w:lineRule="auto"/>
        <w:ind w:firstLine="420" w:firstLineChars="200"/>
        <w:rPr>
          <w:rFonts w:cs="Times New Roman"/>
        </w:rPr>
      </w:pPr>
      <w:r>
        <w:t xml:space="preserve">1.3.1 </w:t>
      </w:r>
      <w:r>
        <w:rPr>
          <w:rFonts w:hint="eastAsia" w:cs="宋体"/>
        </w:rPr>
        <w:t>招标范围：见投标人须知前附表。</w:t>
      </w:r>
    </w:p>
    <w:p w14:paraId="33D17A45">
      <w:pPr>
        <w:spacing w:line="360" w:lineRule="auto"/>
        <w:ind w:firstLine="420" w:firstLineChars="200"/>
        <w:rPr>
          <w:rFonts w:cs="Times New Roman"/>
        </w:rPr>
      </w:pPr>
      <w:r>
        <w:t xml:space="preserve">1.3.2 </w:t>
      </w:r>
      <w:r>
        <w:rPr>
          <w:rFonts w:hint="eastAsia" w:cs="宋体"/>
        </w:rPr>
        <w:t>计划工期：见投标人须知前附表。</w:t>
      </w:r>
    </w:p>
    <w:p w14:paraId="0ABC3DFA">
      <w:pPr>
        <w:spacing w:line="360" w:lineRule="auto"/>
        <w:ind w:firstLine="420" w:firstLineChars="200"/>
        <w:rPr>
          <w:rFonts w:cs="Times New Roman"/>
        </w:rPr>
      </w:pPr>
      <w:r>
        <w:t xml:space="preserve">1.3.3 </w:t>
      </w:r>
      <w:r>
        <w:rPr>
          <w:rFonts w:hint="eastAsia" w:cs="宋体"/>
        </w:rPr>
        <w:t>质量标准：见投标人须知前附表。</w:t>
      </w:r>
    </w:p>
    <w:p w14:paraId="727C4D0E">
      <w:pPr>
        <w:pStyle w:val="4"/>
        <w:spacing w:before="0" w:after="0" w:line="360" w:lineRule="auto"/>
        <w:rPr>
          <w:rFonts w:hint="eastAsia" w:cs="Times New Roman"/>
        </w:rPr>
      </w:pPr>
      <w:bookmarkStart w:id="130" w:name="_Toc45896916"/>
      <w:bookmarkEnd w:id="130"/>
      <w:bookmarkStart w:id="131" w:name="_Toc152045534"/>
      <w:bookmarkEnd w:id="131"/>
      <w:bookmarkStart w:id="132" w:name="_Toc21033"/>
      <w:bookmarkEnd w:id="132"/>
      <w:bookmarkStart w:id="133" w:name="_Toc247527558"/>
      <w:bookmarkEnd w:id="133"/>
      <w:bookmarkStart w:id="134" w:name="_Toc152042310"/>
      <w:bookmarkEnd w:id="134"/>
      <w:bookmarkStart w:id="135" w:name="_Toc21290"/>
      <w:bookmarkEnd w:id="135"/>
      <w:bookmarkStart w:id="136" w:name="_Toc45896620"/>
      <w:bookmarkEnd w:id="136"/>
      <w:bookmarkStart w:id="137" w:name="_Toc247513957"/>
      <w:bookmarkEnd w:id="137"/>
      <w:bookmarkStart w:id="138" w:name="_Toc144974502"/>
      <w:bookmarkEnd w:id="138"/>
      <w:bookmarkStart w:id="139" w:name="_Toc19083"/>
      <w:bookmarkEnd w:id="139"/>
      <w:r>
        <w:rPr>
          <w:rFonts w:ascii="Times New Roman" w:hAnsi="Times New Roman" w:cs="Times New Roman"/>
        </w:rPr>
        <w:t>1.4</w:t>
      </w:r>
      <w:r>
        <w:rPr>
          <w:rFonts w:hint="eastAsia"/>
        </w:rPr>
        <w:t>投标人资格要求</w:t>
      </w:r>
    </w:p>
    <w:p w14:paraId="55AD907D">
      <w:pPr>
        <w:spacing w:line="360" w:lineRule="auto"/>
        <w:ind w:firstLine="420" w:firstLineChars="200"/>
        <w:outlineLvl w:val="3"/>
        <w:rPr>
          <w:rFonts w:cs="Times New Roman"/>
        </w:rPr>
      </w:pPr>
      <w:r>
        <w:t xml:space="preserve">1.4.1 </w:t>
      </w:r>
      <w:r>
        <w:rPr>
          <w:rFonts w:hint="eastAsia" w:cs="宋体"/>
        </w:rPr>
        <w:t>投标人应具备承担本招标项目资质条件、能力和信誉。</w:t>
      </w:r>
    </w:p>
    <w:p w14:paraId="0F66B376">
      <w:pPr>
        <w:spacing w:line="360" w:lineRule="auto"/>
        <w:ind w:firstLine="315" w:firstLineChars="150"/>
        <w:rPr>
          <w:rFonts w:cs="Times New Roman"/>
        </w:rPr>
      </w:pPr>
      <w:r>
        <w:rPr>
          <w:rFonts w:hint="eastAsia" w:cs="宋体"/>
        </w:rPr>
        <w:t>（</w:t>
      </w:r>
      <w:r>
        <w:t>1</w:t>
      </w:r>
      <w:r>
        <w:rPr>
          <w:rFonts w:hint="eastAsia" w:cs="宋体"/>
        </w:rPr>
        <w:t>）资质要求：见投标人须知前附表；</w:t>
      </w:r>
    </w:p>
    <w:p w14:paraId="7F53C961">
      <w:pPr>
        <w:spacing w:line="360" w:lineRule="auto"/>
        <w:ind w:firstLine="315" w:firstLineChars="150"/>
        <w:rPr>
          <w:rFonts w:cs="Times New Roman"/>
        </w:rPr>
      </w:pPr>
      <w:r>
        <w:rPr>
          <w:rFonts w:hint="eastAsia" w:cs="宋体"/>
        </w:rPr>
        <w:t>（</w:t>
      </w:r>
      <w:r>
        <w:t>2</w:t>
      </w:r>
      <w:r>
        <w:rPr>
          <w:rFonts w:hint="eastAsia" w:cs="宋体"/>
        </w:rPr>
        <w:t>）财务要求：见投标人须知前附表；</w:t>
      </w:r>
    </w:p>
    <w:p w14:paraId="7E2850EC">
      <w:pPr>
        <w:spacing w:line="360" w:lineRule="auto"/>
        <w:ind w:firstLine="315" w:firstLineChars="150"/>
        <w:rPr>
          <w:rFonts w:cs="Times New Roman"/>
        </w:rPr>
      </w:pPr>
      <w:r>
        <w:rPr>
          <w:rFonts w:hint="eastAsia" w:cs="宋体"/>
        </w:rPr>
        <w:t>（</w:t>
      </w:r>
      <w:r>
        <w:rPr>
          <w:rFonts w:hint="eastAsia"/>
        </w:rPr>
        <w:t>3</w:t>
      </w:r>
      <w:r>
        <w:rPr>
          <w:rFonts w:hint="eastAsia" w:cs="宋体"/>
        </w:rPr>
        <w:t>）信誉要求：见投标人须知前附表；</w:t>
      </w:r>
    </w:p>
    <w:p w14:paraId="375CCDA0">
      <w:pPr>
        <w:spacing w:line="360" w:lineRule="auto"/>
        <w:ind w:firstLine="315" w:firstLineChars="150"/>
        <w:rPr>
          <w:rFonts w:cs="Times New Roman"/>
        </w:rPr>
      </w:pPr>
      <w:r>
        <w:rPr>
          <w:rFonts w:hint="eastAsia" w:cs="宋体"/>
        </w:rPr>
        <w:t>（</w:t>
      </w:r>
      <w:r>
        <w:rPr>
          <w:rFonts w:hint="eastAsia"/>
        </w:rPr>
        <w:t>4</w:t>
      </w:r>
      <w:r>
        <w:rPr>
          <w:rFonts w:hint="eastAsia" w:cs="宋体"/>
        </w:rPr>
        <w:t>）</w:t>
      </w:r>
      <w:r>
        <w:rPr>
          <w:rFonts w:hint="eastAsia" w:cs="宋体"/>
          <w:lang w:val="zh-CN"/>
        </w:rPr>
        <w:t>项目主要人员配备要求</w:t>
      </w:r>
      <w:r>
        <w:rPr>
          <w:rFonts w:hint="eastAsia" w:cs="宋体"/>
        </w:rPr>
        <w:t>：具体要求见投标人须知前附表；</w:t>
      </w:r>
    </w:p>
    <w:p w14:paraId="4ABCA8B5">
      <w:pPr>
        <w:spacing w:line="360" w:lineRule="auto"/>
        <w:ind w:firstLine="315" w:firstLineChars="150"/>
        <w:rPr>
          <w:rFonts w:cs="Times New Roman"/>
        </w:rPr>
      </w:pPr>
      <w:r>
        <w:rPr>
          <w:rFonts w:hint="eastAsia" w:cs="宋体"/>
        </w:rPr>
        <w:t>（</w:t>
      </w:r>
      <w:r>
        <w:rPr>
          <w:rFonts w:hint="eastAsia"/>
        </w:rPr>
        <w:t>5</w:t>
      </w:r>
      <w:r>
        <w:rPr>
          <w:rFonts w:hint="eastAsia" w:cs="宋体"/>
        </w:rPr>
        <w:t>）</w:t>
      </w:r>
      <w:r>
        <w:rPr>
          <w:rFonts w:hint="eastAsia" w:cs="宋体"/>
          <w:lang w:val="zh-CN"/>
        </w:rPr>
        <w:t>拟配备其他人员要求</w:t>
      </w:r>
      <w:r>
        <w:rPr>
          <w:rFonts w:hint="eastAsia" w:cs="宋体"/>
        </w:rPr>
        <w:t>：具体要求见投标人须知前附表；</w:t>
      </w:r>
    </w:p>
    <w:p w14:paraId="29B261A2">
      <w:pPr>
        <w:spacing w:line="360" w:lineRule="auto"/>
        <w:ind w:firstLine="315" w:firstLineChars="150"/>
        <w:rPr>
          <w:rFonts w:cs="Times New Roman"/>
        </w:rPr>
      </w:pPr>
      <w:r>
        <w:rPr>
          <w:rFonts w:hint="eastAsia" w:cs="宋体"/>
        </w:rPr>
        <w:t>（</w:t>
      </w:r>
      <w:r>
        <w:rPr>
          <w:rFonts w:hint="eastAsia"/>
        </w:rPr>
        <w:t>6</w:t>
      </w:r>
      <w:r>
        <w:rPr>
          <w:rFonts w:hint="eastAsia" w:cs="宋体"/>
        </w:rPr>
        <w:t>）</w:t>
      </w:r>
      <w:r>
        <w:t>其他要求：见投标人须知前附表。</w:t>
      </w:r>
    </w:p>
    <w:p w14:paraId="62EFBC17">
      <w:pPr>
        <w:spacing w:line="360" w:lineRule="auto"/>
        <w:ind w:firstLine="420" w:firstLineChars="200"/>
      </w:pPr>
      <w:r>
        <w:t xml:space="preserve">1.4.2 </w:t>
      </w:r>
      <w:r>
        <w:rPr>
          <w:rFonts w:hint="eastAsia" w:cs="宋体"/>
        </w:rPr>
        <w:t>投标人须知前附表规定接受联合体投标的，除应符合本章第</w:t>
      </w:r>
      <w:r>
        <w:t>1.4.1</w:t>
      </w:r>
      <w:r>
        <w:rPr>
          <w:rFonts w:hint="eastAsia" w:cs="宋体"/>
        </w:rPr>
        <w:t>项和投标人须知前附表的要求外，还应遵守以下规定：</w:t>
      </w:r>
    </w:p>
    <w:p w14:paraId="033CA272">
      <w:pPr>
        <w:spacing w:line="360" w:lineRule="auto"/>
        <w:ind w:firstLine="315" w:firstLineChars="150"/>
        <w:rPr>
          <w:rFonts w:cs="宋体"/>
        </w:rPr>
      </w:pPr>
      <w:r>
        <w:rPr>
          <w:rFonts w:hint="eastAsia" w:cs="宋体"/>
        </w:rPr>
        <w:t>（</w:t>
      </w:r>
      <w:r>
        <w:t>1</w:t>
      </w:r>
      <w:r>
        <w:rPr>
          <w:rFonts w:hint="eastAsia" w:cs="宋体"/>
        </w:rPr>
        <w:t>）联合体各方应按招标文件提供的格式签订联合体协议书，明确联合体牵头人和各方权利义务。</w:t>
      </w:r>
      <w:r>
        <w:rPr>
          <w:rFonts w:hint="eastAsia" w:ascii="宋体" w:hAnsi="宋体" w:cs="宋体"/>
          <w:lang w:val="zh-CN"/>
        </w:rPr>
        <w:t>联合体中的各成员应具备所承包工作范围相应的资质，</w:t>
      </w:r>
      <w:r>
        <w:rPr>
          <w:rFonts w:hint="eastAsia" w:cs="宋体"/>
        </w:rPr>
        <w:t>联合体家数不得超过</w:t>
      </w:r>
      <w:r>
        <w:rPr>
          <w:rFonts w:hint="eastAsia"/>
        </w:rPr>
        <w:t>2</w:t>
      </w:r>
      <w:r>
        <w:rPr>
          <w:rFonts w:hint="eastAsia" w:cs="宋体"/>
        </w:rPr>
        <w:t>家，牵头人必须具备建筑工程施工总承包叁级以上（含叁级）资质，并持有有效的安全生产许可证书的施工单位；</w:t>
      </w:r>
    </w:p>
    <w:p w14:paraId="496FE407">
      <w:pPr>
        <w:spacing w:line="360" w:lineRule="auto"/>
        <w:ind w:firstLine="315" w:firstLineChars="150"/>
        <w:rPr>
          <w:rFonts w:cs="Times New Roman"/>
        </w:rPr>
      </w:pPr>
      <w:r>
        <w:rPr>
          <w:rFonts w:hint="eastAsia" w:cs="宋体"/>
        </w:rPr>
        <w:t>（</w:t>
      </w:r>
      <w:r>
        <w:t>2</w:t>
      </w:r>
      <w:r>
        <w:rPr>
          <w:rFonts w:hint="eastAsia" w:cs="宋体"/>
        </w:rPr>
        <w:t>）由同一专业的单位组成的联合体，按照资质等级较低的单位确定资质等级；</w:t>
      </w:r>
    </w:p>
    <w:p w14:paraId="4713718D">
      <w:pPr>
        <w:spacing w:line="360" w:lineRule="auto"/>
        <w:ind w:firstLine="315" w:firstLineChars="150"/>
        <w:rPr>
          <w:rFonts w:hint="eastAsia" w:ascii="宋体" w:hAnsi="宋体" w:cs="宋体"/>
        </w:rPr>
      </w:pPr>
      <w:r>
        <w:rPr>
          <w:rFonts w:hint="eastAsia" w:cs="宋体"/>
        </w:rPr>
        <w:t>（</w:t>
      </w:r>
      <w:r>
        <w:t>3</w:t>
      </w:r>
      <w:r>
        <w:rPr>
          <w:rFonts w:hint="eastAsia" w:cs="宋体"/>
        </w:rPr>
        <w:t>）联合体各方不得再以自己名义单独或参加其他联合体在本招标项目中投标。</w:t>
      </w:r>
    </w:p>
    <w:p w14:paraId="7F6EAEE4">
      <w:pPr>
        <w:spacing w:line="360" w:lineRule="auto"/>
        <w:ind w:firstLine="420" w:firstLineChars="200"/>
        <w:outlineLvl w:val="3"/>
        <w:rPr>
          <w:rFonts w:cs="Times New Roman"/>
        </w:rPr>
      </w:pPr>
      <w:r>
        <w:t xml:space="preserve">1.4.3 </w:t>
      </w:r>
      <w:r>
        <w:rPr>
          <w:rFonts w:hint="eastAsia" w:cs="宋体"/>
        </w:rPr>
        <w:t>投标人不得存在下列情形之一：</w:t>
      </w:r>
    </w:p>
    <w:p w14:paraId="2BF9D816">
      <w:pPr>
        <w:spacing w:line="360" w:lineRule="auto"/>
        <w:ind w:firstLine="315" w:firstLineChars="150"/>
      </w:pPr>
      <w:r>
        <w:rPr>
          <w:rFonts w:hint="eastAsia" w:cs="宋体"/>
        </w:rPr>
        <w:t>（</w:t>
      </w:r>
      <w:r>
        <w:t>1</w:t>
      </w:r>
      <w:r>
        <w:rPr>
          <w:rFonts w:hint="eastAsia" w:cs="宋体"/>
        </w:rPr>
        <w:t>）为招标人不具有独立法人资格的附属机构（单位）；</w:t>
      </w:r>
    </w:p>
    <w:p w14:paraId="393B4668">
      <w:pPr>
        <w:spacing w:line="360" w:lineRule="auto"/>
        <w:ind w:firstLine="315" w:firstLineChars="150"/>
        <w:rPr>
          <w:rFonts w:cs="Times New Roman"/>
        </w:rPr>
      </w:pPr>
      <w:r>
        <w:rPr>
          <w:rFonts w:hint="eastAsia" w:cs="宋体"/>
        </w:rPr>
        <w:t>（</w:t>
      </w:r>
      <w:r>
        <w:t>2</w:t>
      </w:r>
      <w:r>
        <w:rPr>
          <w:rFonts w:hint="eastAsia"/>
        </w:rPr>
        <w:t>）作</w:t>
      </w:r>
      <w:r>
        <w:rPr>
          <w:rFonts w:hint="eastAsia" w:cs="宋体"/>
        </w:rPr>
        <w:t>为本招标项目的监理人；</w:t>
      </w:r>
    </w:p>
    <w:p w14:paraId="6668FAE2">
      <w:pPr>
        <w:spacing w:line="360" w:lineRule="auto"/>
        <w:ind w:firstLine="315" w:firstLineChars="150"/>
      </w:pPr>
      <w:r>
        <w:rPr>
          <w:rFonts w:hint="eastAsia" w:cs="宋体"/>
        </w:rPr>
        <w:t>（</w:t>
      </w:r>
      <w:r>
        <w:t>3</w:t>
      </w:r>
      <w:r>
        <w:rPr>
          <w:rFonts w:hint="eastAsia" w:cs="宋体"/>
        </w:rPr>
        <w:t>）为本招标项目的代建人；</w:t>
      </w:r>
    </w:p>
    <w:p w14:paraId="4751096B">
      <w:pPr>
        <w:spacing w:line="360" w:lineRule="auto"/>
        <w:ind w:firstLine="315" w:firstLineChars="150"/>
      </w:pPr>
      <w:r>
        <w:rPr>
          <w:rFonts w:hint="eastAsia" w:cs="宋体"/>
        </w:rPr>
        <w:t>（</w:t>
      </w:r>
      <w:r>
        <w:t>4</w:t>
      </w:r>
      <w:r>
        <w:rPr>
          <w:rFonts w:hint="eastAsia" w:cs="宋体"/>
        </w:rPr>
        <w:t>）为本招标项目提供招标代理服务的；</w:t>
      </w:r>
    </w:p>
    <w:p w14:paraId="3A23901E">
      <w:pPr>
        <w:spacing w:line="360" w:lineRule="auto"/>
        <w:ind w:firstLine="315" w:firstLineChars="150"/>
      </w:pPr>
      <w:r>
        <w:rPr>
          <w:rFonts w:hint="eastAsia" w:cs="宋体"/>
        </w:rPr>
        <w:t>（</w:t>
      </w:r>
      <w:r>
        <w:t>5</w:t>
      </w:r>
      <w:r>
        <w:rPr>
          <w:rFonts w:hint="eastAsia" w:cs="宋体"/>
        </w:rPr>
        <w:t>）被责令停业的；</w:t>
      </w:r>
    </w:p>
    <w:p w14:paraId="425AE4DC">
      <w:pPr>
        <w:spacing w:line="360" w:lineRule="auto"/>
        <w:ind w:firstLine="315" w:firstLineChars="150"/>
      </w:pPr>
      <w:r>
        <w:rPr>
          <w:rFonts w:hint="eastAsia" w:cs="宋体"/>
        </w:rPr>
        <w:t>（</w:t>
      </w:r>
      <w:r>
        <w:t>6</w:t>
      </w:r>
      <w:r>
        <w:rPr>
          <w:rFonts w:hint="eastAsia" w:cs="宋体"/>
        </w:rPr>
        <w:t>）被暂停或取消投标资格的；</w:t>
      </w:r>
    </w:p>
    <w:p w14:paraId="345A263A">
      <w:pPr>
        <w:spacing w:line="360" w:lineRule="auto"/>
        <w:ind w:firstLine="315" w:firstLineChars="150"/>
        <w:rPr>
          <w:rFonts w:cs="Times New Roman"/>
        </w:rPr>
      </w:pPr>
      <w:r>
        <w:rPr>
          <w:rFonts w:hint="eastAsia" w:cs="宋体"/>
        </w:rPr>
        <w:t>（</w:t>
      </w:r>
      <w:r>
        <w:t>7</w:t>
      </w:r>
      <w:r>
        <w:rPr>
          <w:rFonts w:hint="eastAsia" w:cs="宋体"/>
        </w:rPr>
        <w:t>）财产被接管或冻结的；</w:t>
      </w:r>
    </w:p>
    <w:p w14:paraId="0389C3AA">
      <w:pPr>
        <w:spacing w:line="360" w:lineRule="auto"/>
        <w:ind w:firstLine="315" w:firstLineChars="150"/>
        <w:rPr>
          <w:rFonts w:cs="Times New Roman"/>
        </w:rPr>
      </w:pPr>
      <w:r>
        <w:rPr>
          <w:rFonts w:hint="eastAsia" w:cs="宋体"/>
        </w:rPr>
        <w:t>（</w:t>
      </w:r>
      <w:r>
        <w:t>8</w:t>
      </w:r>
      <w:r>
        <w:rPr>
          <w:rFonts w:hint="eastAsia" w:cs="宋体"/>
        </w:rPr>
        <w:t>）在最近三年内有骗取中标或严重违约或重大工程质量问题的；</w:t>
      </w:r>
    </w:p>
    <w:p w14:paraId="3BF6DF27">
      <w:pPr>
        <w:spacing w:line="360" w:lineRule="auto"/>
        <w:ind w:firstLine="315" w:firstLineChars="150"/>
        <w:rPr>
          <w:rFonts w:cs="Times New Roman"/>
        </w:rPr>
      </w:pPr>
      <w:r>
        <w:rPr>
          <w:rFonts w:hint="eastAsia" w:cs="宋体"/>
        </w:rPr>
        <w:t>（</w:t>
      </w:r>
      <w:r>
        <w:t>9</w:t>
      </w:r>
      <w:r>
        <w:rPr>
          <w:rFonts w:hint="eastAsia" w:cs="宋体"/>
        </w:rPr>
        <w:t>）与本招标项目的监理人或代建人或招标代理机构同为一个法定代表人的；</w:t>
      </w:r>
    </w:p>
    <w:p w14:paraId="79D6004B">
      <w:pPr>
        <w:spacing w:line="360" w:lineRule="auto"/>
        <w:ind w:firstLine="315" w:firstLineChars="150"/>
        <w:rPr>
          <w:rFonts w:cs="宋体"/>
        </w:rPr>
      </w:pPr>
      <w:r>
        <w:rPr>
          <w:rFonts w:hint="eastAsia" w:cs="宋体"/>
        </w:rPr>
        <w:t>（</w:t>
      </w:r>
      <w:r>
        <w:rPr>
          <w:rFonts w:cs="宋体"/>
        </w:rPr>
        <w:t>10</w:t>
      </w:r>
      <w:r>
        <w:rPr>
          <w:rFonts w:hint="eastAsia" w:cs="宋体"/>
        </w:rPr>
        <w:t>）与本招标项目的监理人或代建人或招标代理机构相互控股或参股的；</w:t>
      </w:r>
    </w:p>
    <w:p w14:paraId="6718716A">
      <w:pPr>
        <w:spacing w:line="360" w:lineRule="auto"/>
        <w:ind w:firstLine="315" w:firstLineChars="150"/>
        <w:rPr>
          <w:rFonts w:cs="宋体"/>
        </w:rPr>
      </w:pPr>
      <w:r>
        <w:rPr>
          <w:rFonts w:hint="eastAsia" w:cs="宋体"/>
        </w:rPr>
        <w:t>（</w:t>
      </w:r>
      <w:r>
        <w:rPr>
          <w:rFonts w:cs="宋体"/>
        </w:rPr>
        <w:t>11</w:t>
      </w:r>
      <w:r>
        <w:rPr>
          <w:rFonts w:hint="eastAsia" w:cs="宋体"/>
        </w:rPr>
        <w:t>）与本招标项目的监理人或代建人或招标代理机构相互任职或工作的。</w:t>
      </w:r>
    </w:p>
    <w:p w14:paraId="71A8EB4E">
      <w:pPr>
        <w:spacing w:line="360" w:lineRule="auto"/>
        <w:ind w:firstLine="315" w:firstLineChars="150"/>
        <w:rPr>
          <w:rFonts w:cs="宋体"/>
        </w:rPr>
      </w:pPr>
      <w:r>
        <w:rPr>
          <w:rFonts w:hint="eastAsia" w:cs="宋体"/>
        </w:rPr>
        <w:t>（12）不得是工程总承包项目的代建单位或与代建单位存在隶属关系和管理关系的；</w:t>
      </w:r>
    </w:p>
    <w:p w14:paraId="4AD09F56">
      <w:pPr>
        <w:spacing w:line="360" w:lineRule="auto"/>
        <w:ind w:firstLine="315" w:firstLineChars="150"/>
        <w:rPr>
          <w:rFonts w:cs="宋体"/>
        </w:rPr>
      </w:pPr>
      <w:r>
        <w:rPr>
          <w:rFonts w:hint="eastAsia" w:cs="宋体"/>
        </w:rPr>
        <w:t>（13）政府投资项目的项目建议书、可行性研究报告、初步设计文件编制单位及评估单位，一般不得成为该项目的工程总承包单位。政府投资项目招标人公开已经完成的项目建议书、可行性研究报告、初步设计文件的，上述单位可以参与该工程总承包项目的投标。</w:t>
      </w:r>
    </w:p>
    <w:p w14:paraId="7E09F1EF">
      <w:pPr>
        <w:spacing w:line="360" w:lineRule="auto"/>
        <w:ind w:firstLine="420" w:firstLineChars="200"/>
      </w:pPr>
      <w:r>
        <w:rPr>
          <w:rFonts w:hint="eastAsia"/>
        </w:rPr>
        <w:t>1.1.4</w:t>
      </w:r>
      <w:r>
        <w:t xml:space="preserve"> </w:t>
      </w:r>
      <w:r>
        <w:rPr>
          <w:rFonts w:hint="eastAsia" w:cs="宋体"/>
        </w:rPr>
        <w:t>单位负责人为同一人或者存在控股、管理关系的不同单位，不得同时参加本招标项目投标。</w:t>
      </w:r>
    </w:p>
    <w:p w14:paraId="47CEE72A">
      <w:pPr>
        <w:pStyle w:val="4"/>
        <w:spacing w:before="0" w:after="0" w:line="360" w:lineRule="auto"/>
        <w:rPr>
          <w:rFonts w:hint="eastAsia" w:cs="Times New Roman"/>
        </w:rPr>
      </w:pPr>
      <w:bookmarkStart w:id="140" w:name="_Toc3411"/>
      <w:bookmarkEnd w:id="140"/>
      <w:bookmarkStart w:id="141" w:name="_Toc27366"/>
      <w:bookmarkEnd w:id="141"/>
      <w:bookmarkStart w:id="142" w:name="_Toc247513959"/>
      <w:bookmarkStart w:id="143" w:name="_Toc45896918"/>
      <w:bookmarkStart w:id="144" w:name="_Toc45896622"/>
      <w:bookmarkStart w:id="145" w:name="_Toc247527560"/>
      <w:bookmarkStart w:id="146" w:name="_Toc152042312"/>
      <w:bookmarkStart w:id="147" w:name="_Toc5533"/>
      <w:bookmarkStart w:id="148" w:name="_Toc144974504"/>
      <w:bookmarkStart w:id="149" w:name="_Toc152045536"/>
      <w:r>
        <w:rPr>
          <w:rFonts w:ascii="Times New Roman" w:hAnsi="Times New Roman" w:cs="Times New Roman"/>
        </w:rPr>
        <w:t>1.5</w:t>
      </w:r>
      <w:r>
        <w:rPr>
          <w:rFonts w:hint="eastAsia"/>
        </w:rPr>
        <w:t>费用承担和设计成果补偿</w:t>
      </w:r>
    </w:p>
    <w:p w14:paraId="28E03C0E">
      <w:pPr>
        <w:spacing w:line="360" w:lineRule="auto"/>
        <w:ind w:firstLine="420" w:firstLineChars="200"/>
        <w:rPr>
          <w:rFonts w:cs="Times New Roman"/>
        </w:rPr>
      </w:pPr>
      <w:r>
        <w:t xml:space="preserve">1.5.1 </w:t>
      </w:r>
      <w:r>
        <w:rPr>
          <w:rFonts w:hint="eastAsia" w:cs="宋体"/>
        </w:rPr>
        <w:t>投标人准备和参加投标活动发生的费用自理。</w:t>
      </w:r>
    </w:p>
    <w:p w14:paraId="6083460A">
      <w:pPr>
        <w:spacing w:line="360" w:lineRule="auto"/>
        <w:ind w:firstLine="420" w:firstLineChars="200"/>
        <w:rPr>
          <w:rFonts w:cs="Times New Roman"/>
        </w:rPr>
      </w:pPr>
      <w:r>
        <w:t xml:space="preserve">1.5.2 </w:t>
      </w:r>
      <w:r>
        <w:rPr>
          <w:rFonts w:hint="eastAsia" w:ascii="宋体" w:hAnsi="宋体" w:cs="宋体"/>
          <w:kern w:val="0"/>
        </w:rPr>
        <w:t>其他费用按国家、省、市相关规定收取</w:t>
      </w:r>
      <w:r>
        <w:rPr>
          <w:rFonts w:hint="eastAsia" w:cs="宋体"/>
        </w:rPr>
        <w:t>。</w:t>
      </w:r>
    </w:p>
    <w:bookmarkEnd w:id="142"/>
    <w:bookmarkEnd w:id="143"/>
    <w:bookmarkEnd w:id="144"/>
    <w:bookmarkEnd w:id="145"/>
    <w:bookmarkEnd w:id="146"/>
    <w:bookmarkEnd w:id="147"/>
    <w:bookmarkEnd w:id="148"/>
    <w:bookmarkEnd w:id="149"/>
    <w:p w14:paraId="3469333D">
      <w:pPr>
        <w:pStyle w:val="4"/>
        <w:spacing w:before="0" w:after="0" w:line="360" w:lineRule="auto"/>
        <w:rPr>
          <w:rFonts w:ascii="Times New Roman" w:hAnsi="Times New Roman" w:cs="Times New Roman"/>
        </w:rPr>
      </w:pPr>
      <w:bookmarkStart w:id="150" w:name="_Toc19498"/>
      <w:bookmarkEnd w:id="150"/>
      <w:bookmarkStart w:id="151" w:name="_Toc31168"/>
      <w:bookmarkEnd w:id="151"/>
      <w:r>
        <w:rPr>
          <w:rFonts w:ascii="Times New Roman" w:hAnsi="Times New Roman" w:cs="Times New Roman"/>
        </w:rPr>
        <w:t xml:space="preserve">1.6 </w:t>
      </w:r>
      <w:r>
        <w:rPr>
          <w:rFonts w:hint="eastAsia" w:ascii="Times New Roman" w:hAnsi="Times New Roman"/>
        </w:rPr>
        <w:t>保密</w:t>
      </w:r>
    </w:p>
    <w:p w14:paraId="5C129CDD">
      <w:pPr>
        <w:spacing w:line="360" w:lineRule="auto"/>
        <w:ind w:firstLine="420" w:firstLineChars="200"/>
      </w:pPr>
      <w:r>
        <w:rPr>
          <w:rFonts w:hint="eastAsia" w:cs="宋体"/>
        </w:rPr>
        <w:t>参与招标投标活动的各方应对招标文件和投标文件中的商业和技术等秘密保密，否则应承担相应的法律责任。</w:t>
      </w:r>
    </w:p>
    <w:p w14:paraId="73686828">
      <w:pPr>
        <w:pStyle w:val="4"/>
        <w:spacing w:before="0" w:after="0" w:line="360" w:lineRule="auto"/>
        <w:rPr>
          <w:rFonts w:ascii="Times New Roman" w:hAnsi="Times New Roman" w:cs="Times New Roman"/>
        </w:rPr>
      </w:pPr>
      <w:bookmarkStart w:id="152" w:name="_Toc247513960"/>
      <w:bookmarkEnd w:id="152"/>
      <w:bookmarkStart w:id="153" w:name="_Toc144974505"/>
      <w:bookmarkEnd w:id="153"/>
      <w:bookmarkStart w:id="154" w:name="_Toc13633"/>
      <w:bookmarkEnd w:id="154"/>
      <w:bookmarkStart w:id="155" w:name="_Toc45896623"/>
      <w:bookmarkEnd w:id="155"/>
      <w:bookmarkStart w:id="156" w:name="_Toc45896919"/>
      <w:bookmarkEnd w:id="156"/>
      <w:bookmarkStart w:id="157" w:name="_Toc31652"/>
      <w:bookmarkEnd w:id="157"/>
      <w:bookmarkStart w:id="158" w:name="_Toc152045537"/>
      <w:bookmarkEnd w:id="158"/>
      <w:bookmarkStart w:id="159" w:name="_Toc247527561"/>
      <w:bookmarkEnd w:id="159"/>
      <w:bookmarkStart w:id="160" w:name="_Toc19363"/>
      <w:bookmarkEnd w:id="160"/>
      <w:bookmarkStart w:id="161" w:name="_Toc152042313"/>
      <w:bookmarkEnd w:id="161"/>
      <w:r>
        <w:rPr>
          <w:rFonts w:ascii="Times New Roman" w:hAnsi="Times New Roman" w:cs="Times New Roman"/>
        </w:rPr>
        <w:t xml:space="preserve">1.7 </w:t>
      </w:r>
      <w:r>
        <w:rPr>
          <w:rFonts w:hint="eastAsia" w:ascii="Times New Roman" w:hAnsi="Times New Roman"/>
        </w:rPr>
        <w:t>语言文字</w:t>
      </w:r>
    </w:p>
    <w:p w14:paraId="401DB95A">
      <w:pPr>
        <w:spacing w:line="360" w:lineRule="auto"/>
        <w:ind w:firstLine="420" w:firstLineChars="200"/>
        <w:rPr>
          <w:rFonts w:cs="Times New Roman"/>
        </w:rPr>
      </w:pPr>
      <w:r>
        <w:rPr>
          <w:rFonts w:hint="eastAsia" w:cs="宋体"/>
        </w:rPr>
        <w:t>招标投标文件使用的语言文字为中文。专用术语使用外文的，应附有中文注释，未附有中文注释的不予采纳。</w:t>
      </w:r>
    </w:p>
    <w:p w14:paraId="5F264088">
      <w:pPr>
        <w:pStyle w:val="4"/>
        <w:spacing w:before="0" w:after="0" w:line="360" w:lineRule="auto"/>
        <w:rPr>
          <w:rFonts w:ascii="Times New Roman" w:hAnsi="Times New Roman" w:cs="Times New Roman"/>
        </w:rPr>
      </w:pPr>
      <w:bookmarkStart w:id="162" w:name="_Toc45896920"/>
      <w:bookmarkEnd w:id="162"/>
      <w:bookmarkStart w:id="163" w:name="_Toc247513961"/>
      <w:bookmarkEnd w:id="163"/>
      <w:bookmarkStart w:id="164" w:name="_Toc12305"/>
      <w:bookmarkEnd w:id="164"/>
      <w:bookmarkStart w:id="165" w:name="_Toc19819"/>
      <w:bookmarkEnd w:id="165"/>
      <w:bookmarkStart w:id="166" w:name="_Toc45896624"/>
      <w:bookmarkEnd w:id="166"/>
      <w:bookmarkStart w:id="167" w:name="_Toc247527562"/>
      <w:bookmarkEnd w:id="167"/>
      <w:bookmarkStart w:id="168" w:name="_Toc144974506"/>
      <w:bookmarkEnd w:id="168"/>
      <w:bookmarkStart w:id="169" w:name="_Toc15167"/>
      <w:bookmarkEnd w:id="169"/>
      <w:bookmarkStart w:id="170" w:name="_Toc152045538"/>
      <w:bookmarkEnd w:id="170"/>
      <w:bookmarkStart w:id="171" w:name="_Toc152042314"/>
      <w:bookmarkEnd w:id="171"/>
      <w:r>
        <w:rPr>
          <w:rFonts w:ascii="Times New Roman" w:hAnsi="Times New Roman" w:cs="Times New Roman"/>
        </w:rPr>
        <w:t xml:space="preserve">1.8 </w:t>
      </w:r>
      <w:r>
        <w:rPr>
          <w:rFonts w:hint="eastAsia" w:ascii="Times New Roman" w:hAnsi="Times New Roman"/>
        </w:rPr>
        <w:t>计量单位</w:t>
      </w:r>
    </w:p>
    <w:p w14:paraId="4D39C100">
      <w:pPr>
        <w:spacing w:line="360" w:lineRule="auto"/>
        <w:ind w:firstLine="420" w:firstLineChars="200"/>
        <w:rPr>
          <w:rFonts w:cs="Times New Roman"/>
        </w:rPr>
      </w:pPr>
      <w:r>
        <w:rPr>
          <w:rFonts w:hint="eastAsia" w:cs="宋体"/>
        </w:rPr>
        <w:t>所有计量均采用中华人民共和国法定计量单位。</w:t>
      </w:r>
    </w:p>
    <w:p w14:paraId="136025B6">
      <w:pPr>
        <w:pStyle w:val="4"/>
        <w:spacing w:before="0" w:after="0" w:line="360" w:lineRule="auto"/>
        <w:rPr>
          <w:rFonts w:ascii="Times New Roman" w:hAnsi="Times New Roman" w:cs="Times New Roman"/>
        </w:rPr>
      </w:pPr>
      <w:bookmarkStart w:id="172" w:name="_Toc152045539"/>
      <w:bookmarkEnd w:id="172"/>
      <w:bookmarkStart w:id="173" w:name="_Toc247513962"/>
      <w:bookmarkEnd w:id="173"/>
      <w:bookmarkStart w:id="174" w:name="_Toc27373"/>
      <w:bookmarkEnd w:id="174"/>
      <w:bookmarkStart w:id="175" w:name="_Toc21551"/>
      <w:bookmarkEnd w:id="175"/>
      <w:bookmarkStart w:id="176" w:name="_Toc45896625"/>
      <w:bookmarkEnd w:id="176"/>
      <w:bookmarkStart w:id="177" w:name="_Toc27574"/>
      <w:bookmarkEnd w:id="177"/>
      <w:bookmarkStart w:id="178" w:name="_Toc152042315"/>
      <w:bookmarkEnd w:id="178"/>
      <w:bookmarkStart w:id="179" w:name="_Toc144974507"/>
      <w:bookmarkEnd w:id="179"/>
      <w:bookmarkStart w:id="180" w:name="_Toc45896921"/>
      <w:bookmarkEnd w:id="180"/>
      <w:bookmarkStart w:id="181" w:name="_Toc247527563"/>
      <w:bookmarkEnd w:id="181"/>
      <w:r>
        <w:rPr>
          <w:rFonts w:ascii="Times New Roman" w:hAnsi="Times New Roman" w:cs="Times New Roman"/>
        </w:rPr>
        <w:t xml:space="preserve">1.9 </w:t>
      </w:r>
      <w:r>
        <w:rPr>
          <w:rFonts w:hint="eastAsia" w:ascii="Times New Roman" w:hAnsi="Times New Roman"/>
        </w:rPr>
        <w:t>踏勘现场</w:t>
      </w:r>
    </w:p>
    <w:p w14:paraId="71DECE84">
      <w:pPr>
        <w:spacing w:line="360" w:lineRule="auto"/>
        <w:ind w:firstLine="420" w:firstLineChars="200"/>
        <w:rPr>
          <w:rFonts w:cs="Times New Roman"/>
        </w:rPr>
      </w:pPr>
      <w:r>
        <w:rPr>
          <w:rFonts w:hint="eastAsia" w:cs="宋体"/>
        </w:rPr>
        <w:t>不组织踏勘</w:t>
      </w:r>
    </w:p>
    <w:p w14:paraId="4BE1D88C">
      <w:pPr>
        <w:pStyle w:val="4"/>
        <w:spacing w:before="0" w:after="0" w:line="360" w:lineRule="auto"/>
        <w:rPr>
          <w:rFonts w:ascii="Times New Roman" w:hAnsi="Times New Roman" w:cs="Times New Roman"/>
        </w:rPr>
      </w:pPr>
      <w:bookmarkStart w:id="182" w:name="_Toc247513963"/>
      <w:bookmarkEnd w:id="182"/>
      <w:bookmarkStart w:id="183" w:name="_Toc32648"/>
      <w:bookmarkEnd w:id="183"/>
      <w:bookmarkStart w:id="184" w:name="_Toc5263"/>
      <w:bookmarkEnd w:id="184"/>
      <w:bookmarkStart w:id="185" w:name="_Toc45896922"/>
      <w:bookmarkEnd w:id="185"/>
      <w:bookmarkStart w:id="186" w:name="_Toc247527564"/>
      <w:bookmarkEnd w:id="186"/>
      <w:bookmarkStart w:id="187" w:name="_Toc45896626"/>
      <w:bookmarkEnd w:id="187"/>
      <w:bookmarkStart w:id="188" w:name="_Toc32624"/>
      <w:bookmarkEnd w:id="188"/>
      <w:bookmarkStart w:id="189" w:name="_Toc144974508"/>
      <w:bookmarkEnd w:id="189"/>
      <w:bookmarkStart w:id="190" w:name="_Toc152042316"/>
      <w:bookmarkEnd w:id="190"/>
      <w:bookmarkStart w:id="191" w:name="_Toc152045540"/>
      <w:bookmarkEnd w:id="191"/>
      <w:r>
        <w:rPr>
          <w:rFonts w:ascii="Times New Roman" w:hAnsi="Times New Roman" w:cs="Times New Roman"/>
        </w:rPr>
        <w:t xml:space="preserve">1.10 </w:t>
      </w:r>
      <w:r>
        <w:rPr>
          <w:rFonts w:hint="eastAsia" w:ascii="Times New Roman" w:hAnsi="Times New Roman"/>
        </w:rPr>
        <w:t>投标预备会</w:t>
      </w:r>
    </w:p>
    <w:p w14:paraId="732E8AF9">
      <w:pPr>
        <w:spacing w:line="360" w:lineRule="auto"/>
        <w:ind w:firstLine="420" w:firstLineChars="200"/>
        <w:rPr>
          <w:rFonts w:cs="Times New Roman"/>
        </w:rPr>
      </w:pPr>
      <w:r>
        <w:t xml:space="preserve">1.10.1 </w:t>
      </w:r>
      <w:r>
        <w:rPr>
          <w:rFonts w:hint="eastAsia" w:cs="宋体"/>
        </w:rPr>
        <w:t>投标人须知前附表规定召开投标预备会的，招标人按投标人须知前附表规定的时间和地点召开投标预备会，澄清投标人提出的问题。</w:t>
      </w:r>
    </w:p>
    <w:p w14:paraId="6F578865">
      <w:pPr>
        <w:spacing w:line="360" w:lineRule="auto"/>
        <w:ind w:firstLine="420" w:firstLineChars="200"/>
        <w:rPr>
          <w:rFonts w:cs="Times New Roman"/>
        </w:rPr>
      </w:pPr>
      <w:r>
        <w:t xml:space="preserve">1.10.2 </w:t>
      </w:r>
      <w:r>
        <w:rPr>
          <w:rFonts w:hint="eastAsia" w:cs="宋体"/>
        </w:rPr>
        <w:t>投标人应在投标人须知前附表规定的时间前，以书面形式将提出的问题送达招标人，以便招标人在会议期间澄清。</w:t>
      </w:r>
    </w:p>
    <w:p w14:paraId="18CF71E2">
      <w:pPr>
        <w:spacing w:line="360" w:lineRule="auto"/>
        <w:ind w:firstLine="420" w:firstLineChars="200"/>
        <w:rPr>
          <w:rFonts w:cs="Times New Roman"/>
        </w:rPr>
      </w:pPr>
      <w:r>
        <w:t xml:space="preserve">1.10.3 </w:t>
      </w:r>
      <w:r>
        <w:rPr>
          <w:rFonts w:hint="eastAsia" w:cs="宋体"/>
        </w:rPr>
        <w:t>投标预备会后，招标人在投标人须知前附表规定的时间内，将对投标人所提问题的澄清，以书面形式通知所有购买招标文件的投标人。该澄清内容为招标文件的组成部分。</w:t>
      </w:r>
    </w:p>
    <w:p w14:paraId="1F50ECAC">
      <w:pPr>
        <w:pStyle w:val="4"/>
        <w:spacing w:before="0" w:after="0" w:line="360" w:lineRule="auto"/>
        <w:rPr>
          <w:rFonts w:ascii="Times New Roman" w:hAnsi="Times New Roman" w:cs="Times New Roman"/>
        </w:rPr>
      </w:pPr>
      <w:bookmarkStart w:id="192" w:name="_Toc144974509"/>
      <w:bookmarkEnd w:id="192"/>
      <w:bookmarkStart w:id="193" w:name="_Toc45896627"/>
      <w:bookmarkEnd w:id="193"/>
      <w:bookmarkStart w:id="194" w:name="_Toc152042317"/>
      <w:bookmarkEnd w:id="194"/>
      <w:bookmarkStart w:id="195" w:name="_Toc14963"/>
      <w:bookmarkEnd w:id="195"/>
      <w:bookmarkStart w:id="196" w:name="_Toc152045541"/>
      <w:bookmarkEnd w:id="196"/>
      <w:bookmarkStart w:id="197" w:name="_Toc14654"/>
      <w:bookmarkEnd w:id="197"/>
      <w:bookmarkStart w:id="198" w:name="_Toc20373"/>
      <w:bookmarkEnd w:id="198"/>
      <w:bookmarkStart w:id="199" w:name="_Toc45896923"/>
      <w:bookmarkEnd w:id="199"/>
      <w:bookmarkStart w:id="200" w:name="_Toc247527565"/>
      <w:bookmarkEnd w:id="200"/>
      <w:bookmarkStart w:id="201" w:name="_Toc247513964"/>
      <w:bookmarkEnd w:id="201"/>
      <w:r>
        <w:rPr>
          <w:rFonts w:ascii="Times New Roman" w:hAnsi="Times New Roman" w:cs="Times New Roman"/>
        </w:rPr>
        <w:t xml:space="preserve">1.11 </w:t>
      </w:r>
      <w:r>
        <w:rPr>
          <w:rFonts w:hint="eastAsia" w:ascii="Times New Roman" w:hAnsi="Times New Roman"/>
        </w:rPr>
        <w:t>分包</w:t>
      </w:r>
    </w:p>
    <w:p w14:paraId="3B3CF12A">
      <w:pPr>
        <w:spacing w:line="360" w:lineRule="auto"/>
        <w:ind w:firstLine="567" w:firstLineChars="270"/>
        <w:rPr>
          <w:rFonts w:cs="Times New Roman"/>
        </w:rPr>
      </w:pPr>
      <w:r>
        <w:t xml:space="preserve">1.11.1 </w:t>
      </w:r>
      <w:r>
        <w:rPr>
          <w:rFonts w:hint="eastAsia" w:cs="宋体"/>
        </w:rPr>
        <w:t>投标人须知前附表规定应当由分包人实施的工作，投标人应当提供分包人候选名单及相应资料。</w:t>
      </w:r>
    </w:p>
    <w:p w14:paraId="74C8B7ED">
      <w:pPr>
        <w:spacing w:line="360" w:lineRule="auto"/>
        <w:ind w:firstLine="525" w:firstLineChars="250"/>
        <w:rPr>
          <w:rFonts w:cs="Times New Roman"/>
        </w:rPr>
      </w:pPr>
      <w:r>
        <w:t xml:space="preserve">1.11.2 </w:t>
      </w:r>
      <w:r>
        <w:rPr>
          <w:rFonts w:hint="eastAsia" w:cs="宋体"/>
        </w:rPr>
        <w:t>投标人拟在中标后将中标部分项目进行分包的，应符合投标人须知前附表规定的分包内容、分包金额和资质要求等限制性条件。</w:t>
      </w:r>
    </w:p>
    <w:p w14:paraId="064529EC">
      <w:pPr>
        <w:pStyle w:val="4"/>
        <w:spacing w:before="0" w:after="0" w:line="360" w:lineRule="auto"/>
        <w:rPr>
          <w:rFonts w:ascii="Times New Roman" w:hAnsi="Times New Roman" w:cs="Times New Roman"/>
        </w:rPr>
      </w:pPr>
      <w:bookmarkStart w:id="202" w:name="_Toc3117"/>
      <w:bookmarkEnd w:id="202"/>
      <w:bookmarkStart w:id="203" w:name="_Toc10425"/>
      <w:bookmarkEnd w:id="203"/>
      <w:bookmarkStart w:id="204" w:name="_Toc45896924"/>
      <w:bookmarkEnd w:id="204"/>
      <w:bookmarkStart w:id="205" w:name="_Toc247527566"/>
      <w:bookmarkEnd w:id="205"/>
      <w:bookmarkStart w:id="206" w:name="_Toc300834962"/>
      <w:bookmarkEnd w:id="206"/>
      <w:bookmarkStart w:id="207" w:name="_Toc247513965"/>
      <w:bookmarkEnd w:id="207"/>
      <w:bookmarkStart w:id="208" w:name="_Toc45896628"/>
      <w:bookmarkEnd w:id="208"/>
      <w:r>
        <w:rPr>
          <w:rFonts w:ascii="Times New Roman" w:hAnsi="Times New Roman" w:cs="Times New Roman"/>
        </w:rPr>
        <w:t xml:space="preserve">1.12 </w:t>
      </w:r>
      <w:r>
        <w:rPr>
          <w:rFonts w:hint="eastAsia" w:ascii="Times New Roman" w:hAnsi="Times New Roman"/>
        </w:rPr>
        <w:t>偏离</w:t>
      </w:r>
    </w:p>
    <w:p w14:paraId="7B5FA036">
      <w:pPr>
        <w:spacing w:line="360" w:lineRule="auto"/>
        <w:ind w:firstLine="359" w:firstLineChars="171"/>
        <w:rPr>
          <w:rFonts w:cs="Times New Roman"/>
        </w:rPr>
      </w:pPr>
      <w:r>
        <w:rPr>
          <w:rFonts w:hint="eastAsia" w:cs="宋体"/>
        </w:rPr>
        <w:t>投标人须知前附表允许投标文件偏离招标文件某些要求的，偏离应当符合招标文件规定的偏离范围和幅度。</w:t>
      </w:r>
    </w:p>
    <w:p w14:paraId="67D112EA">
      <w:pPr>
        <w:pStyle w:val="3"/>
        <w:spacing w:before="0" w:after="0" w:line="360" w:lineRule="auto"/>
        <w:rPr>
          <w:rFonts w:cs="Times New Roman"/>
        </w:rPr>
      </w:pPr>
      <w:bookmarkStart w:id="209" w:name="_Toc3355"/>
      <w:bookmarkEnd w:id="209"/>
      <w:bookmarkStart w:id="210" w:name="_Toc13367_WPSOffice_Level2"/>
      <w:bookmarkEnd w:id="210"/>
      <w:bookmarkStart w:id="211" w:name="_Toc45896629"/>
      <w:bookmarkEnd w:id="211"/>
      <w:bookmarkStart w:id="212" w:name="_Toc144974510"/>
      <w:bookmarkEnd w:id="212"/>
      <w:bookmarkStart w:id="213" w:name="_Toc152045542"/>
      <w:bookmarkEnd w:id="213"/>
      <w:bookmarkStart w:id="214" w:name="_Toc12080_WPSOffice_Level2"/>
      <w:bookmarkEnd w:id="214"/>
      <w:bookmarkStart w:id="215" w:name="_Toc9085"/>
      <w:bookmarkEnd w:id="215"/>
      <w:bookmarkStart w:id="216" w:name="_Toc152042318"/>
      <w:bookmarkEnd w:id="216"/>
      <w:bookmarkStart w:id="217" w:name="_Toc247527567"/>
      <w:bookmarkEnd w:id="217"/>
      <w:bookmarkStart w:id="218" w:name="_Toc45896925"/>
      <w:bookmarkEnd w:id="218"/>
      <w:bookmarkStart w:id="219" w:name="_Toc247513966"/>
      <w:bookmarkEnd w:id="219"/>
      <w:r>
        <w:t xml:space="preserve">2. </w:t>
      </w:r>
      <w:r>
        <w:rPr>
          <w:rFonts w:hint="eastAsia" w:cs="黑体"/>
        </w:rPr>
        <w:t>招标文件</w:t>
      </w:r>
    </w:p>
    <w:p w14:paraId="1DB2BC5B">
      <w:pPr>
        <w:pStyle w:val="4"/>
        <w:spacing w:before="0" w:after="0" w:line="360" w:lineRule="auto"/>
        <w:rPr>
          <w:rFonts w:ascii="Times New Roman" w:hAnsi="Times New Roman" w:cs="Times New Roman"/>
        </w:rPr>
      </w:pPr>
      <w:bookmarkStart w:id="220" w:name="_Toc32557"/>
      <w:bookmarkEnd w:id="220"/>
      <w:bookmarkStart w:id="221" w:name="_Toc152045543"/>
      <w:bookmarkEnd w:id="221"/>
      <w:bookmarkStart w:id="222" w:name="_Toc6871"/>
      <w:bookmarkEnd w:id="222"/>
      <w:bookmarkStart w:id="223" w:name="_Toc144974511"/>
      <w:bookmarkEnd w:id="223"/>
      <w:bookmarkStart w:id="224" w:name="_Toc45896926"/>
      <w:bookmarkEnd w:id="224"/>
      <w:bookmarkStart w:id="225" w:name="_Toc247527568"/>
      <w:bookmarkEnd w:id="225"/>
      <w:bookmarkStart w:id="226" w:name="_Toc29699"/>
      <w:bookmarkEnd w:id="226"/>
      <w:bookmarkStart w:id="227" w:name="_Toc152042319"/>
      <w:bookmarkEnd w:id="227"/>
      <w:bookmarkStart w:id="228" w:name="_Toc247513967"/>
      <w:bookmarkEnd w:id="228"/>
      <w:bookmarkStart w:id="229" w:name="_Toc45896630"/>
      <w:bookmarkEnd w:id="229"/>
      <w:r>
        <w:rPr>
          <w:rFonts w:ascii="Times New Roman" w:hAnsi="Times New Roman" w:cs="Times New Roman"/>
        </w:rPr>
        <w:t xml:space="preserve">2.1 </w:t>
      </w:r>
      <w:r>
        <w:rPr>
          <w:rFonts w:hint="eastAsia" w:ascii="Times New Roman" w:hAnsi="Times New Roman"/>
        </w:rPr>
        <w:t>招标文件的组成</w:t>
      </w:r>
    </w:p>
    <w:p w14:paraId="21085761">
      <w:pPr>
        <w:spacing w:line="360" w:lineRule="auto"/>
        <w:ind w:firstLine="210" w:firstLineChars="100"/>
        <w:outlineLvl w:val="3"/>
        <w:rPr>
          <w:rFonts w:cs="Times New Roman"/>
        </w:rPr>
      </w:pPr>
      <w:r>
        <w:t>2.1.1</w:t>
      </w:r>
      <w:r>
        <w:rPr>
          <w:rFonts w:hint="eastAsia" w:cs="宋体"/>
        </w:rPr>
        <w:t>本招标文件包括：</w:t>
      </w:r>
    </w:p>
    <w:p w14:paraId="16589E82">
      <w:pPr>
        <w:spacing w:line="360" w:lineRule="auto"/>
        <w:ind w:firstLine="569" w:firstLineChars="271"/>
        <w:rPr>
          <w:rFonts w:ascii="宋体" w:cs="Times New Roman"/>
          <w:kern w:val="0"/>
        </w:rPr>
      </w:pPr>
      <w:r>
        <w:rPr>
          <w:rFonts w:hint="eastAsia" w:ascii="宋体" w:hAnsi="宋体" w:cs="宋体"/>
          <w:kern w:val="0"/>
        </w:rPr>
        <w:t>（</w:t>
      </w:r>
      <w:r>
        <w:rPr>
          <w:rFonts w:ascii="宋体" w:hAnsi="宋体" w:cs="宋体"/>
          <w:kern w:val="0"/>
        </w:rPr>
        <w:t>1</w:t>
      </w:r>
      <w:r>
        <w:rPr>
          <w:rFonts w:hint="eastAsia" w:ascii="宋体" w:hAnsi="宋体" w:cs="宋体"/>
          <w:kern w:val="0"/>
        </w:rPr>
        <w:t>）招标公告；</w:t>
      </w:r>
    </w:p>
    <w:p w14:paraId="0AFB170B">
      <w:pPr>
        <w:spacing w:line="360" w:lineRule="auto"/>
        <w:ind w:firstLine="569" w:firstLineChars="271"/>
        <w:rPr>
          <w:rFonts w:ascii="宋体" w:cs="Times New Roman"/>
          <w:kern w:val="0"/>
        </w:rPr>
      </w:pPr>
      <w:r>
        <w:rPr>
          <w:rFonts w:hint="eastAsia" w:ascii="宋体" w:hAnsi="宋体" w:cs="宋体"/>
          <w:kern w:val="0"/>
        </w:rPr>
        <w:t>（</w:t>
      </w:r>
      <w:r>
        <w:rPr>
          <w:rFonts w:ascii="宋体" w:hAnsi="宋体" w:cs="宋体"/>
          <w:kern w:val="0"/>
        </w:rPr>
        <w:t>2</w:t>
      </w:r>
      <w:r>
        <w:rPr>
          <w:rFonts w:hint="eastAsia" w:ascii="宋体" w:hAnsi="宋体" w:cs="宋体"/>
          <w:kern w:val="0"/>
        </w:rPr>
        <w:t>）投标人须知；</w:t>
      </w:r>
    </w:p>
    <w:p w14:paraId="628DEC89">
      <w:pPr>
        <w:spacing w:line="360" w:lineRule="auto"/>
        <w:ind w:firstLine="569" w:firstLineChars="271"/>
        <w:rPr>
          <w:rFonts w:ascii="宋体" w:cs="Times New Roman"/>
          <w:kern w:val="0"/>
        </w:rPr>
      </w:pPr>
      <w:r>
        <w:rPr>
          <w:rFonts w:hint="eastAsia" w:ascii="宋体" w:hAnsi="宋体" w:cs="宋体"/>
          <w:kern w:val="0"/>
        </w:rPr>
        <w:t>（</w:t>
      </w:r>
      <w:r>
        <w:rPr>
          <w:rFonts w:ascii="宋体" w:hAnsi="宋体" w:cs="宋体"/>
          <w:kern w:val="0"/>
        </w:rPr>
        <w:t>3</w:t>
      </w:r>
      <w:r>
        <w:rPr>
          <w:rFonts w:hint="eastAsia" w:ascii="宋体" w:hAnsi="宋体" w:cs="宋体"/>
          <w:kern w:val="0"/>
        </w:rPr>
        <w:t>）评标办法；</w:t>
      </w:r>
    </w:p>
    <w:p w14:paraId="53D9E271">
      <w:pPr>
        <w:spacing w:line="360" w:lineRule="auto"/>
        <w:ind w:firstLine="569" w:firstLineChars="271"/>
        <w:rPr>
          <w:rFonts w:ascii="宋体" w:cs="Times New Roman"/>
          <w:kern w:val="0"/>
        </w:rPr>
      </w:pPr>
      <w:r>
        <w:rPr>
          <w:rFonts w:hint="eastAsia" w:ascii="宋体" w:hAnsi="宋体" w:cs="宋体"/>
          <w:kern w:val="0"/>
        </w:rPr>
        <w:t>（</w:t>
      </w:r>
      <w:r>
        <w:rPr>
          <w:rFonts w:ascii="宋体" w:hAnsi="宋体" w:cs="宋体"/>
          <w:kern w:val="0"/>
        </w:rPr>
        <w:t>4</w:t>
      </w:r>
      <w:r>
        <w:rPr>
          <w:rFonts w:hint="eastAsia" w:ascii="宋体" w:hAnsi="宋体" w:cs="宋体"/>
          <w:kern w:val="0"/>
        </w:rPr>
        <w:t>）合同条款及格式；</w:t>
      </w:r>
    </w:p>
    <w:p w14:paraId="7E5F5AE7">
      <w:pPr>
        <w:spacing w:line="360" w:lineRule="auto"/>
        <w:ind w:firstLine="569" w:firstLineChars="271"/>
        <w:rPr>
          <w:rFonts w:ascii="宋体" w:cs="Times New Roman"/>
          <w:kern w:val="0"/>
        </w:rPr>
      </w:pPr>
      <w:r>
        <w:rPr>
          <w:rFonts w:hint="eastAsia" w:ascii="宋体" w:hAnsi="宋体" w:cs="宋体"/>
          <w:kern w:val="0"/>
        </w:rPr>
        <w:t>（</w:t>
      </w:r>
      <w:r>
        <w:rPr>
          <w:rFonts w:ascii="宋体" w:hAnsi="宋体" w:cs="宋体"/>
          <w:kern w:val="0"/>
        </w:rPr>
        <w:t>5</w:t>
      </w:r>
      <w:r>
        <w:rPr>
          <w:rFonts w:hint="eastAsia" w:ascii="宋体" w:hAnsi="宋体" w:cs="宋体"/>
          <w:kern w:val="0"/>
        </w:rPr>
        <w:t>）发包人要求；</w:t>
      </w:r>
    </w:p>
    <w:p w14:paraId="7C2FAB7E">
      <w:pPr>
        <w:spacing w:line="360" w:lineRule="auto"/>
        <w:ind w:firstLine="569" w:firstLineChars="271"/>
        <w:rPr>
          <w:rFonts w:ascii="宋体" w:cs="Times New Roman"/>
          <w:kern w:val="0"/>
        </w:rPr>
      </w:pPr>
      <w:r>
        <w:rPr>
          <w:rFonts w:hint="eastAsia" w:ascii="宋体" w:hAnsi="宋体" w:cs="宋体"/>
          <w:kern w:val="0"/>
        </w:rPr>
        <w:t>（</w:t>
      </w:r>
      <w:r>
        <w:rPr>
          <w:rFonts w:ascii="宋体" w:hAnsi="宋体" w:cs="宋体"/>
          <w:kern w:val="0"/>
        </w:rPr>
        <w:t>6</w:t>
      </w:r>
      <w:r>
        <w:rPr>
          <w:rFonts w:hint="eastAsia" w:ascii="宋体" w:hAnsi="宋体" w:cs="宋体"/>
          <w:kern w:val="0"/>
        </w:rPr>
        <w:t>）发包人提供的资料和条件；</w:t>
      </w:r>
    </w:p>
    <w:p w14:paraId="39F3417F">
      <w:pPr>
        <w:spacing w:line="360" w:lineRule="auto"/>
        <w:ind w:firstLine="569" w:firstLineChars="271"/>
        <w:rPr>
          <w:rFonts w:ascii="宋体" w:cs="Times New Roman"/>
          <w:kern w:val="0"/>
        </w:rPr>
      </w:pPr>
      <w:r>
        <w:rPr>
          <w:rFonts w:hint="eastAsia" w:ascii="宋体" w:hAnsi="宋体" w:cs="宋体"/>
          <w:kern w:val="0"/>
        </w:rPr>
        <w:t>（</w:t>
      </w:r>
      <w:r>
        <w:rPr>
          <w:rFonts w:ascii="宋体" w:hAnsi="宋体" w:cs="宋体"/>
          <w:kern w:val="0"/>
        </w:rPr>
        <w:t>7</w:t>
      </w:r>
      <w:r>
        <w:rPr>
          <w:rFonts w:hint="eastAsia" w:ascii="宋体" w:hAnsi="宋体" w:cs="宋体"/>
          <w:kern w:val="0"/>
        </w:rPr>
        <w:t>）投标文件格式；</w:t>
      </w:r>
    </w:p>
    <w:p w14:paraId="0D409675">
      <w:pPr>
        <w:spacing w:line="360" w:lineRule="auto"/>
        <w:ind w:firstLine="569" w:firstLineChars="271"/>
        <w:rPr>
          <w:rFonts w:ascii="宋体" w:cs="Times New Roman"/>
          <w:kern w:val="0"/>
        </w:rPr>
      </w:pPr>
      <w:r>
        <w:rPr>
          <w:rFonts w:hint="eastAsia" w:ascii="宋体" w:hAnsi="宋体" w:cs="宋体"/>
          <w:kern w:val="0"/>
        </w:rPr>
        <w:t>（</w:t>
      </w:r>
      <w:r>
        <w:rPr>
          <w:rFonts w:ascii="宋体" w:hAnsi="宋体" w:cs="宋体"/>
          <w:kern w:val="0"/>
        </w:rPr>
        <w:t>8</w:t>
      </w:r>
      <w:r>
        <w:rPr>
          <w:rFonts w:hint="eastAsia" w:ascii="宋体" w:hAnsi="宋体" w:cs="宋体"/>
          <w:kern w:val="0"/>
        </w:rPr>
        <w:t>）投标人须知前附表规定的其他资料。</w:t>
      </w:r>
    </w:p>
    <w:p w14:paraId="2BED45F1">
      <w:pPr>
        <w:spacing w:line="360" w:lineRule="auto"/>
        <w:ind w:firstLine="569" w:firstLineChars="271"/>
        <w:rPr>
          <w:rFonts w:cs="Times New Roman"/>
        </w:rPr>
      </w:pPr>
      <w:r>
        <w:rPr>
          <w:rFonts w:hint="eastAsia" w:ascii="宋体" w:hAnsi="宋体" w:cs="宋体"/>
          <w:kern w:val="0"/>
        </w:rPr>
        <w:t>招标文件格式为</w:t>
      </w:r>
      <w:r>
        <w:rPr>
          <w:rFonts w:ascii="宋体" w:hAnsi="宋体" w:cs="宋体"/>
          <w:kern w:val="0"/>
        </w:rPr>
        <w:t>*.BZBJ</w:t>
      </w:r>
      <w:r>
        <w:rPr>
          <w:rFonts w:hint="eastAsia" w:ascii="宋体" w:hAnsi="宋体" w:cs="宋体"/>
          <w:kern w:val="0"/>
        </w:rPr>
        <w:t>，包含招标公告、投标人须知、评标办法、合同条款及格式、技术标准和要求、投标文件格式、投标人须知前附表规定的其他材料。</w:t>
      </w:r>
    </w:p>
    <w:p w14:paraId="4FA90C4D">
      <w:pPr>
        <w:spacing w:line="360" w:lineRule="auto"/>
        <w:ind w:firstLine="420" w:firstLineChars="200"/>
        <w:rPr>
          <w:rFonts w:cs="Times New Roman"/>
        </w:rPr>
      </w:pPr>
      <w:r>
        <w:t>2.2.2</w:t>
      </w:r>
      <w:r>
        <w:rPr>
          <w:rFonts w:hint="eastAsia" w:cs="宋体"/>
        </w:rPr>
        <w:t>根据本章第</w:t>
      </w:r>
      <w:r>
        <w:t>1.10</w:t>
      </w:r>
      <w:r>
        <w:rPr>
          <w:rFonts w:hint="eastAsia" w:cs="宋体"/>
        </w:rPr>
        <w:t>款、第</w:t>
      </w:r>
      <w:r>
        <w:t>2.2</w:t>
      </w:r>
      <w:r>
        <w:rPr>
          <w:rFonts w:hint="eastAsia" w:cs="宋体"/>
        </w:rPr>
        <w:t>款和第</w:t>
      </w:r>
      <w:r>
        <w:t>2.3</w:t>
      </w:r>
      <w:r>
        <w:rPr>
          <w:rFonts w:hint="eastAsia" w:cs="宋体"/>
        </w:rPr>
        <w:t>款对招标文件所作的澄清、修改，构成招标文件的组成部分。</w:t>
      </w:r>
    </w:p>
    <w:p w14:paraId="626E7418">
      <w:pPr>
        <w:pStyle w:val="4"/>
        <w:spacing w:before="0" w:after="0" w:line="360" w:lineRule="auto"/>
        <w:rPr>
          <w:rFonts w:ascii="Times New Roman" w:hAnsi="Times New Roman" w:cs="Times New Roman"/>
        </w:rPr>
      </w:pPr>
      <w:bookmarkStart w:id="230" w:name="_Toc11223"/>
      <w:bookmarkEnd w:id="230"/>
      <w:bookmarkStart w:id="231" w:name="_Toc152042320"/>
      <w:bookmarkEnd w:id="231"/>
      <w:bookmarkStart w:id="232" w:name="_Toc247527569"/>
      <w:bookmarkEnd w:id="232"/>
      <w:bookmarkStart w:id="233" w:name="_Toc28203"/>
      <w:bookmarkEnd w:id="233"/>
      <w:bookmarkStart w:id="234" w:name="_Toc247513968"/>
      <w:bookmarkEnd w:id="234"/>
      <w:bookmarkStart w:id="235" w:name="_Toc19264"/>
      <w:bookmarkEnd w:id="235"/>
      <w:bookmarkStart w:id="236" w:name="_Toc45896631"/>
      <w:bookmarkEnd w:id="236"/>
      <w:bookmarkStart w:id="237" w:name="_Toc45896927"/>
      <w:bookmarkEnd w:id="237"/>
      <w:bookmarkStart w:id="238" w:name="_Toc144974512"/>
      <w:bookmarkEnd w:id="238"/>
      <w:bookmarkStart w:id="239" w:name="_Toc152045544"/>
      <w:bookmarkEnd w:id="239"/>
      <w:r>
        <w:rPr>
          <w:rFonts w:ascii="Times New Roman" w:hAnsi="Times New Roman" w:cs="Times New Roman"/>
        </w:rPr>
        <w:t xml:space="preserve">2.2 </w:t>
      </w:r>
      <w:r>
        <w:rPr>
          <w:rFonts w:hint="eastAsia" w:ascii="Times New Roman" w:hAnsi="Times New Roman"/>
        </w:rPr>
        <w:t>招标文件的澄清</w:t>
      </w:r>
    </w:p>
    <w:p w14:paraId="026F9564">
      <w:pPr>
        <w:spacing w:line="360" w:lineRule="auto"/>
        <w:ind w:firstLine="420" w:firstLineChars="200"/>
        <w:rPr>
          <w:rFonts w:cs="Times New Roman"/>
        </w:rPr>
      </w:pPr>
      <w:bookmarkStart w:id="240" w:name="_Toc247527570"/>
      <w:bookmarkStart w:id="241" w:name="_Toc20550"/>
      <w:bookmarkStart w:id="242" w:name="_Toc247513969"/>
      <w:bookmarkStart w:id="243" w:name="_Toc152042321"/>
      <w:bookmarkStart w:id="244" w:name="_Toc144974513"/>
      <w:bookmarkStart w:id="245" w:name="_Toc152045545"/>
      <w:r>
        <w:t xml:space="preserve">2.2.1 </w:t>
      </w:r>
      <w:r>
        <w:rPr>
          <w:rFonts w:hint="eastAsia" w:cs="宋体"/>
        </w:rPr>
        <w:t>同</w:t>
      </w:r>
      <w:r>
        <w:t>1.10.2</w:t>
      </w:r>
      <w:r>
        <w:rPr>
          <w:rFonts w:hint="eastAsia" w:cs="宋体"/>
        </w:rPr>
        <w:t>的时间要求。投标人应仔细阅读和检查招标文件的全部内容。如发现缺页或附件不全，应及时向招标人提出，以便补齐。如有疑问，应在投标人电子服务平台规定的时间前以在线署名提交方式</w:t>
      </w:r>
      <w:r>
        <w:rPr>
          <w:rFonts w:hint="eastAsia" w:ascii="宋体" w:hAnsi="宋体" w:cs="宋体"/>
          <w:kern w:val="0"/>
        </w:rPr>
        <w:t>登录云南省公共资源交易信息网（网址：https://ggzy.yn.gov.cn/）选择“楚雄州”，</w:t>
      </w:r>
      <w:r>
        <w:rPr>
          <w:rFonts w:hint="eastAsia" w:cs="宋体"/>
        </w:rPr>
        <w:t>要求招标人对招标文件予以澄清，此为提出疑问的唯一方式。</w:t>
      </w:r>
    </w:p>
    <w:p w14:paraId="60F4E0CA">
      <w:pPr>
        <w:spacing w:line="360" w:lineRule="auto"/>
        <w:ind w:firstLine="420" w:firstLineChars="200"/>
        <w:rPr>
          <w:rFonts w:cs="Times New Roman"/>
        </w:rPr>
      </w:pPr>
      <w:r>
        <w:t xml:space="preserve">2.2.2 </w:t>
      </w:r>
      <w:r>
        <w:rPr>
          <w:rFonts w:hint="eastAsia" w:cs="宋体"/>
        </w:rPr>
        <w:t>招标文件的澄清以网上答疑的方式进行澄清，但不指明澄清问题的来源。澄清发出的时间距投标人须知前附表规定的投标截止时间不足</w:t>
      </w:r>
      <w:r>
        <w:t>15</w:t>
      </w:r>
      <w:r>
        <w:rPr>
          <w:rFonts w:hint="eastAsia" w:cs="宋体"/>
        </w:rPr>
        <w:t>天的，并且澄清内容影响投标文件编制的，将相应延长投标截止时间。</w:t>
      </w:r>
    </w:p>
    <w:p w14:paraId="46FDDB6E">
      <w:pPr>
        <w:spacing w:line="360" w:lineRule="auto"/>
        <w:ind w:firstLine="420" w:firstLineChars="200"/>
        <w:rPr>
          <w:rFonts w:cs="Times New Roman"/>
        </w:rPr>
      </w:pPr>
      <w:r>
        <w:t xml:space="preserve">2.2.3 </w:t>
      </w:r>
      <w:r>
        <w:rPr>
          <w:rFonts w:hint="eastAsia" w:cs="宋体"/>
        </w:rPr>
        <w:t>招标人发布澄清后，</w:t>
      </w:r>
      <w:r>
        <w:rPr>
          <w:rFonts w:hint="eastAsia" w:ascii="宋体" w:hAnsi="宋体" w:cs="宋体"/>
          <w:kern w:val="0"/>
        </w:rPr>
        <w:t>投标人自行登录云南省公共资源交易信息网（网址：https://ggzy.yn.gov.cn/）选择“楚雄州”，收取澄清内容，无须回复确认已收到该澄清</w:t>
      </w:r>
      <w:r>
        <w:rPr>
          <w:rFonts w:hint="eastAsia" w:cs="宋体"/>
        </w:rPr>
        <w:t>，若错过澄清信息，由此带来的后果由投标人自行承担。</w:t>
      </w:r>
    </w:p>
    <w:bookmarkEnd w:id="240"/>
    <w:bookmarkEnd w:id="241"/>
    <w:bookmarkEnd w:id="242"/>
    <w:bookmarkEnd w:id="243"/>
    <w:bookmarkEnd w:id="244"/>
    <w:bookmarkEnd w:id="245"/>
    <w:p w14:paraId="63931000">
      <w:pPr>
        <w:pStyle w:val="4"/>
        <w:spacing w:before="0" w:after="0" w:line="360" w:lineRule="auto"/>
        <w:rPr>
          <w:rFonts w:ascii="Times New Roman" w:hAnsi="Times New Roman" w:cs="Times New Roman"/>
        </w:rPr>
      </w:pPr>
      <w:bookmarkStart w:id="246" w:name="_Toc45896632"/>
      <w:bookmarkEnd w:id="246"/>
      <w:bookmarkStart w:id="247" w:name="_Toc15257"/>
      <w:bookmarkEnd w:id="247"/>
      <w:bookmarkStart w:id="248" w:name="_Toc45896928"/>
      <w:bookmarkEnd w:id="248"/>
      <w:bookmarkStart w:id="249" w:name="_Toc1673"/>
      <w:bookmarkEnd w:id="249"/>
      <w:r>
        <w:rPr>
          <w:rFonts w:ascii="Times New Roman" w:hAnsi="Times New Roman" w:cs="Times New Roman"/>
        </w:rPr>
        <w:t xml:space="preserve">2.3 </w:t>
      </w:r>
      <w:r>
        <w:rPr>
          <w:rFonts w:hint="eastAsia" w:ascii="Times New Roman" w:hAnsi="Times New Roman"/>
        </w:rPr>
        <w:t>招标文件的修改</w:t>
      </w:r>
    </w:p>
    <w:p w14:paraId="68574F98">
      <w:pPr>
        <w:adjustRightInd w:val="0"/>
        <w:snapToGrid w:val="0"/>
        <w:spacing w:line="360" w:lineRule="auto"/>
        <w:ind w:firstLine="420" w:firstLineChars="200"/>
        <w:jc w:val="left"/>
        <w:rPr>
          <w:rFonts w:ascii="宋体" w:cs="Times New Roman"/>
          <w:kern w:val="0"/>
        </w:rPr>
      </w:pPr>
      <w:bookmarkStart w:id="250" w:name="_Toc152045546"/>
      <w:bookmarkStart w:id="251" w:name="_Toc247527571"/>
      <w:bookmarkStart w:id="252" w:name="_Toc144974514"/>
      <w:bookmarkStart w:id="253" w:name="_Toc152042322"/>
      <w:bookmarkStart w:id="254" w:name="_Toc24739"/>
      <w:bookmarkStart w:id="255" w:name="_Toc247513970"/>
      <w:r>
        <w:rPr>
          <w:rFonts w:ascii="宋体" w:hAnsi="宋体" w:cs="宋体"/>
          <w:kern w:val="0"/>
        </w:rPr>
        <w:t>2.3.1</w:t>
      </w:r>
      <w:r>
        <w:rPr>
          <w:rFonts w:hint="eastAsia" w:ascii="宋体" w:hAnsi="宋体" w:cs="宋体"/>
          <w:kern w:val="0"/>
        </w:rPr>
        <w:t>在投标截止时间</w:t>
      </w:r>
      <w:r>
        <w:rPr>
          <w:rFonts w:ascii="宋体" w:hAnsi="宋体" w:cs="宋体"/>
          <w:kern w:val="0"/>
        </w:rPr>
        <w:t>15</w:t>
      </w:r>
      <w:r>
        <w:rPr>
          <w:rFonts w:hint="eastAsia" w:ascii="宋体" w:hAnsi="宋体" w:cs="宋体"/>
          <w:kern w:val="0"/>
        </w:rPr>
        <w:t>天前，确需要变更招标文件内容的，招标人可主动或在解答投标人提出的澄清问题时对招标文件进行修改，并同时报主管部门备案。</w:t>
      </w:r>
    </w:p>
    <w:p w14:paraId="6FA07DE0">
      <w:pPr>
        <w:adjustRightInd w:val="0"/>
        <w:snapToGrid w:val="0"/>
        <w:spacing w:line="360" w:lineRule="auto"/>
        <w:ind w:firstLine="420" w:firstLineChars="200"/>
        <w:jc w:val="left"/>
        <w:rPr>
          <w:rFonts w:ascii="宋体" w:cs="Times New Roman"/>
          <w:kern w:val="0"/>
        </w:rPr>
      </w:pPr>
      <w:r>
        <w:rPr>
          <w:rFonts w:hint="eastAsia" w:ascii="宋体" w:hAnsi="宋体" w:cs="宋体"/>
          <w:kern w:val="0"/>
        </w:rPr>
        <w:t>招标人评标办法做出变更的，需要重新制作电子招标文件，并重新备案，同时发布补遗文件进行说明，以保证各投标人都能重新下载最新的电子招标文件用于编制电子投标文件。</w:t>
      </w:r>
    </w:p>
    <w:p w14:paraId="34836A86">
      <w:pPr>
        <w:adjustRightInd w:val="0"/>
        <w:snapToGrid w:val="0"/>
        <w:spacing w:line="360" w:lineRule="auto"/>
        <w:ind w:firstLine="420" w:firstLineChars="200"/>
        <w:jc w:val="left"/>
        <w:rPr>
          <w:rFonts w:ascii="宋体" w:cs="Times New Roman"/>
          <w:kern w:val="0"/>
        </w:rPr>
      </w:pPr>
      <w:r>
        <w:rPr>
          <w:rFonts w:hint="eastAsia" w:ascii="宋体" w:hAnsi="宋体" w:cs="宋体"/>
          <w:kern w:val="0"/>
        </w:rPr>
        <w:t>招标文件的修改将在“</w:t>
      </w:r>
      <w:r>
        <w:fldChar w:fldCharType="begin"/>
      </w:r>
      <w:r>
        <w:instrText xml:space="preserve"> AUTOTEXT  input452 \* MERGEFORMAT </w:instrText>
      </w:r>
      <w:r>
        <w:fldChar w:fldCharType="separate"/>
      </w:r>
      <w:r>
        <w:rPr>
          <w:rFonts w:hint="eastAsia" w:ascii="宋体" w:hAnsi="宋体" w:cs="宋体"/>
          <w:kern w:val="0"/>
        </w:rPr>
        <w:t>楚雄州公共资源交易电子服务系统</w:t>
      </w:r>
      <w:r>
        <w:rPr>
          <w:rFonts w:hint="eastAsia" w:ascii="宋体" w:hAnsi="宋体" w:cs="宋体"/>
          <w:kern w:val="0"/>
        </w:rPr>
        <w:fldChar w:fldCharType="end"/>
      </w:r>
      <w:r>
        <w:rPr>
          <w:rFonts w:hint="eastAsia" w:ascii="宋体" w:hAnsi="宋体" w:cs="宋体"/>
          <w:kern w:val="0"/>
        </w:rPr>
        <w:t>”发布，招标文件的修改作为招标文件的组成部分，并具有约束力。但如果修改招标文件的时间距投标截止时间不足</w:t>
      </w:r>
      <w:r>
        <w:rPr>
          <w:rFonts w:ascii="宋体" w:hAnsi="宋体" w:cs="宋体"/>
          <w:kern w:val="0"/>
        </w:rPr>
        <w:t>15</w:t>
      </w:r>
      <w:r>
        <w:rPr>
          <w:rFonts w:hint="eastAsia" w:ascii="宋体" w:hAnsi="宋体" w:cs="宋体"/>
          <w:kern w:val="0"/>
        </w:rPr>
        <w:t>天，并且修改内容影响投标文件编制的，应相应延长投标截止时间。</w:t>
      </w:r>
    </w:p>
    <w:p w14:paraId="5B3BCEC9">
      <w:pPr>
        <w:adjustRightInd w:val="0"/>
        <w:snapToGrid w:val="0"/>
        <w:spacing w:line="360" w:lineRule="auto"/>
        <w:ind w:firstLine="420" w:firstLineChars="200"/>
        <w:jc w:val="left"/>
        <w:rPr>
          <w:rFonts w:ascii="宋体" w:cs="Times New Roman"/>
          <w:kern w:val="0"/>
        </w:rPr>
      </w:pPr>
      <w:r>
        <w:rPr>
          <w:rFonts w:ascii="宋体" w:hAnsi="宋体" w:cs="宋体"/>
          <w:kern w:val="0"/>
        </w:rPr>
        <w:t>2.3.2</w:t>
      </w:r>
      <w:r>
        <w:rPr>
          <w:rFonts w:hint="eastAsia" w:ascii="宋体" w:hAnsi="宋体" w:cs="宋体"/>
          <w:kern w:val="0"/>
        </w:rPr>
        <w:t>投标人自行登录云南省公共资源交易信息网（网址：https://ggzy.yn.gov.cn/）选择“楚雄州”，收取修改内容。投标人应在投标截止时间前自行登录云南省公共资源交易信息网（网址：https://ggzy.yn.gov.cn/）选择“楚雄州”，查看有关该工程招标文件的答疑、补遗内容，无须回复确认已收到该修改，</w:t>
      </w:r>
      <w:r>
        <w:rPr>
          <w:rFonts w:hint="eastAsia" w:cs="宋体"/>
        </w:rPr>
        <w:t>若错过修改信息，由此带来的后果由投标人自行承担</w:t>
      </w:r>
      <w:r>
        <w:rPr>
          <w:rFonts w:hint="eastAsia" w:ascii="宋体" w:hAnsi="宋体" w:cs="宋体"/>
          <w:kern w:val="0"/>
        </w:rPr>
        <w:t>。</w:t>
      </w:r>
    </w:p>
    <w:p w14:paraId="7AC9C9E5">
      <w:pPr>
        <w:adjustRightInd w:val="0"/>
        <w:snapToGrid w:val="0"/>
        <w:spacing w:line="360" w:lineRule="auto"/>
        <w:ind w:firstLine="420" w:firstLineChars="200"/>
        <w:jc w:val="left"/>
        <w:rPr>
          <w:rFonts w:ascii="宋体" w:cs="Times New Roman"/>
          <w:kern w:val="0"/>
        </w:rPr>
      </w:pPr>
      <w:r>
        <w:rPr>
          <w:rFonts w:ascii="宋体" w:hAnsi="宋体" w:cs="宋体"/>
          <w:kern w:val="0"/>
        </w:rPr>
        <w:t>2.3.3</w:t>
      </w:r>
      <w:r>
        <w:rPr>
          <w:rFonts w:hint="eastAsia" w:ascii="宋体" w:hAnsi="宋体" w:cs="宋体"/>
          <w:kern w:val="0"/>
        </w:rPr>
        <w:t>潜在投标人或者其他利害关系人对招标文件有异议的，应当在投标截止时间</w:t>
      </w:r>
      <w:r>
        <w:rPr>
          <w:rFonts w:ascii="宋体" w:hAnsi="宋体" w:cs="宋体"/>
          <w:kern w:val="0"/>
        </w:rPr>
        <w:t>10</w:t>
      </w:r>
      <w:r>
        <w:rPr>
          <w:rFonts w:hint="eastAsia" w:ascii="宋体" w:hAnsi="宋体" w:cs="宋体"/>
          <w:kern w:val="0"/>
        </w:rPr>
        <w:t>日前提出。招标人应当自收到异议之日起</w:t>
      </w:r>
      <w:r>
        <w:rPr>
          <w:rFonts w:ascii="宋体" w:hAnsi="宋体" w:cs="宋体"/>
          <w:kern w:val="0"/>
        </w:rPr>
        <w:t>3</w:t>
      </w:r>
      <w:r>
        <w:rPr>
          <w:rFonts w:hint="eastAsia" w:ascii="宋体" w:hAnsi="宋体" w:cs="宋体"/>
          <w:kern w:val="0"/>
        </w:rPr>
        <w:t>日内作出答复；作出答复前，应当暂停招标投标活动。</w:t>
      </w:r>
    </w:p>
    <w:p w14:paraId="6D4D6FF0">
      <w:pPr>
        <w:adjustRightInd w:val="0"/>
        <w:snapToGrid w:val="0"/>
        <w:spacing w:line="360" w:lineRule="auto"/>
        <w:ind w:firstLine="420" w:firstLineChars="200"/>
        <w:jc w:val="left"/>
        <w:rPr>
          <w:rFonts w:ascii="宋体" w:cs="Times New Roman"/>
          <w:kern w:val="0"/>
        </w:rPr>
      </w:pPr>
      <w:r>
        <w:rPr>
          <w:rFonts w:ascii="宋体" w:hAnsi="宋体" w:cs="宋体"/>
          <w:kern w:val="0"/>
        </w:rPr>
        <w:t>2.3.4</w:t>
      </w:r>
      <w:r>
        <w:rPr>
          <w:rFonts w:hint="eastAsia" w:ascii="宋体" w:hAnsi="宋体" w:cs="宋体"/>
          <w:kern w:val="0"/>
        </w:rPr>
        <w:t>招标文件、招标文件澄清、招标文件修改文件内容均以网上发布的为准，当招标文件、招标文件澄清、招标文件修改文件内容相互矛盾时，以最后发出的为准。</w:t>
      </w:r>
    </w:p>
    <w:bookmarkEnd w:id="250"/>
    <w:bookmarkEnd w:id="251"/>
    <w:bookmarkEnd w:id="252"/>
    <w:bookmarkEnd w:id="253"/>
    <w:bookmarkEnd w:id="254"/>
    <w:bookmarkEnd w:id="255"/>
    <w:p w14:paraId="2722281C">
      <w:pPr>
        <w:pStyle w:val="3"/>
        <w:spacing w:before="0" w:after="0" w:line="360" w:lineRule="auto"/>
        <w:rPr>
          <w:rFonts w:cs="Times New Roman"/>
        </w:rPr>
      </w:pPr>
      <w:bookmarkStart w:id="256" w:name="_Toc45896633"/>
      <w:bookmarkEnd w:id="256"/>
      <w:bookmarkStart w:id="257" w:name="_Toc26160_WPSOffice_Level2"/>
      <w:bookmarkEnd w:id="257"/>
      <w:bookmarkStart w:id="258" w:name="_Toc32608"/>
      <w:bookmarkEnd w:id="258"/>
      <w:bookmarkStart w:id="259" w:name="_Toc25647_WPSOffice_Level2"/>
      <w:bookmarkEnd w:id="259"/>
      <w:bookmarkStart w:id="260" w:name="_Toc45896929"/>
      <w:bookmarkEnd w:id="260"/>
      <w:r>
        <w:t xml:space="preserve">3. </w:t>
      </w:r>
      <w:r>
        <w:rPr>
          <w:rFonts w:hint="eastAsia" w:cs="黑体"/>
        </w:rPr>
        <w:t>投标文件</w:t>
      </w:r>
    </w:p>
    <w:p w14:paraId="6E656B1C">
      <w:pPr>
        <w:pStyle w:val="4"/>
        <w:spacing w:before="0" w:after="0" w:line="360" w:lineRule="auto"/>
        <w:rPr>
          <w:rFonts w:ascii="Times New Roman" w:hAnsi="Times New Roman" w:cs="Times New Roman"/>
        </w:rPr>
      </w:pPr>
      <w:bookmarkStart w:id="261" w:name="_Toc45896930"/>
      <w:bookmarkEnd w:id="261"/>
      <w:bookmarkStart w:id="262" w:name="_Toc45896634"/>
      <w:bookmarkEnd w:id="262"/>
      <w:bookmarkStart w:id="263" w:name="_Toc27313"/>
      <w:bookmarkEnd w:id="263"/>
      <w:bookmarkStart w:id="264" w:name="_Toc21728"/>
      <w:bookmarkEnd w:id="264"/>
      <w:bookmarkStart w:id="265" w:name="_Toc247527572"/>
      <w:bookmarkEnd w:id="265"/>
      <w:bookmarkStart w:id="266" w:name="_Toc247513971"/>
      <w:bookmarkEnd w:id="266"/>
      <w:bookmarkStart w:id="267" w:name="_Toc3000"/>
      <w:bookmarkEnd w:id="267"/>
      <w:bookmarkStart w:id="268" w:name="_Toc152045547"/>
      <w:bookmarkEnd w:id="268"/>
      <w:bookmarkStart w:id="269" w:name="_Toc144974515"/>
      <w:bookmarkEnd w:id="269"/>
      <w:bookmarkStart w:id="270" w:name="_Toc152042323"/>
      <w:bookmarkEnd w:id="270"/>
      <w:r>
        <w:rPr>
          <w:rFonts w:ascii="Times New Roman" w:hAnsi="Times New Roman" w:cs="Times New Roman"/>
        </w:rPr>
        <w:t xml:space="preserve">3.1 </w:t>
      </w:r>
      <w:r>
        <w:rPr>
          <w:rFonts w:hint="eastAsia" w:ascii="Times New Roman" w:hAnsi="Times New Roman"/>
        </w:rPr>
        <w:t>投标文件的组成</w:t>
      </w:r>
    </w:p>
    <w:p w14:paraId="557FCCA6">
      <w:pPr>
        <w:spacing w:line="360" w:lineRule="auto"/>
        <w:ind w:firstLine="210" w:firstLineChars="100"/>
        <w:outlineLvl w:val="3"/>
        <w:rPr>
          <w:rFonts w:cs="Times New Roman"/>
        </w:rPr>
      </w:pPr>
      <w:bookmarkStart w:id="271" w:name="_Toc152045548"/>
      <w:bookmarkStart w:id="272" w:name="_Toc152042324"/>
      <w:bookmarkStart w:id="273" w:name="_Toc144974516"/>
      <w:bookmarkStart w:id="274" w:name="_Toc247527573"/>
      <w:bookmarkStart w:id="275" w:name="_Toc247513972"/>
      <w:r>
        <w:t xml:space="preserve">3.1.1 </w:t>
      </w:r>
      <w:r>
        <w:rPr>
          <w:rFonts w:hint="eastAsia" w:cs="宋体"/>
        </w:rPr>
        <w:t>投标文件应包括下列内容：</w:t>
      </w:r>
    </w:p>
    <w:p w14:paraId="6703F50E">
      <w:pPr>
        <w:spacing w:line="360" w:lineRule="auto"/>
        <w:ind w:firstLine="359" w:firstLineChars="171"/>
        <w:rPr>
          <w:rFonts w:cs="宋体"/>
        </w:rPr>
      </w:pPr>
      <w:r>
        <w:rPr>
          <w:rFonts w:hint="eastAsia" w:cs="宋体"/>
        </w:rPr>
        <w:t>（</w:t>
      </w:r>
      <w:r>
        <w:t>1</w:t>
      </w:r>
      <w:r>
        <w:rPr>
          <w:rFonts w:hint="eastAsia" w:cs="宋体"/>
        </w:rPr>
        <w:t>）投标函部分；</w:t>
      </w:r>
    </w:p>
    <w:p w14:paraId="256928A0">
      <w:pPr>
        <w:spacing w:line="360" w:lineRule="auto"/>
        <w:ind w:firstLine="359" w:firstLineChars="171"/>
        <w:rPr>
          <w:rFonts w:cs="Times New Roman"/>
        </w:rPr>
      </w:pPr>
      <w:r>
        <w:rPr>
          <w:rFonts w:hint="eastAsia" w:cs="宋体"/>
        </w:rPr>
        <w:t>（</w:t>
      </w:r>
      <w:r>
        <w:rPr>
          <w:rFonts w:hint="eastAsia"/>
        </w:rPr>
        <w:t>2</w:t>
      </w:r>
      <w:r>
        <w:rPr>
          <w:rFonts w:hint="eastAsia" w:cs="宋体"/>
        </w:rPr>
        <w:t>）资格审查部分；</w:t>
      </w:r>
    </w:p>
    <w:p w14:paraId="6BD9EDFE">
      <w:pPr>
        <w:spacing w:line="360" w:lineRule="auto"/>
        <w:ind w:firstLine="359" w:firstLineChars="171"/>
        <w:rPr>
          <w:rFonts w:cs="Times New Roman"/>
        </w:rPr>
      </w:pPr>
      <w:r>
        <w:rPr>
          <w:rFonts w:hint="eastAsia" w:cs="宋体"/>
        </w:rPr>
        <w:t>（</w:t>
      </w:r>
      <w:r>
        <w:rPr>
          <w:rFonts w:hint="eastAsia"/>
        </w:rPr>
        <w:t>3</w:t>
      </w:r>
      <w:r>
        <w:rPr>
          <w:rFonts w:hint="eastAsia" w:cs="宋体"/>
        </w:rPr>
        <w:t>）商务部分；</w:t>
      </w:r>
    </w:p>
    <w:p w14:paraId="6C623183">
      <w:pPr>
        <w:spacing w:line="360" w:lineRule="auto"/>
        <w:ind w:firstLine="359" w:firstLineChars="171"/>
        <w:rPr>
          <w:rFonts w:cs="Times New Roman"/>
        </w:rPr>
      </w:pPr>
      <w:r>
        <w:rPr>
          <w:rFonts w:hint="eastAsia" w:cs="宋体"/>
        </w:rPr>
        <w:t>（</w:t>
      </w:r>
      <w:r>
        <w:rPr>
          <w:rFonts w:hint="eastAsia"/>
        </w:rPr>
        <w:t>4</w:t>
      </w:r>
      <w:r>
        <w:rPr>
          <w:rFonts w:hint="eastAsia" w:cs="宋体"/>
        </w:rPr>
        <w:t>）技术部分。</w:t>
      </w:r>
    </w:p>
    <w:p w14:paraId="33A0B6D7">
      <w:pPr>
        <w:spacing w:line="360" w:lineRule="auto"/>
        <w:ind w:firstLine="359" w:firstLineChars="171"/>
        <w:rPr>
          <w:rFonts w:cs="Times New Roman"/>
        </w:rPr>
      </w:pPr>
      <w:r>
        <w:rPr>
          <w:rFonts w:hint="eastAsia" w:cs="宋体"/>
        </w:rPr>
        <w:t>以上投标文件全部采用电子文档。</w:t>
      </w:r>
    </w:p>
    <w:p w14:paraId="12A9A11E">
      <w:pPr>
        <w:spacing w:line="360" w:lineRule="auto"/>
        <w:ind w:firstLine="359" w:firstLineChars="171"/>
        <w:outlineLvl w:val="3"/>
        <w:rPr>
          <w:rFonts w:cs="Times New Roman"/>
        </w:rPr>
      </w:pPr>
      <w:r>
        <w:t>3.1.2</w:t>
      </w:r>
      <w:r>
        <w:rPr>
          <w:rFonts w:hint="eastAsia" w:cs="宋体"/>
        </w:rPr>
        <w:t>对技术标部分的要求</w:t>
      </w:r>
    </w:p>
    <w:p w14:paraId="16B0936F">
      <w:pPr>
        <w:spacing w:line="360" w:lineRule="auto"/>
        <w:ind w:firstLine="359" w:firstLineChars="171"/>
        <w:rPr>
          <w:rFonts w:cs="Times New Roman"/>
        </w:rPr>
      </w:pPr>
      <w:r>
        <w:rPr>
          <w:rFonts w:hint="eastAsia" w:cs="宋体"/>
        </w:rPr>
        <w:t>在编制技术标投标文件时，粘贴图片使用</w:t>
      </w:r>
      <w:r>
        <w:t>JPG</w:t>
      </w:r>
      <w:r>
        <w:rPr>
          <w:rFonts w:hint="eastAsia" w:cs="宋体"/>
        </w:rPr>
        <w:t>格式的文件，并且每张图片的分辨率建议小于</w:t>
      </w:r>
      <w:r>
        <w:t>100dpi</w:t>
      </w:r>
      <w:r>
        <w:rPr>
          <w:rFonts w:hint="eastAsia" w:cs="宋体"/>
        </w:rPr>
        <w:t>，最终的每份标书文件所占用的磁盘空间应小于</w:t>
      </w:r>
      <w:r>
        <w:t>100M</w:t>
      </w:r>
      <w:r>
        <w:rPr>
          <w:rFonts w:hint="eastAsia" w:cs="宋体"/>
        </w:rPr>
        <w:t>，否则无法生成投标文件。</w:t>
      </w:r>
    </w:p>
    <w:p w14:paraId="7D0E01D2">
      <w:pPr>
        <w:spacing w:line="360" w:lineRule="auto"/>
        <w:ind w:firstLine="359" w:firstLineChars="171"/>
        <w:rPr>
          <w:rFonts w:cs="Times New Roman"/>
        </w:rPr>
      </w:pPr>
      <w:r>
        <w:t>3.1.3</w:t>
      </w:r>
      <w:r>
        <w:rPr>
          <w:rFonts w:hint="eastAsia" w:cs="宋体"/>
        </w:rPr>
        <w:t>投标人须知前附表规定不接受联合体投标的，或投标人没有组成联合体的，投标文件不包括本章所指的联合体协议书。</w:t>
      </w:r>
    </w:p>
    <w:bookmarkEnd w:id="271"/>
    <w:bookmarkEnd w:id="272"/>
    <w:bookmarkEnd w:id="273"/>
    <w:bookmarkEnd w:id="274"/>
    <w:bookmarkEnd w:id="275"/>
    <w:p w14:paraId="08EBD687">
      <w:pPr>
        <w:pStyle w:val="4"/>
        <w:spacing w:before="0" w:after="0" w:line="360" w:lineRule="auto"/>
        <w:rPr>
          <w:rFonts w:ascii="Times New Roman" w:hAnsi="Times New Roman"/>
        </w:rPr>
      </w:pPr>
      <w:bookmarkStart w:id="276" w:name="_Toc26470"/>
      <w:bookmarkEnd w:id="276"/>
      <w:bookmarkStart w:id="277" w:name="_Toc15751"/>
      <w:bookmarkEnd w:id="277"/>
      <w:bookmarkStart w:id="278" w:name="_Toc45896931"/>
      <w:bookmarkEnd w:id="278"/>
      <w:bookmarkStart w:id="279" w:name="_Toc23881"/>
      <w:bookmarkEnd w:id="279"/>
      <w:bookmarkStart w:id="280" w:name="_Toc45896635"/>
      <w:bookmarkEnd w:id="280"/>
      <w:r>
        <w:rPr>
          <w:rFonts w:ascii="Times New Roman" w:hAnsi="Times New Roman" w:cs="Times New Roman"/>
        </w:rPr>
        <w:t xml:space="preserve">3.2 </w:t>
      </w:r>
      <w:r>
        <w:rPr>
          <w:rFonts w:hint="eastAsia" w:ascii="Times New Roman" w:hAnsi="Times New Roman"/>
        </w:rPr>
        <w:t>投标报价</w:t>
      </w:r>
    </w:p>
    <w:p w14:paraId="6E1C53F6">
      <w:pPr>
        <w:spacing w:line="360" w:lineRule="auto"/>
        <w:ind w:firstLine="420" w:firstLineChars="200"/>
        <w:outlineLvl w:val="3"/>
      </w:pPr>
      <w:r>
        <w:t xml:space="preserve">3.2.1 </w:t>
      </w:r>
      <w:r>
        <w:rPr>
          <w:rFonts w:hint="eastAsia"/>
        </w:rPr>
        <w:t>投标报价方式：见投标人须知前附表。</w:t>
      </w:r>
    </w:p>
    <w:p w14:paraId="3C2262D8">
      <w:pPr>
        <w:spacing w:line="360" w:lineRule="auto"/>
        <w:ind w:firstLine="420" w:firstLineChars="200"/>
        <w:outlineLvl w:val="3"/>
        <w:rPr>
          <w:rFonts w:cs="Times New Roman"/>
        </w:rPr>
      </w:pPr>
      <w:r>
        <w:t>3.2.2</w:t>
      </w:r>
      <w:r>
        <w:rPr>
          <w:rFonts w:hint="eastAsia" w:cs="宋体"/>
        </w:rPr>
        <w:t>投标报价说明</w:t>
      </w:r>
    </w:p>
    <w:p w14:paraId="21CEF99A">
      <w:pPr>
        <w:spacing w:line="360" w:lineRule="auto"/>
        <w:ind w:firstLine="420" w:firstLineChars="200"/>
        <w:rPr>
          <w:rFonts w:cs="Times New Roman"/>
        </w:rPr>
      </w:pPr>
      <w:r>
        <w:rPr>
          <w:rFonts w:cs="Times New Roman"/>
        </w:rPr>
        <w:t>（1）</w:t>
      </w:r>
      <w:r>
        <w:rPr>
          <w:rFonts w:hint="eastAsia" w:ascii="宋体" w:hAnsi="宋体" w:cs="宋体"/>
        </w:rPr>
        <w:t>工程设计费</w:t>
      </w:r>
      <w:r>
        <w:rPr>
          <w:rFonts w:hint="eastAsia" w:cs="宋体"/>
        </w:rPr>
        <w:t>：</w:t>
      </w:r>
      <w:r>
        <w:rPr>
          <w:rFonts w:hint="eastAsia" w:ascii="宋体" w:hAnsi="宋体" w:cs="宋体"/>
          <w:lang w:val="zh-TW"/>
        </w:rPr>
        <w:t>包含但不限于承包人按照招标范围规定的完成本项目的施工图设计、全套成果资料制作、配合发包人完成施工图审查、专家咨询、资料收集等相关工作，以及项目实施过程中的全过程设计服务及协调工作，施工阶段设计人员驻场服务及后续服务等全部费用，且包含本合同工作所需缴纳的一切税费，设计费包含设计全过程的一切费用，不得以任何理由予以增加。</w:t>
      </w:r>
    </w:p>
    <w:p w14:paraId="6508AC4F">
      <w:pPr>
        <w:spacing w:line="360" w:lineRule="auto"/>
        <w:ind w:firstLine="420" w:firstLineChars="200"/>
        <w:outlineLvl w:val="3"/>
        <w:rPr>
          <w:rFonts w:cs="宋体"/>
        </w:rPr>
      </w:pPr>
      <w:r>
        <w:rPr>
          <w:rFonts w:hint="eastAsia" w:ascii="宋体" w:hAnsi="宋体" w:cs="宋体"/>
        </w:rPr>
        <w:t>（2）建安工程费报价：见投标人须知前附表。</w:t>
      </w:r>
    </w:p>
    <w:p w14:paraId="74AA5AA4">
      <w:pPr>
        <w:spacing w:line="360" w:lineRule="auto"/>
        <w:ind w:firstLine="422" w:firstLineChars="200"/>
        <w:jc w:val="left"/>
        <w:rPr>
          <w:rFonts w:hint="eastAsia" w:ascii="宋体" w:hAnsi="宋体" w:cs="宋体"/>
        </w:rPr>
      </w:pPr>
      <w:r>
        <w:rPr>
          <w:rFonts w:hint="eastAsia" w:cs="宋体"/>
          <w:b/>
          <w:bCs/>
          <w:lang w:bidi="ar"/>
        </w:rPr>
        <w:t>结算原则：</w:t>
      </w:r>
      <w:r>
        <w:rPr>
          <w:rFonts w:hint="eastAsia" w:ascii="宋体" w:hAnsi="宋体" w:cs="宋体"/>
        </w:rPr>
        <w:t>见投标人须知前附表。</w:t>
      </w:r>
    </w:p>
    <w:p w14:paraId="6FDC86B2">
      <w:pPr>
        <w:spacing w:line="360" w:lineRule="auto"/>
        <w:ind w:firstLine="420" w:firstLineChars="200"/>
        <w:jc w:val="left"/>
        <w:rPr>
          <w:rFonts w:cs="宋体"/>
          <w:lang w:val="zh-TW" w:bidi="ar"/>
        </w:rPr>
      </w:pPr>
      <w:r>
        <w:rPr>
          <w:rFonts w:hint="eastAsia" w:cs="宋体"/>
          <w:lang w:bidi="ar"/>
        </w:rPr>
        <w:t xml:space="preserve">1.按下列原则采用定额计价模式计算建安工程费： </w:t>
      </w:r>
    </w:p>
    <w:p w14:paraId="43664495">
      <w:pPr>
        <w:spacing w:line="360" w:lineRule="auto"/>
        <w:ind w:firstLine="420" w:firstLineChars="200"/>
        <w:jc w:val="left"/>
        <w:rPr>
          <w:rFonts w:cs="宋体"/>
          <w:lang w:val="zh-TW" w:bidi="ar"/>
        </w:rPr>
      </w:pPr>
      <w:r>
        <w:rPr>
          <w:rFonts w:hint="eastAsia" w:cs="宋体"/>
          <w:lang w:bidi="ar"/>
        </w:rPr>
        <w:t xml:space="preserve">①结算编制依据：合同、施工图、签证变更、经批准的施工组织设计及其他，并执行云南省住房和城乡建设厅《关于发布施行云南省2020版建设工程造价计价依据的通知》、相关配套定额及云南省现行计价调整文件（若施工期间发布新的定额及政策性文件时，在符合要求的前提下按新发布的定额、文件执行）。 </w:t>
      </w:r>
    </w:p>
    <w:p w14:paraId="3D6450CE">
      <w:pPr>
        <w:spacing w:line="360" w:lineRule="auto"/>
        <w:ind w:firstLine="420" w:firstLineChars="200"/>
        <w:jc w:val="left"/>
        <w:rPr>
          <w:rFonts w:cs="宋体"/>
          <w:lang w:val="zh-TW" w:bidi="ar"/>
        </w:rPr>
      </w:pPr>
      <w:r>
        <w:rPr>
          <w:rFonts w:hint="eastAsia" w:cs="宋体"/>
          <w:lang w:bidi="ar"/>
        </w:rPr>
        <w:t xml:space="preserve">②材料价格的确定：材料价格的确定：材料价格按照工程开工令下达当月《楚雄州建设工程材料及设备价格信息》中“姚安县除税综合参考价”，缺项部分先按《楚雄州建设工程材料及设备价格信息》中“楚雄市除税综合参考价”，以上价格信息缺项部分再按《云南省建设工程材料及设备价格信息》除税信息价为准。 </w:t>
      </w:r>
    </w:p>
    <w:p w14:paraId="570C80FD">
      <w:pPr>
        <w:spacing w:line="360" w:lineRule="auto"/>
        <w:ind w:firstLine="420" w:firstLineChars="200"/>
        <w:jc w:val="left"/>
        <w:rPr>
          <w:rFonts w:cs="宋体"/>
          <w:lang w:val="zh-TW" w:bidi="ar"/>
        </w:rPr>
      </w:pPr>
      <w:r>
        <w:rPr>
          <w:rFonts w:hint="eastAsia" w:cs="宋体"/>
          <w:lang w:bidi="ar"/>
        </w:rPr>
        <w:t xml:space="preserve">以上未有的材料价格信息，由四方（建设单位、施工单位、监理单位、造价单位）共同询价确定并做好签证记录。 </w:t>
      </w:r>
    </w:p>
    <w:p w14:paraId="08E1E756">
      <w:pPr>
        <w:spacing w:line="360" w:lineRule="auto"/>
        <w:ind w:firstLine="420" w:firstLineChars="200"/>
        <w:jc w:val="left"/>
        <w:rPr>
          <w:rFonts w:cs="宋体"/>
          <w:lang w:val="zh-TW" w:bidi="ar"/>
        </w:rPr>
      </w:pPr>
      <w:r>
        <w:rPr>
          <w:rFonts w:hint="eastAsia" w:cs="宋体"/>
          <w:lang w:bidi="ar"/>
        </w:rPr>
        <w:t>③工程量的确认：计量按照《建设工程工程量清单计价标准》GB/T50500-2024、《云南省建设工程造价计价规则及机械仪器仪表台班费用定额》（DBJ53/T-58-2020）、《市政工程工程量计算标准》GB/T50857-2024、《云南省园林绿化工程计价标准》（DBJ53/T-60-2020）、《云南省建筑工程计价标准》（DBJ53/T-61-2020）、《通用安装工程工程量计算标准》GB/T50856-2024、《云南省装配式建筑工程计价标准》（DBJ53/T-110-2020）、《云南省城市地下综合管廊工程计价标准》（DBJ53/T-111-2020）、《云南省绿色建筑工程计价标准（DBJ53/T-112-2020）、云南省住房和城乡建设厅《关于云南省建设工程造价计价标准调整人工费的通知》（云建科</w:t>
      </w:r>
      <w:r>
        <w:rPr>
          <w:rFonts w:hint="eastAsia" w:cs="宋体"/>
          <w:lang w:eastAsia="zh-CN" w:bidi="ar"/>
        </w:rPr>
        <w:t>〔2023〕54号</w:t>
      </w:r>
      <w:r>
        <w:rPr>
          <w:rFonts w:hint="eastAsia" w:cs="宋体"/>
          <w:lang w:bidi="ar"/>
        </w:rPr>
        <w:t>）及相应配套文件执行，工程量以造价咨询公司及监理人审定的实际完成工程量计算。</w:t>
      </w:r>
    </w:p>
    <w:p w14:paraId="3DE80CA3">
      <w:pPr>
        <w:spacing w:line="360" w:lineRule="auto"/>
        <w:ind w:firstLine="420" w:firstLineChars="200"/>
        <w:jc w:val="left"/>
        <w:rPr>
          <w:rFonts w:cs="宋体"/>
          <w:lang w:bidi="ar"/>
        </w:rPr>
      </w:pPr>
      <w:r>
        <w:rPr>
          <w:rFonts w:hint="eastAsia" w:cs="宋体"/>
          <w:lang w:bidi="ar"/>
        </w:rPr>
        <w:t xml:space="preserve">④建安工程费最终结算编制依据：合同、施工图、签证、变更、通知、会议纪要、图纸会审记录、经批准的施工组织设计、专项施工方案、经审查的工程量清单。 </w:t>
      </w:r>
    </w:p>
    <w:p w14:paraId="3F79CA52">
      <w:pPr>
        <w:spacing w:line="360" w:lineRule="auto"/>
        <w:ind w:firstLine="424" w:firstLineChars="202"/>
        <w:outlineLvl w:val="3"/>
      </w:pPr>
      <w:r>
        <w:t>3.2.3</w:t>
      </w:r>
      <w:r>
        <w:rPr>
          <w:rFonts w:hint="eastAsia"/>
        </w:rPr>
        <w:t xml:space="preserve"> </w:t>
      </w:r>
      <w:r>
        <w:rPr>
          <w:rFonts w:ascii="宋体" w:hAnsi="宋体"/>
          <w:bCs/>
          <w:lang w:bidi="en-US"/>
        </w:rPr>
        <w:t>招标控制价</w:t>
      </w:r>
    </w:p>
    <w:p w14:paraId="3FAF2557">
      <w:pPr>
        <w:spacing w:line="360" w:lineRule="auto"/>
        <w:ind w:firstLine="424" w:firstLineChars="202"/>
        <w:rPr>
          <w:rFonts w:hint="eastAsia" w:ascii="宋体" w:hAnsi="宋体"/>
          <w:bCs/>
          <w:lang w:bidi="en-US"/>
        </w:rPr>
      </w:pPr>
      <w:r>
        <w:rPr>
          <w:rFonts w:ascii="宋体" w:hAnsi="宋体"/>
          <w:bCs/>
          <w:lang w:bidi="en-US"/>
        </w:rPr>
        <w:t>本项目中设计</w:t>
      </w:r>
      <w:r>
        <w:rPr>
          <w:rFonts w:hint="eastAsia" w:ascii="宋体" w:hAnsi="宋体"/>
          <w:bCs/>
          <w:lang w:bidi="en-US"/>
        </w:rPr>
        <w:t>费报价</w:t>
      </w:r>
      <w:r>
        <w:rPr>
          <w:rFonts w:ascii="宋体" w:hAnsi="宋体"/>
          <w:bCs/>
          <w:lang w:bidi="en-US"/>
        </w:rPr>
        <w:t>和</w:t>
      </w:r>
      <w:r>
        <w:rPr>
          <w:rFonts w:hint="eastAsia" w:ascii="宋体" w:hAnsi="宋体"/>
          <w:bCs/>
          <w:lang w:bidi="en-US"/>
        </w:rPr>
        <w:t>建安工程费报价（下浮率）</w:t>
      </w:r>
      <w:r>
        <w:rPr>
          <w:rFonts w:ascii="宋体" w:hAnsi="宋体"/>
          <w:bCs/>
          <w:lang w:bidi="en-US"/>
        </w:rPr>
        <w:t>均设定招标控制价</w:t>
      </w:r>
      <w:r>
        <w:rPr>
          <w:rFonts w:hint="eastAsia" w:ascii="宋体" w:hAnsi="宋体"/>
          <w:bCs/>
          <w:lang w:bidi="en-US"/>
        </w:rPr>
        <w:t>（详见投标须知前附表）</w:t>
      </w:r>
      <w:r>
        <w:rPr>
          <w:rFonts w:ascii="宋体" w:hAnsi="宋体"/>
          <w:bCs/>
          <w:lang w:bidi="en-US"/>
        </w:rPr>
        <w:t>。</w:t>
      </w:r>
    </w:p>
    <w:p w14:paraId="118627FD">
      <w:pPr>
        <w:pStyle w:val="4"/>
        <w:spacing w:before="0" w:after="0" w:line="360" w:lineRule="auto"/>
        <w:rPr>
          <w:rFonts w:ascii="Times New Roman" w:hAnsi="Times New Roman" w:cs="Times New Roman"/>
        </w:rPr>
      </w:pPr>
      <w:bookmarkStart w:id="281" w:name="_Toc22068"/>
      <w:bookmarkEnd w:id="281"/>
      <w:bookmarkStart w:id="282" w:name="_Toc13114"/>
      <w:bookmarkEnd w:id="282"/>
      <w:r>
        <w:rPr>
          <w:rFonts w:ascii="Times New Roman" w:hAnsi="Times New Roman" w:cs="Times New Roman"/>
        </w:rPr>
        <w:t xml:space="preserve">3.3 </w:t>
      </w:r>
      <w:r>
        <w:rPr>
          <w:rFonts w:hint="eastAsia" w:ascii="Times New Roman" w:hAnsi="Times New Roman" w:cs="Times New Roman"/>
        </w:rPr>
        <w:t>投标有效期</w:t>
      </w:r>
    </w:p>
    <w:p w14:paraId="2004C4DF">
      <w:pPr>
        <w:spacing w:line="360" w:lineRule="auto"/>
        <w:ind w:firstLine="420" w:firstLineChars="200"/>
        <w:outlineLvl w:val="3"/>
        <w:rPr>
          <w:rFonts w:cs="Times New Roman"/>
        </w:rPr>
      </w:pPr>
      <w:r>
        <w:t>3.3.1</w:t>
      </w:r>
      <w:r>
        <w:rPr>
          <w:rFonts w:hint="eastAsia" w:cs="宋体"/>
        </w:rPr>
        <w:t>见投标人须知前附表。</w:t>
      </w:r>
    </w:p>
    <w:p w14:paraId="5B0FB0F7">
      <w:pPr>
        <w:spacing w:line="360" w:lineRule="auto"/>
        <w:ind w:firstLine="420" w:firstLineChars="200"/>
        <w:rPr>
          <w:rFonts w:cs="Times New Roman"/>
        </w:rPr>
      </w:pPr>
      <w:r>
        <w:t xml:space="preserve">3.3.2 </w:t>
      </w:r>
      <w:r>
        <w:rPr>
          <w:rFonts w:hint="eastAsia" w:cs="宋体"/>
        </w:rPr>
        <w:t>在投标有效期内，投标人撤销或修改其投标文件的，应承担招标文件和法律规定的责任。</w:t>
      </w:r>
    </w:p>
    <w:p w14:paraId="30EAC459">
      <w:pPr>
        <w:spacing w:line="360" w:lineRule="auto"/>
        <w:ind w:firstLine="420" w:firstLineChars="200"/>
      </w:pPr>
      <w:r>
        <w:t xml:space="preserve">3.3.3 </w:t>
      </w:r>
      <w:r>
        <w:rPr>
          <w:rFonts w:hint="eastAsia" w:cs="宋体"/>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04166204">
      <w:pPr>
        <w:pStyle w:val="4"/>
        <w:spacing w:before="0" w:after="0" w:line="360" w:lineRule="auto"/>
        <w:rPr>
          <w:rFonts w:ascii="Times New Roman" w:hAnsi="Times New Roman" w:cs="Times New Roman"/>
        </w:rPr>
      </w:pPr>
      <w:bookmarkStart w:id="283" w:name="_Toc247527575"/>
      <w:bookmarkEnd w:id="283"/>
      <w:bookmarkStart w:id="284" w:name="_Toc247513974"/>
      <w:bookmarkEnd w:id="284"/>
      <w:bookmarkStart w:id="285" w:name="_Toc152042326"/>
      <w:bookmarkEnd w:id="285"/>
      <w:bookmarkStart w:id="286" w:name="_Toc45896637"/>
      <w:bookmarkEnd w:id="286"/>
      <w:bookmarkStart w:id="287" w:name="_Toc18419"/>
      <w:bookmarkEnd w:id="287"/>
      <w:bookmarkStart w:id="288" w:name="_Toc152045550"/>
      <w:bookmarkEnd w:id="288"/>
      <w:bookmarkStart w:id="289" w:name="_Toc17176"/>
      <w:bookmarkEnd w:id="289"/>
      <w:bookmarkStart w:id="290" w:name="_Toc1576"/>
      <w:bookmarkEnd w:id="290"/>
      <w:bookmarkStart w:id="291" w:name="_Toc144974518"/>
      <w:bookmarkEnd w:id="291"/>
      <w:bookmarkStart w:id="292" w:name="_Toc45896933"/>
      <w:bookmarkEnd w:id="292"/>
      <w:r>
        <w:rPr>
          <w:rFonts w:ascii="Times New Roman" w:hAnsi="Times New Roman" w:cs="Times New Roman"/>
        </w:rPr>
        <w:t xml:space="preserve">3.4 </w:t>
      </w:r>
      <w:r>
        <w:rPr>
          <w:rFonts w:hint="eastAsia" w:ascii="Times New Roman" w:hAnsi="Times New Roman"/>
        </w:rPr>
        <w:t>投标保证金</w:t>
      </w:r>
    </w:p>
    <w:p w14:paraId="6C0EC7E8">
      <w:pPr>
        <w:spacing w:line="360" w:lineRule="auto"/>
        <w:ind w:firstLine="420" w:firstLineChars="200"/>
        <w:rPr>
          <w:rFonts w:cs="Times New Roman"/>
        </w:rPr>
      </w:pPr>
      <w:r>
        <w:t xml:space="preserve">3.4.1 </w:t>
      </w:r>
      <w:r>
        <w:rPr>
          <w:rFonts w:hint="eastAsia" w:cs="宋体"/>
        </w:rPr>
        <w:t>投标人在递交投标文件的同时，应按投标人须知前附表规定的金额、担保形式和第七章“投标文件格式”规定的投标保证金格式递交投标保证金，并作为其投标文件的组成部分。联合体投标的，其投标保证金由牵头人递交，并应符合投标人须知前附表的规定。</w:t>
      </w:r>
    </w:p>
    <w:p w14:paraId="19081A14">
      <w:pPr>
        <w:spacing w:line="360" w:lineRule="auto"/>
        <w:ind w:firstLine="420" w:firstLineChars="200"/>
        <w:rPr>
          <w:rFonts w:cs="Times New Roman"/>
        </w:rPr>
      </w:pPr>
      <w:r>
        <w:t xml:space="preserve">3.4.2 </w:t>
      </w:r>
      <w:r>
        <w:rPr>
          <w:rFonts w:hint="eastAsia" w:cs="宋体"/>
        </w:rPr>
        <w:t>投标人不按本章第</w:t>
      </w:r>
      <w:r>
        <w:t>3.4.1</w:t>
      </w:r>
      <w:r>
        <w:rPr>
          <w:rFonts w:hint="eastAsia" w:cs="宋体"/>
        </w:rPr>
        <w:t>项要求提交投标保证金的，评标委员会将否决其投标。</w:t>
      </w:r>
    </w:p>
    <w:p w14:paraId="43C41281">
      <w:pPr>
        <w:spacing w:line="360" w:lineRule="auto"/>
        <w:ind w:firstLine="420" w:firstLineChars="200"/>
        <w:rPr>
          <w:rFonts w:cs="宋体"/>
        </w:rPr>
      </w:pPr>
      <w:r>
        <w:t xml:space="preserve">3.4.3 </w:t>
      </w:r>
      <w:r>
        <w:rPr>
          <w:rFonts w:hint="eastAsia" w:cs="宋体"/>
        </w:rPr>
        <w:t>招标人在中标公示期满后，向未中标的投标人退还投标保证金及同期银行存款利息；在招标人与中标人签订合同后</w:t>
      </w:r>
      <w:r>
        <w:t>5</w:t>
      </w:r>
      <w:r>
        <w:rPr>
          <w:rFonts w:hint="eastAsia" w:cs="宋体"/>
        </w:rPr>
        <w:t>日内，向中标人退还投标保证金及同期银行存款利息。该条款仅限于现金缴纳投标保证金的情形。</w:t>
      </w:r>
    </w:p>
    <w:p w14:paraId="116B53D3">
      <w:pPr>
        <w:spacing w:line="360" w:lineRule="auto"/>
        <w:ind w:firstLine="420" w:firstLineChars="200"/>
        <w:outlineLvl w:val="3"/>
      </w:pPr>
      <w:r>
        <w:t xml:space="preserve">3.4.4 </w:t>
      </w:r>
      <w:r>
        <w:rPr>
          <w:rFonts w:hint="eastAsia" w:cs="宋体"/>
        </w:rPr>
        <w:t>有下列情形之一的，投标保证金将不予退还：</w:t>
      </w:r>
    </w:p>
    <w:p w14:paraId="04B55C1E">
      <w:pPr>
        <w:spacing w:line="360" w:lineRule="auto"/>
        <w:ind w:firstLine="315" w:firstLineChars="150"/>
        <w:outlineLvl w:val="4"/>
        <w:rPr>
          <w:rFonts w:cs="Times New Roman"/>
        </w:rPr>
      </w:pPr>
      <w:r>
        <w:rPr>
          <w:rFonts w:hint="eastAsia" w:cs="宋体"/>
        </w:rPr>
        <w:t>（</w:t>
      </w:r>
      <w:r>
        <w:t>1</w:t>
      </w:r>
      <w:r>
        <w:rPr>
          <w:rFonts w:hint="eastAsia" w:cs="宋体"/>
        </w:rPr>
        <w:t>）投标人在规定的投标有效期内撤销或修改其投标文件；</w:t>
      </w:r>
    </w:p>
    <w:p w14:paraId="4C94F460">
      <w:pPr>
        <w:spacing w:line="360" w:lineRule="auto"/>
        <w:ind w:firstLine="315" w:firstLineChars="150"/>
        <w:rPr>
          <w:rFonts w:cs="Times New Roman"/>
        </w:rPr>
      </w:pPr>
      <w:r>
        <w:rPr>
          <w:rFonts w:hint="eastAsia" w:cs="宋体"/>
        </w:rPr>
        <w:t>（</w:t>
      </w:r>
      <w:r>
        <w:t>2</w:t>
      </w:r>
      <w:r>
        <w:rPr>
          <w:rFonts w:hint="eastAsia" w:cs="宋体"/>
        </w:rPr>
        <w:t>）中标人在收到中标通知书后，无正当理由拒签合同或未按招标文件规定提交履约担保。</w:t>
      </w:r>
    </w:p>
    <w:p w14:paraId="78FF0EC6">
      <w:pPr>
        <w:pStyle w:val="4"/>
        <w:spacing w:before="0" w:after="0" w:line="360" w:lineRule="auto"/>
        <w:rPr>
          <w:rFonts w:ascii="Times New Roman" w:hAnsi="Times New Roman" w:cs="Times New Roman"/>
        </w:rPr>
      </w:pPr>
      <w:bookmarkStart w:id="293" w:name="_Toc12557"/>
      <w:bookmarkEnd w:id="293"/>
      <w:bookmarkStart w:id="294" w:name="_Toc0"/>
      <w:bookmarkEnd w:id="294"/>
      <w:bookmarkStart w:id="295" w:name="_Toc152042327"/>
      <w:bookmarkEnd w:id="295"/>
      <w:bookmarkStart w:id="296" w:name="_Toc247513975"/>
      <w:bookmarkEnd w:id="296"/>
      <w:bookmarkStart w:id="297" w:name="_Toc152045551"/>
      <w:bookmarkEnd w:id="297"/>
      <w:bookmarkStart w:id="298" w:name="_Toc45896934"/>
      <w:bookmarkEnd w:id="298"/>
      <w:bookmarkStart w:id="299" w:name="_Toc2863"/>
      <w:bookmarkEnd w:id="299"/>
      <w:bookmarkStart w:id="300" w:name="_Toc144974519"/>
      <w:bookmarkEnd w:id="300"/>
      <w:bookmarkStart w:id="301" w:name="_Toc45896638"/>
      <w:bookmarkEnd w:id="301"/>
      <w:bookmarkStart w:id="302" w:name="_Toc247527576"/>
      <w:bookmarkEnd w:id="302"/>
      <w:r>
        <w:rPr>
          <w:rFonts w:ascii="Times New Roman" w:hAnsi="Times New Roman" w:cs="Times New Roman"/>
        </w:rPr>
        <w:t xml:space="preserve">3.5 </w:t>
      </w:r>
      <w:r>
        <w:rPr>
          <w:rFonts w:hint="eastAsia" w:ascii="Times New Roman" w:hAnsi="Times New Roman"/>
        </w:rPr>
        <w:t>资格审查资料</w:t>
      </w:r>
    </w:p>
    <w:p w14:paraId="599B1FDC">
      <w:pPr>
        <w:spacing w:line="360" w:lineRule="auto"/>
        <w:ind w:firstLine="420" w:firstLineChars="200"/>
        <w:rPr>
          <w:rFonts w:cs="Times New Roman"/>
        </w:rPr>
      </w:pPr>
      <w:r>
        <w:t xml:space="preserve">3.5.1 </w:t>
      </w:r>
      <w:r>
        <w:rPr>
          <w:rFonts w:hint="eastAsia" w:cs="宋体"/>
        </w:rPr>
        <w:t>“投标人基本情况表”应附投标人营业执照及其年检合格的证明材料、资质证书副本等材料的原件扫描件。</w:t>
      </w:r>
    </w:p>
    <w:p w14:paraId="3295371C">
      <w:pPr>
        <w:spacing w:line="360" w:lineRule="auto"/>
        <w:ind w:firstLine="420" w:firstLineChars="200"/>
        <w:rPr>
          <w:rFonts w:cs="Times New Roman"/>
        </w:rPr>
      </w:pPr>
      <w:r>
        <w:t xml:space="preserve">3.5.2 </w:t>
      </w:r>
      <w:r>
        <w:rPr>
          <w:rFonts w:hint="eastAsia" w:cs="宋体"/>
        </w:rPr>
        <w:t>“近年财务状况表”应附经会计师事务所或审计机构审计的财务会计报表，包括资产负债表、现金流量表、利润表和财务情况说明书等原件扫描件，具体年份要求见投标人须知前附表。</w:t>
      </w:r>
    </w:p>
    <w:p w14:paraId="7EFA95F1">
      <w:pPr>
        <w:spacing w:line="360" w:lineRule="auto"/>
        <w:ind w:firstLine="420" w:firstLineChars="200"/>
        <w:rPr>
          <w:rFonts w:cs="Times New Roman"/>
        </w:rPr>
      </w:pPr>
      <w:r>
        <w:t xml:space="preserve">3.5.3 </w:t>
      </w:r>
      <w:r>
        <w:rPr>
          <w:rFonts w:hint="eastAsia" w:cs="宋体"/>
        </w:rPr>
        <w:t>“近年完成的类似项目情况表”应附合同协议书原件扫描件；或“近年完成的类似工程设计项目情况表”应附合同协议书原件扫描件。具体年份要求见投标人须知前附表，每张表格只填写一个项目，并标明序号。</w:t>
      </w:r>
    </w:p>
    <w:p w14:paraId="28CEB9F3">
      <w:pPr>
        <w:spacing w:line="360" w:lineRule="auto"/>
        <w:ind w:firstLine="420" w:firstLineChars="200"/>
        <w:rPr>
          <w:rFonts w:cs="Times New Roman"/>
        </w:rPr>
      </w:pPr>
      <w:r>
        <w:t xml:space="preserve">3.5.4 </w:t>
      </w:r>
      <w:r>
        <w:rPr>
          <w:rFonts w:hint="eastAsia" w:cs="宋体"/>
        </w:rPr>
        <w:t>“正在实施和新承接的项目情况表”应附中标通知书或合同协议书原件扫描件。每张表格只填写一个项目，并标明序号。</w:t>
      </w:r>
    </w:p>
    <w:p w14:paraId="3E088A6D">
      <w:pPr>
        <w:spacing w:line="360" w:lineRule="auto"/>
        <w:ind w:firstLine="420" w:firstLineChars="200"/>
        <w:rPr>
          <w:rFonts w:cs="Times New Roman"/>
        </w:rPr>
      </w:pPr>
      <w:r>
        <w:t>3.5.</w:t>
      </w:r>
      <w:r>
        <w:rPr>
          <w:rFonts w:hint="eastAsia"/>
        </w:rPr>
        <w:t>5</w:t>
      </w:r>
      <w:r>
        <w:t xml:space="preserve"> </w:t>
      </w:r>
      <w:r>
        <w:rPr>
          <w:rFonts w:hint="eastAsia" w:cs="宋体"/>
        </w:rPr>
        <w:t>投标人须知前附表规定接受联合体投标的，本章第</w:t>
      </w:r>
      <w:r>
        <w:t>3.5.1</w:t>
      </w:r>
      <w:r>
        <w:rPr>
          <w:rFonts w:hint="eastAsia" w:cs="宋体"/>
        </w:rPr>
        <w:t>项至第</w:t>
      </w:r>
      <w:r>
        <w:t>3.5.5</w:t>
      </w:r>
      <w:r>
        <w:rPr>
          <w:rFonts w:hint="eastAsia" w:cs="宋体"/>
        </w:rPr>
        <w:t>项规定的表格和资料应包括联合体各方相关情况。</w:t>
      </w:r>
    </w:p>
    <w:p w14:paraId="1AB09190">
      <w:pPr>
        <w:pStyle w:val="4"/>
        <w:spacing w:before="0" w:after="0" w:line="360" w:lineRule="auto"/>
        <w:rPr>
          <w:rFonts w:ascii="Times New Roman" w:hAnsi="Times New Roman" w:cs="Times New Roman"/>
        </w:rPr>
      </w:pPr>
      <w:bookmarkStart w:id="303" w:name="_Toc45896639"/>
      <w:bookmarkEnd w:id="303"/>
      <w:bookmarkStart w:id="304" w:name="_Toc247527578"/>
      <w:bookmarkEnd w:id="304"/>
      <w:bookmarkStart w:id="305" w:name="_Toc5776"/>
      <w:bookmarkEnd w:id="305"/>
      <w:bookmarkStart w:id="306" w:name="_Toc152045553"/>
      <w:bookmarkEnd w:id="306"/>
      <w:bookmarkStart w:id="307" w:name="_Toc8061"/>
      <w:bookmarkEnd w:id="307"/>
      <w:bookmarkStart w:id="308" w:name="_Toc152042329"/>
      <w:bookmarkEnd w:id="308"/>
      <w:bookmarkStart w:id="309" w:name="_Toc11803"/>
      <w:bookmarkEnd w:id="309"/>
      <w:bookmarkStart w:id="310" w:name="_Toc247513977"/>
      <w:bookmarkEnd w:id="310"/>
      <w:bookmarkStart w:id="311" w:name="_Toc45896935"/>
      <w:bookmarkEnd w:id="311"/>
      <w:bookmarkStart w:id="312" w:name="_Toc144974521"/>
      <w:bookmarkEnd w:id="312"/>
      <w:r>
        <w:rPr>
          <w:rFonts w:ascii="Times New Roman" w:hAnsi="Times New Roman" w:cs="Times New Roman"/>
        </w:rPr>
        <w:t xml:space="preserve">3.6 </w:t>
      </w:r>
      <w:r>
        <w:rPr>
          <w:rFonts w:hint="eastAsia" w:ascii="Times New Roman" w:hAnsi="Times New Roman"/>
        </w:rPr>
        <w:t>备选投标方案</w:t>
      </w:r>
    </w:p>
    <w:p w14:paraId="0F99C70F">
      <w:pPr>
        <w:spacing w:line="360" w:lineRule="auto"/>
        <w:ind w:firstLine="420" w:firstLineChars="200"/>
        <w:rPr>
          <w:rFonts w:cs="Times New Roman"/>
        </w:rPr>
      </w:pPr>
      <w:r>
        <w:rPr>
          <w:rFonts w:hint="eastAsia" w:cs="宋体"/>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18EF5914">
      <w:pPr>
        <w:pStyle w:val="4"/>
        <w:spacing w:before="0" w:after="0" w:line="360" w:lineRule="auto"/>
        <w:rPr>
          <w:rFonts w:ascii="Times New Roman" w:hAnsi="Times New Roman" w:cs="Times New Roman"/>
        </w:rPr>
      </w:pPr>
      <w:bookmarkStart w:id="313" w:name="_Toc247527579"/>
      <w:bookmarkEnd w:id="313"/>
      <w:bookmarkStart w:id="314" w:name="_Toc247513978"/>
      <w:bookmarkEnd w:id="314"/>
      <w:bookmarkStart w:id="315" w:name="_Toc45896640"/>
      <w:bookmarkEnd w:id="315"/>
      <w:bookmarkStart w:id="316" w:name="_Toc12473"/>
      <w:bookmarkEnd w:id="316"/>
      <w:bookmarkStart w:id="317" w:name="_Toc22955"/>
      <w:bookmarkEnd w:id="317"/>
      <w:bookmarkStart w:id="318" w:name="_Toc152045554"/>
      <w:bookmarkEnd w:id="318"/>
      <w:bookmarkStart w:id="319" w:name="_Toc152042330"/>
      <w:bookmarkEnd w:id="319"/>
      <w:bookmarkStart w:id="320" w:name="_Toc14404"/>
      <w:bookmarkEnd w:id="320"/>
      <w:bookmarkStart w:id="321" w:name="_Toc144974522"/>
      <w:bookmarkEnd w:id="321"/>
      <w:bookmarkStart w:id="322" w:name="_Toc45896936"/>
      <w:bookmarkEnd w:id="322"/>
      <w:r>
        <w:rPr>
          <w:rFonts w:ascii="Times New Roman" w:hAnsi="Times New Roman" w:cs="Times New Roman"/>
        </w:rPr>
        <w:t xml:space="preserve">3.7 </w:t>
      </w:r>
      <w:r>
        <w:rPr>
          <w:rFonts w:hint="eastAsia" w:ascii="Times New Roman" w:hAnsi="Times New Roman"/>
        </w:rPr>
        <w:t>投标文件的编制</w:t>
      </w:r>
    </w:p>
    <w:p w14:paraId="56A8F853">
      <w:pPr>
        <w:spacing w:line="360" w:lineRule="auto"/>
        <w:ind w:firstLine="420" w:firstLineChars="200"/>
        <w:rPr>
          <w:rFonts w:cs="Times New Roman"/>
        </w:rPr>
      </w:pPr>
      <w:r>
        <w:t xml:space="preserve">3.7.1  </w:t>
      </w:r>
      <w:r>
        <w:rPr>
          <w:rFonts w:hint="eastAsia" w:cs="宋体"/>
        </w:rPr>
        <w:t>投标文件应按第七章“投标文件格式”进行编写，如有必要，可以增加附页，作为投标文件的组成部分。其中，投标函附录在满足招标文件实质性要求的基础上，可以提出比招标文件要求更有利于招标人的承诺。</w:t>
      </w:r>
    </w:p>
    <w:p w14:paraId="62EA4A2F">
      <w:pPr>
        <w:spacing w:line="360" w:lineRule="auto"/>
        <w:ind w:firstLine="420" w:firstLineChars="200"/>
        <w:rPr>
          <w:rFonts w:cs="Times New Roman"/>
        </w:rPr>
      </w:pPr>
      <w:r>
        <w:t xml:space="preserve">3.7.2 </w:t>
      </w:r>
      <w:r>
        <w:rPr>
          <w:rFonts w:hint="eastAsia" w:cs="宋体"/>
        </w:rPr>
        <w:t>投标文件应当对招标文件有关招标范围、投标有效期、工期、质量标准、发包人要求等实质性内容作出响应。</w:t>
      </w:r>
    </w:p>
    <w:p w14:paraId="55F89FAD">
      <w:pPr>
        <w:spacing w:line="360" w:lineRule="auto"/>
        <w:ind w:firstLine="420" w:firstLineChars="200"/>
      </w:pPr>
      <w:r>
        <w:t xml:space="preserve">3.7.3 </w:t>
      </w:r>
      <w:r>
        <w:rPr>
          <w:rFonts w:hint="eastAsia" w:cs="宋体"/>
        </w:rPr>
        <w:t>投标文件签字或盖章的具体要求见投标人须知前附表</w:t>
      </w:r>
      <w:r>
        <w:t>3.7.3</w:t>
      </w:r>
      <w:r>
        <w:rPr>
          <w:rFonts w:hint="eastAsia" w:cs="宋体"/>
        </w:rPr>
        <w:t>。</w:t>
      </w:r>
    </w:p>
    <w:p w14:paraId="6041FB3C">
      <w:pPr>
        <w:spacing w:line="360" w:lineRule="auto"/>
        <w:ind w:firstLine="420" w:firstLineChars="200"/>
        <w:outlineLvl w:val="3"/>
        <w:rPr>
          <w:rFonts w:cs="Times New Roman"/>
        </w:rPr>
      </w:pPr>
      <w:r>
        <w:t xml:space="preserve">3.7.4 </w:t>
      </w:r>
      <w:r>
        <w:rPr>
          <w:rFonts w:hint="eastAsia" w:cs="宋体"/>
        </w:rPr>
        <w:t>投标文件份数见投标人须知前附表</w:t>
      </w:r>
      <w:r>
        <w:t>3.7.4</w:t>
      </w:r>
      <w:r>
        <w:rPr>
          <w:rFonts w:hint="eastAsia" w:cs="宋体"/>
        </w:rPr>
        <w:t>。</w:t>
      </w:r>
    </w:p>
    <w:p w14:paraId="4B53D1B5">
      <w:pPr>
        <w:pStyle w:val="3"/>
        <w:spacing w:before="0" w:after="0" w:line="360" w:lineRule="auto"/>
        <w:rPr>
          <w:rFonts w:cs="Times New Roman"/>
        </w:rPr>
      </w:pPr>
      <w:bookmarkStart w:id="323" w:name="_Toc45896937"/>
      <w:bookmarkEnd w:id="323"/>
      <w:bookmarkStart w:id="324" w:name="_Toc28739_WPSOffice_Level2"/>
      <w:bookmarkEnd w:id="324"/>
      <w:bookmarkStart w:id="325" w:name="_Toc45896641"/>
      <w:bookmarkEnd w:id="325"/>
      <w:bookmarkStart w:id="326" w:name="_Toc152045555"/>
      <w:bookmarkEnd w:id="326"/>
      <w:bookmarkStart w:id="327" w:name="_Toc247527580"/>
      <w:bookmarkEnd w:id="327"/>
      <w:bookmarkStart w:id="328" w:name="_Toc4864"/>
      <w:bookmarkEnd w:id="328"/>
      <w:bookmarkStart w:id="329" w:name="_Toc247513979"/>
      <w:bookmarkEnd w:id="329"/>
      <w:bookmarkStart w:id="330" w:name="_Toc152042331"/>
      <w:bookmarkEnd w:id="330"/>
      <w:bookmarkStart w:id="331" w:name="_Toc27992"/>
      <w:bookmarkEnd w:id="331"/>
      <w:bookmarkStart w:id="332" w:name="_Toc21929_WPSOffice_Level2"/>
      <w:bookmarkEnd w:id="332"/>
      <w:bookmarkStart w:id="333" w:name="_Toc144974523"/>
      <w:bookmarkEnd w:id="333"/>
      <w:r>
        <w:t xml:space="preserve">4. </w:t>
      </w:r>
      <w:r>
        <w:rPr>
          <w:rFonts w:hint="eastAsia" w:cs="黑体"/>
        </w:rPr>
        <w:t>投标</w:t>
      </w:r>
    </w:p>
    <w:p w14:paraId="68847BBB">
      <w:pPr>
        <w:pStyle w:val="4"/>
        <w:widowControl/>
        <w:spacing w:before="0" w:after="0" w:line="360" w:lineRule="auto"/>
        <w:rPr>
          <w:rFonts w:hint="eastAsia" w:ascii="宋体" w:cs="Times New Roman"/>
        </w:rPr>
      </w:pPr>
      <w:bookmarkStart w:id="334" w:name="_Toc247513980"/>
      <w:bookmarkEnd w:id="334"/>
      <w:bookmarkStart w:id="335" w:name="_Toc152045556"/>
      <w:bookmarkEnd w:id="335"/>
      <w:bookmarkStart w:id="336" w:name="_Toc3277"/>
      <w:bookmarkEnd w:id="336"/>
      <w:bookmarkStart w:id="337" w:name="_Toc8036"/>
      <w:bookmarkEnd w:id="337"/>
      <w:bookmarkStart w:id="338" w:name="_Toc247527581"/>
      <w:bookmarkEnd w:id="338"/>
      <w:bookmarkStart w:id="339" w:name="_Toc144974524"/>
      <w:bookmarkEnd w:id="339"/>
      <w:bookmarkStart w:id="340" w:name="_Toc15094"/>
      <w:bookmarkEnd w:id="340"/>
      <w:bookmarkStart w:id="341" w:name="_Toc152042332"/>
      <w:bookmarkEnd w:id="341"/>
      <w:bookmarkStart w:id="342" w:name="_Toc45896938"/>
      <w:bookmarkStart w:id="343" w:name="_Toc45896642"/>
      <w:bookmarkStart w:id="344" w:name="_Toc247527582"/>
      <w:bookmarkStart w:id="345" w:name="_Toc247513981"/>
      <w:bookmarkStart w:id="346" w:name="_Toc45896939"/>
      <w:bookmarkStart w:id="347" w:name="_Toc152045557"/>
      <w:bookmarkStart w:id="348" w:name="_Toc45896643"/>
      <w:bookmarkStart w:id="349" w:name="_Toc144974525"/>
      <w:bookmarkStart w:id="350" w:name="_Toc28450"/>
      <w:bookmarkStart w:id="351" w:name="_Toc152042333"/>
      <w:r>
        <w:rPr>
          <w:rFonts w:ascii="Times New Roman" w:hAnsi="Times New Roman" w:cs="Times New Roman"/>
        </w:rPr>
        <w:t>4.1</w:t>
      </w:r>
      <w:r>
        <w:rPr>
          <w:rFonts w:hint="eastAsia" w:ascii="宋体"/>
        </w:rPr>
        <w:t>投标文件的上传要求</w:t>
      </w:r>
    </w:p>
    <w:bookmarkEnd w:id="342"/>
    <w:bookmarkEnd w:id="343"/>
    <w:p w14:paraId="6847B985">
      <w:pPr>
        <w:spacing w:line="360" w:lineRule="auto"/>
        <w:ind w:firstLine="420" w:firstLineChars="200"/>
        <w:rPr>
          <w:rFonts w:cs="Times New Roman"/>
        </w:rPr>
      </w:pPr>
      <w:r>
        <w:rPr>
          <w:rFonts w:hint="eastAsia" w:cs="宋体"/>
        </w:rPr>
        <w:t>具体要求见投标人须知前附表。</w:t>
      </w:r>
    </w:p>
    <w:bookmarkEnd w:id="344"/>
    <w:bookmarkEnd w:id="345"/>
    <w:bookmarkEnd w:id="346"/>
    <w:bookmarkEnd w:id="347"/>
    <w:bookmarkEnd w:id="348"/>
    <w:bookmarkEnd w:id="349"/>
    <w:bookmarkEnd w:id="350"/>
    <w:bookmarkEnd w:id="351"/>
    <w:p w14:paraId="08F0F3A4">
      <w:pPr>
        <w:pStyle w:val="4"/>
        <w:spacing w:before="0" w:after="0" w:line="360" w:lineRule="auto"/>
        <w:rPr>
          <w:rFonts w:ascii="Times New Roman" w:hAnsi="Times New Roman" w:cs="Times New Roman"/>
        </w:rPr>
      </w:pPr>
      <w:bookmarkStart w:id="352" w:name="_Toc17611"/>
      <w:bookmarkEnd w:id="352"/>
      <w:bookmarkStart w:id="353" w:name="_Toc31630"/>
      <w:bookmarkEnd w:id="353"/>
      <w:r>
        <w:rPr>
          <w:rFonts w:ascii="Times New Roman" w:hAnsi="Times New Roman" w:cs="Times New Roman"/>
        </w:rPr>
        <w:t xml:space="preserve">4.2 </w:t>
      </w:r>
      <w:r>
        <w:rPr>
          <w:rFonts w:hint="eastAsia" w:ascii="Times New Roman" w:hAnsi="Times New Roman"/>
        </w:rPr>
        <w:t>投标文件的密封</w:t>
      </w:r>
    </w:p>
    <w:p w14:paraId="4C9E9BE0">
      <w:pPr>
        <w:spacing w:line="360" w:lineRule="auto"/>
        <w:ind w:firstLine="420" w:firstLineChars="200"/>
        <w:rPr>
          <w:rFonts w:cs="Times New Roman"/>
        </w:rPr>
      </w:pPr>
      <w:bookmarkStart w:id="354" w:name="_Toc247527583"/>
      <w:bookmarkStart w:id="355" w:name="_Toc152045558"/>
      <w:bookmarkStart w:id="356" w:name="_Toc17700"/>
      <w:bookmarkStart w:id="357" w:name="_Toc247513982"/>
      <w:bookmarkStart w:id="358" w:name="_Toc45896940"/>
      <w:bookmarkStart w:id="359" w:name="_Toc144974526"/>
      <w:bookmarkStart w:id="360" w:name="_Toc45896644"/>
      <w:bookmarkStart w:id="361" w:name="_Toc152042334"/>
      <w:r>
        <w:rPr>
          <w:rFonts w:hint="eastAsia" w:cs="宋体"/>
        </w:rPr>
        <w:t>具体要求见投标人须知前附表。</w:t>
      </w:r>
    </w:p>
    <w:bookmarkEnd w:id="354"/>
    <w:bookmarkEnd w:id="355"/>
    <w:bookmarkEnd w:id="356"/>
    <w:bookmarkEnd w:id="357"/>
    <w:bookmarkEnd w:id="358"/>
    <w:bookmarkEnd w:id="359"/>
    <w:bookmarkEnd w:id="360"/>
    <w:bookmarkEnd w:id="361"/>
    <w:p w14:paraId="0AB7FFE0">
      <w:pPr>
        <w:pStyle w:val="4"/>
        <w:spacing w:before="0" w:after="0" w:line="360" w:lineRule="auto"/>
        <w:rPr>
          <w:rFonts w:ascii="Times New Roman" w:hAnsi="Times New Roman" w:cs="Times New Roman"/>
        </w:rPr>
      </w:pPr>
      <w:bookmarkStart w:id="362" w:name="_Toc27745"/>
      <w:bookmarkEnd w:id="362"/>
      <w:bookmarkStart w:id="363" w:name="_Toc22956"/>
      <w:bookmarkEnd w:id="363"/>
      <w:r>
        <w:rPr>
          <w:rFonts w:ascii="Times New Roman" w:hAnsi="Times New Roman" w:cs="Times New Roman"/>
        </w:rPr>
        <w:t xml:space="preserve">4.3 </w:t>
      </w:r>
      <w:r>
        <w:rPr>
          <w:rFonts w:hint="eastAsia" w:ascii="Times New Roman" w:hAnsi="Times New Roman"/>
        </w:rPr>
        <w:t>投标文件的修改与撤回</w:t>
      </w:r>
    </w:p>
    <w:p w14:paraId="1A7B1379">
      <w:pPr>
        <w:spacing w:line="360" w:lineRule="auto"/>
        <w:ind w:firstLine="420" w:firstLineChars="200"/>
        <w:rPr>
          <w:rFonts w:cs="Times New Roman"/>
        </w:rPr>
      </w:pPr>
      <w:bookmarkStart w:id="364" w:name="_Toc152045559"/>
      <w:bookmarkStart w:id="365" w:name="_Toc247513983"/>
      <w:bookmarkStart w:id="366" w:name="_Toc18299"/>
      <w:bookmarkStart w:id="367" w:name="_Toc247527584"/>
      <w:bookmarkStart w:id="368" w:name="_Toc152042335"/>
      <w:bookmarkStart w:id="369" w:name="_Toc144974527"/>
      <w:r>
        <w:rPr>
          <w:rFonts w:hint="eastAsia" w:cs="宋体"/>
        </w:rPr>
        <w:t>在本章第</w:t>
      </w:r>
      <w:r>
        <w:t>2.2.2</w:t>
      </w:r>
      <w:r>
        <w:rPr>
          <w:rFonts w:hint="eastAsia" w:cs="宋体"/>
        </w:rPr>
        <w:t>项规定的投标截止时间前，投标人可以修改或撤回已在网上递交的投标文件，无须书面形式通知招标人。</w:t>
      </w:r>
    </w:p>
    <w:bookmarkEnd w:id="364"/>
    <w:bookmarkEnd w:id="365"/>
    <w:bookmarkEnd w:id="366"/>
    <w:bookmarkEnd w:id="367"/>
    <w:bookmarkEnd w:id="368"/>
    <w:bookmarkEnd w:id="369"/>
    <w:p w14:paraId="5E696867">
      <w:pPr>
        <w:pStyle w:val="3"/>
        <w:spacing w:before="0" w:after="0" w:line="360" w:lineRule="auto"/>
        <w:rPr>
          <w:rFonts w:cs="Times New Roman"/>
        </w:rPr>
      </w:pPr>
      <w:bookmarkStart w:id="370" w:name="_Toc45896941"/>
      <w:bookmarkEnd w:id="370"/>
      <w:bookmarkStart w:id="371" w:name="_Toc13656"/>
      <w:bookmarkEnd w:id="371"/>
      <w:bookmarkStart w:id="372" w:name="_Toc26881_WPSOffice_Level2"/>
      <w:bookmarkEnd w:id="372"/>
      <w:bookmarkStart w:id="373" w:name="_Toc45896645"/>
      <w:bookmarkEnd w:id="373"/>
      <w:bookmarkStart w:id="374" w:name="_Toc23175_WPSOffice_Level2"/>
      <w:bookmarkEnd w:id="374"/>
      <w:r>
        <w:t xml:space="preserve">5. </w:t>
      </w:r>
      <w:r>
        <w:rPr>
          <w:rFonts w:hint="eastAsia" w:cs="黑体"/>
        </w:rPr>
        <w:t>开标</w:t>
      </w:r>
    </w:p>
    <w:p w14:paraId="1109CA9E">
      <w:pPr>
        <w:pStyle w:val="4"/>
        <w:spacing w:before="0" w:after="0" w:line="360" w:lineRule="auto"/>
        <w:rPr>
          <w:rFonts w:ascii="Times New Roman" w:hAnsi="Times New Roman" w:cs="Times New Roman"/>
        </w:rPr>
      </w:pPr>
      <w:bookmarkStart w:id="375" w:name="_Toc247513984"/>
      <w:bookmarkEnd w:id="375"/>
      <w:bookmarkStart w:id="376" w:name="_Toc45896646"/>
      <w:bookmarkEnd w:id="376"/>
      <w:bookmarkStart w:id="377" w:name="_Toc152045560"/>
      <w:bookmarkEnd w:id="377"/>
      <w:bookmarkStart w:id="378" w:name="_Toc24462"/>
      <w:bookmarkEnd w:id="378"/>
      <w:bookmarkStart w:id="379" w:name="_Toc144974528"/>
      <w:bookmarkEnd w:id="379"/>
      <w:bookmarkStart w:id="380" w:name="_Toc152042336"/>
      <w:bookmarkEnd w:id="380"/>
      <w:bookmarkStart w:id="381" w:name="_Toc20495"/>
      <w:bookmarkEnd w:id="381"/>
      <w:bookmarkStart w:id="382" w:name="_Toc45896942"/>
      <w:bookmarkEnd w:id="382"/>
      <w:bookmarkStart w:id="383" w:name="_Toc247527585"/>
      <w:bookmarkEnd w:id="383"/>
      <w:bookmarkStart w:id="384" w:name="_Toc20405"/>
      <w:bookmarkEnd w:id="384"/>
      <w:r>
        <w:rPr>
          <w:rFonts w:ascii="Times New Roman" w:hAnsi="Times New Roman" w:cs="Times New Roman"/>
        </w:rPr>
        <w:t xml:space="preserve">5.1 </w:t>
      </w:r>
      <w:r>
        <w:rPr>
          <w:rFonts w:hint="eastAsia" w:ascii="Times New Roman" w:hAnsi="Times New Roman"/>
        </w:rPr>
        <w:t>开标时间和地点</w:t>
      </w:r>
    </w:p>
    <w:p w14:paraId="62DD7399">
      <w:pPr>
        <w:spacing w:line="360" w:lineRule="auto"/>
        <w:ind w:firstLine="420" w:firstLineChars="200"/>
        <w:rPr>
          <w:rFonts w:cs="Times New Roman"/>
        </w:rPr>
      </w:pPr>
      <w:bookmarkStart w:id="385" w:name="_Toc152042337"/>
      <w:bookmarkStart w:id="386" w:name="_Toc144974529"/>
      <w:bookmarkStart w:id="387" w:name="_Toc247527586"/>
      <w:bookmarkStart w:id="388" w:name="_Toc247513985"/>
      <w:bookmarkStart w:id="389" w:name="_Toc152045561"/>
      <w:r>
        <w:rPr>
          <w:rFonts w:hint="eastAsia" w:cs="宋体"/>
        </w:rPr>
        <w:t>招标人在本章第</w:t>
      </w:r>
      <w:r>
        <w:t>2.2.2</w:t>
      </w:r>
      <w:r>
        <w:rPr>
          <w:rFonts w:hint="eastAsia" w:cs="宋体"/>
        </w:rPr>
        <w:t>项规定的投标截止时间（开标时间）和投标人须知前附表规定的地点公开开标。</w:t>
      </w:r>
    </w:p>
    <w:bookmarkEnd w:id="385"/>
    <w:bookmarkEnd w:id="386"/>
    <w:bookmarkEnd w:id="387"/>
    <w:bookmarkEnd w:id="388"/>
    <w:bookmarkEnd w:id="389"/>
    <w:p w14:paraId="733AC6E0">
      <w:pPr>
        <w:pStyle w:val="4"/>
        <w:spacing w:before="0" w:after="0" w:line="360" w:lineRule="auto"/>
        <w:rPr>
          <w:rFonts w:ascii="Times New Roman" w:hAnsi="Times New Roman" w:cs="Times New Roman"/>
        </w:rPr>
      </w:pPr>
      <w:bookmarkStart w:id="390" w:name="_Toc1862"/>
      <w:bookmarkEnd w:id="390"/>
      <w:bookmarkStart w:id="391" w:name="_Toc30079"/>
      <w:bookmarkEnd w:id="391"/>
      <w:bookmarkStart w:id="392" w:name="_Toc45896647"/>
      <w:bookmarkEnd w:id="392"/>
      <w:bookmarkStart w:id="393" w:name="_Toc17348"/>
      <w:bookmarkEnd w:id="393"/>
      <w:bookmarkStart w:id="394" w:name="_Toc45896943"/>
      <w:bookmarkEnd w:id="394"/>
      <w:r>
        <w:rPr>
          <w:rFonts w:ascii="Times New Roman" w:hAnsi="Times New Roman" w:cs="Times New Roman"/>
        </w:rPr>
        <w:t xml:space="preserve">5.2 </w:t>
      </w:r>
      <w:r>
        <w:rPr>
          <w:rFonts w:hint="eastAsia" w:ascii="Times New Roman" w:hAnsi="Times New Roman"/>
        </w:rPr>
        <w:t>开标程序及要求</w:t>
      </w:r>
    </w:p>
    <w:p w14:paraId="2D3977E3">
      <w:pPr>
        <w:spacing w:line="360" w:lineRule="auto"/>
        <w:ind w:firstLine="359" w:firstLineChars="171"/>
        <w:rPr>
          <w:rFonts w:cs="宋体"/>
        </w:rPr>
      </w:pPr>
      <w:bookmarkStart w:id="395" w:name="_Toc45896648"/>
      <w:bookmarkStart w:id="396" w:name="_Toc45896944"/>
      <w:bookmarkStart w:id="397" w:name="_Toc300834983"/>
      <w:bookmarkStart w:id="398" w:name="_Toc9956"/>
      <w:r>
        <w:rPr>
          <w:rFonts w:hint="eastAsia" w:cs="宋体"/>
        </w:rPr>
        <w:t>5.2.1在规定的开标时间内，由招标人（招标代理机构）下达开标命令，并按规定设置解密时间，在规定的解密时间内（解密时长：在网络系统正常运行条件下投标人总数为10家以内的，解密时长一般为10分钟；投标人总数为50家以内的，解密时长一般为20分钟；投标人总数为100家以内的，解密时长一般为30分钟；投标人总数超过100家的，解密时长一般为45分钟），若投标人未在规定时</w:t>
      </w:r>
      <w:r>
        <w:rPr>
          <w:rFonts w:hint="eastAsia" w:cs="宋体"/>
          <w:lang w:eastAsia="zh-CN"/>
        </w:rPr>
        <w:t>间内</w:t>
      </w:r>
      <w:r>
        <w:rPr>
          <w:rFonts w:hint="eastAsia" w:cs="宋体"/>
        </w:rPr>
        <w:t>完成解密的，视为撤销其投标文件，不再进入评标。开标过程中如有疑问，可以在线提出，由招标代理机构给予对应回复。在规定的签名确认时间内不进行开标一览表确认的，则视为对开标结果无异议。若因投标人原因造成电子投标文件不能在规定的解密时间内进行正常解密或者不能正常打开的，视为撤回投标文件，由此带来的后果由投标人自行承担。</w:t>
      </w:r>
    </w:p>
    <w:p w14:paraId="1381D396">
      <w:pPr>
        <w:spacing w:line="360" w:lineRule="auto"/>
        <w:ind w:firstLine="359" w:firstLineChars="171"/>
        <w:rPr>
          <w:rFonts w:cs="宋体"/>
        </w:rPr>
      </w:pPr>
      <w:r>
        <w:rPr>
          <w:rFonts w:hint="eastAsia" w:cs="宋体"/>
        </w:rPr>
        <w:t>5.2.2各投标人若对开标有异议，可以在线发起异议，点击右上角的〔提出异议〕按钮，填写异议详细内容之后进行提交，由招标人(招标代理机构）给予对应的回复；</w:t>
      </w:r>
    </w:p>
    <w:p w14:paraId="4278C4DF">
      <w:pPr>
        <w:spacing w:line="360" w:lineRule="auto"/>
        <w:ind w:firstLine="359" w:firstLineChars="171"/>
        <w:rPr>
          <w:rFonts w:cs="宋体"/>
        </w:rPr>
      </w:pPr>
      <w:r>
        <w:rPr>
          <w:rFonts w:hint="eastAsia" w:cs="宋体"/>
        </w:rPr>
        <w:t>5.2.3各投标人在规定的时间内用数字证书在开标记录表上进行签名确认，未在规定时限内签名确认的视为对此次开标结果无异议；</w:t>
      </w:r>
    </w:p>
    <w:p w14:paraId="1962E30A">
      <w:pPr>
        <w:spacing w:line="360" w:lineRule="auto"/>
        <w:ind w:firstLine="359" w:firstLineChars="171"/>
        <w:rPr>
          <w:rFonts w:cs="宋体"/>
        </w:rPr>
      </w:pPr>
      <w:r>
        <w:rPr>
          <w:rFonts w:hint="eastAsia" w:cs="宋体"/>
        </w:rPr>
        <w:t>5.2.4招标人、纪律监察、行政监管人员、招标代理机构、交易中心有关人员在开标记录上签字确认；</w:t>
      </w:r>
    </w:p>
    <w:p w14:paraId="6A0D5C39">
      <w:pPr>
        <w:spacing w:line="360" w:lineRule="auto"/>
        <w:ind w:firstLine="359" w:firstLineChars="171"/>
        <w:outlineLvl w:val="3"/>
        <w:rPr>
          <w:rFonts w:cs="宋体"/>
        </w:rPr>
      </w:pPr>
      <w:r>
        <w:rPr>
          <w:rFonts w:hint="eastAsia" w:cs="宋体"/>
        </w:rPr>
        <w:t>5.2.5开标结束。</w:t>
      </w:r>
    </w:p>
    <w:bookmarkEnd w:id="395"/>
    <w:bookmarkEnd w:id="396"/>
    <w:bookmarkEnd w:id="397"/>
    <w:p w14:paraId="3D9AC461">
      <w:pPr>
        <w:pStyle w:val="4"/>
        <w:spacing w:before="0" w:after="0" w:line="360" w:lineRule="auto"/>
        <w:rPr>
          <w:rFonts w:ascii="Times New Roman" w:hAnsi="Times New Roman" w:cs="Times New Roman"/>
        </w:rPr>
      </w:pPr>
      <w:bookmarkStart w:id="399" w:name="_Toc31811"/>
      <w:bookmarkEnd w:id="399"/>
      <w:bookmarkStart w:id="400" w:name="_Toc21246"/>
      <w:bookmarkEnd w:id="400"/>
      <w:r>
        <w:rPr>
          <w:rFonts w:ascii="Times New Roman" w:hAnsi="Times New Roman" w:cs="Times New Roman"/>
        </w:rPr>
        <w:t>5.3</w:t>
      </w:r>
      <w:r>
        <w:rPr>
          <w:rFonts w:hint="eastAsia" w:ascii="Times New Roman" w:hAnsi="Times New Roman"/>
        </w:rPr>
        <w:t>开标异议</w:t>
      </w:r>
    </w:p>
    <w:p w14:paraId="4FA1A7B0">
      <w:pPr>
        <w:spacing w:line="360" w:lineRule="auto"/>
        <w:ind w:firstLine="359" w:firstLineChars="171"/>
        <w:rPr>
          <w:rFonts w:cs="Times New Roman"/>
        </w:rPr>
      </w:pPr>
      <w:r>
        <w:rPr>
          <w:rFonts w:hint="eastAsia" w:cs="宋体"/>
        </w:rPr>
        <w:t>投标人对开标有异议的，应当在开标现场提出，招标人当场作出答复，并制作记录。</w:t>
      </w:r>
    </w:p>
    <w:bookmarkEnd w:id="398"/>
    <w:p w14:paraId="0C5F0D0F">
      <w:pPr>
        <w:pStyle w:val="4"/>
        <w:spacing w:before="0" w:after="0" w:line="360" w:lineRule="auto"/>
        <w:rPr>
          <w:rFonts w:ascii="Times New Roman" w:hAnsi="Times New Roman" w:cs="Times New Roman"/>
        </w:rPr>
      </w:pPr>
      <w:bookmarkStart w:id="401" w:name="_Toc17770"/>
      <w:bookmarkEnd w:id="401"/>
      <w:bookmarkStart w:id="402" w:name="_Toc14902"/>
      <w:bookmarkEnd w:id="402"/>
      <w:bookmarkStart w:id="403" w:name="_Toc45896945"/>
      <w:bookmarkEnd w:id="403"/>
      <w:bookmarkStart w:id="404" w:name="_Toc45896649"/>
      <w:bookmarkEnd w:id="404"/>
      <w:r>
        <w:rPr>
          <w:rFonts w:ascii="Times New Roman" w:hAnsi="Times New Roman" w:cs="Times New Roman"/>
        </w:rPr>
        <w:t xml:space="preserve">5.4 </w:t>
      </w:r>
      <w:r>
        <w:rPr>
          <w:rFonts w:hint="eastAsia" w:ascii="Times New Roman" w:hAnsi="Times New Roman"/>
        </w:rPr>
        <w:t>投标文件不予受理情形</w:t>
      </w:r>
    </w:p>
    <w:p w14:paraId="7EA4FC27">
      <w:pPr>
        <w:spacing w:line="360" w:lineRule="auto"/>
        <w:ind w:firstLine="359" w:firstLineChars="171"/>
        <w:rPr>
          <w:rFonts w:cs="Times New Roman"/>
        </w:rPr>
      </w:pPr>
      <w:r>
        <w:rPr>
          <w:rFonts w:hint="eastAsia" w:cs="宋体"/>
        </w:rPr>
        <w:t>投标文件有下列情形之一的，招标人不予受理：</w:t>
      </w:r>
    </w:p>
    <w:p w14:paraId="5185FAB6">
      <w:pPr>
        <w:spacing w:line="360" w:lineRule="auto"/>
        <w:ind w:firstLine="359" w:firstLineChars="171"/>
        <w:outlineLvl w:val="3"/>
        <w:rPr>
          <w:rFonts w:cs="Times New Roman"/>
        </w:rPr>
      </w:pPr>
      <w:r>
        <w:t>(1</w:t>
      </w:r>
      <w:r>
        <w:rPr>
          <w:rFonts w:hint="eastAsia"/>
        </w:rPr>
        <w:t>）</w:t>
      </w:r>
      <w:r>
        <w:rPr>
          <w:rFonts w:hint="eastAsia" w:cs="宋体"/>
        </w:rPr>
        <w:t>在</w:t>
      </w:r>
      <w:r>
        <w:t>2.2.2</w:t>
      </w:r>
      <w:r>
        <w:rPr>
          <w:rFonts w:hint="eastAsia" w:cs="宋体"/>
        </w:rPr>
        <w:t>项规定的“投标截止时间”以后逾期送达的；</w:t>
      </w:r>
    </w:p>
    <w:p w14:paraId="552FBA80">
      <w:pPr>
        <w:spacing w:line="360" w:lineRule="auto"/>
        <w:ind w:firstLine="359" w:firstLineChars="171"/>
        <w:rPr>
          <w:rFonts w:cs="Times New Roman"/>
        </w:rPr>
      </w:pPr>
      <w:r>
        <w:t>(2</w:t>
      </w:r>
      <w:r>
        <w:rPr>
          <w:rFonts w:hint="eastAsia"/>
        </w:rPr>
        <w:t>）</w:t>
      </w:r>
      <w:r>
        <w:rPr>
          <w:rFonts w:hint="eastAsia" w:cs="宋体"/>
        </w:rPr>
        <w:t>投标人提交的电子标书格式不符合</w:t>
      </w:r>
      <w:r>
        <w:t>3.7.1</w:t>
      </w:r>
      <w:r>
        <w:rPr>
          <w:rFonts w:hint="eastAsia" w:cs="宋体"/>
        </w:rPr>
        <w:t>项要求或无法读取导入的。</w:t>
      </w:r>
    </w:p>
    <w:p w14:paraId="1EA5D2EA">
      <w:pPr>
        <w:pStyle w:val="3"/>
        <w:spacing w:before="0" w:after="0" w:line="360" w:lineRule="auto"/>
        <w:rPr>
          <w:rFonts w:cs="Times New Roman"/>
        </w:rPr>
      </w:pPr>
      <w:bookmarkStart w:id="405" w:name="_Toc20473"/>
      <w:bookmarkEnd w:id="405"/>
      <w:bookmarkStart w:id="406" w:name="_Toc3400_WPSOffice_Level2"/>
      <w:bookmarkEnd w:id="406"/>
      <w:bookmarkStart w:id="407" w:name="_Toc45896650"/>
      <w:bookmarkEnd w:id="407"/>
      <w:bookmarkStart w:id="408" w:name="_Toc26559_WPSOffice_Level2"/>
      <w:bookmarkEnd w:id="408"/>
      <w:bookmarkStart w:id="409" w:name="_Toc45896946"/>
      <w:bookmarkEnd w:id="409"/>
      <w:bookmarkStart w:id="410" w:name="_Toc152042338"/>
      <w:bookmarkEnd w:id="410"/>
      <w:bookmarkStart w:id="411" w:name="_Toc247527587"/>
      <w:bookmarkEnd w:id="411"/>
      <w:bookmarkStart w:id="412" w:name="_Toc144974530"/>
      <w:bookmarkEnd w:id="412"/>
      <w:bookmarkStart w:id="413" w:name="_Toc12378"/>
      <w:bookmarkEnd w:id="413"/>
      <w:bookmarkStart w:id="414" w:name="_Toc247513986"/>
      <w:bookmarkEnd w:id="414"/>
      <w:bookmarkStart w:id="415" w:name="_Toc152045562"/>
      <w:bookmarkEnd w:id="415"/>
      <w:r>
        <w:t xml:space="preserve">6. </w:t>
      </w:r>
      <w:r>
        <w:rPr>
          <w:rFonts w:hint="eastAsia" w:cs="黑体"/>
        </w:rPr>
        <w:t>评标</w:t>
      </w:r>
    </w:p>
    <w:p w14:paraId="111CC4A1">
      <w:pPr>
        <w:pStyle w:val="4"/>
        <w:spacing w:before="0" w:after="0" w:line="360" w:lineRule="auto"/>
        <w:rPr>
          <w:rFonts w:ascii="Times New Roman" w:hAnsi="Times New Roman" w:cs="Times New Roman"/>
        </w:rPr>
      </w:pPr>
      <w:bookmarkStart w:id="416" w:name="_Toc8222"/>
      <w:bookmarkEnd w:id="416"/>
      <w:bookmarkStart w:id="417" w:name="_Toc144974531"/>
      <w:bookmarkEnd w:id="417"/>
      <w:bookmarkStart w:id="418" w:name="_Toc45896651"/>
      <w:bookmarkEnd w:id="418"/>
      <w:bookmarkStart w:id="419" w:name="_Toc152042339"/>
      <w:bookmarkEnd w:id="419"/>
      <w:bookmarkStart w:id="420" w:name="_Toc45896947"/>
      <w:bookmarkEnd w:id="420"/>
      <w:bookmarkStart w:id="421" w:name="_Toc247527588"/>
      <w:bookmarkEnd w:id="421"/>
      <w:bookmarkStart w:id="422" w:name="_Toc247513987"/>
      <w:bookmarkEnd w:id="422"/>
      <w:bookmarkStart w:id="423" w:name="_Toc32766"/>
      <w:bookmarkEnd w:id="423"/>
      <w:bookmarkStart w:id="424" w:name="_Toc6173"/>
      <w:bookmarkEnd w:id="424"/>
      <w:bookmarkStart w:id="425" w:name="_Toc152045563"/>
      <w:bookmarkEnd w:id="425"/>
      <w:r>
        <w:rPr>
          <w:rFonts w:ascii="Times New Roman" w:hAnsi="Times New Roman" w:cs="Times New Roman"/>
        </w:rPr>
        <w:t xml:space="preserve">6.1 </w:t>
      </w:r>
      <w:r>
        <w:rPr>
          <w:rFonts w:hint="eastAsia" w:ascii="Times New Roman" w:hAnsi="Times New Roman"/>
        </w:rPr>
        <w:t>评标委员会</w:t>
      </w:r>
    </w:p>
    <w:p w14:paraId="340673F9">
      <w:pPr>
        <w:spacing w:line="360" w:lineRule="auto"/>
        <w:ind w:firstLine="420" w:firstLineChars="200"/>
        <w:rPr>
          <w:rFonts w:cs="Times New Roman"/>
        </w:rPr>
      </w:pPr>
      <w:bookmarkStart w:id="426" w:name="_Toc247513988"/>
      <w:bookmarkStart w:id="427" w:name="_Toc152045564"/>
      <w:bookmarkStart w:id="428" w:name="_Toc152042340"/>
      <w:bookmarkStart w:id="429" w:name="_Toc247527589"/>
      <w:bookmarkStart w:id="430" w:name="_Toc144974532"/>
      <w:r>
        <w:t xml:space="preserve">6.1.1 </w:t>
      </w:r>
      <w:r>
        <w:rPr>
          <w:rFonts w:hint="eastAsia" w:cs="宋体"/>
        </w:rP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47159CB5">
      <w:pPr>
        <w:spacing w:line="360" w:lineRule="auto"/>
        <w:ind w:firstLine="420" w:firstLineChars="200"/>
        <w:outlineLvl w:val="3"/>
        <w:rPr>
          <w:rFonts w:cs="Times New Roman"/>
        </w:rPr>
      </w:pPr>
      <w:r>
        <w:t xml:space="preserve">6.1.2 </w:t>
      </w:r>
      <w:r>
        <w:rPr>
          <w:rFonts w:hint="eastAsia" w:cs="宋体"/>
        </w:rPr>
        <w:t>评标委员会成员有下列情形之一的，应当回避：</w:t>
      </w:r>
    </w:p>
    <w:p w14:paraId="72A3E7CF">
      <w:pPr>
        <w:spacing w:line="360" w:lineRule="auto"/>
        <w:rPr>
          <w:rFonts w:cs="Times New Roman"/>
        </w:rPr>
      </w:pPr>
      <w:r>
        <w:rPr>
          <w:rFonts w:hint="eastAsia" w:cs="宋体"/>
        </w:rPr>
        <w:t xml:space="preserve">   （</w:t>
      </w:r>
      <w:r>
        <w:t>1</w:t>
      </w:r>
      <w:r>
        <w:rPr>
          <w:rFonts w:hint="eastAsia" w:cs="宋体"/>
        </w:rPr>
        <w:t>）投标人或投标人主要负责人的近亲属；</w:t>
      </w:r>
    </w:p>
    <w:p w14:paraId="47D08C55">
      <w:pPr>
        <w:spacing w:line="360" w:lineRule="auto"/>
        <w:rPr>
          <w:rFonts w:cs="Times New Roman"/>
        </w:rPr>
      </w:pPr>
      <w:r>
        <w:rPr>
          <w:rFonts w:hint="eastAsia" w:cs="宋体"/>
        </w:rPr>
        <w:t xml:space="preserve">   （</w:t>
      </w:r>
      <w:r>
        <w:t>2</w:t>
      </w:r>
      <w:r>
        <w:rPr>
          <w:rFonts w:hint="eastAsia" w:cs="宋体"/>
        </w:rPr>
        <w:t>）项目主管部门或者行政监督部门的人员；</w:t>
      </w:r>
    </w:p>
    <w:p w14:paraId="17239883">
      <w:pPr>
        <w:spacing w:line="360" w:lineRule="auto"/>
        <w:rPr>
          <w:rFonts w:cs="Times New Roman"/>
        </w:rPr>
      </w:pPr>
      <w:r>
        <w:rPr>
          <w:rFonts w:hint="eastAsia" w:cs="宋体"/>
        </w:rPr>
        <w:t xml:space="preserve">   （</w:t>
      </w:r>
      <w:r>
        <w:t>3</w:t>
      </w:r>
      <w:r>
        <w:rPr>
          <w:rFonts w:hint="eastAsia" w:cs="宋体"/>
        </w:rPr>
        <w:t>）与投标人有经济利益关系，可能影响对投标公正评审的；</w:t>
      </w:r>
    </w:p>
    <w:p w14:paraId="188424F0">
      <w:pPr>
        <w:spacing w:line="360" w:lineRule="auto"/>
        <w:rPr>
          <w:rFonts w:cs="Times New Roman"/>
        </w:rPr>
      </w:pPr>
      <w:r>
        <w:rPr>
          <w:rFonts w:hint="eastAsia" w:cs="宋体"/>
        </w:rPr>
        <w:t xml:space="preserve">   （</w:t>
      </w:r>
      <w:r>
        <w:t>4</w:t>
      </w:r>
      <w:r>
        <w:rPr>
          <w:rFonts w:hint="eastAsia" w:cs="宋体"/>
        </w:rPr>
        <w:t>）曾因在招标、评标以及其他与招标投标有关活动中从事违法行为而受过行政处罚或刑事处罚的；</w:t>
      </w:r>
    </w:p>
    <w:p w14:paraId="0EB45495">
      <w:pPr>
        <w:spacing w:line="360" w:lineRule="auto"/>
        <w:outlineLvl w:val="4"/>
        <w:rPr>
          <w:rFonts w:cs="Times New Roman"/>
        </w:rPr>
      </w:pPr>
      <w:r>
        <w:rPr>
          <w:rFonts w:hint="eastAsia" w:cs="宋体"/>
        </w:rPr>
        <w:t xml:space="preserve">   （</w:t>
      </w:r>
      <w:r>
        <w:t>5</w:t>
      </w:r>
      <w:r>
        <w:rPr>
          <w:rFonts w:hint="eastAsia" w:cs="宋体"/>
        </w:rPr>
        <w:t>）与投标人有其他利害关系。</w:t>
      </w:r>
    </w:p>
    <w:bookmarkEnd w:id="426"/>
    <w:bookmarkEnd w:id="427"/>
    <w:bookmarkEnd w:id="428"/>
    <w:bookmarkEnd w:id="429"/>
    <w:bookmarkEnd w:id="430"/>
    <w:p w14:paraId="41717B83">
      <w:pPr>
        <w:pStyle w:val="4"/>
        <w:spacing w:before="0" w:after="0" w:line="360" w:lineRule="auto"/>
        <w:rPr>
          <w:rFonts w:ascii="Times New Roman" w:hAnsi="Times New Roman" w:cs="Times New Roman"/>
        </w:rPr>
      </w:pPr>
      <w:bookmarkStart w:id="431" w:name="_Toc45896652"/>
      <w:bookmarkEnd w:id="431"/>
      <w:bookmarkStart w:id="432" w:name="_Toc3058"/>
      <w:bookmarkEnd w:id="432"/>
      <w:bookmarkStart w:id="433" w:name="_Toc17406"/>
      <w:bookmarkEnd w:id="433"/>
      <w:bookmarkStart w:id="434" w:name="_Toc6535"/>
      <w:bookmarkEnd w:id="434"/>
      <w:bookmarkStart w:id="435" w:name="_Toc45896948"/>
      <w:bookmarkEnd w:id="435"/>
      <w:r>
        <w:rPr>
          <w:rFonts w:ascii="Times New Roman" w:hAnsi="Times New Roman" w:cs="Times New Roman"/>
        </w:rPr>
        <w:t xml:space="preserve">6.2 </w:t>
      </w:r>
      <w:r>
        <w:rPr>
          <w:rFonts w:hint="eastAsia" w:ascii="Times New Roman" w:hAnsi="Times New Roman"/>
        </w:rPr>
        <w:t>评标原则</w:t>
      </w:r>
      <w:r>
        <w:rPr>
          <w:rFonts w:ascii="Times New Roman" w:hAnsi="Times New Roman" w:cs="Times New Roman"/>
        </w:rPr>
        <w:tab/>
      </w:r>
    </w:p>
    <w:p w14:paraId="4E32DED1">
      <w:pPr>
        <w:spacing w:line="360" w:lineRule="auto"/>
        <w:ind w:firstLine="420" w:firstLineChars="200"/>
        <w:rPr>
          <w:rFonts w:cs="Times New Roman"/>
        </w:rPr>
      </w:pPr>
      <w:r>
        <w:rPr>
          <w:rFonts w:hint="eastAsia" w:cs="宋体"/>
        </w:rPr>
        <w:t>评标活动遵循公平、公正、科学和择优的原则。</w:t>
      </w:r>
    </w:p>
    <w:p w14:paraId="775638F1">
      <w:pPr>
        <w:pStyle w:val="4"/>
        <w:spacing w:before="0" w:after="0" w:line="360" w:lineRule="auto"/>
        <w:rPr>
          <w:rFonts w:ascii="Times New Roman" w:hAnsi="Times New Roman" w:cs="Times New Roman"/>
        </w:rPr>
      </w:pPr>
      <w:bookmarkStart w:id="436" w:name="_Toc152045565"/>
      <w:bookmarkEnd w:id="436"/>
      <w:bookmarkStart w:id="437" w:name="_Toc1107"/>
      <w:bookmarkEnd w:id="437"/>
      <w:bookmarkStart w:id="438" w:name="_Toc144974533"/>
      <w:bookmarkEnd w:id="438"/>
      <w:bookmarkStart w:id="439" w:name="_Toc45896653"/>
      <w:bookmarkEnd w:id="439"/>
      <w:bookmarkStart w:id="440" w:name="_Toc247513989"/>
      <w:bookmarkEnd w:id="440"/>
      <w:bookmarkStart w:id="441" w:name="_Toc991"/>
      <w:bookmarkEnd w:id="441"/>
      <w:bookmarkStart w:id="442" w:name="_Toc247527590"/>
      <w:bookmarkEnd w:id="442"/>
      <w:bookmarkStart w:id="443" w:name="_Toc45896949"/>
      <w:bookmarkEnd w:id="443"/>
      <w:bookmarkStart w:id="444" w:name="_Toc152042341"/>
      <w:bookmarkEnd w:id="444"/>
      <w:bookmarkStart w:id="445" w:name="_Toc2081"/>
      <w:bookmarkEnd w:id="445"/>
      <w:r>
        <w:rPr>
          <w:rFonts w:ascii="Times New Roman" w:hAnsi="Times New Roman" w:cs="Times New Roman"/>
        </w:rPr>
        <w:t xml:space="preserve">6.3 </w:t>
      </w:r>
      <w:r>
        <w:rPr>
          <w:rFonts w:hint="eastAsia" w:ascii="Times New Roman" w:hAnsi="Times New Roman"/>
        </w:rPr>
        <w:t>评标</w:t>
      </w:r>
    </w:p>
    <w:p w14:paraId="41706158">
      <w:pPr>
        <w:spacing w:line="360" w:lineRule="auto"/>
        <w:ind w:firstLine="420" w:firstLineChars="200"/>
        <w:rPr>
          <w:rFonts w:cs="Times New Roman"/>
        </w:rPr>
      </w:pPr>
      <w:r>
        <w:rPr>
          <w:rFonts w:hint="eastAsia" w:cs="宋体"/>
        </w:rPr>
        <w:t>评标委员会按照第三章“评标办法”规定的方法、评审因素、标准和程序对投标文件进行评审。第三章“评标办法”没有规定的方法、评审因素和标准，不作为评标依据。</w:t>
      </w:r>
    </w:p>
    <w:p w14:paraId="6FBEF5E9">
      <w:pPr>
        <w:pStyle w:val="3"/>
        <w:spacing w:before="0" w:after="0" w:line="360" w:lineRule="auto"/>
        <w:rPr>
          <w:rFonts w:cs="Times New Roman"/>
        </w:rPr>
      </w:pPr>
      <w:bookmarkStart w:id="446" w:name="_Toc27535_WPSOffice_Level2"/>
      <w:bookmarkEnd w:id="446"/>
      <w:bookmarkStart w:id="447" w:name="_Toc45896950"/>
      <w:bookmarkEnd w:id="447"/>
      <w:bookmarkStart w:id="448" w:name="_Toc9808"/>
      <w:bookmarkEnd w:id="448"/>
      <w:bookmarkStart w:id="449" w:name="_Toc247527591"/>
      <w:bookmarkEnd w:id="449"/>
      <w:bookmarkStart w:id="450" w:name="_Toc152045566"/>
      <w:bookmarkEnd w:id="450"/>
      <w:bookmarkStart w:id="451" w:name="_Toc45896654"/>
      <w:bookmarkEnd w:id="451"/>
      <w:bookmarkStart w:id="452" w:name="_Toc144974534"/>
      <w:bookmarkEnd w:id="452"/>
      <w:bookmarkStart w:id="453" w:name="_Toc1184_WPSOffice_Level2"/>
      <w:bookmarkEnd w:id="453"/>
      <w:bookmarkStart w:id="454" w:name="_Toc152042342"/>
      <w:bookmarkEnd w:id="454"/>
      <w:bookmarkStart w:id="455" w:name="_Toc247513990"/>
      <w:bookmarkEnd w:id="455"/>
      <w:bookmarkStart w:id="456" w:name="_Toc28429"/>
      <w:bookmarkEnd w:id="456"/>
      <w:r>
        <w:t xml:space="preserve">7. </w:t>
      </w:r>
      <w:r>
        <w:rPr>
          <w:rFonts w:hint="eastAsia" w:cs="黑体"/>
        </w:rPr>
        <w:t>合同授予</w:t>
      </w:r>
    </w:p>
    <w:p w14:paraId="7547C542">
      <w:pPr>
        <w:pStyle w:val="4"/>
        <w:spacing w:before="0" w:after="0" w:line="360" w:lineRule="auto"/>
        <w:rPr>
          <w:rFonts w:ascii="Times New Roman" w:hAnsi="Times New Roman" w:cs="Times New Roman"/>
        </w:rPr>
      </w:pPr>
      <w:bookmarkStart w:id="457" w:name="_Toc152045567"/>
      <w:bookmarkEnd w:id="457"/>
      <w:bookmarkStart w:id="458" w:name="_Toc45896655"/>
      <w:bookmarkEnd w:id="458"/>
      <w:bookmarkStart w:id="459" w:name="_Toc2235"/>
      <w:bookmarkEnd w:id="459"/>
      <w:bookmarkStart w:id="460" w:name="_Toc144974535"/>
      <w:bookmarkEnd w:id="460"/>
      <w:bookmarkStart w:id="461" w:name="_Toc247513991"/>
      <w:bookmarkEnd w:id="461"/>
      <w:bookmarkStart w:id="462" w:name="_Toc1577"/>
      <w:bookmarkEnd w:id="462"/>
      <w:bookmarkStart w:id="463" w:name="_Toc247527592"/>
      <w:bookmarkEnd w:id="463"/>
      <w:bookmarkStart w:id="464" w:name="_Toc45896951"/>
      <w:bookmarkEnd w:id="464"/>
      <w:bookmarkStart w:id="465" w:name="_Toc152042343"/>
      <w:bookmarkEnd w:id="465"/>
      <w:bookmarkStart w:id="466" w:name="_Toc25869"/>
      <w:bookmarkEnd w:id="466"/>
      <w:r>
        <w:rPr>
          <w:rFonts w:ascii="Times New Roman" w:hAnsi="Times New Roman" w:cs="Times New Roman"/>
        </w:rPr>
        <w:t xml:space="preserve">7.1 </w:t>
      </w:r>
      <w:r>
        <w:rPr>
          <w:rFonts w:hint="eastAsia" w:ascii="Times New Roman" w:hAnsi="Times New Roman"/>
        </w:rPr>
        <w:t>定标方式</w:t>
      </w:r>
    </w:p>
    <w:p w14:paraId="593D0C19">
      <w:pPr>
        <w:spacing w:line="360" w:lineRule="auto"/>
        <w:ind w:firstLine="420" w:firstLineChars="200"/>
        <w:rPr>
          <w:rFonts w:cs="Times New Roman"/>
        </w:rPr>
      </w:pPr>
      <w:r>
        <w:rPr>
          <w:rFonts w:hint="eastAsia" w:cs="宋体"/>
        </w:rPr>
        <w:t>除投标人须知前附表规定评标委员会直接确定中标人外，招标人依据评标委员会推荐的中标候选人确定中标人，评标委员会推荐中标候选人的人数见投标人须知前附表。</w:t>
      </w:r>
    </w:p>
    <w:p w14:paraId="4A098C13">
      <w:pPr>
        <w:pStyle w:val="4"/>
        <w:spacing w:before="0" w:after="0" w:line="360" w:lineRule="auto"/>
        <w:rPr>
          <w:rFonts w:ascii="Times New Roman" w:hAnsi="Times New Roman" w:cs="Times New Roman"/>
        </w:rPr>
      </w:pPr>
      <w:bookmarkStart w:id="467" w:name="_Toc45896952"/>
      <w:bookmarkEnd w:id="467"/>
      <w:bookmarkStart w:id="468" w:name="_Toc31204"/>
      <w:bookmarkEnd w:id="468"/>
      <w:bookmarkStart w:id="469" w:name="_Toc300834990"/>
      <w:bookmarkEnd w:id="469"/>
      <w:bookmarkStart w:id="470" w:name="_Toc45896656"/>
      <w:bookmarkEnd w:id="470"/>
      <w:bookmarkStart w:id="471" w:name="_Toc28675"/>
      <w:bookmarkEnd w:id="471"/>
      <w:bookmarkStart w:id="472" w:name="_Toc247527593"/>
      <w:bookmarkStart w:id="473" w:name="_Toc247513992"/>
      <w:bookmarkStart w:id="474" w:name="_Toc152042344"/>
      <w:bookmarkStart w:id="475" w:name="_Toc152045568"/>
      <w:bookmarkStart w:id="476" w:name="_Toc144974536"/>
      <w:bookmarkStart w:id="477" w:name="_Toc26037"/>
      <w:r>
        <w:rPr>
          <w:rFonts w:ascii="Times New Roman" w:hAnsi="Times New Roman" w:cs="Times New Roman"/>
        </w:rPr>
        <w:t xml:space="preserve">7.2 </w:t>
      </w:r>
      <w:r>
        <w:rPr>
          <w:rFonts w:hint="eastAsia" w:ascii="Times New Roman" w:hAnsi="Times New Roman"/>
        </w:rPr>
        <w:t>中标候选人公示</w:t>
      </w:r>
    </w:p>
    <w:p w14:paraId="3514E44E">
      <w:pPr>
        <w:spacing w:line="360" w:lineRule="auto"/>
        <w:ind w:firstLine="420" w:firstLineChars="200"/>
        <w:rPr>
          <w:rFonts w:cs="Times New Roman"/>
        </w:rPr>
      </w:pPr>
      <w:r>
        <w:rPr>
          <w:rFonts w:hint="eastAsia" w:cs="宋体"/>
        </w:rPr>
        <w:t>招标人在投标人须知前附表规定的媒介公示中标候选人。</w:t>
      </w:r>
    </w:p>
    <w:bookmarkEnd w:id="472"/>
    <w:bookmarkEnd w:id="473"/>
    <w:bookmarkEnd w:id="474"/>
    <w:bookmarkEnd w:id="475"/>
    <w:bookmarkEnd w:id="476"/>
    <w:bookmarkEnd w:id="477"/>
    <w:p w14:paraId="6117F67C">
      <w:pPr>
        <w:pStyle w:val="4"/>
        <w:spacing w:before="0" w:after="0" w:line="360" w:lineRule="auto"/>
        <w:rPr>
          <w:rFonts w:ascii="Times New Roman" w:hAnsi="Times New Roman" w:cs="Times New Roman"/>
        </w:rPr>
      </w:pPr>
      <w:bookmarkStart w:id="478" w:name="_Toc45896657"/>
      <w:bookmarkEnd w:id="478"/>
      <w:bookmarkStart w:id="479" w:name="_Toc16011"/>
      <w:bookmarkEnd w:id="479"/>
      <w:bookmarkStart w:id="480" w:name="_Toc6018"/>
      <w:bookmarkEnd w:id="480"/>
      <w:bookmarkStart w:id="481" w:name="_Toc45896953"/>
      <w:bookmarkEnd w:id="481"/>
      <w:r>
        <w:rPr>
          <w:rFonts w:ascii="Times New Roman" w:hAnsi="Times New Roman" w:cs="Times New Roman"/>
        </w:rPr>
        <w:t xml:space="preserve">7.3 </w:t>
      </w:r>
      <w:r>
        <w:rPr>
          <w:rFonts w:hint="eastAsia" w:ascii="Times New Roman" w:hAnsi="Times New Roman"/>
        </w:rPr>
        <w:t>中标通知</w:t>
      </w:r>
    </w:p>
    <w:p w14:paraId="19C53A66">
      <w:pPr>
        <w:spacing w:line="360" w:lineRule="auto"/>
        <w:ind w:firstLine="420" w:firstLineChars="200"/>
        <w:rPr>
          <w:rFonts w:cs="Times New Roman"/>
        </w:rPr>
      </w:pPr>
      <w:r>
        <w:rPr>
          <w:rFonts w:hint="eastAsia" w:cs="宋体"/>
        </w:rPr>
        <w:t>在本章第</w:t>
      </w:r>
      <w:r>
        <w:t>3.3</w:t>
      </w:r>
      <w:r>
        <w:rPr>
          <w:rFonts w:hint="eastAsia" w:cs="宋体"/>
        </w:rPr>
        <w:t>款规定的投标有效期内，招标人以书面形式向中标人发出中标通知书，同时将中标结果通知未中标的投标人。中标通知书按本章附表格式填写。</w:t>
      </w:r>
    </w:p>
    <w:p w14:paraId="59A6BDA8">
      <w:pPr>
        <w:pStyle w:val="4"/>
        <w:spacing w:before="0" w:after="0" w:line="360" w:lineRule="auto"/>
        <w:rPr>
          <w:rFonts w:ascii="Times New Roman" w:hAnsi="Times New Roman" w:cs="Times New Roman"/>
        </w:rPr>
      </w:pPr>
      <w:bookmarkStart w:id="482" w:name="_Toc22190"/>
      <w:bookmarkEnd w:id="482"/>
      <w:bookmarkStart w:id="483" w:name="_Toc28670"/>
      <w:bookmarkEnd w:id="483"/>
      <w:bookmarkStart w:id="484" w:name="_Toc45896954"/>
      <w:bookmarkEnd w:id="484"/>
      <w:bookmarkStart w:id="485" w:name="_Toc45896658"/>
      <w:bookmarkEnd w:id="485"/>
      <w:r>
        <w:rPr>
          <w:rFonts w:ascii="Times New Roman" w:hAnsi="Times New Roman" w:cs="Times New Roman"/>
        </w:rPr>
        <w:t xml:space="preserve">7.4 </w:t>
      </w:r>
      <w:r>
        <w:rPr>
          <w:rFonts w:hint="eastAsia" w:ascii="Times New Roman" w:hAnsi="Times New Roman"/>
        </w:rPr>
        <w:t>履约担保</w:t>
      </w:r>
    </w:p>
    <w:p w14:paraId="22230D99">
      <w:pPr>
        <w:spacing w:line="360" w:lineRule="auto"/>
        <w:ind w:firstLine="420" w:firstLineChars="200"/>
        <w:rPr>
          <w:rFonts w:cs="Times New Roman"/>
        </w:rPr>
      </w:pPr>
      <w:r>
        <w:t xml:space="preserve">7.4.1 </w:t>
      </w:r>
      <w:r>
        <w:rPr>
          <w:rFonts w:hint="eastAsia" w:cs="宋体"/>
        </w:rPr>
        <w:t>在签订合同前，中标人应按投标人须知前附表规定的担保形式和招标文件第四章“合同条款及格式”规定的或者事先经过招标人书面认可的履约担保格式向招标人提交履约担保。招标人要求中标人提供履约担保的，招标人应当同时向中标人提供工程款支付担保。除投标人须知前附表另有规定外，履约担保金额为中标合同金额的</w:t>
      </w:r>
      <w:r>
        <w:rPr>
          <w:rFonts w:hint="eastAsia"/>
        </w:rPr>
        <w:t>10</w:t>
      </w:r>
      <w:r>
        <w:t>%</w:t>
      </w:r>
      <w:r>
        <w:rPr>
          <w:rFonts w:hint="eastAsia" w:cs="宋体"/>
        </w:rPr>
        <w:t>。联合体中标的，其履约担保由联合体各方或者联合体牵头人的名义提交。</w:t>
      </w:r>
    </w:p>
    <w:p w14:paraId="1D66DE17">
      <w:pPr>
        <w:spacing w:line="360" w:lineRule="auto"/>
        <w:ind w:firstLine="420" w:firstLineChars="200"/>
        <w:rPr>
          <w:rFonts w:cs="Times New Roman"/>
        </w:rPr>
      </w:pPr>
      <w:r>
        <w:t xml:space="preserve">7.4.2 </w:t>
      </w:r>
      <w:r>
        <w:rPr>
          <w:rFonts w:hint="eastAsia" w:cs="宋体"/>
        </w:rPr>
        <w:t>中标人不能按本章第</w:t>
      </w:r>
      <w:r>
        <w:t>7.4.1</w:t>
      </w:r>
      <w:r>
        <w:rPr>
          <w:rFonts w:hint="eastAsia" w:cs="宋体"/>
        </w:rPr>
        <w:t>项要求提交履约担保的，视为放弃中标，其投标保证金不予退还，给招标人造成的损失超过投标保证金数额的，中标人还应当对超过部分予以赔偿。</w:t>
      </w:r>
    </w:p>
    <w:p w14:paraId="30286898">
      <w:pPr>
        <w:pStyle w:val="4"/>
        <w:spacing w:before="0" w:after="0" w:line="360" w:lineRule="auto"/>
        <w:rPr>
          <w:rFonts w:ascii="Times New Roman" w:hAnsi="Times New Roman" w:cs="Times New Roman"/>
        </w:rPr>
      </w:pPr>
      <w:bookmarkStart w:id="486" w:name="_Toc45896955"/>
      <w:bookmarkEnd w:id="486"/>
      <w:bookmarkStart w:id="487" w:name="_Toc247527595"/>
      <w:bookmarkEnd w:id="487"/>
      <w:bookmarkStart w:id="488" w:name="_Toc45896659"/>
      <w:bookmarkEnd w:id="488"/>
      <w:bookmarkStart w:id="489" w:name="_Toc21887"/>
      <w:bookmarkEnd w:id="489"/>
      <w:bookmarkStart w:id="490" w:name="_Toc152045570"/>
      <w:bookmarkEnd w:id="490"/>
      <w:bookmarkStart w:id="491" w:name="_Toc152042346"/>
      <w:bookmarkEnd w:id="491"/>
      <w:bookmarkStart w:id="492" w:name="_Toc670"/>
      <w:bookmarkEnd w:id="492"/>
      <w:bookmarkStart w:id="493" w:name="_Toc20255"/>
      <w:bookmarkEnd w:id="493"/>
      <w:bookmarkStart w:id="494" w:name="_Toc247513994"/>
      <w:bookmarkEnd w:id="494"/>
      <w:bookmarkStart w:id="495" w:name="_Toc144974538"/>
      <w:bookmarkEnd w:id="495"/>
      <w:r>
        <w:rPr>
          <w:rFonts w:ascii="Times New Roman" w:hAnsi="Times New Roman" w:cs="Times New Roman"/>
        </w:rPr>
        <w:t xml:space="preserve">7.5 </w:t>
      </w:r>
      <w:r>
        <w:rPr>
          <w:rFonts w:hint="eastAsia" w:ascii="Times New Roman" w:hAnsi="Times New Roman"/>
        </w:rPr>
        <w:t>签订合同</w:t>
      </w:r>
    </w:p>
    <w:p w14:paraId="2299A2DC">
      <w:pPr>
        <w:spacing w:line="360" w:lineRule="auto"/>
        <w:ind w:firstLine="420" w:firstLineChars="200"/>
      </w:pPr>
      <w:r>
        <w:t xml:space="preserve">7.5.1 </w:t>
      </w:r>
      <w:r>
        <w:rPr>
          <w:rFonts w:hint="eastAsia" w:cs="宋体"/>
        </w:rPr>
        <w:t>招标人和中标人应当自中标通知书发出之日起</w:t>
      </w:r>
      <w:r>
        <w:t>30</w:t>
      </w:r>
      <w:r>
        <w:rPr>
          <w:rFonts w:hint="eastAsia" w:cs="宋体"/>
        </w:rPr>
        <w:t>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14:paraId="370030F9">
      <w:pPr>
        <w:spacing w:line="360" w:lineRule="auto"/>
        <w:ind w:firstLine="420" w:firstLineChars="200"/>
      </w:pPr>
      <w:r>
        <w:t xml:space="preserve">7.5.2 </w:t>
      </w:r>
      <w:r>
        <w:rPr>
          <w:rFonts w:hint="eastAsia" w:cs="宋体"/>
        </w:rPr>
        <w:t>发出中标通知书后，招标人无正当理由拒签合同的，招标人向中标人退还投标保证金；给中标人造成损失的，还应当赔偿损失。</w:t>
      </w:r>
    </w:p>
    <w:p w14:paraId="4928882F">
      <w:pPr>
        <w:pStyle w:val="3"/>
        <w:spacing w:before="0" w:after="0" w:line="360" w:lineRule="auto"/>
        <w:rPr>
          <w:rFonts w:cs="Times New Roman"/>
        </w:rPr>
      </w:pPr>
      <w:bookmarkStart w:id="496" w:name="_Toc152045574"/>
      <w:bookmarkEnd w:id="496"/>
      <w:bookmarkStart w:id="497" w:name="_Toc247513998"/>
      <w:bookmarkEnd w:id="497"/>
      <w:bookmarkStart w:id="498" w:name="_Toc152042350"/>
      <w:bookmarkEnd w:id="498"/>
      <w:bookmarkStart w:id="499" w:name="_Toc152045571"/>
      <w:bookmarkEnd w:id="499"/>
      <w:bookmarkStart w:id="500" w:name="_Toc152042347"/>
      <w:bookmarkEnd w:id="500"/>
      <w:bookmarkStart w:id="501" w:name="_Toc9796"/>
      <w:bookmarkEnd w:id="501"/>
      <w:bookmarkStart w:id="502" w:name="_Toc247527599"/>
      <w:bookmarkEnd w:id="502"/>
      <w:bookmarkStart w:id="503" w:name="_Toc8424_WPSOffice_Level2"/>
      <w:bookmarkEnd w:id="503"/>
      <w:bookmarkStart w:id="504" w:name="_Toc763_WPSOffice_Level2"/>
      <w:bookmarkEnd w:id="504"/>
      <w:bookmarkStart w:id="505" w:name="_Toc144974542"/>
      <w:bookmarkEnd w:id="505"/>
      <w:bookmarkStart w:id="506" w:name="_Toc45896956"/>
      <w:bookmarkEnd w:id="506"/>
      <w:bookmarkStart w:id="507" w:name="_Toc144974539"/>
      <w:bookmarkEnd w:id="507"/>
      <w:bookmarkStart w:id="508" w:name="_Toc247527596"/>
      <w:bookmarkEnd w:id="508"/>
      <w:bookmarkStart w:id="509" w:name="_Toc45896660"/>
      <w:bookmarkEnd w:id="509"/>
      <w:bookmarkStart w:id="510" w:name="_Toc247513995"/>
      <w:bookmarkEnd w:id="510"/>
      <w:bookmarkStart w:id="511" w:name="_Toc13451"/>
      <w:bookmarkEnd w:id="511"/>
      <w:r>
        <w:t>8.</w:t>
      </w:r>
      <w:r>
        <w:rPr>
          <w:rFonts w:hint="eastAsia" w:cs="黑体"/>
        </w:rPr>
        <w:t>重新招标和不再招标</w:t>
      </w:r>
    </w:p>
    <w:p w14:paraId="7CFCB404">
      <w:pPr>
        <w:pStyle w:val="4"/>
        <w:spacing w:before="0" w:after="0" w:line="360" w:lineRule="auto"/>
        <w:rPr>
          <w:rFonts w:ascii="Times New Roman" w:hAnsi="Times New Roman" w:cs="Times New Roman"/>
        </w:rPr>
      </w:pPr>
      <w:bookmarkStart w:id="512" w:name="_Toc45896661"/>
      <w:bookmarkEnd w:id="512"/>
      <w:bookmarkStart w:id="513" w:name="_Toc179632590"/>
      <w:bookmarkEnd w:id="513"/>
      <w:bookmarkStart w:id="514" w:name="_Toc30582"/>
      <w:bookmarkEnd w:id="514"/>
      <w:bookmarkStart w:id="515" w:name="_Toc144974540"/>
      <w:bookmarkEnd w:id="515"/>
      <w:bookmarkStart w:id="516" w:name="_Toc152045572"/>
      <w:bookmarkEnd w:id="516"/>
      <w:bookmarkStart w:id="517" w:name="_Toc45896957"/>
      <w:bookmarkEnd w:id="517"/>
      <w:bookmarkStart w:id="518" w:name="_Toc152042348"/>
      <w:bookmarkEnd w:id="518"/>
      <w:bookmarkStart w:id="519" w:name="_Toc12705"/>
      <w:bookmarkEnd w:id="519"/>
      <w:r>
        <w:rPr>
          <w:rFonts w:ascii="Times New Roman" w:hAnsi="Times New Roman" w:cs="Times New Roman"/>
        </w:rPr>
        <w:t xml:space="preserve">8.1 </w:t>
      </w:r>
      <w:r>
        <w:rPr>
          <w:rFonts w:hint="eastAsia" w:ascii="Times New Roman" w:hAnsi="Times New Roman"/>
        </w:rPr>
        <w:t>重新招标</w:t>
      </w:r>
    </w:p>
    <w:p w14:paraId="66754E02">
      <w:pPr>
        <w:spacing w:line="360" w:lineRule="auto"/>
        <w:ind w:firstLine="420" w:firstLineChars="200"/>
        <w:rPr>
          <w:rFonts w:ascii="宋体" w:cs="Times New Roman"/>
        </w:rPr>
      </w:pPr>
      <w:r>
        <w:rPr>
          <w:rFonts w:hint="eastAsia" w:ascii="宋体" w:hAnsi="宋体" w:cs="宋体"/>
        </w:rPr>
        <w:t>有下列情形之一的，招标人将重新招标：</w:t>
      </w:r>
    </w:p>
    <w:p w14:paraId="0BB2B9FF">
      <w:pPr>
        <w:spacing w:line="360" w:lineRule="auto"/>
        <w:ind w:firstLine="359" w:firstLineChars="171"/>
        <w:rPr>
          <w:rFonts w:ascii="宋体" w:cs="Times New Roman"/>
        </w:rPr>
      </w:pPr>
      <w:r>
        <w:rPr>
          <w:rFonts w:hint="eastAsia" w:ascii="宋体" w:hAnsi="宋体" w:cs="宋体"/>
        </w:rPr>
        <w:t>（</w:t>
      </w:r>
      <w:r>
        <w:rPr>
          <w:rFonts w:ascii="宋体" w:hAnsi="宋体" w:cs="宋体"/>
        </w:rPr>
        <w:t>1</w:t>
      </w:r>
      <w:r>
        <w:rPr>
          <w:rFonts w:hint="eastAsia" w:ascii="宋体" w:hAnsi="宋体" w:cs="宋体"/>
        </w:rPr>
        <w:t>）投标截止时间止，投标人少于</w:t>
      </w:r>
      <w:r>
        <w:rPr>
          <w:rFonts w:ascii="宋体" w:hAnsi="宋体" w:cs="宋体"/>
        </w:rPr>
        <w:t>3</w:t>
      </w:r>
      <w:r>
        <w:rPr>
          <w:rFonts w:hint="eastAsia" w:ascii="宋体" w:hAnsi="宋体" w:cs="宋体"/>
        </w:rPr>
        <w:t>个的；</w:t>
      </w:r>
    </w:p>
    <w:p w14:paraId="0B38A6C9">
      <w:pPr>
        <w:spacing w:line="360" w:lineRule="auto"/>
        <w:ind w:firstLine="359" w:firstLineChars="171"/>
        <w:rPr>
          <w:rFonts w:hint="eastAsia" w:ascii="宋体" w:hAnsi="宋体" w:cs="宋体"/>
        </w:rPr>
      </w:pPr>
      <w:r>
        <w:rPr>
          <w:rFonts w:hint="eastAsia" w:ascii="宋体" w:hAnsi="宋体" w:cs="宋体"/>
        </w:rPr>
        <w:t>（</w:t>
      </w:r>
      <w:r>
        <w:rPr>
          <w:rFonts w:ascii="宋体" w:hAnsi="宋体" w:cs="宋体"/>
        </w:rPr>
        <w:t>2</w:t>
      </w:r>
      <w:r>
        <w:rPr>
          <w:rFonts w:hint="eastAsia" w:ascii="宋体" w:hAnsi="宋体" w:cs="宋体"/>
        </w:rPr>
        <w:t>）经评标委员会评审后否决所有投标的；</w:t>
      </w:r>
    </w:p>
    <w:p w14:paraId="4C1A32AA">
      <w:pPr>
        <w:spacing w:line="360" w:lineRule="auto"/>
        <w:ind w:firstLine="359" w:firstLineChars="171"/>
        <w:rPr>
          <w:rFonts w:ascii="宋体" w:cs="Times New Roman"/>
        </w:rPr>
      </w:pPr>
      <w:r>
        <w:rPr>
          <w:rFonts w:hint="eastAsia" w:ascii="宋体" w:hAnsi="宋体" w:cs="宋体"/>
        </w:rPr>
        <w:t>（3）法律规定的其他情形。</w:t>
      </w:r>
    </w:p>
    <w:p w14:paraId="64FF98A1">
      <w:pPr>
        <w:pStyle w:val="4"/>
        <w:spacing w:before="0" w:after="0" w:line="360" w:lineRule="auto"/>
        <w:rPr>
          <w:rFonts w:ascii="Times New Roman" w:hAnsi="Times New Roman" w:cs="Times New Roman"/>
        </w:rPr>
      </w:pPr>
      <w:bookmarkStart w:id="520" w:name="_Toc9058"/>
      <w:bookmarkEnd w:id="520"/>
      <w:bookmarkStart w:id="521" w:name="_Toc152042349"/>
      <w:bookmarkEnd w:id="521"/>
      <w:bookmarkStart w:id="522" w:name="_Toc179632591"/>
      <w:bookmarkEnd w:id="522"/>
      <w:bookmarkStart w:id="523" w:name="_Toc45896662"/>
      <w:bookmarkEnd w:id="523"/>
      <w:bookmarkStart w:id="524" w:name="_Toc26445"/>
      <w:bookmarkEnd w:id="524"/>
      <w:bookmarkStart w:id="525" w:name="_Toc45896958"/>
      <w:bookmarkEnd w:id="525"/>
      <w:bookmarkStart w:id="526" w:name="_Toc144974541"/>
      <w:bookmarkEnd w:id="526"/>
      <w:bookmarkStart w:id="527" w:name="_Toc152045573"/>
      <w:bookmarkEnd w:id="527"/>
      <w:r>
        <w:rPr>
          <w:rFonts w:ascii="Times New Roman" w:hAnsi="Times New Roman" w:cs="Times New Roman"/>
        </w:rPr>
        <w:t xml:space="preserve">8.2 </w:t>
      </w:r>
      <w:r>
        <w:rPr>
          <w:rFonts w:hint="eastAsia" w:ascii="Times New Roman" w:hAnsi="Times New Roman"/>
        </w:rPr>
        <w:t>不再招标</w:t>
      </w:r>
    </w:p>
    <w:p w14:paraId="54234EBE">
      <w:pPr>
        <w:spacing w:line="360" w:lineRule="auto"/>
        <w:ind w:firstLine="420" w:firstLineChars="200"/>
        <w:rPr>
          <w:rFonts w:cs="Times New Roman"/>
        </w:rPr>
      </w:pPr>
      <w:r>
        <w:rPr>
          <w:rFonts w:hint="eastAsia" w:ascii="宋体" w:hAnsi="宋体" w:cs="宋体"/>
        </w:rPr>
        <w:t>重新招标后投标人仍少于</w:t>
      </w:r>
      <w:r>
        <w:rPr>
          <w:rFonts w:ascii="宋体" w:hAnsi="宋体" w:cs="宋体"/>
        </w:rPr>
        <w:t>3</w:t>
      </w:r>
      <w:r>
        <w:rPr>
          <w:rFonts w:hint="eastAsia" w:ascii="宋体" w:hAnsi="宋体" w:cs="宋体"/>
        </w:rPr>
        <w:t>个或者所有投标被否决的，属于必须审批或核准的工程建设项目，经原审批或核准部门批准后不再进行招标。</w:t>
      </w:r>
    </w:p>
    <w:p w14:paraId="09B4EAB6">
      <w:pPr>
        <w:pStyle w:val="3"/>
        <w:spacing w:before="0" w:after="0" w:line="360" w:lineRule="auto"/>
        <w:rPr>
          <w:rFonts w:cs="Times New Roman"/>
        </w:rPr>
      </w:pPr>
      <w:bookmarkStart w:id="528" w:name="_Toc26615_WPSOffice_Level2"/>
      <w:bookmarkEnd w:id="528"/>
      <w:bookmarkStart w:id="529" w:name="_Toc13549_WPSOffice_Level2"/>
      <w:bookmarkEnd w:id="529"/>
      <w:bookmarkStart w:id="530" w:name="_Toc144974547"/>
      <w:bookmarkEnd w:id="530"/>
      <w:bookmarkStart w:id="531" w:name="_Toc26925"/>
      <w:bookmarkEnd w:id="531"/>
      <w:bookmarkStart w:id="532" w:name="_Toc152042357"/>
      <w:bookmarkEnd w:id="532"/>
      <w:bookmarkStart w:id="533" w:name="_Toc247514004"/>
      <w:bookmarkEnd w:id="533"/>
      <w:bookmarkStart w:id="534" w:name="_Toc152045580"/>
      <w:bookmarkEnd w:id="534"/>
      <w:bookmarkStart w:id="535" w:name="_Toc45896663"/>
      <w:bookmarkEnd w:id="535"/>
      <w:bookmarkStart w:id="536" w:name="_Toc247527605"/>
      <w:bookmarkEnd w:id="536"/>
      <w:bookmarkStart w:id="537" w:name="_Toc1349"/>
      <w:bookmarkEnd w:id="537"/>
      <w:bookmarkStart w:id="538" w:name="_Toc45896959"/>
      <w:bookmarkEnd w:id="538"/>
      <w:r>
        <w:t xml:space="preserve">9. </w:t>
      </w:r>
      <w:r>
        <w:rPr>
          <w:rFonts w:hint="eastAsia" w:cs="黑体"/>
        </w:rPr>
        <w:t>纪律和监督</w:t>
      </w:r>
    </w:p>
    <w:p w14:paraId="01E7FCA5">
      <w:pPr>
        <w:pStyle w:val="4"/>
        <w:spacing w:before="0" w:after="0" w:line="360" w:lineRule="auto"/>
        <w:rPr>
          <w:rFonts w:ascii="Times New Roman" w:hAnsi="Times New Roman" w:cs="Times New Roman"/>
        </w:rPr>
      </w:pPr>
      <w:bookmarkStart w:id="539" w:name="_Toc152045575"/>
      <w:bookmarkEnd w:id="539"/>
      <w:bookmarkStart w:id="540" w:name="_Toc179632593"/>
      <w:bookmarkEnd w:id="540"/>
      <w:bookmarkStart w:id="541" w:name="_Toc45896664"/>
      <w:bookmarkEnd w:id="541"/>
      <w:bookmarkStart w:id="542" w:name="_Toc152042351"/>
      <w:bookmarkEnd w:id="542"/>
      <w:bookmarkStart w:id="543" w:name="_Toc8729"/>
      <w:bookmarkEnd w:id="543"/>
      <w:bookmarkStart w:id="544" w:name="_Toc24598"/>
      <w:bookmarkEnd w:id="544"/>
      <w:bookmarkStart w:id="545" w:name="_Toc144974543"/>
      <w:bookmarkEnd w:id="545"/>
      <w:bookmarkStart w:id="546" w:name="_Toc45896960"/>
      <w:bookmarkEnd w:id="546"/>
      <w:r>
        <w:rPr>
          <w:rFonts w:ascii="Times New Roman" w:hAnsi="Times New Roman" w:cs="Times New Roman"/>
        </w:rPr>
        <w:t xml:space="preserve">9.1 </w:t>
      </w:r>
      <w:r>
        <w:rPr>
          <w:rFonts w:hint="eastAsia" w:ascii="Times New Roman" w:hAnsi="Times New Roman"/>
        </w:rPr>
        <w:t>对招标人的纪律要求</w:t>
      </w:r>
    </w:p>
    <w:p w14:paraId="05A6CE13">
      <w:pPr>
        <w:pStyle w:val="22"/>
        <w:shd w:val="clear" w:color="auto" w:fill="FFFFFF"/>
        <w:spacing w:before="0" w:beforeAutospacing="0" w:after="0" w:afterAutospacing="0" w:line="360" w:lineRule="auto"/>
        <w:ind w:firstLine="420" w:firstLineChars="200"/>
        <w:rPr>
          <w:rFonts w:hint="eastAsia" w:cs="Times New Roman"/>
          <w:kern w:val="2"/>
          <w:sz w:val="21"/>
          <w:szCs w:val="21"/>
        </w:rPr>
      </w:pPr>
      <w:r>
        <w:rPr>
          <w:rFonts w:hint="eastAsia"/>
          <w:kern w:val="2"/>
          <w:sz w:val="21"/>
          <w:szCs w:val="21"/>
        </w:rPr>
        <w:t>招标人不得泄露招标投标活动中应当保密的情况和资料，不得与投标人串通损害国家利益、社会公共利益或者他人合法权益。评标过程中招标人和招标代理机构均不得向评标委员会发表任何倾向性意见。</w:t>
      </w:r>
    </w:p>
    <w:p w14:paraId="7497255A">
      <w:pPr>
        <w:pStyle w:val="4"/>
        <w:spacing w:before="0" w:after="0" w:line="360" w:lineRule="auto"/>
        <w:rPr>
          <w:rFonts w:ascii="Times New Roman" w:hAnsi="Times New Roman" w:cs="Times New Roman"/>
        </w:rPr>
      </w:pPr>
      <w:bookmarkStart w:id="547" w:name="_Toc152042352"/>
      <w:bookmarkEnd w:id="547"/>
      <w:bookmarkStart w:id="548" w:name="_Toc179632594"/>
      <w:bookmarkEnd w:id="548"/>
      <w:bookmarkStart w:id="549" w:name="_Toc27092"/>
      <w:bookmarkEnd w:id="549"/>
      <w:bookmarkStart w:id="550" w:name="_Toc152045576"/>
      <w:bookmarkEnd w:id="550"/>
      <w:bookmarkStart w:id="551" w:name="_Toc45896961"/>
      <w:bookmarkEnd w:id="551"/>
      <w:bookmarkStart w:id="552" w:name="_Toc144974544"/>
      <w:bookmarkEnd w:id="552"/>
      <w:bookmarkStart w:id="553" w:name="_Toc12540"/>
      <w:bookmarkEnd w:id="553"/>
      <w:bookmarkStart w:id="554" w:name="_Toc45896665"/>
      <w:bookmarkEnd w:id="554"/>
      <w:r>
        <w:rPr>
          <w:rFonts w:ascii="Times New Roman" w:hAnsi="Times New Roman" w:cs="Times New Roman"/>
        </w:rPr>
        <w:t xml:space="preserve">9.2 </w:t>
      </w:r>
      <w:r>
        <w:rPr>
          <w:rFonts w:hint="eastAsia" w:ascii="Times New Roman" w:hAnsi="Times New Roman"/>
        </w:rPr>
        <w:t>对投标人的纪律要求</w:t>
      </w:r>
    </w:p>
    <w:p w14:paraId="35A17869">
      <w:pPr>
        <w:adjustRightInd w:val="0"/>
        <w:snapToGrid w:val="0"/>
        <w:spacing w:line="360" w:lineRule="auto"/>
        <w:ind w:firstLine="420" w:firstLineChars="200"/>
        <w:rPr>
          <w:rFonts w:cs="Times New Roman"/>
          <w:kern w:val="0"/>
        </w:rPr>
      </w:pPr>
      <w:r>
        <w:rPr>
          <w:kern w:val="0"/>
        </w:rPr>
        <w:t>9.2.1</w:t>
      </w:r>
      <w:r>
        <w:rPr>
          <w:rFonts w:hint="eastAsia" w:cs="宋体"/>
          <w:kern w:val="0"/>
        </w:rPr>
        <w:t>对投标人的纪律要求：投标人不得相互串通投标或者与招标人串通投标，不得向招标人或者评标委员会成员行贿谋取中标，不得以他人名义投标或者以其他方式弄虚作假骗取中标；投标人不得以任何方式干扰、影响评标工作。</w:t>
      </w:r>
    </w:p>
    <w:p w14:paraId="78A68732">
      <w:pPr>
        <w:adjustRightInd w:val="0"/>
        <w:snapToGrid w:val="0"/>
        <w:spacing w:line="360" w:lineRule="auto"/>
        <w:ind w:firstLine="420" w:firstLineChars="200"/>
        <w:rPr>
          <w:rFonts w:cs="Times New Roman"/>
          <w:kern w:val="0"/>
        </w:rPr>
      </w:pPr>
      <w:r>
        <w:rPr>
          <w:kern w:val="0"/>
        </w:rPr>
        <w:t>9.2.2</w:t>
      </w:r>
      <w:r>
        <w:rPr>
          <w:rFonts w:hint="eastAsia" w:cs="宋体"/>
          <w:kern w:val="0"/>
        </w:rPr>
        <w:t>根据《中华人民共和国刑法》第二百二十三条〔串通投标罪〕规定，投标人相互串通投标报价，损害招标人或者其他投标人利益，情节严重的，处三年以下有期徒刑或者拘役，并处或者单处罚金。投标人与招标人串通投标，损害国家、集体、公民的合法利益的，依照前款的规定处罚。</w:t>
      </w:r>
    </w:p>
    <w:p w14:paraId="1CF12AB9">
      <w:pPr>
        <w:adjustRightInd w:val="0"/>
        <w:snapToGrid w:val="0"/>
        <w:spacing w:line="360" w:lineRule="auto"/>
        <w:ind w:firstLine="420" w:firstLineChars="200"/>
        <w:rPr>
          <w:rFonts w:cs="Times New Roman"/>
          <w:kern w:val="0"/>
        </w:rPr>
      </w:pPr>
      <w:r>
        <w:rPr>
          <w:rFonts w:hint="eastAsia" w:cs="宋体"/>
          <w:kern w:val="0"/>
        </w:rPr>
        <w:t>投标人的行为涉及触犯〔串通投标罪〕相关规定的，将移送司法机关处理。</w:t>
      </w:r>
    </w:p>
    <w:p w14:paraId="6EFD1D54">
      <w:pPr>
        <w:pStyle w:val="4"/>
        <w:spacing w:before="0" w:after="0" w:line="360" w:lineRule="auto"/>
        <w:rPr>
          <w:rFonts w:ascii="Times New Roman" w:hAnsi="Times New Roman" w:cs="Times New Roman"/>
        </w:rPr>
      </w:pPr>
      <w:bookmarkStart w:id="555" w:name="_Toc45896962"/>
      <w:bookmarkEnd w:id="555"/>
      <w:bookmarkStart w:id="556" w:name="_Toc45896666"/>
      <w:bookmarkEnd w:id="556"/>
      <w:bookmarkStart w:id="557" w:name="_Toc179632595"/>
      <w:bookmarkEnd w:id="557"/>
      <w:bookmarkStart w:id="558" w:name="_Toc152042353"/>
      <w:bookmarkEnd w:id="558"/>
      <w:bookmarkStart w:id="559" w:name="_Toc23467"/>
      <w:bookmarkEnd w:id="559"/>
      <w:bookmarkStart w:id="560" w:name="_Toc144974545"/>
      <w:bookmarkEnd w:id="560"/>
      <w:bookmarkStart w:id="561" w:name="_Toc18157"/>
      <w:bookmarkEnd w:id="561"/>
      <w:bookmarkStart w:id="562" w:name="_Toc152045577"/>
      <w:bookmarkEnd w:id="562"/>
      <w:r>
        <w:rPr>
          <w:rFonts w:ascii="Times New Roman" w:hAnsi="Times New Roman" w:cs="Times New Roman"/>
        </w:rPr>
        <w:t xml:space="preserve">9.3 </w:t>
      </w:r>
      <w:r>
        <w:rPr>
          <w:rFonts w:hint="eastAsia" w:ascii="Times New Roman" w:hAnsi="Times New Roman"/>
        </w:rPr>
        <w:t>对评标委员会成员的纪律要求</w:t>
      </w:r>
    </w:p>
    <w:p w14:paraId="72A56225">
      <w:pPr>
        <w:adjustRightInd w:val="0"/>
        <w:snapToGrid w:val="0"/>
        <w:spacing w:line="360" w:lineRule="auto"/>
        <w:ind w:firstLine="420" w:firstLineChars="200"/>
        <w:rPr>
          <w:rFonts w:cs="Times New Roman"/>
          <w:kern w:val="0"/>
        </w:rPr>
      </w:pPr>
      <w:r>
        <w:rPr>
          <w:rFonts w:hint="eastAsia" w:cs="宋体"/>
          <w:kern w:val="0"/>
        </w:rPr>
        <w:t>评标委员会成员应严格遵守国家、省相关法律法规和规章，不得收受他人的财物或者其他好处，不得向他人透露对投标文件的评审和比较、中标候选人的推荐情况以及与评标有关的其他情况。在评标活动中，评标委员会成员应当客观、公正地履行职责，遵守职业道德，不得擅离职守，影响评标程序正常进行，不得使用第三章“评标办法”没有规定的评审因素和标准进行评标。</w:t>
      </w:r>
    </w:p>
    <w:p w14:paraId="43B8917A">
      <w:pPr>
        <w:pStyle w:val="4"/>
        <w:spacing w:before="0" w:after="0" w:line="360" w:lineRule="auto"/>
        <w:rPr>
          <w:rFonts w:ascii="Times New Roman" w:hAnsi="Times New Roman" w:cs="Times New Roman"/>
        </w:rPr>
      </w:pPr>
      <w:bookmarkStart w:id="563" w:name="_Toc45896963"/>
      <w:bookmarkEnd w:id="563"/>
      <w:bookmarkStart w:id="564" w:name="_Toc152045578"/>
      <w:bookmarkEnd w:id="564"/>
      <w:bookmarkStart w:id="565" w:name="_Toc8296"/>
      <w:bookmarkEnd w:id="565"/>
      <w:bookmarkStart w:id="566" w:name="_Toc152042354"/>
      <w:bookmarkEnd w:id="566"/>
      <w:bookmarkStart w:id="567" w:name="_Toc9715"/>
      <w:bookmarkEnd w:id="567"/>
      <w:bookmarkStart w:id="568" w:name="_Toc179632596"/>
      <w:bookmarkEnd w:id="568"/>
      <w:bookmarkStart w:id="569" w:name="_Toc45896667"/>
      <w:bookmarkEnd w:id="569"/>
      <w:bookmarkStart w:id="570" w:name="_Toc144974546"/>
      <w:r>
        <w:rPr>
          <w:rFonts w:ascii="Times New Roman" w:hAnsi="Times New Roman" w:cs="Times New Roman"/>
        </w:rPr>
        <w:t xml:space="preserve">9.4 </w:t>
      </w:r>
      <w:r>
        <w:rPr>
          <w:rFonts w:hint="eastAsia" w:ascii="Times New Roman" w:hAnsi="Times New Roman"/>
        </w:rPr>
        <w:t>对与评标活动有关的工作人员的纪律要求</w:t>
      </w:r>
    </w:p>
    <w:p w14:paraId="7DB7F4A6">
      <w:pPr>
        <w:spacing w:line="360" w:lineRule="auto"/>
        <w:ind w:firstLine="420" w:firstLineChars="200"/>
        <w:rPr>
          <w:rFonts w:cs="Times New Roman"/>
        </w:rPr>
      </w:pPr>
      <w:bookmarkStart w:id="571" w:name="_Toc152042355"/>
      <w:bookmarkEnd w:id="571"/>
      <w:r>
        <w:rPr>
          <w:rFonts w:hint="eastAsia" w:ascii="宋体" w:hAnsi="宋体" w:cs="宋体"/>
        </w:rPr>
        <w:t>与评标活动有关的工作人员不得收受他人的财物或者其他好处，不得向他人透露对投标文件的评审和比较、中标候选人的推荐情况以及与评标有关的其他情况。在评标活动中，与评标活动有关的工作人员不得擅离职守，影响评标程序正常进行。</w:t>
      </w:r>
    </w:p>
    <w:bookmarkEnd w:id="570"/>
    <w:p w14:paraId="6983CF91">
      <w:pPr>
        <w:spacing w:line="360" w:lineRule="auto"/>
        <w:outlineLvl w:val="2"/>
        <w:rPr>
          <w:rFonts w:ascii="宋体" w:cs="Times New Roman"/>
        </w:rPr>
      </w:pPr>
      <w:bookmarkStart w:id="572" w:name="_Toc179632597"/>
      <w:bookmarkEnd w:id="572"/>
      <w:bookmarkStart w:id="573" w:name="_Toc152045579"/>
      <w:bookmarkEnd w:id="573"/>
      <w:bookmarkStart w:id="574" w:name="_Toc152042356"/>
      <w:bookmarkEnd w:id="574"/>
      <w:r>
        <w:rPr>
          <w:rFonts w:eastAsia="黑体"/>
          <w:sz w:val="28"/>
          <w:szCs w:val="28"/>
        </w:rPr>
        <w:t xml:space="preserve">9.5 </w:t>
      </w:r>
      <w:r>
        <w:rPr>
          <w:rFonts w:hint="eastAsia" w:eastAsia="黑体" w:cs="黑体"/>
          <w:sz w:val="28"/>
          <w:szCs w:val="28"/>
        </w:rPr>
        <w:t>投诉</w:t>
      </w:r>
    </w:p>
    <w:p w14:paraId="58801E46">
      <w:pPr>
        <w:spacing w:line="360" w:lineRule="auto"/>
        <w:ind w:firstLine="420"/>
        <w:outlineLvl w:val="3"/>
        <w:rPr>
          <w:rFonts w:cs="Times New Roman"/>
          <w:kern w:val="0"/>
        </w:rPr>
      </w:pPr>
      <w:r>
        <w:rPr>
          <w:kern w:val="0"/>
        </w:rPr>
        <w:t>9.5.1</w:t>
      </w:r>
      <w:r>
        <w:rPr>
          <w:rFonts w:hint="eastAsia" w:cs="宋体"/>
          <w:kern w:val="0"/>
        </w:rPr>
        <w:t>异议</w:t>
      </w:r>
    </w:p>
    <w:p w14:paraId="005F78E9">
      <w:pPr>
        <w:spacing w:line="360" w:lineRule="auto"/>
        <w:ind w:firstLine="420"/>
        <w:rPr>
          <w:rFonts w:cs="Times New Roman"/>
          <w:kern w:val="0"/>
        </w:rPr>
      </w:pPr>
      <w:r>
        <w:rPr>
          <w:kern w:val="0"/>
        </w:rPr>
        <w:t>9.5.1.1</w:t>
      </w:r>
      <w:r>
        <w:rPr>
          <w:rFonts w:hint="eastAsia" w:cs="宋体"/>
          <w:kern w:val="0"/>
        </w:rPr>
        <w:t>潜在投标人或者其他利害关系人对招标文件有异议的，应当在投标截止时间</w:t>
      </w:r>
      <w:r>
        <w:rPr>
          <w:kern w:val="0"/>
        </w:rPr>
        <w:t>10</w:t>
      </w:r>
      <w:r>
        <w:rPr>
          <w:rFonts w:hint="eastAsia" w:cs="宋体"/>
          <w:kern w:val="0"/>
        </w:rPr>
        <w:t>日前提出。招标人应当自收到异议之日起</w:t>
      </w:r>
      <w:r>
        <w:rPr>
          <w:kern w:val="0"/>
        </w:rPr>
        <w:t>3</w:t>
      </w:r>
      <w:r>
        <w:rPr>
          <w:rFonts w:hint="eastAsia" w:cs="宋体"/>
          <w:kern w:val="0"/>
        </w:rPr>
        <w:t>日内作出答复；作出答复前，应当暂停招标投标活动。</w:t>
      </w:r>
    </w:p>
    <w:p w14:paraId="5EAC0736">
      <w:pPr>
        <w:spacing w:line="360" w:lineRule="auto"/>
        <w:ind w:firstLine="420"/>
        <w:rPr>
          <w:rFonts w:cs="Times New Roman"/>
          <w:kern w:val="0"/>
        </w:rPr>
      </w:pPr>
      <w:r>
        <w:rPr>
          <w:kern w:val="0"/>
        </w:rPr>
        <w:t>9.5.1.2</w:t>
      </w:r>
      <w:r>
        <w:rPr>
          <w:rFonts w:hint="eastAsia" w:cs="宋体"/>
          <w:kern w:val="0"/>
        </w:rPr>
        <w:t>投标人对开标有异议的，应当在开标现场提出，招标人应当当场作出答复，并制作记录。</w:t>
      </w:r>
    </w:p>
    <w:p w14:paraId="57535C13">
      <w:pPr>
        <w:spacing w:line="360" w:lineRule="auto"/>
        <w:ind w:firstLine="420"/>
        <w:rPr>
          <w:rFonts w:cs="Times New Roman"/>
          <w:kern w:val="0"/>
        </w:rPr>
      </w:pPr>
      <w:r>
        <w:rPr>
          <w:kern w:val="0"/>
        </w:rPr>
        <w:t>9.5.1.3</w:t>
      </w:r>
      <w:r>
        <w:rPr>
          <w:rFonts w:hint="eastAsia" w:cs="宋体"/>
          <w:kern w:val="0"/>
        </w:rPr>
        <w:t>投标人或者其他利害关系人对依法必须进行招标的项目的评标结果有异议的，应当在中标候选人公示期间提出。招标人应当自收到异议之日起</w:t>
      </w:r>
      <w:r>
        <w:rPr>
          <w:kern w:val="0"/>
        </w:rPr>
        <w:t>3</w:t>
      </w:r>
      <w:r>
        <w:rPr>
          <w:rFonts w:hint="eastAsia" w:cs="宋体"/>
          <w:kern w:val="0"/>
        </w:rPr>
        <w:t>日内作出答复；作出答复前，应当暂停招标投标活动。</w:t>
      </w:r>
    </w:p>
    <w:p w14:paraId="6C03532C">
      <w:pPr>
        <w:spacing w:line="360" w:lineRule="auto"/>
        <w:outlineLvl w:val="3"/>
        <w:rPr>
          <w:rFonts w:cs="Times New Roman"/>
          <w:kern w:val="0"/>
        </w:rPr>
      </w:pPr>
      <w:r>
        <w:rPr>
          <w:kern w:val="0"/>
        </w:rPr>
        <w:t xml:space="preserve">   9.5.2</w:t>
      </w:r>
      <w:r>
        <w:rPr>
          <w:rFonts w:hint="eastAsia" w:cs="宋体"/>
          <w:kern w:val="0"/>
        </w:rPr>
        <w:t>投诉</w:t>
      </w:r>
    </w:p>
    <w:p w14:paraId="2FAE9B6A">
      <w:pPr>
        <w:spacing w:line="360" w:lineRule="auto"/>
        <w:ind w:firstLine="420"/>
        <w:rPr>
          <w:rFonts w:cs="Times New Roman"/>
          <w:kern w:val="0"/>
        </w:rPr>
      </w:pPr>
      <w:r>
        <w:rPr>
          <w:kern w:val="0"/>
        </w:rPr>
        <w:t>9.5.2.1</w:t>
      </w:r>
      <w:r>
        <w:rPr>
          <w:rFonts w:hint="eastAsia" w:cs="宋体"/>
          <w:kern w:val="0"/>
        </w:rPr>
        <w:t>投标人或者其他利害关系人认为招标投标活动不符合法律、行政法规规定的，应当在知道或者应当知道其权益受到侵害之日起十日内向有关行政监督部门提出书面投诉，其他利害关系人是指投标人以外的，与招标项目或者招标活动有直接和间接利益关系的法人、其他组织和个人。</w:t>
      </w:r>
    </w:p>
    <w:p w14:paraId="6333E04B">
      <w:pPr>
        <w:spacing w:line="360" w:lineRule="auto"/>
        <w:ind w:firstLine="420"/>
        <w:rPr>
          <w:rFonts w:cs="Times New Roman"/>
          <w:kern w:val="0"/>
        </w:rPr>
      </w:pPr>
      <w:r>
        <w:rPr>
          <w:kern w:val="0"/>
        </w:rPr>
        <w:t>9.5.2.2</w:t>
      </w:r>
      <w:r>
        <w:rPr>
          <w:rFonts w:hint="eastAsia" w:cs="宋体"/>
          <w:kern w:val="0"/>
        </w:rPr>
        <w:t>就本章</w:t>
      </w:r>
      <w:r>
        <w:rPr>
          <w:kern w:val="0"/>
        </w:rPr>
        <w:t>9.5.1</w:t>
      </w:r>
      <w:r>
        <w:rPr>
          <w:rFonts w:hint="eastAsia" w:cs="宋体"/>
          <w:kern w:val="0"/>
        </w:rPr>
        <w:t>条规定事项投诉的，应当先向招标人提出异议，异议答复期间不计算在前款规定的期限内。</w:t>
      </w:r>
    </w:p>
    <w:p w14:paraId="2FAAAB33">
      <w:pPr>
        <w:spacing w:line="360" w:lineRule="auto"/>
        <w:ind w:firstLine="420"/>
        <w:rPr>
          <w:rFonts w:cs="Times New Roman"/>
          <w:kern w:val="0"/>
        </w:rPr>
      </w:pPr>
      <w:r>
        <w:rPr>
          <w:kern w:val="0"/>
        </w:rPr>
        <w:t>9.5.2.3</w:t>
      </w:r>
      <w:r>
        <w:rPr>
          <w:rFonts w:hint="eastAsia" w:cs="宋体"/>
          <w:kern w:val="0"/>
        </w:rPr>
        <w:t>投诉人投诉时，应当提交投诉书。投诉书应当包括下列内容：</w:t>
      </w:r>
    </w:p>
    <w:p w14:paraId="1D8D4D76">
      <w:pPr>
        <w:spacing w:line="360" w:lineRule="auto"/>
        <w:ind w:firstLine="420"/>
        <w:rPr>
          <w:rFonts w:cs="Times New Roman"/>
          <w:kern w:val="0"/>
        </w:rPr>
      </w:pPr>
      <w:r>
        <w:rPr>
          <w:rFonts w:hint="eastAsia" w:cs="宋体"/>
          <w:kern w:val="0"/>
        </w:rPr>
        <w:t>　　（一）投诉人的名称、地址及有效联系方式；</w:t>
      </w:r>
    </w:p>
    <w:p w14:paraId="491DE7D9">
      <w:pPr>
        <w:spacing w:line="360" w:lineRule="auto"/>
        <w:ind w:firstLine="420"/>
        <w:rPr>
          <w:rFonts w:cs="Times New Roman"/>
          <w:kern w:val="0"/>
        </w:rPr>
      </w:pPr>
      <w:r>
        <w:rPr>
          <w:rFonts w:hint="eastAsia" w:cs="宋体"/>
          <w:kern w:val="0"/>
        </w:rPr>
        <w:t>　　（二）被投诉人的名称、地址及有效联系方式；</w:t>
      </w:r>
    </w:p>
    <w:p w14:paraId="3C58F2AA">
      <w:pPr>
        <w:spacing w:line="360" w:lineRule="auto"/>
        <w:ind w:firstLine="420"/>
        <w:rPr>
          <w:rFonts w:cs="Times New Roman"/>
          <w:kern w:val="0"/>
        </w:rPr>
      </w:pPr>
      <w:r>
        <w:rPr>
          <w:rFonts w:hint="eastAsia" w:cs="宋体"/>
          <w:kern w:val="0"/>
        </w:rPr>
        <w:t>　　（三）投诉事项的基本事实；</w:t>
      </w:r>
    </w:p>
    <w:p w14:paraId="6EE9BA76">
      <w:pPr>
        <w:spacing w:line="360" w:lineRule="auto"/>
        <w:ind w:firstLine="420"/>
        <w:rPr>
          <w:rFonts w:cs="Times New Roman"/>
          <w:kern w:val="0"/>
        </w:rPr>
      </w:pPr>
      <w:r>
        <w:rPr>
          <w:rFonts w:hint="eastAsia" w:cs="宋体"/>
          <w:kern w:val="0"/>
        </w:rPr>
        <w:t>　　（四）相关请求及主张；</w:t>
      </w:r>
    </w:p>
    <w:p w14:paraId="55D26C05">
      <w:pPr>
        <w:spacing w:line="360" w:lineRule="auto"/>
        <w:ind w:firstLine="420"/>
        <w:rPr>
          <w:rFonts w:cs="Times New Roman"/>
          <w:kern w:val="0"/>
        </w:rPr>
      </w:pPr>
      <w:r>
        <w:rPr>
          <w:rFonts w:hint="eastAsia" w:cs="宋体"/>
          <w:kern w:val="0"/>
        </w:rPr>
        <w:t>　　（五）有效线索和相关证明材料。</w:t>
      </w:r>
    </w:p>
    <w:p w14:paraId="046EF877">
      <w:pPr>
        <w:spacing w:line="360" w:lineRule="auto"/>
        <w:ind w:firstLine="420"/>
        <w:rPr>
          <w:rFonts w:cs="Times New Roman"/>
          <w:kern w:val="0"/>
        </w:rPr>
      </w:pPr>
      <w:r>
        <w:rPr>
          <w:rFonts w:hint="eastAsia" w:cs="宋体"/>
          <w:kern w:val="0"/>
        </w:rPr>
        <w:t>投诉人是法人的，投诉书必须由其法定代表人或者授权代表签字并盖章；其他组织或者个人投诉的，投诉书必须由其主要负责人或者投诉人本人签字，并附有效身份证明复印件。投诉书有关材料是外文的，投诉人应当同时提供其中文译本。</w:t>
      </w:r>
    </w:p>
    <w:p w14:paraId="5BC6D4D4">
      <w:pPr>
        <w:spacing w:line="360" w:lineRule="auto"/>
        <w:ind w:firstLine="420"/>
        <w:rPr>
          <w:rFonts w:cs="Times New Roman"/>
          <w:kern w:val="0"/>
        </w:rPr>
      </w:pPr>
      <w:r>
        <w:rPr>
          <w:kern w:val="0"/>
        </w:rPr>
        <w:t>9.5.2.4</w:t>
      </w:r>
      <w:r>
        <w:rPr>
          <w:rFonts w:hint="eastAsia" w:cs="宋体"/>
          <w:kern w:val="0"/>
        </w:rPr>
        <w:t>投诉人不得以投诉为名排挤竞争对手，不得进行虚假、恶意投诉，阻碍招标投标活动的正常进行。</w:t>
      </w:r>
    </w:p>
    <w:p w14:paraId="1CE2B3D6">
      <w:pPr>
        <w:spacing w:line="360" w:lineRule="auto"/>
        <w:ind w:firstLine="420"/>
        <w:rPr>
          <w:rFonts w:cs="Times New Roman"/>
          <w:kern w:val="0"/>
        </w:rPr>
      </w:pPr>
      <w:r>
        <w:rPr>
          <w:kern w:val="0"/>
        </w:rPr>
        <w:t>9.5.2.5</w:t>
      </w:r>
      <w:r>
        <w:rPr>
          <w:rFonts w:hint="eastAsia" w:cs="宋体"/>
          <w:kern w:val="0"/>
        </w:rPr>
        <w:t>投诉人可以直接投诉，也可以委托代理人办理投诉事务。代理人办理投诉事务时，应将授权委托书连同投诉书一并提交给行政监督部门。授权委托书应当明确有关委托代理权限和事项。</w:t>
      </w:r>
    </w:p>
    <w:p w14:paraId="1C065B09">
      <w:pPr>
        <w:spacing w:line="360" w:lineRule="auto"/>
        <w:ind w:firstLine="420"/>
        <w:outlineLvl w:val="4"/>
        <w:rPr>
          <w:rFonts w:cs="Times New Roman"/>
          <w:kern w:val="0"/>
        </w:rPr>
      </w:pPr>
      <w:r>
        <w:rPr>
          <w:kern w:val="0"/>
        </w:rPr>
        <w:t>9.5.2.6</w:t>
      </w:r>
      <w:r>
        <w:rPr>
          <w:rFonts w:hint="eastAsia" w:cs="宋体"/>
          <w:kern w:val="0"/>
        </w:rPr>
        <w:t>有下列情形之一的投诉，不予受理；</w:t>
      </w:r>
    </w:p>
    <w:p w14:paraId="3C50221D">
      <w:pPr>
        <w:spacing w:line="360" w:lineRule="auto"/>
        <w:ind w:firstLine="420"/>
        <w:rPr>
          <w:rFonts w:cs="Times New Roman"/>
          <w:kern w:val="0"/>
        </w:rPr>
      </w:pPr>
      <w:r>
        <w:rPr>
          <w:rFonts w:hint="eastAsia" w:cs="宋体"/>
          <w:kern w:val="0"/>
        </w:rPr>
        <w:t>　　（一）投诉人不是所投诉招标投标活动的参与者，或者与投诉项目无任何利害关系；</w:t>
      </w:r>
    </w:p>
    <w:p w14:paraId="19E899CE">
      <w:pPr>
        <w:spacing w:line="360" w:lineRule="auto"/>
        <w:ind w:firstLine="420"/>
        <w:rPr>
          <w:rFonts w:cs="Times New Roman"/>
          <w:kern w:val="0"/>
        </w:rPr>
      </w:pPr>
      <w:r>
        <w:rPr>
          <w:rFonts w:hint="eastAsia" w:cs="宋体"/>
          <w:kern w:val="0"/>
        </w:rPr>
        <w:t>　　（二）投诉事项不具体，且未提供有效线索，难以查证的；</w:t>
      </w:r>
    </w:p>
    <w:p w14:paraId="36DF9F4A">
      <w:pPr>
        <w:spacing w:line="360" w:lineRule="auto"/>
        <w:ind w:firstLine="420"/>
        <w:rPr>
          <w:rFonts w:cs="Times New Roman"/>
          <w:kern w:val="0"/>
        </w:rPr>
      </w:pPr>
      <w:r>
        <w:rPr>
          <w:rFonts w:hint="eastAsia" w:cs="宋体"/>
          <w:kern w:val="0"/>
        </w:rPr>
        <w:t>　　（三）投诉书未署具投诉人真实姓名、签字和有效联系方式的；以法人名义投诉的，投诉书未经法定代表人签字并加盖公章的；</w:t>
      </w:r>
    </w:p>
    <w:p w14:paraId="14789FAC">
      <w:pPr>
        <w:spacing w:line="360" w:lineRule="auto"/>
        <w:ind w:firstLine="420"/>
        <w:rPr>
          <w:rFonts w:cs="Times New Roman"/>
          <w:kern w:val="0"/>
        </w:rPr>
      </w:pPr>
      <w:r>
        <w:rPr>
          <w:rFonts w:hint="eastAsia" w:cs="宋体"/>
          <w:kern w:val="0"/>
        </w:rPr>
        <w:t>　　（四）超过投诉时效的；</w:t>
      </w:r>
    </w:p>
    <w:p w14:paraId="112CD71E">
      <w:pPr>
        <w:spacing w:line="360" w:lineRule="auto"/>
        <w:ind w:firstLine="420"/>
        <w:rPr>
          <w:rFonts w:cs="Times New Roman"/>
          <w:kern w:val="0"/>
        </w:rPr>
      </w:pPr>
      <w:r>
        <w:rPr>
          <w:rFonts w:hint="eastAsia" w:cs="宋体"/>
          <w:kern w:val="0"/>
        </w:rPr>
        <w:t>　　（五）已经作出处理决定，并且投诉人没有提出新的证据；</w:t>
      </w:r>
    </w:p>
    <w:p w14:paraId="0B9B4F17">
      <w:pPr>
        <w:spacing w:line="360" w:lineRule="auto"/>
        <w:ind w:firstLine="420"/>
        <w:rPr>
          <w:rFonts w:cs="Times New Roman"/>
          <w:kern w:val="0"/>
        </w:rPr>
      </w:pPr>
      <w:r>
        <w:rPr>
          <w:rFonts w:hint="eastAsia" w:cs="宋体"/>
          <w:kern w:val="0"/>
        </w:rPr>
        <w:t>　　（六）投诉事项已进入行政复议或者行政诉讼程序的。</w:t>
      </w:r>
    </w:p>
    <w:p w14:paraId="3DBCDC23">
      <w:pPr>
        <w:spacing w:line="360" w:lineRule="auto"/>
        <w:ind w:firstLine="420"/>
        <w:rPr>
          <w:rFonts w:cs="Times New Roman"/>
          <w:kern w:val="0"/>
        </w:rPr>
      </w:pPr>
      <w:r>
        <w:rPr>
          <w:kern w:val="0"/>
        </w:rPr>
        <w:t>9.5.2.7</w:t>
      </w:r>
      <w:r>
        <w:rPr>
          <w:rFonts w:hint="eastAsia" w:cs="宋体"/>
          <w:kern w:val="0"/>
        </w:rPr>
        <w:t>未尽事宜，按国家现行有关法律法规、七部委</w:t>
      </w:r>
      <w:r>
        <w:rPr>
          <w:kern w:val="0"/>
        </w:rPr>
        <w:t>11</w:t>
      </w:r>
      <w:r>
        <w:rPr>
          <w:rFonts w:hint="eastAsia" w:cs="宋体"/>
          <w:kern w:val="0"/>
        </w:rPr>
        <w:t>号令《工程建设项目招标投标活动投诉处理办法》和《云南省招标投标活动投诉处理办法》的规定执行。</w:t>
      </w:r>
    </w:p>
    <w:p w14:paraId="343380F9">
      <w:pPr>
        <w:pStyle w:val="3"/>
        <w:spacing w:before="0" w:after="0" w:line="360" w:lineRule="auto"/>
      </w:pPr>
      <w:bookmarkStart w:id="575" w:name="_Toc12624_WPSOffice_Level2"/>
      <w:bookmarkEnd w:id="575"/>
      <w:bookmarkStart w:id="576" w:name="_Toc45896668"/>
      <w:bookmarkEnd w:id="576"/>
      <w:bookmarkStart w:id="577" w:name="_Toc45896964"/>
      <w:bookmarkEnd w:id="577"/>
      <w:bookmarkStart w:id="578" w:name="_Toc14689_WPSOffice_Level2"/>
      <w:bookmarkEnd w:id="578"/>
      <w:bookmarkStart w:id="579" w:name="_Toc11363"/>
      <w:bookmarkEnd w:id="579"/>
      <w:r>
        <w:rPr>
          <w:rFonts w:hint="eastAsia"/>
        </w:rPr>
        <w:t>10.知识产权</w:t>
      </w:r>
    </w:p>
    <w:p w14:paraId="1E3C4690">
      <w:pPr>
        <w:adjustRightInd w:val="0"/>
        <w:snapToGrid w:val="0"/>
        <w:spacing w:line="360" w:lineRule="auto"/>
        <w:ind w:firstLine="420" w:firstLineChars="200"/>
        <w:rPr>
          <w:rFonts w:cs="Times New Roman"/>
          <w:kern w:val="0"/>
        </w:rPr>
      </w:pPr>
      <w:r>
        <w:rPr>
          <w:rFonts w:hint="eastAsia" w:cs="宋体"/>
          <w:kern w:val="0"/>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p w14:paraId="12D4B4D7">
      <w:pPr>
        <w:pStyle w:val="3"/>
        <w:spacing w:before="0" w:after="0" w:line="360" w:lineRule="auto"/>
      </w:pPr>
      <w:bookmarkStart w:id="580" w:name="_Toc23352"/>
      <w:bookmarkEnd w:id="580"/>
      <w:bookmarkStart w:id="581" w:name="_Toc45896965"/>
      <w:bookmarkEnd w:id="581"/>
      <w:bookmarkStart w:id="582" w:name="_Toc5230_WPSOffice_Level2"/>
      <w:bookmarkEnd w:id="582"/>
      <w:bookmarkStart w:id="583" w:name="_Toc45896669"/>
      <w:bookmarkEnd w:id="583"/>
      <w:bookmarkStart w:id="584" w:name="_Toc25353_WPSOffice_Level2"/>
      <w:bookmarkEnd w:id="584"/>
      <w:r>
        <w:rPr>
          <w:rFonts w:hint="eastAsia"/>
        </w:rPr>
        <w:t>11.同义词语</w:t>
      </w:r>
    </w:p>
    <w:p w14:paraId="46702CE2">
      <w:pPr>
        <w:adjustRightInd w:val="0"/>
        <w:snapToGrid w:val="0"/>
        <w:spacing w:line="360" w:lineRule="auto"/>
        <w:ind w:firstLine="420" w:firstLineChars="200"/>
        <w:rPr>
          <w:rFonts w:cs="Times New Roman"/>
          <w:kern w:val="0"/>
        </w:rPr>
      </w:pPr>
      <w:r>
        <w:rPr>
          <w:rFonts w:hint="eastAsia" w:cs="宋体"/>
          <w:kern w:val="0"/>
        </w:rPr>
        <w:t>构成招标文件组成部分的“通用合同条款”“专用合同条款”“技术标准和要求”和“工程量清单”等章节中出现的措辞“发包人”和“承包人”，在招标投标阶段应当分别按“招标人”和“投标人”进行理解。</w:t>
      </w:r>
    </w:p>
    <w:p w14:paraId="4595B40D">
      <w:pPr>
        <w:pStyle w:val="3"/>
        <w:spacing w:before="0" w:after="0" w:line="360" w:lineRule="auto"/>
      </w:pPr>
      <w:bookmarkStart w:id="585" w:name="_Toc45896966"/>
      <w:bookmarkEnd w:id="585"/>
      <w:bookmarkStart w:id="586" w:name="_Toc45896670"/>
      <w:bookmarkEnd w:id="586"/>
      <w:bookmarkStart w:id="587" w:name="_Toc16954"/>
      <w:bookmarkEnd w:id="587"/>
      <w:bookmarkStart w:id="588" w:name="_Toc125_WPSOffice_Level2"/>
      <w:bookmarkEnd w:id="588"/>
      <w:bookmarkStart w:id="589" w:name="_Toc3127_WPSOffice_Level2"/>
      <w:bookmarkEnd w:id="589"/>
      <w:r>
        <w:rPr>
          <w:rFonts w:hint="eastAsia"/>
        </w:rPr>
        <w:t>12.监督</w:t>
      </w:r>
    </w:p>
    <w:p w14:paraId="7097DCDE">
      <w:pPr>
        <w:adjustRightInd w:val="0"/>
        <w:snapToGrid w:val="0"/>
        <w:spacing w:line="360" w:lineRule="auto"/>
        <w:ind w:firstLine="420" w:firstLineChars="200"/>
        <w:rPr>
          <w:rFonts w:cs="Times New Roman"/>
          <w:kern w:val="0"/>
        </w:rPr>
      </w:pPr>
      <w:r>
        <w:rPr>
          <w:rFonts w:hint="eastAsia" w:cs="宋体"/>
          <w:kern w:val="0"/>
        </w:rPr>
        <w:t>本项目的招标投标活动及其相关当事人应当接受有管辖权的建设工程招标投标行政监督部门依法实施的监督。</w:t>
      </w:r>
    </w:p>
    <w:p w14:paraId="64C88630">
      <w:pPr>
        <w:pStyle w:val="3"/>
        <w:spacing w:before="0" w:after="0" w:line="360" w:lineRule="auto"/>
      </w:pPr>
      <w:bookmarkStart w:id="590" w:name="_Toc17640"/>
      <w:bookmarkEnd w:id="590"/>
      <w:bookmarkStart w:id="591" w:name="_Toc45896967"/>
      <w:bookmarkEnd w:id="591"/>
      <w:bookmarkStart w:id="592" w:name="_Toc45896671"/>
      <w:bookmarkEnd w:id="592"/>
      <w:bookmarkStart w:id="593" w:name="_Toc893_WPSOffice_Level2"/>
      <w:bookmarkEnd w:id="593"/>
      <w:bookmarkStart w:id="594" w:name="_Toc15482_WPSOffice_Level2"/>
      <w:bookmarkEnd w:id="594"/>
      <w:r>
        <w:rPr>
          <w:rFonts w:hint="eastAsia"/>
        </w:rPr>
        <w:t>13.解释权</w:t>
      </w:r>
    </w:p>
    <w:p w14:paraId="197F5042">
      <w:pPr>
        <w:adjustRightInd w:val="0"/>
        <w:snapToGrid w:val="0"/>
        <w:spacing w:line="360" w:lineRule="auto"/>
        <w:ind w:firstLine="420" w:firstLineChars="200"/>
        <w:rPr>
          <w:rFonts w:cs="Times New Roman"/>
          <w:kern w:val="0"/>
        </w:rPr>
      </w:pPr>
      <w:r>
        <w:rPr>
          <w:rFonts w:hint="eastAsia" w:cs="宋体"/>
          <w:kern w:val="0"/>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p w14:paraId="7E8F1BAE">
      <w:pPr>
        <w:pStyle w:val="3"/>
        <w:spacing w:before="0" w:after="0" w:line="360" w:lineRule="auto"/>
      </w:pPr>
      <w:bookmarkStart w:id="595" w:name="_Toc45896968"/>
      <w:bookmarkEnd w:id="595"/>
      <w:bookmarkStart w:id="596" w:name="_Toc7986"/>
      <w:bookmarkEnd w:id="596"/>
      <w:bookmarkStart w:id="597" w:name="_Toc21879_WPSOffice_Level2"/>
      <w:bookmarkEnd w:id="597"/>
      <w:bookmarkStart w:id="598" w:name="_Toc1770_WPSOffice_Level2"/>
      <w:bookmarkEnd w:id="598"/>
      <w:bookmarkStart w:id="599" w:name="_Toc45896672"/>
      <w:bookmarkEnd w:id="599"/>
      <w:r>
        <w:rPr>
          <w:rFonts w:hint="eastAsia"/>
        </w:rPr>
        <w:t>14.确定中标人</w:t>
      </w:r>
    </w:p>
    <w:p w14:paraId="64D79028">
      <w:pPr>
        <w:adjustRightInd w:val="0"/>
        <w:snapToGrid w:val="0"/>
        <w:spacing w:line="360" w:lineRule="auto"/>
        <w:ind w:firstLine="420" w:firstLineChars="200"/>
        <w:rPr>
          <w:rFonts w:ascii="宋体" w:cs="Times New Roman"/>
          <w:kern w:val="0"/>
        </w:rPr>
      </w:pPr>
      <w:r>
        <w:rPr>
          <w:rFonts w:hint="eastAsia" w:ascii="宋体" w:hAnsi="宋体" w:cs="宋体"/>
          <w:kern w:val="0"/>
        </w:rPr>
        <w:t>招标人（或招标人授权的评标委员会）按照评标委员会推荐中标候选人的顺序确定中标人。</w:t>
      </w:r>
    </w:p>
    <w:p w14:paraId="72BD8FE8">
      <w:pPr>
        <w:pStyle w:val="3"/>
        <w:numPr>
          <w:ilvl w:val="0"/>
          <w:numId w:val="6"/>
        </w:numPr>
        <w:spacing w:before="0" w:after="0" w:line="360" w:lineRule="auto"/>
      </w:pPr>
      <w:bookmarkStart w:id="600" w:name="_Toc32020_WPSOffice_Level2"/>
      <w:bookmarkEnd w:id="600"/>
      <w:bookmarkStart w:id="601" w:name="_Toc14867_WPSOffice_Level2"/>
      <w:bookmarkEnd w:id="601"/>
      <w:bookmarkStart w:id="602" w:name="_Toc3332"/>
      <w:bookmarkEnd w:id="602"/>
      <w:bookmarkStart w:id="603" w:name="_Toc45896969"/>
      <w:bookmarkEnd w:id="603"/>
      <w:bookmarkStart w:id="604" w:name="_Toc45896673"/>
      <w:bookmarkEnd w:id="604"/>
      <w:r>
        <w:rPr>
          <w:rFonts w:hint="eastAsia"/>
        </w:rPr>
        <w:t>需要补充的其他内容</w:t>
      </w:r>
    </w:p>
    <w:p w14:paraId="14EEFE2A">
      <w:pPr>
        <w:spacing w:line="360" w:lineRule="auto"/>
        <w:ind w:firstLine="424" w:firstLineChars="202"/>
      </w:pPr>
      <w:r>
        <w:t>见投标人须知前附表。</w:t>
      </w:r>
    </w:p>
    <w:p w14:paraId="365B4485"/>
    <w:p w14:paraId="06CEE6E9">
      <w:pPr>
        <w:pStyle w:val="29"/>
        <w:rPr>
          <w:rFonts w:cs="Times New Roman"/>
          <w:color w:val="auto"/>
        </w:rPr>
      </w:pPr>
      <w:bookmarkStart w:id="605" w:name="_Toc152042358"/>
      <w:bookmarkStart w:id="606" w:name="_Toc247514005"/>
      <w:bookmarkStart w:id="607" w:name="_Toc152045581"/>
      <w:bookmarkStart w:id="608" w:name="_Toc144974548"/>
      <w:bookmarkStart w:id="609" w:name="_Toc247527606"/>
      <w:bookmarkStart w:id="610" w:name="_Toc300835002"/>
      <w:bookmarkStart w:id="611" w:name="_Toc521453596"/>
      <w:bookmarkStart w:id="612" w:name="_Toc23740"/>
      <w:bookmarkStart w:id="613" w:name="_Toc247514006"/>
      <w:bookmarkStart w:id="614" w:name="_Toc144974549"/>
      <w:bookmarkStart w:id="615" w:name="_Toc152045582"/>
      <w:bookmarkStart w:id="616" w:name="_Toc152042359"/>
      <w:bookmarkStart w:id="617" w:name="_Toc247527607"/>
    </w:p>
    <w:p w14:paraId="7C77678B">
      <w:pPr>
        <w:pStyle w:val="29"/>
        <w:rPr>
          <w:rFonts w:cs="Times New Roman"/>
          <w:color w:val="auto"/>
        </w:rPr>
      </w:pPr>
    </w:p>
    <w:p w14:paraId="2E813E21">
      <w:pPr>
        <w:pStyle w:val="29"/>
        <w:jc w:val="center"/>
        <w:rPr>
          <w:rFonts w:cs="Times New Roman"/>
          <w:color w:val="auto"/>
        </w:rPr>
      </w:pPr>
    </w:p>
    <w:bookmarkEnd w:id="605"/>
    <w:bookmarkEnd w:id="606"/>
    <w:bookmarkEnd w:id="607"/>
    <w:bookmarkEnd w:id="608"/>
    <w:bookmarkEnd w:id="609"/>
    <w:bookmarkEnd w:id="610"/>
    <w:p w14:paraId="5F3AD1A3">
      <w:bookmarkStart w:id="618" w:name="_Toc45896970"/>
      <w:bookmarkEnd w:id="618"/>
      <w:bookmarkStart w:id="619" w:name="_Toc45896674"/>
      <w:bookmarkEnd w:id="619"/>
      <w:bookmarkStart w:id="620" w:name="_Toc8812"/>
      <w:bookmarkEnd w:id="620"/>
      <w:bookmarkStart w:id="621" w:name="_Toc19267"/>
      <w:bookmarkEnd w:id="621"/>
      <w:r>
        <w:rPr>
          <w:rFonts w:hint="eastAsia"/>
        </w:rPr>
        <w:br w:type="page"/>
      </w:r>
    </w:p>
    <w:p w14:paraId="4F381558">
      <w:pPr>
        <w:pStyle w:val="4"/>
        <w:ind w:firstLine="0" w:firstLineChars="0"/>
        <w:rPr>
          <w:rFonts w:hint="eastAsia" w:cs="Times New Roman"/>
        </w:rPr>
      </w:pPr>
      <w:r>
        <w:rPr>
          <w:rFonts w:hint="eastAsia"/>
        </w:rPr>
        <w:t>附件一：开标记录表</w:t>
      </w:r>
    </w:p>
    <w:p w14:paraId="2394BD33">
      <w:pPr>
        <w:spacing w:line="400" w:lineRule="exact"/>
      </w:pPr>
    </w:p>
    <w:p w14:paraId="478CF89B">
      <w:pPr>
        <w:spacing w:line="400" w:lineRule="exact"/>
        <w:jc w:val="center"/>
        <w:rPr>
          <w:rFonts w:ascii="黑体" w:eastAsia="黑体" w:cs="Times New Roman"/>
          <w:sz w:val="28"/>
          <w:szCs w:val="28"/>
        </w:rPr>
      </w:pPr>
      <w:r>
        <w:rPr>
          <w:rFonts w:hint="eastAsia" w:ascii="黑体" w:eastAsia="黑体" w:cs="黑体"/>
          <w:sz w:val="28"/>
          <w:szCs w:val="28"/>
        </w:rPr>
        <w:t>（项目名称）设计施工总承包</w:t>
      </w:r>
      <w:r>
        <w:rPr>
          <w:rFonts w:hint="eastAsia" w:ascii="宋体" w:hAnsi="宋体" w:cs="宋体"/>
          <w:b/>
          <w:bCs/>
          <w:sz w:val="30"/>
          <w:szCs w:val="30"/>
        </w:rPr>
        <w:t>(EPC）</w:t>
      </w:r>
      <w:r>
        <w:rPr>
          <w:rFonts w:hint="eastAsia" w:ascii="黑体" w:eastAsia="黑体" w:cs="黑体"/>
          <w:sz w:val="28"/>
          <w:szCs w:val="28"/>
        </w:rPr>
        <w:t>招标开标记录表</w:t>
      </w:r>
    </w:p>
    <w:p w14:paraId="139C40C3">
      <w:pPr>
        <w:spacing w:line="400" w:lineRule="exact"/>
        <w:rPr>
          <w:rFonts w:cs="Times New Roman"/>
        </w:rPr>
      </w:pPr>
    </w:p>
    <w:tbl>
      <w:tblPr>
        <w:tblStyle w:val="25"/>
        <w:tblpPr w:leftFromText="180" w:rightFromText="180" w:vertAnchor="text" w:horzAnchor="page" w:tblpXSpec="center" w:tblpY="373"/>
        <w:tblOverlap w:val="never"/>
        <w:tblW w:w="9019" w:type="dxa"/>
        <w:jc w:val="center"/>
        <w:tblLayout w:type="fixed"/>
        <w:tblCellMar>
          <w:top w:w="0" w:type="dxa"/>
          <w:left w:w="108" w:type="dxa"/>
          <w:bottom w:w="0" w:type="dxa"/>
          <w:right w:w="108" w:type="dxa"/>
        </w:tblCellMar>
      </w:tblPr>
      <w:tblGrid>
        <w:gridCol w:w="495"/>
        <w:gridCol w:w="1088"/>
        <w:gridCol w:w="988"/>
        <w:gridCol w:w="957"/>
        <w:gridCol w:w="1143"/>
        <w:gridCol w:w="735"/>
        <w:gridCol w:w="1288"/>
        <w:gridCol w:w="1038"/>
        <w:gridCol w:w="1287"/>
      </w:tblGrid>
      <w:tr w14:paraId="454E81F8">
        <w:tblPrEx>
          <w:tblCellMar>
            <w:top w:w="0" w:type="dxa"/>
            <w:left w:w="108" w:type="dxa"/>
            <w:bottom w:w="0" w:type="dxa"/>
            <w:right w:w="108" w:type="dxa"/>
          </w:tblCellMar>
        </w:tblPrEx>
        <w:trPr>
          <w:trHeight w:val="241" w:hRule="atLeast"/>
          <w:jc w:val="center"/>
        </w:trPr>
        <w:tc>
          <w:tcPr>
            <w:tcW w:w="495" w:type="dxa"/>
            <w:vMerge w:val="restart"/>
            <w:tcBorders>
              <w:top w:val="single" w:color="auto" w:sz="4" w:space="0"/>
              <w:left w:val="single" w:color="auto" w:sz="4" w:space="0"/>
              <w:right w:val="single" w:color="auto" w:sz="4" w:space="0"/>
            </w:tcBorders>
            <w:vAlign w:val="center"/>
          </w:tcPr>
          <w:p w14:paraId="0B5A488D">
            <w:pPr>
              <w:spacing w:line="500" w:lineRule="exact"/>
              <w:jc w:val="center"/>
              <w:rPr>
                <w:rFonts w:cs="Times New Roman"/>
                <w:sz w:val="18"/>
                <w:szCs w:val="18"/>
              </w:rPr>
            </w:pPr>
            <w:r>
              <w:rPr>
                <w:rFonts w:hint="eastAsia" w:cs="宋体"/>
                <w:sz w:val="18"/>
                <w:szCs w:val="18"/>
              </w:rPr>
              <w:t>序号</w:t>
            </w:r>
          </w:p>
        </w:tc>
        <w:tc>
          <w:tcPr>
            <w:tcW w:w="1088" w:type="dxa"/>
            <w:vMerge w:val="restart"/>
            <w:tcBorders>
              <w:top w:val="single" w:color="auto" w:sz="4" w:space="0"/>
              <w:left w:val="single" w:color="auto" w:sz="4" w:space="0"/>
              <w:right w:val="single" w:color="auto" w:sz="4" w:space="0"/>
            </w:tcBorders>
            <w:vAlign w:val="center"/>
          </w:tcPr>
          <w:p w14:paraId="4FA8FEC5">
            <w:pPr>
              <w:spacing w:line="500" w:lineRule="exact"/>
              <w:jc w:val="center"/>
              <w:rPr>
                <w:rFonts w:cs="Times New Roman"/>
                <w:sz w:val="18"/>
                <w:szCs w:val="18"/>
              </w:rPr>
            </w:pPr>
            <w:r>
              <w:rPr>
                <w:rFonts w:hint="eastAsia" w:cs="宋体"/>
                <w:sz w:val="18"/>
                <w:szCs w:val="18"/>
              </w:rPr>
              <w:t>投标人</w:t>
            </w:r>
          </w:p>
        </w:tc>
        <w:tc>
          <w:tcPr>
            <w:tcW w:w="1945" w:type="dxa"/>
            <w:gridSpan w:val="2"/>
            <w:tcBorders>
              <w:top w:val="single" w:color="auto" w:sz="4" w:space="0"/>
              <w:left w:val="single" w:color="auto" w:sz="4" w:space="0"/>
              <w:bottom w:val="single" w:color="auto" w:sz="4" w:space="0"/>
              <w:right w:val="single" w:color="auto" w:sz="4" w:space="0"/>
            </w:tcBorders>
            <w:vAlign w:val="center"/>
          </w:tcPr>
          <w:p w14:paraId="2FC8D113">
            <w:pPr>
              <w:spacing w:line="400" w:lineRule="exact"/>
              <w:jc w:val="center"/>
              <w:rPr>
                <w:rFonts w:cs="宋体"/>
                <w:sz w:val="18"/>
                <w:szCs w:val="18"/>
              </w:rPr>
            </w:pPr>
            <w:r>
              <w:rPr>
                <w:rFonts w:hint="eastAsia" w:cs="宋体"/>
                <w:sz w:val="18"/>
                <w:szCs w:val="18"/>
              </w:rPr>
              <w:t>投标报价</w:t>
            </w:r>
          </w:p>
        </w:tc>
        <w:tc>
          <w:tcPr>
            <w:tcW w:w="1143" w:type="dxa"/>
            <w:vMerge w:val="restart"/>
            <w:tcBorders>
              <w:top w:val="single" w:color="auto" w:sz="4" w:space="0"/>
              <w:left w:val="single" w:color="auto" w:sz="4" w:space="0"/>
              <w:right w:val="single" w:color="auto" w:sz="4" w:space="0"/>
            </w:tcBorders>
            <w:vAlign w:val="center"/>
          </w:tcPr>
          <w:p w14:paraId="700FB29E">
            <w:pPr>
              <w:spacing w:line="400" w:lineRule="exact"/>
              <w:jc w:val="center"/>
              <w:rPr>
                <w:rFonts w:cs="Times New Roman"/>
                <w:sz w:val="18"/>
                <w:szCs w:val="18"/>
              </w:rPr>
            </w:pPr>
            <w:r>
              <w:rPr>
                <w:rFonts w:hint="eastAsia" w:cs="宋体"/>
                <w:sz w:val="18"/>
                <w:szCs w:val="18"/>
              </w:rPr>
              <w:t>质量承诺</w:t>
            </w:r>
          </w:p>
        </w:tc>
        <w:tc>
          <w:tcPr>
            <w:tcW w:w="735" w:type="dxa"/>
            <w:vMerge w:val="restart"/>
            <w:tcBorders>
              <w:top w:val="single" w:color="auto" w:sz="4" w:space="0"/>
              <w:left w:val="single" w:color="auto" w:sz="4" w:space="0"/>
              <w:right w:val="single" w:color="auto" w:sz="4" w:space="0"/>
            </w:tcBorders>
            <w:vAlign w:val="center"/>
          </w:tcPr>
          <w:p w14:paraId="12EAF628">
            <w:pPr>
              <w:spacing w:line="400" w:lineRule="exact"/>
              <w:jc w:val="center"/>
              <w:rPr>
                <w:rFonts w:cs="Times New Roman"/>
                <w:sz w:val="18"/>
                <w:szCs w:val="18"/>
              </w:rPr>
            </w:pPr>
            <w:r>
              <w:rPr>
                <w:rFonts w:hint="eastAsia" w:cs="宋体"/>
                <w:sz w:val="18"/>
                <w:szCs w:val="18"/>
              </w:rPr>
              <w:t>工期承诺</w:t>
            </w:r>
          </w:p>
        </w:tc>
        <w:tc>
          <w:tcPr>
            <w:tcW w:w="1288" w:type="dxa"/>
            <w:vMerge w:val="restart"/>
            <w:tcBorders>
              <w:top w:val="single" w:color="auto" w:sz="4" w:space="0"/>
              <w:left w:val="single" w:color="auto" w:sz="4" w:space="0"/>
              <w:right w:val="single" w:color="auto" w:sz="4" w:space="0"/>
            </w:tcBorders>
          </w:tcPr>
          <w:p w14:paraId="701EE5BF">
            <w:pPr>
              <w:spacing w:line="360" w:lineRule="auto"/>
              <w:jc w:val="center"/>
              <w:rPr>
                <w:rFonts w:cs="宋体"/>
                <w:sz w:val="18"/>
                <w:szCs w:val="18"/>
              </w:rPr>
            </w:pPr>
            <w:r>
              <w:rPr>
                <w:rFonts w:hint="eastAsia" w:cs="宋体"/>
                <w:sz w:val="18"/>
                <w:szCs w:val="18"/>
              </w:rPr>
              <w:t>投标保证金</w:t>
            </w:r>
          </w:p>
          <w:p w14:paraId="4326AC51">
            <w:pPr>
              <w:spacing w:line="360" w:lineRule="auto"/>
              <w:jc w:val="center"/>
              <w:rPr>
                <w:rFonts w:cs="Times New Roman"/>
                <w:sz w:val="18"/>
                <w:szCs w:val="18"/>
              </w:rPr>
            </w:pPr>
            <w:r>
              <w:rPr>
                <w:rFonts w:hint="eastAsia" w:cs="宋体"/>
                <w:sz w:val="18"/>
                <w:szCs w:val="18"/>
              </w:rPr>
              <w:t>（元）</w:t>
            </w:r>
          </w:p>
        </w:tc>
        <w:tc>
          <w:tcPr>
            <w:tcW w:w="1038" w:type="dxa"/>
            <w:vMerge w:val="restart"/>
            <w:tcBorders>
              <w:top w:val="single" w:color="auto" w:sz="4" w:space="0"/>
              <w:left w:val="single" w:color="auto" w:sz="4" w:space="0"/>
              <w:right w:val="single" w:color="auto" w:sz="4" w:space="0"/>
            </w:tcBorders>
            <w:vAlign w:val="center"/>
          </w:tcPr>
          <w:p w14:paraId="728DF7DA">
            <w:pPr>
              <w:spacing w:line="360" w:lineRule="auto"/>
              <w:jc w:val="center"/>
              <w:rPr>
                <w:rFonts w:cs="Times New Roman"/>
                <w:sz w:val="18"/>
                <w:szCs w:val="18"/>
              </w:rPr>
            </w:pPr>
            <w:r>
              <w:rPr>
                <w:rFonts w:hint="eastAsia" w:cs="宋体"/>
                <w:sz w:val="18"/>
                <w:szCs w:val="18"/>
              </w:rPr>
              <w:t>说明</w:t>
            </w:r>
          </w:p>
        </w:tc>
        <w:tc>
          <w:tcPr>
            <w:tcW w:w="1287" w:type="dxa"/>
            <w:vMerge w:val="restart"/>
            <w:tcBorders>
              <w:top w:val="single" w:color="auto" w:sz="4" w:space="0"/>
              <w:left w:val="single" w:color="auto" w:sz="4" w:space="0"/>
              <w:right w:val="single" w:color="auto" w:sz="4" w:space="0"/>
            </w:tcBorders>
            <w:vAlign w:val="center"/>
          </w:tcPr>
          <w:p w14:paraId="68108DD5">
            <w:pPr>
              <w:spacing w:line="500" w:lineRule="exact"/>
              <w:jc w:val="center"/>
              <w:rPr>
                <w:rFonts w:cs="Times New Roman"/>
                <w:sz w:val="18"/>
                <w:szCs w:val="18"/>
              </w:rPr>
            </w:pPr>
            <w:r>
              <w:rPr>
                <w:rFonts w:hint="eastAsia" w:cs="宋体"/>
                <w:sz w:val="18"/>
                <w:szCs w:val="18"/>
              </w:rPr>
              <w:t>签名</w:t>
            </w:r>
          </w:p>
        </w:tc>
      </w:tr>
      <w:tr w14:paraId="6708CF13">
        <w:tblPrEx>
          <w:tblCellMar>
            <w:top w:w="0" w:type="dxa"/>
            <w:left w:w="108" w:type="dxa"/>
            <w:bottom w:w="0" w:type="dxa"/>
            <w:right w:w="108" w:type="dxa"/>
          </w:tblCellMar>
        </w:tblPrEx>
        <w:trPr>
          <w:trHeight w:val="241" w:hRule="atLeast"/>
          <w:jc w:val="center"/>
        </w:trPr>
        <w:tc>
          <w:tcPr>
            <w:tcW w:w="495" w:type="dxa"/>
            <w:vMerge w:val="continue"/>
            <w:tcBorders>
              <w:left w:val="single" w:color="auto" w:sz="4" w:space="0"/>
              <w:bottom w:val="single" w:color="auto" w:sz="4" w:space="0"/>
              <w:right w:val="single" w:color="auto" w:sz="4" w:space="0"/>
            </w:tcBorders>
            <w:vAlign w:val="center"/>
          </w:tcPr>
          <w:p w14:paraId="76816ED4">
            <w:pPr>
              <w:spacing w:line="500" w:lineRule="exact"/>
              <w:jc w:val="center"/>
              <w:rPr>
                <w:rFonts w:cs="Times New Roman"/>
                <w:sz w:val="18"/>
                <w:szCs w:val="18"/>
              </w:rPr>
            </w:pPr>
          </w:p>
        </w:tc>
        <w:tc>
          <w:tcPr>
            <w:tcW w:w="1088" w:type="dxa"/>
            <w:vMerge w:val="continue"/>
            <w:tcBorders>
              <w:left w:val="single" w:color="auto" w:sz="4" w:space="0"/>
              <w:bottom w:val="single" w:color="auto" w:sz="4" w:space="0"/>
              <w:right w:val="single" w:color="auto" w:sz="4" w:space="0"/>
            </w:tcBorders>
            <w:vAlign w:val="center"/>
          </w:tcPr>
          <w:p w14:paraId="0753C751">
            <w:pPr>
              <w:spacing w:line="500" w:lineRule="exact"/>
              <w:jc w:val="center"/>
              <w:rPr>
                <w:rFonts w:cs="Times New Roman"/>
                <w:sz w:val="18"/>
                <w:szCs w:val="18"/>
              </w:rPr>
            </w:pPr>
          </w:p>
        </w:tc>
        <w:tc>
          <w:tcPr>
            <w:tcW w:w="988" w:type="dxa"/>
            <w:tcBorders>
              <w:top w:val="single" w:color="auto" w:sz="4" w:space="0"/>
              <w:left w:val="single" w:color="auto" w:sz="4" w:space="0"/>
              <w:bottom w:val="single" w:color="auto" w:sz="4" w:space="0"/>
              <w:right w:val="single" w:color="auto" w:sz="4" w:space="0"/>
            </w:tcBorders>
            <w:vAlign w:val="center"/>
          </w:tcPr>
          <w:p w14:paraId="58A16AAD">
            <w:pPr>
              <w:spacing w:line="400" w:lineRule="exact"/>
              <w:rPr>
                <w:rFonts w:cs="宋体"/>
                <w:sz w:val="18"/>
                <w:szCs w:val="18"/>
              </w:rPr>
            </w:pPr>
            <w:r>
              <w:rPr>
                <w:rFonts w:hint="eastAsia" w:cs="宋体"/>
                <w:sz w:val="18"/>
                <w:szCs w:val="18"/>
              </w:rPr>
              <w:t>工程设计费投标报价（</w:t>
            </w:r>
            <w:r>
              <w:rPr>
                <w:rFonts w:hint="eastAsia"/>
                <w:sz w:val="18"/>
                <w:szCs w:val="18"/>
              </w:rPr>
              <w:t>%</w:t>
            </w:r>
            <w:r>
              <w:rPr>
                <w:rFonts w:hint="eastAsia" w:cs="宋体"/>
                <w:sz w:val="18"/>
                <w:szCs w:val="18"/>
              </w:rPr>
              <w:t>）</w:t>
            </w:r>
          </w:p>
        </w:tc>
        <w:tc>
          <w:tcPr>
            <w:tcW w:w="957" w:type="dxa"/>
            <w:tcBorders>
              <w:top w:val="single" w:color="auto" w:sz="4" w:space="0"/>
              <w:left w:val="single" w:color="auto" w:sz="4" w:space="0"/>
              <w:bottom w:val="single" w:color="auto" w:sz="4" w:space="0"/>
              <w:right w:val="single" w:color="auto" w:sz="4" w:space="0"/>
            </w:tcBorders>
            <w:vAlign w:val="center"/>
          </w:tcPr>
          <w:p w14:paraId="0E6595DB">
            <w:pPr>
              <w:spacing w:line="400" w:lineRule="exact"/>
              <w:jc w:val="center"/>
              <w:rPr>
                <w:rFonts w:cs="Times New Roman"/>
                <w:sz w:val="18"/>
                <w:szCs w:val="18"/>
              </w:rPr>
            </w:pPr>
            <w:r>
              <w:rPr>
                <w:rFonts w:hint="eastAsia" w:cs="宋体"/>
                <w:sz w:val="18"/>
                <w:szCs w:val="18"/>
              </w:rPr>
              <w:t>建安工程费投标报价（下浮率）（</w:t>
            </w:r>
            <w:r>
              <w:rPr>
                <w:sz w:val="18"/>
                <w:szCs w:val="18"/>
              </w:rPr>
              <w:t>%</w:t>
            </w:r>
            <w:r>
              <w:rPr>
                <w:rFonts w:hint="eastAsia" w:cs="宋体"/>
                <w:sz w:val="18"/>
                <w:szCs w:val="18"/>
              </w:rPr>
              <w:t>）</w:t>
            </w:r>
          </w:p>
        </w:tc>
        <w:tc>
          <w:tcPr>
            <w:tcW w:w="1143" w:type="dxa"/>
            <w:vMerge w:val="continue"/>
            <w:tcBorders>
              <w:left w:val="single" w:color="auto" w:sz="4" w:space="0"/>
              <w:bottom w:val="single" w:color="auto" w:sz="4" w:space="0"/>
              <w:right w:val="single" w:color="auto" w:sz="4" w:space="0"/>
            </w:tcBorders>
            <w:vAlign w:val="center"/>
          </w:tcPr>
          <w:p w14:paraId="081A4179">
            <w:pPr>
              <w:spacing w:line="400" w:lineRule="exact"/>
              <w:jc w:val="center"/>
              <w:rPr>
                <w:rFonts w:cs="Times New Roman"/>
                <w:sz w:val="18"/>
                <w:szCs w:val="18"/>
              </w:rPr>
            </w:pPr>
          </w:p>
        </w:tc>
        <w:tc>
          <w:tcPr>
            <w:tcW w:w="735" w:type="dxa"/>
            <w:vMerge w:val="continue"/>
            <w:tcBorders>
              <w:left w:val="single" w:color="auto" w:sz="4" w:space="0"/>
              <w:bottom w:val="single" w:color="auto" w:sz="4" w:space="0"/>
              <w:right w:val="single" w:color="auto" w:sz="4" w:space="0"/>
            </w:tcBorders>
          </w:tcPr>
          <w:p w14:paraId="03CD6CA3">
            <w:pPr>
              <w:spacing w:line="400" w:lineRule="exact"/>
              <w:jc w:val="center"/>
              <w:rPr>
                <w:rFonts w:cs="Times New Roman"/>
                <w:sz w:val="18"/>
                <w:szCs w:val="18"/>
              </w:rPr>
            </w:pPr>
          </w:p>
        </w:tc>
        <w:tc>
          <w:tcPr>
            <w:tcW w:w="1288" w:type="dxa"/>
            <w:vMerge w:val="continue"/>
            <w:tcBorders>
              <w:left w:val="single" w:color="auto" w:sz="4" w:space="0"/>
              <w:bottom w:val="single" w:color="auto" w:sz="4" w:space="0"/>
              <w:right w:val="single" w:color="auto" w:sz="4" w:space="0"/>
            </w:tcBorders>
            <w:vAlign w:val="center"/>
          </w:tcPr>
          <w:p w14:paraId="053A0305">
            <w:pPr>
              <w:spacing w:line="400" w:lineRule="exact"/>
              <w:jc w:val="center"/>
              <w:rPr>
                <w:rFonts w:cs="Times New Roman"/>
                <w:sz w:val="18"/>
                <w:szCs w:val="18"/>
              </w:rPr>
            </w:pPr>
          </w:p>
        </w:tc>
        <w:tc>
          <w:tcPr>
            <w:tcW w:w="1038" w:type="dxa"/>
            <w:vMerge w:val="continue"/>
            <w:tcBorders>
              <w:left w:val="single" w:color="auto" w:sz="4" w:space="0"/>
              <w:bottom w:val="single" w:color="auto" w:sz="4" w:space="0"/>
              <w:right w:val="single" w:color="auto" w:sz="4" w:space="0"/>
            </w:tcBorders>
            <w:vAlign w:val="center"/>
          </w:tcPr>
          <w:p w14:paraId="7E11D28F">
            <w:pPr>
              <w:spacing w:line="500" w:lineRule="exact"/>
              <w:jc w:val="center"/>
              <w:rPr>
                <w:rFonts w:cs="Times New Roman"/>
                <w:sz w:val="18"/>
                <w:szCs w:val="18"/>
              </w:rPr>
            </w:pPr>
          </w:p>
        </w:tc>
        <w:tc>
          <w:tcPr>
            <w:tcW w:w="1287" w:type="dxa"/>
            <w:vMerge w:val="continue"/>
            <w:tcBorders>
              <w:left w:val="single" w:color="auto" w:sz="4" w:space="0"/>
              <w:bottom w:val="single" w:color="auto" w:sz="4" w:space="0"/>
              <w:right w:val="single" w:color="auto" w:sz="4" w:space="0"/>
            </w:tcBorders>
            <w:vAlign w:val="center"/>
          </w:tcPr>
          <w:p w14:paraId="513DB27B">
            <w:pPr>
              <w:spacing w:line="500" w:lineRule="exact"/>
              <w:jc w:val="center"/>
              <w:rPr>
                <w:rFonts w:cs="Times New Roman"/>
                <w:sz w:val="18"/>
                <w:szCs w:val="18"/>
              </w:rPr>
            </w:pPr>
          </w:p>
        </w:tc>
      </w:tr>
      <w:tr w14:paraId="4E6F1C92">
        <w:tblPrEx>
          <w:tblCellMar>
            <w:top w:w="0" w:type="dxa"/>
            <w:left w:w="108" w:type="dxa"/>
            <w:bottom w:w="0" w:type="dxa"/>
            <w:right w:w="108" w:type="dxa"/>
          </w:tblCellMar>
        </w:tblPrEx>
        <w:trPr>
          <w:jc w:val="center"/>
        </w:trPr>
        <w:tc>
          <w:tcPr>
            <w:tcW w:w="495" w:type="dxa"/>
            <w:tcBorders>
              <w:top w:val="single" w:color="auto" w:sz="4" w:space="0"/>
              <w:left w:val="single" w:color="auto" w:sz="4" w:space="0"/>
              <w:bottom w:val="single" w:color="auto" w:sz="4" w:space="0"/>
              <w:right w:val="single" w:color="auto" w:sz="4" w:space="0"/>
            </w:tcBorders>
          </w:tcPr>
          <w:p w14:paraId="1627F50D">
            <w:pPr>
              <w:spacing w:line="500" w:lineRule="exact"/>
              <w:jc w:val="left"/>
              <w:rPr>
                <w:rFonts w:cs="Times New Roman"/>
              </w:rPr>
            </w:pPr>
          </w:p>
        </w:tc>
        <w:tc>
          <w:tcPr>
            <w:tcW w:w="1088" w:type="dxa"/>
            <w:tcBorders>
              <w:top w:val="single" w:color="auto" w:sz="4" w:space="0"/>
              <w:left w:val="single" w:color="auto" w:sz="4" w:space="0"/>
              <w:bottom w:val="single" w:color="auto" w:sz="4" w:space="0"/>
              <w:right w:val="single" w:color="auto" w:sz="4" w:space="0"/>
            </w:tcBorders>
          </w:tcPr>
          <w:p w14:paraId="2FC4A231">
            <w:pPr>
              <w:spacing w:line="500" w:lineRule="exact"/>
              <w:jc w:val="left"/>
              <w:rPr>
                <w:rFonts w:cs="Times New Roman"/>
              </w:rPr>
            </w:pPr>
          </w:p>
        </w:tc>
        <w:tc>
          <w:tcPr>
            <w:tcW w:w="988" w:type="dxa"/>
            <w:tcBorders>
              <w:top w:val="single" w:color="auto" w:sz="4" w:space="0"/>
              <w:left w:val="single" w:color="auto" w:sz="4" w:space="0"/>
              <w:bottom w:val="single" w:color="auto" w:sz="4" w:space="0"/>
              <w:right w:val="single" w:color="auto" w:sz="4" w:space="0"/>
            </w:tcBorders>
          </w:tcPr>
          <w:p w14:paraId="159C7BF6">
            <w:pPr>
              <w:spacing w:line="500" w:lineRule="exact"/>
              <w:jc w:val="left"/>
              <w:rPr>
                <w:rFonts w:cs="Times New Roman"/>
                <w:b/>
                <w:bCs/>
              </w:rPr>
            </w:pPr>
          </w:p>
        </w:tc>
        <w:tc>
          <w:tcPr>
            <w:tcW w:w="957" w:type="dxa"/>
            <w:tcBorders>
              <w:top w:val="single" w:color="auto" w:sz="4" w:space="0"/>
              <w:left w:val="single" w:color="auto" w:sz="4" w:space="0"/>
              <w:bottom w:val="single" w:color="auto" w:sz="4" w:space="0"/>
              <w:right w:val="single" w:color="auto" w:sz="4" w:space="0"/>
            </w:tcBorders>
          </w:tcPr>
          <w:p w14:paraId="7058D397">
            <w:pPr>
              <w:spacing w:line="500" w:lineRule="exact"/>
              <w:jc w:val="left"/>
              <w:rPr>
                <w:rFonts w:cs="Times New Roman"/>
                <w:b/>
                <w:bCs/>
              </w:rPr>
            </w:pPr>
          </w:p>
        </w:tc>
        <w:tc>
          <w:tcPr>
            <w:tcW w:w="1143" w:type="dxa"/>
            <w:tcBorders>
              <w:top w:val="single" w:color="auto" w:sz="4" w:space="0"/>
              <w:left w:val="single" w:color="auto" w:sz="4" w:space="0"/>
              <w:bottom w:val="single" w:color="auto" w:sz="4" w:space="0"/>
              <w:right w:val="single" w:color="auto" w:sz="4" w:space="0"/>
            </w:tcBorders>
          </w:tcPr>
          <w:p w14:paraId="124D692B">
            <w:pPr>
              <w:spacing w:line="500" w:lineRule="exact"/>
              <w:jc w:val="left"/>
              <w:rPr>
                <w:rFonts w:cs="Times New Roman"/>
                <w:b/>
                <w:bCs/>
              </w:rPr>
            </w:pPr>
          </w:p>
        </w:tc>
        <w:tc>
          <w:tcPr>
            <w:tcW w:w="735" w:type="dxa"/>
            <w:tcBorders>
              <w:top w:val="single" w:color="auto" w:sz="4" w:space="0"/>
              <w:left w:val="single" w:color="auto" w:sz="4" w:space="0"/>
              <w:bottom w:val="single" w:color="auto" w:sz="4" w:space="0"/>
              <w:right w:val="single" w:color="auto" w:sz="4" w:space="0"/>
            </w:tcBorders>
          </w:tcPr>
          <w:p w14:paraId="2B53C4CD">
            <w:pPr>
              <w:spacing w:line="500" w:lineRule="exact"/>
              <w:jc w:val="left"/>
              <w:rPr>
                <w:rFonts w:cs="Times New Roman"/>
                <w:b/>
                <w:bCs/>
              </w:rPr>
            </w:pPr>
          </w:p>
        </w:tc>
        <w:tc>
          <w:tcPr>
            <w:tcW w:w="1288" w:type="dxa"/>
            <w:tcBorders>
              <w:top w:val="single" w:color="auto" w:sz="4" w:space="0"/>
              <w:left w:val="single" w:color="auto" w:sz="4" w:space="0"/>
              <w:bottom w:val="single" w:color="auto" w:sz="4" w:space="0"/>
              <w:right w:val="single" w:color="auto" w:sz="4" w:space="0"/>
            </w:tcBorders>
          </w:tcPr>
          <w:p w14:paraId="5085F774">
            <w:pPr>
              <w:spacing w:line="500" w:lineRule="exact"/>
              <w:jc w:val="left"/>
              <w:rPr>
                <w:rFonts w:cs="Times New Roman"/>
                <w:b/>
                <w:bCs/>
              </w:rPr>
            </w:pPr>
          </w:p>
        </w:tc>
        <w:tc>
          <w:tcPr>
            <w:tcW w:w="1038" w:type="dxa"/>
            <w:tcBorders>
              <w:top w:val="single" w:color="auto" w:sz="4" w:space="0"/>
              <w:left w:val="single" w:color="auto" w:sz="4" w:space="0"/>
              <w:bottom w:val="single" w:color="auto" w:sz="4" w:space="0"/>
              <w:right w:val="single" w:color="auto" w:sz="4" w:space="0"/>
            </w:tcBorders>
          </w:tcPr>
          <w:p w14:paraId="7CB7E852">
            <w:pPr>
              <w:spacing w:line="500" w:lineRule="exact"/>
              <w:jc w:val="left"/>
              <w:rPr>
                <w:rFonts w:cs="Times New Roman"/>
                <w:b/>
                <w:bCs/>
              </w:rPr>
            </w:pPr>
          </w:p>
        </w:tc>
        <w:tc>
          <w:tcPr>
            <w:tcW w:w="1287" w:type="dxa"/>
            <w:tcBorders>
              <w:top w:val="single" w:color="auto" w:sz="4" w:space="0"/>
              <w:left w:val="single" w:color="auto" w:sz="4" w:space="0"/>
              <w:bottom w:val="single" w:color="auto" w:sz="4" w:space="0"/>
              <w:right w:val="single" w:color="auto" w:sz="4" w:space="0"/>
            </w:tcBorders>
          </w:tcPr>
          <w:p w14:paraId="71C2DD46">
            <w:pPr>
              <w:spacing w:line="500" w:lineRule="exact"/>
              <w:jc w:val="left"/>
              <w:rPr>
                <w:rFonts w:cs="Times New Roman"/>
                <w:b/>
                <w:bCs/>
              </w:rPr>
            </w:pPr>
          </w:p>
        </w:tc>
      </w:tr>
      <w:tr w14:paraId="28B2F58C">
        <w:tblPrEx>
          <w:tblCellMar>
            <w:top w:w="0" w:type="dxa"/>
            <w:left w:w="108" w:type="dxa"/>
            <w:bottom w:w="0" w:type="dxa"/>
            <w:right w:w="108" w:type="dxa"/>
          </w:tblCellMar>
        </w:tblPrEx>
        <w:trPr>
          <w:jc w:val="center"/>
        </w:trPr>
        <w:tc>
          <w:tcPr>
            <w:tcW w:w="495" w:type="dxa"/>
            <w:tcBorders>
              <w:top w:val="single" w:color="auto" w:sz="4" w:space="0"/>
              <w:left w:val="single" w:color="auto" w:sz="4" w:space="0"/>
              <w:bottom w:val="single" w:color="auto" w:sz="4" w:space="0"/>
              <w:right w:val="single" w:color="auto" w:sz="4" w:space="0"/>
            </w:tcBorders>
          </w:tcPr>
          <w:p w14:paraId="1E9A7E3A">
            <w:pPr>
              <w:spacing w:line="500" w:lineRule="exact"/>
              <w:jc w:val="left"/>
              <w:rPr>
                <w:rFonts w:cs="Times New Roman"/>
              </w:rPr>
            </w:pPr>
          </w:p>
        </w:tc>
        <w:tc>
          <w:tcPr>
            <w:tcW w:w="1088" w:type="dxa"/>
            <w:tcBorders>
              <w:top w:val="single" w:color="auto" w:sz="4" w:space="0"/>
              <w:left w:val="single" w:color="auto" w:sz="4" w:space="0"/>
              <w:bottom w:val="single" w:color="auto" w:sz="4" w:space="0"/>
              <w:right w:val="single" w:color="auto" w:sz="4" w:space="0"/>
            </w:tcBorders>
          </w:tcPr>
          <w:p w14:paraId="07E55A56">
            <w:pPr>
              <w:spacing w:line="500" w:lineRule="exact"/>
              <w:jc w:val="left"/>
              <w:rPr>
                <w:rFonts w:cs="Times New Roman"/>
              </w:rPr>
            </w:pPr>
          </w:p>
        </w:tc>
        <w:tc>
          <w:tcPr>
            <w:tcW w:w="988" w:type="dxa"/>
            <w:tcBorders>
              <w:top w:val="single" w:color="auto" w:sz="4" w:space="0"/>
              <w:left w:val="single" w:color="auto" w:sz="4" w:space="0"/>
              <w:bottom w:val="single" w:color="auto" w:sz="4" w:space="0"/>
              <w:right w:val="single" w:color="auto" w:sz="4" w:space="0"/>
            </w:tcBorders>
          </w:tcPr>
          <w:p w14:paraId="1F54E8D4">
            <w:pPr>
              <w:spacing w:line="500" w:lineRule="exact"/>
              <w:jc w:val="left"/>
              <w:rPr>
                <w:rFonts w:cs="Times New Roman"/>
                <w:b/>
                <w:bCs/>
              </w:rPr>
            </w:pPr>
          </w:p>
        </w:tc>
        <w:tc>
          <w:tcPr>
            <w:tcW w:w="957" w:type="dxa"/>
            <w:tcBorders>
              <w:top w:val="single" w:color="auto" w:sz="4" w:space="0"/>
              <w:left w:val="single" w:color="auto" w:sz="4" w:space="0"/>
              <w:bottom w:val="single" w:color="auto" w:sz="4" w:space="0"/>
              <w:right w:val="single" w:color="auto" w:sz="4" w:space="0"/>
            </w:tcBorders>
          </w:tcPr>
          <w:p w14:paraId="526EEE91">
            <w:pPr>
              <w:spacing w:line="500" w:lineRule="exact"/>
              <w:jc w:val="left"/>
              <w:rPr>
                <w:rFonts w:cs="Times New Roman"/>
                <w:b/>
                <w:bCs/>
              </w:rPr>
            </w:pPr>
          </w:p>
        </w:tc>
        <w:tc>
          <w:tcPr>
            <w:tcW w:w="1143" w:type="dxa"/>
            <w:tcBorders>
              <w:top w:val="single" w:color="auto" w:sz="4" w:space="0"/>
              <w:left w:val="single" w:color="auto" w:sz="4" w:space="0"/>
              <w:bottom w:val="single" w:color="auto" w:sz="4" w:space="0"/>
              <w:right w:val="single" w:color="auto" w:sz="4" w:space="0"/>
            </w:tcBorders>
          </w:tcPr>
          <w:p w14:paraId="1668CCB3">
            <w:pPr>
              <w:spacing w:line="500" w:lineRule="exact"/>
              <w:jc w:val="left"/>
              <w:rPr>
                <w:rFonts w:cs="Times New Roman"/>
                <w:b/>
                <w:bCs/>
              </w:rPr>
            </w:pPr>
          </w:p>
        </w:tc>
        <w:tc>
          <w:tcPr>
            <w:tcW w:w="735" w:type="dxa"/>
            <w:tcBorders>
              <w:top w:val="single" w:color="auto" w:sz="4" w:space="0"/>
              <w:left w:val="single" w:color="auto" w:sz="4" w:space="0"/>
              <w:bottom w:val="single" w:color="auto" w:sz="4" w:space="0"/>
              <w:right w:val="single" w:color="auto" w:sz="4" w:space="0"/>
            </w:tcBorders>
          </w:tcPr>
          <w:p w14:paraId="7DC54597">
            <w:pPr>
              <w:spacing w:line="500" w:lineRule="exact"/>
              <w:jc w:val="left"/>
              <w:rPr>
                <w:rFonts w:cs="Times New Roman"/>
                <w:b/>
                <w:bCs/>
              </w:rPr>
            </w:pPr>
          </w:p>
        </w:tc>
        <w:tc>
          <w:tcPr>
            <w:tcW w:w="1288" w:type="dxa"/>
            <w:tcBorders>
              <w:top w:val="single" w:color="auto" w:sz="4" w:space="0"/>
              <w:left w:val="single" w:color="auto" w:sz="4" w:space="0"/>
              <w:bottom w:val="single" w:color="auto" w:sz="4" w:space="0"/>
              <w:right w:val="single" w:color="auto" w:sz="4" w:space="0"/>
            </w:tcBorders>
          </w:tcPr>
          <w:p w14:paraId="3AAAA9E3">
            <w:pPr>
              <w:spacing w:line="500" w:lineRule="exact"/>
              <w:jc w:val="left"/>
              <w:rPr>
                <w:rFonts w:cs="Times New Roman"/>
                <w:b/>
                <w:bCs/>
              </w:rPr>
            </w:pPr>
          </w:p>
        </w:tc>
        <w:tc>
          <w:tcPr>
            <w:tcW w:w="1038" w:type="dxa"/>
            <w:tcBorders>
              <w:top w:val="single" w:color="auto" w:sz="4" w:space="0"/>
              <w:left w:val="single" w:color="auto" w:sz="4" w:space="0"/>
              <w:bottom w:val="single" w:color="auto" w:sz="4" w:space="0"/>
              <w:right w:val="single" w:color="auto" w:sz="4" w:space="0"/>
            </w:tcBorders>
          </w:tcPr>
          <w:p w14:paraId="207F4013">
            <w:pPr>
              <w:spacing w:line="500" w:lineRule="exact"/>
              <w:jc w:val="left"/>
              <w:rPr>
                <w:rFonts w:cs="Times New Roman"/>
                <w:b/>
                <w:bCs/>
              </w:rPr>
            </w:pPr>
          </w:p>
        </w:tc>
        <w:tc>
          <w:tcPr>
            <w:tcW w:w="1287" w:type="dxa"/>
            <w:tcBorders>
              <w:top w:val="single" w:color="auto" w:sz="4" w:space="0"/>
              <w:left w:val="single" w:color="auto" w:sz="4" w:space="0"/>
              <w:bottom w:val="single" w:color="auto" w:sz="4" w:space="0"/>
              <w:right w:val="single" w:color="auto" w:sz="4" w:space="0"/>
            </w:tcBorders>
          </w:tcPr>
          <w:p w14:paraId="2D21383F">
            <w:pPr>
              <w:spacing w:line="500" w:lineRule="exact"/>
              <w:jc w:val="left"/>
              <w:rPr>
                <w:rFonts w:cs="Times New Roman"/>
                <w:b/>
                <w:bCs/>
              </w:rPr>
            </w:pPr>
          </w:p>
        </w:tc>
      </w:tr>
      <w:tr w14:paraId="7A2B0197">
        <w:tblPrEx>
          <w:tblCellMar>
            <w:top w:w="0" w:type="dxa"/>
            <w:left w:w="108" w:type="dxa"/>
            <w:bottom w:w="0" w:type="dxa"/>
            <w:right w:w="108" w:type="dxa"/>
          </w:tblCellMar>
        </w:tblPrEx>
        <w:trPr>
          <w:jc w:val="center"/>
        </w:trPr>
        <w:tc>
          <w:tcPr>
            <w:tcW w:w="495" w:type="dxa"/>
            <w:tcBorders>
              <w:top w:val="single" w:color="auto" w:sz="4" w:space="0"/>
              <w:left w:val="single" w:color="auto" w:sz="4" w:space="0"/>
              <w:bottom w:val="single" w:color="auto" w:sz="4" w:space="0"/>
              <w:right w:val="single" w:color="auto" w:sz="4" w:space="0"/>
            </w:tcBorders>
          </w:tcPr>
          <w:p w14:paraId="780A3213">
            <w:pPr>
              <w:spacing w:line="500" w:lineRule="exact"/>
              <w:jc w:val="left"/>
              <w:rPr>
                <w:rFonts w:cs="Times New Roman"/>
              </w:rPr>
            </w:pPr>
          </w:p>
        </w:tc>
        <w:tc>
          <w:tcPr>
            <w:tcW w:w="1088" w:type="dxa"/>
            <w:tcBorders>
              <w:top w:val="single" w:color="auto" w:sz="4" w:space="0"/>
              <w:left w:val="single" w:color="auto" w:sz="4" w:space="0"/>
              <w:bottom w:val="single" w:color="auto" w:sz="4" w:space="0"/>
              <w:right w:val="single" w:color="auto" w:sz="4" w:space="0"/>
            </w:tcBorders>
          </w:tcPr>
          <w:p w14:paraId="19C4EDEF">
            <w:pPr>
              <w:spacing w:line="500" w:lineRule="exact"/>
              <w:jc w:val="left"/>
              <w:rPr>
                <w:rFonts w:cs="Times New Roman"/>
              </w:rPr>
            </w:pPr>
          </w:p>
        </w:tc>
        <w:tc>
          <w:tcPr>
            <w:tcW w:w="988" w:type="dxa"/>
            <w:tcBorders>
              <w:top w:val="single" w:color="auto" w:sz="4" w:space="0"/>
              <w:left w:val="single" w:color="auto" w:sz="4" w:space="0"/>
              <w:bottom w:val="single" w:color="auto" w:sz="4" w:space="0"/>
              <w:right w:val="single" w:color="auto" w:sz="4" w:space="0"/>
            </w:tcBorders>
          </w:tcPr>
          <w:p w14:paraId="376234A6">
            <w:pPr>
              <w:spacing w:line="500" w:lineRule="exact"/>
              <w:jc w:val="left"/>
              <w:rPr>
                <w:rFonts w:cs="Times New Roman"/>
                <w:b/>
                <w:bCs/>
              </w:rPr>
            </w:pPr>
          </w:p>
        </w:tc>
        <w:tc>
          <w:tcPr>
            <w:tcW w:w="957" w:type="dxa"/>
            <w:tcBorders>
              <w:top w:val="single" w:color="auto" w:sz="4" w:space="0"/>
              <w:left w:val="single" w:color="auto" w:sz="4" w:space="0"/>
              <w:bottom w:val="single" w:color="auto" w:sz="4" w:space="0"/>
              <w:right w:val="single" w:color="auto" w:sz="4" w:space="0"/>
            </w:tcBorders>
          </w:tcPr>
          <w:p w14:paraId="40A9F918">
            <w:pPr>
              <w:spacing w:line="500" w:lineRule="exact"/>
              <w:jc w:val="left"/>
              <w:rPr>
                <w:rFonts w:cs="Times New Roman"/>
                <w:b/>
                <w:bCs/>
              </w:rPr>
            </w:pPr>
          </w:p>
        </w:tc>
        <w:tc>
          <w:tcPr>
            <w:tcW w:w="1143" w:type="dxa"/>
            <w:tcBorders>
              <w:top w:val="single" w:color="auto" w:sz="4" w:space="0"/>
              <w:left w:val="single" w:color="auto" w:sz="4" w:space="0"/>
              <w:bottom w:val="single" w:color="auto" w:sz="4" w:space="0"/>
              <w:right w:val="single" w:color="auto" w:sz="4" w:space="0"/>
            </w:tcBorders>
          </w:tcPr>
          <w:p w14:paraId="3B200E77">
            <w:pPr>
              <w:spacing w:line="500" w:lineRule="exact"/>
              <w:jc w:val="left"/>
              <w:rPr>
                <w:rFonts w:cs="Times New Roman"/>
                <w:b/>
                <w:bCs/>
              </w:rPr>
            </w:pPr>
          </w:p>
        </w:tc>
        <w:tc>
          <w:tcPr>
            <w:tcW w:w="735" w:type="dxa"/>
            <w:tcBorders>
              <w:top w:val="single" w:color="auto" w:sz="4" w:space="0"/>
              <w:left w:val="single" w:color="auto" w:sz="4" w:space="0"/>
              <w:bottom w:val="single" w:color="auto" w:sz="4" w:space="0"/>
              <w:right w:val="single" w:color="auto" w:sz="4" w:space="0"/>
            </w:tcBorders>
          </w:tcPr>
          <w:p w14:paraId="04D231A6">
            <w:pPr>
              <w:spacing w:line="500" w:lineRule="exact"/>
              <w:jc w:val="left"/>
              <w:rPr>
                <w:rFonts w:cs="Times New Roman"/>
                <w:b/>
                <w:bCs/>
              </w:rPr>
            </w:pPr>
          </w:p>
        </w:tc>
        <w:tc>
          <w:tcPr>
            <w:tcW w:w="1288" w:type="dxa"/>
            <w:tcBorders>
              <w:top w:val="single" w:color="auto" w:sz="4" w:space="0"/>
              <w:left w:val="single" w:color="auto" w:sz="4" w:space="0"/>
              <w:bottom w:val="single" w:color="auto" w:sz="4" w:space="0"/>
              <w:right w:val="single" w:color="auto" w:sz="4" w:space="0"/>
            </w:tcBorders>
          </w:tcPr>
          <w:p w14:paraId="46E12BB2">
            <w:pPr>
              <w:spacing w:line="500" w:lineRule="exact"/>
              <w:jc w:val="left"/>
              <w:rPr>
                <w:rFonts w:cs="Times New Roman"/>
                <w:b/>
                <w:bCs/>
              </w:rPr>
            </w:pPr>
          </w:p>
        </w:tc>
        <w:tc>
          <w:tcPr>
            <w:tcW w:w="1038" w:type="dxa"/>
            <w:tcBorders>
              <w:top w:val="single" w:color="auto" w:sz="4" w:space="0"/>
              <w:left w:val="single" w:color="auto" w:sz="4" w:space="0"/>
              <w:bottom w:val="single" w:color="auto" w:sz="4" w:space="0"/>
              <w:right w:val="single" w:color="auto" w:sz="4" w:space="0"/>
            </w:tcBorders>
          </w:tcPr>
          <w:p w14:paraId="3F314EC9">
            <w:pPr>
              <w:spacing w:line="500" w:lineRule="exact"/>
              <w:jc w:val="left"/>
              <w:rPr>
                <w:rFonts w:cs="Times New Roman"/>
                <w:b/>
                <w:bCs/>
              </w:rPr>
            </w:pPr>
          </w:p>
        </w:tc>
        <w:tc>
          <w:tcPr>
            <w:tcW w:w="1287" w:type="dxa"/>
            <w:tcBorders>
              <w:top w:val="single" w:color="auto" w:sz="4" w:space="0"/>
              <w:left w:val="single" w:color="auto" w:sz="4" w:space="0"/>
              <w:bottom w:val="single" w:color="auto" w:sz="4" w:space="0"/>
              <w:right w:val="single" w:color="auto" w:sz="4" w:space="0"/>
            </w:tcBorders>
          </w:tcPr>
          <w:p w14:paraId="7D322969">
            <w:pPr>
              <w:spacing w:line="500" w:lineRule="exact"/>
              <w:jc w:val="left"/>
              <w:rPr>
                <w:rFonts w:cs="Times New Roman"/>
                <w:b/>
                <w:bCs/>
              </w:rPr>
            </w:pPr>
          </w:p>
        </w:tc>
      </w:tr>
      <w:tr w14:paraId="3CC104BF">
        <w:tblPrEx>
          <w:tblCellMar>
            <w:top w:w="0" w:type="dxa"/>
            <w:left w:w="108" w:type="dxa"/>
            <w:bottom w:w="0" w:type="dxa"/>
            <w:right w:w="108" w:type="dxa"/>
          </w:tblCellMar>
        </w:tblPrEx>
        <w:trPr>
          <w:jc w:val="center"/>
        </w:trPr>
        <w:tc>
          <w:tcPr>
            <w:tcW w:w="495" w:type="dxa"/>
            <w:tcBorders>
              <w:top w:val="single" w:color="auto" w:sz="4" w:space="0"/>
              <w:left w:val="single" w:color="auto" w:sz="4" w:space="0"/>
              <w:bottom w:val="single" w:color="auto" w:sz="4" w:space="0"/>
              <w:right w:val="single" w:color="auto" w:sz="4" w:space="0"/>
            </w:tcBorders>
          </w:tcPr>
          <w:p w14:paraId="5D679CC0">
            <w:pPr>
              <w:spacing w:line="500" w:lineRule="exact"/>
              <w:jc w:val="left"/>
              <w:rPr>
                <w:rFonts w:cs="Times New Roman"/>
              </w:rPr>
            </w:pPr>
          </w:p>
        </w:tc>
        <w:tc>
          <w:tcPr>
            <w:tcW w:w="1088" w:type="dxa"/>
            <w:tcBorders>
              <w:top w:val="single" w:color="auto" w:sz="4" w:space="0"/>
              <w:left w:val="single" w:color="auto" w:sz="4" w:space="0"/>
              <w:bottom w:val="single" w:color="auto" w:sz="4" w:space="0"/>
              <w:right w:val="single" w:color="auto" w:sz="4" w:space="0"/>
            </w:tcBorders>
          </w:tcPr>
          <w:p w14:paraId="629AF5F0">
            <w:pPr>
              <w:spacing w:line="500" w:lineRule="exact"/>
              <w:jc w:val="left"/>
              <w:rPr>
                <w:rFonts w:cs="Times New Roman"/>
              </w:rPr>
            </w:pPr>
          </w:p>
        </w:tc>
        <w:tc>
          <w:tcPr>
            <w:tcW w:w="988" w:type="dxa"/>
            <w:tcBorders>
              <w:top w:val="single" w:color="auto" w:sz="4" w:space="0"/>
              <w:left w:val="single" w:color="auto" w:sz="4" w:space="0"/>
              <w:bottom w:val="single" w:color="auto" w:sz="4" w:space="0"/>
              <w:right w:val="single" w:color="auto" w:sz="4" w:space="0"/>
            </w:tcBorders>
          </w:tcPr>
          <w:p w14:paraId="276B22DC">
            <w:pPr>
              <w:spacing w:line="500" w:lineRule="exact"/>
              <w:jc w:val="left"/>
              <w:rPr>
                <w:rFonts w:cs="Times New Roman"/>
                <w:b/>
                <w:bCs/>
              </w:rPr>
            </w:pPr>
          </w:p>
        </w:tc>
        <w:tc>
          <w:tcPr>
            <w:tcW w:w="957" w:type="dxa"/>
            <w:tcBorders>
              <w:top w:val="single" w:color="auto" w:sz="4" w:space="0"/>
              <w:left w:val="single" w:color="auto" w:sz="4" w:space="0"/>
              <w:bottom w:val="single" w:color="auto" w:sz="4" w:space="0"/>
              <w:right w:val="single" w:color="auto" w:sz="4" w:space="0"/>
            </w:tcBorders>
          </w:tcPr>
          <w:p w14:paraId="5BFD0059">
            <w:pPr>
              <w:spacing w:line="500" w:lineRule="exact"/>
              <w:jc w:val="left"/>
              <w:rPr>
                <w:rFonts w:cs="Times New Roman"/>
                <w:b/>
                <w:bCs/>
              </w:rPr>
            </w:pPr>
          </w:p>
        </w:tc>
        <w:tc>
          <w:tcPr>
            <w:tcW w:w="1143" w:type="dxa"/>
            <w:tcBorders>
              <w:top w:val="single" w:color="auto" w:sz="4" w:space="0"/>
              <w:left w:val="single" w:color="auto" w:sz="4" w:space="0"/>
              <w:bottom w:val="single" w:color="auto" w:sz="4" w:space="0"/>
              <w:right w:val="single" w:color="auto" w:sz="4" w:space="0"/>
            </w:tcBorders>
          </w:tcPr>
          <w:p w14:paraId="26119398">
            <w:pPr>
              <w:spacing w:line="500" w:lineRule="exact"/>
              <w:jc w:val="left"/>
              <w:rPr>
                <w:rFonts w:cs="Times New Roman"/>
                <w:b/>
                <w:bCs/>
              </w:rPr>
            </w:pPr>
          </w:p>
        </w:tc>
        <w:tc>
          <w:tcPr>
            <w:tcW w:w="735" w:type="dxa"/>
            <w:tcBorders>
              <w:top w:val="single" w:color="auto" w:sz="4" w:space="0"/>
              <w:left w:val="single" w:color="auto" w:sz="4" w:space="0"/>
              <w:bottom w:val="single" w:color="auto" w:sz="4" w:space="0"/>
              <w:right w:val="single" w:color="auto" w:sz="4" w:space="0"/>
            </w:tcBorders>
          </w:tcPr>
          <w:p w14:paraId="1144979C">
            <w:pPr>
              <w:spacing w:line="500" w:lineRule="exact"/>
              <w:jc w:val="left"/>
              <w:rPr>
                <w:rFonts w:cs="Times New Roman"/>
                <w:b/>
                <w:bCs/>
              </w:rPr>
            </w:pPr>
          </w:p>
        </w:tc>
        <w:tc>
          <w:tcPr>
            <w:tcW w:w="1288" w:type="dxa"/>
            <w:tcBorders>
              <w:top w:val="single" w:color="auto" w:sz="4" w:space="0"/>
              <w:left w:val="single" w:color="auto" w:sz="4" w:space="0"/>
              <w:bottom w:val="single" w:color="auto" w:sz="4" w:space="0"/>
              <w:right w:val="single" w:color="auto" w:sz="4" w:space="0"/>
            </w:tcBorders>
          </w:tcPr>
          <w:p w14:paraId="07B66407">
            <w:pPr>
              <w:spacing w:line="500" w:lineRule="exact"/>
              <w:jc w:val="left"/>
              <w:rPr>
                <w:rFonts w:cs="Times New Roman"/>
                <w:b/>
                <w:bCs/>
              </w:rPr>
            </w:pPr>
          </w:p>
        </w:tc>
        <w:tc>
          <w:tcPr>
            <w:tcW w:w="1038" w:type="dxa"/>
            <w:tcBorders>
              <w:top w:val="single" w:color="auto" w:sz="4" w:space="0"/>
              <w:left w:val="single" w:color="auto" w:sz="4" w:space="0"/>
              <w:bottom w:val="single" w:color="auto" w:sz="4" w:space="0"/>
              <w:right w:val="single" w:color="auto" w:sz="4" w:space="0"/>
            </w:tcBorders>
          </w:tcPr>
          <w:p w14:paraId="37D82966">
            <w:pPr>
              <w:spacing w:line="500" w:lineRule="exact"/>
              <w:jc w:val="left"/>
              <w:rPr>
                <w:rFonts w:cs="Times New Roman"/>
                <w:b/>
                <w:bCs/>
              </w:rPr>
            </w:pPr>
          </w:p>
        </w:tc>
        <w:tc>
          <w:tcPr>
            <w:tcW w:w="1287" w:type="dxa"/>
            <w:tcBorders>
              <w:top w:val="single" w:color="auto" w:sz="4" w:space="0"/>
              <w:left w:val="single" w:color="auto" w:sz="4" w:space="0"/>
              <w:bottom w:val="single" w:color="auto" w:sz="4" w:space="0"/>
              <w:right w:val="single" w:color="auto" w:sz="4" w:space="0"/>
            </w:tcBorders>
          </w:tcPr>
          <w:p w14:paraId="578F3A4C">
            <w:pPr>
              <w:spacing w:line="500" w:lineRule="exact"/>
              <w:jc w:val="left"/>
              <w:rPr>
                <w:rFonts w:cs="Times New Roman"/>
                <w:b/>
                <w:bCs/>
              </w:rPr>
            </w:pPr>
          </w:p>
        </w:tc>
      </w:tr>
      <w:tr w14:paraId="6BD979AE">
        <w:tblPrEx>
          <w:tblCellMar>
            <w:top w:w="0" w:type="dxa"/>
            <w:left w:w="108" w:type="dxa"/>
            <w:bottom w:w="0" w:type="dxa"/>
            <w:right w:w="108" w:type="dxa"/>
          </w:tblCellMar>
        </w:tblPrEx>
        <w:trPr>
          <w:jc w:val="center"/>
        </w:trPr>
        <w:tc>
          <w:tcPr>
            <w:tcW w:w="495" w:type="dxa"/>
            <w:tcBorders>
              <w:top w:val="single" w:color="auto" w:sz="4" w:space="0"/>
              <w:left w:val="single" w:color="auto" w:sz="4" w:space="0"/>
              <w:bottom w:val="single" w:color="auto" w:sz="4" w:space="0"/>
              <w:right w:val="single" w:color="auto" w:sz="4" w:space="0"/>
            </w:tcBorders>
          </w:tcPr>
          <w:p w14:paraId="04923515">
            <w:pPr>
              <w:spacing w:line="500" w:lineRule="exact"/>
              <w:jc w:val="left"/>
              <w:rPr>
                <w:rFonts w:cs="Times New Roman"/>
              </w:rPr>
            </w:pPr>
          </w:p>
        </w:tc>
        <w:tc>
          <w:tcPr>
            <w:tcW w:w="1088" w:type="dxa"/>
            <w:tcBorders>
              <w:top w:val="single" w:color="auto" w:sz="4" w:space="0"/>
              <w:left w:val="single" w:color="auto" w:sz="4" w:space="0"/>
              <w:bottom w:val="single" w:color="auto" w:sz="4" w:space="0"/>
              <w:right w:val="single" w:color="auto" w:sz="4" w:space="0"/>
            </w:tcBorders>
          </w:tcPr>
          <w:p w14:paraId="7D2EE4E6">
            <w:pPr>
              <w:spacing w:line="500" w:lineRule="exact"/>
              <w:jc w:val="left"/>
              <w:rPr>
                <w:rFonts w:cs="Times New Roman"/>
              </w:rPr>
            </w:pPr>
          </w:p>
        </w:tc>
        <w:tc>
          <w:tcPr>
            <w:tcW w:w="988" w:type="dxa"/>
            <w:tcBorders>
              <w:top w:val="single" w:color="auto" w:sz="4" w:space="0"/>
              <w:left w:val="single" w:color="auto" w:sz="4" w:space="0"/>
              <w:bottom w:val="single" w:color="auto" w:sz="4" w:space="0"/>
              <w:right w:val="single" w:color="auto" w:sz="4" w:space="0"/>
            </w:tcBorders>
          </w:tcPr>
          <w:p w14:paraId="2DE38BCD">
            <w:pPr>
              <w:spacing w:line="500" w:lineRule="exact"/>
              <w:jc w:val="left"/>
              <w:rPr>
                <w:rFonts w:cs="Times New Roman"/>
                <w:b/>
                <w:bCs/>
              </w:rPr>
            </w:pPr>
          </w:p>
        </w:tc>
        <w:tc>
          <w:tcPr>
            <w:tcW w:w="957" w:type="dxa"/>
            <w:tcBorders>
              <w:top w:val="single" w:color="auto" w:sz="4" w:space="0"/>
              <w:left w:val="single" w:color="auto" w:sz="4" w:space="0"/>
              <w:bottom w:val="single" w:color="auto" w:sz="4" w:space="0"/>
              <w:right w:val="single" w:color="auto" w:sz="4" w:space="0"/>
            </w:tcBorders>
          </w:tcPr>
          <w:p w14:paraId="04AB2751">
            <w:pPr>
              <w:spacing w:line="500" w:lineRule="exact"/>
              <w:jc w:val="left"/>
              <w:rPr>
                <w:rFonts w:cs="Times New Roman"/>
                <w:b/>
                <w:bCs/>
              </w:rPr>
            </w:pPr>
          </w:p>
        </w:tc>
        <w:tc>
          <w:tcPr>
            <w:tcW w:w="1143" w:type="dxa"/>
            <w:tcBorders>
              <w:top w:val="single" w:color="auto" w:sz="4" w:space="0"/>
              <w:left w:val="single" w:color="auto" w:sz="4" w:space="0"/>
              <w:bottom w:val="single" w:color="auto" w:sz="4" w:space="0"/>
              <w:right w:val="single" w:color="auto" w:sz="4" w:space="0"/>
            </w:tcBorders>
          </w:tcPr>
          <w:p w14:paraId="78FAC30C">
            <w:pPr>
              <w:spacing w:line="500" w:lineRule="exact"/>
              <w:jc w:val="left"/>
              <w:rPr>
                <w:rFonts w:cs="Times New Roman"/>
                <w:b/>
                <w:bCs/>
              </w:rPr>
            </w:pPr>
          </w:p>
        </w:tc>
        <w:tc>
          <w:tcPr>
            <w:tcW w:w="735" w:type="dxa"/>
            <w:tcBorders>
              <w:top w:val="single" w:color="auto" w:sz="4" w:space="0"/>
              <w:left w:val="single" w:color="auto" w:sz="4" w:space="0"/>
              <w:bottom w:val="single" w:color="auto" w:sz="4" w:space="0"/>
              <w:right w:val="single" w:color="auto" w:sz="4" w:space="0"/>
            </w:tcBorders>
          </w:tcPr>
          <w:p w14:paraId="5A77AC49">
            <w:pPr>
              <w:spacing w:line="500" w:lineRule="exact"/>
              <w:jc w:val="left"/>
              <w:rPr>
                <w:rFonts w:cs="Times New Roman"/>
                <w:b/>
                <w:bCs/>
              </w:rPr>
            </w:pPr>
          </w:p>
        </w:tc>
        <w:tc>
          <w:tcPr>
            <w:tcW w:w="1288" w:type="dxa"/>
            <w:tcBorders>
              <w:top w:val="single" w:color="auto" w:sz="4" w:space="0"/>
              <w:left w:val="single" w:color="auto" w:sz="4" w:space="0"/>
              <w:bottom w:val="single" w:color="auto" w:sz="4" w:space="0"/>
              <w:right w:val="single" w:color="auto" w:sz="4" w:space="0"/>
            </w:tcBorders>
          </w:tcPr>
          <w:p w14:paraId="227B2192">
            <w:pPr>
              <w:spacing w:line="500" w:lineRule="exact"/>
              <w:jc w:val="left"/>
              <w:rPr>
                <w:rFonts w:cs="Times New Roman"/>
                <w:b/>
                <w:bCs/>
              </w:rPr>
            </w:pPr>
          </w:p>
        </w:tc>
        <w:tc>
          <w:tcPr>
            <w:tcW w:w="1038" w:type="dxa"/>
            <w:tcBorders>
              <w:top w:val="single" w:color="auto" w:sz="4" w:space="0"/>
              <w:left w:val="single" w:color="auto" w:sz="4" w:space="0"/>
              <w:bottom w:val="single" w:color="auto" w:sz="4" w:space="0"/>
              <w:right w:val="single" w:color="auto" w:sz="4" w:space="0"/>
            </w:tcBorders>
          </w:tcPr>
          <w:p w14:paraId="4D6A500F">
            <w:pPr>
              <w:spacing w:line="500" w:lineRule="exact"/>
              <w:jc w:val="left"/>
              <w:rPr>
                <w:rFonts w:cs="Times New Roman"/>
                <w:b/>
                <w:bCs/>
              </w:rPr>
            </w:pPr>
          </w:p>
        </w:tc>
        <w:tc>
          <w:tcPr>
            <w:tcW w:w="1287" w:type="dxa"/>
            <w:tcBorders>
              <w:top w:val="single" w:color="auto" w:sz="4" w:space="0"/>
              <w:left w:val="single" w:color="auto" w:sz="4" w:space="0"/>
              <w:bottom w:val="single" w:color="auto" w:sz="4" w:space="0"/>
              <w:right w:val="single" w:color="auto" w:sz="4" w:space="0"/>
            </w:tcBorders>
          </w:tcPr>
          <w:p w14:paraId="02253067">
            <w:pPr>
              <w:spacing w:line="500" w:lineRule="exact"/>
              <w:jc w:val="left"/>
              <w:rPr>
                <w:rFonts w:cs="Times New Roman"/>
                <w:b/>
                <w:bCs/>
              </w:rPr>
            </w:pPr>
          </w:p>
        </w:tc>
      </w:tr>
      <w:tr w14:paraId="3789A4AE">
        <w:tblPrEx>
          <w:tblCellMar>
            <w:top w:w="0" w:type="dxa"/>
            <w:left w:w="108" w:type="dxa"/>
            <w:bottom w:w="0" w:type="dxa"/>
            <w:right w:w="108" w:type="dxa"/>
          </w:tblCellMar>
        </w:tblPrEx>
        <w:trPr>
          <w:jc w:val="center"/>
        </w:trPr>
        <w:tc>
          <w:tcPr>
            <w:tcW w:w="495" w:type="dxa"/>
            <w:tcBorders>
              <w:top w:val="single" w:color="auto" w:sz="4" w:space="0"/>
              <w:left w:val="single" w:color="auto" w:sz="4" w:space="0"/>
              <w:bottom w:val="single" w:color="auto" w:sz="4" w:space="0"/>
              <w:right w:val="single" w:color="auto" w:sz="4" w:space="0"/>
            </w:tcBorders>
          </w:tcPr>
          <w:p w14:paraId="0B0B2C67">
            <w:pPr>
              <w:spacing w:line="500" w:lineRule="exact"/>
              <w:jc w:val="left"/>
              <w:rPr>
                <w:rFonts w:cs="Times New Roman"/>
              </w:rPr>
            </w:pPr>
          </w:p>
        </w:tc>
        <w:tc>
          <w:tcPr>
            <w:tcW w:w="1088" w:type="dxa"/>
            <w:tcBorders>
              <w:top w:val="single" w:color="auto" w:sz="4" w:space="0"/>
              <w:left w:val="single" w:color="auto" w:sz="4" w:space="0"/>
              <w:bottom w:val="single" w:color="auto" w:sz="4" w:space="0"/>
              <w:right w:val="single" w:color="auto" w:sz="4" w:space="0"/>
            </w:tcBorders>
          </w:tcPr>
          <w:p w14:paraId="78E2EAB8">
            <w:pPr>
              <w:spacing w:line="500" w:lineRule="exact"/>
              <w:jc w:val="left"/>
              <w:rPr>
                <w:rFonts w:cs="Times New Roman"/>
              </w:rPr>
            </w:pPr>
          </w:p>
        </w:tc>
        <w:tc>
          <w:tcPr>
            <w:tcW w:w="988" w:type="dxa"/>
            <w:tcBorders>
              <w:top w:val="single" w:color="auto" w:sz="4" w:space="0"/>
              <w:left w:val="single" w:color="auto" w:sz="4" w:space="0"/>
              <w:bottom w:val="single" w:color="auto" w:sz="4" w:space="0"/>
              <w:right w:val="single" w:color="auto" w:sz="4" w:space="0"/>
            </w:tcBorders>
          </w:tcPr>
          <w:p w14:paraId="2DCAEC8D">
            <w:pPr>
              <w:spacing w:line="500" w:lineRule="exact"/>
              <w:jc w:val="left"/>
              <w:rPr>
                <w:rFonts w:cs="Times New Roman"/>
                <w:b/>
                <w:bCs/>
              </w:rPr>
            </w:pPr>
          </w:p>
        </w:tc>
        <w:tc>
          <w:tcPr>
            <w:tcW w:w="957" w:type="dxa"/>
            <w:tcBorders>
              <w:top w:val="single" w:color="auto" w:sz="4" w:space="0"/>
              <w:left w:val="single" w:color="auto" w:sz="4" w:space="0"/>
              <w:bottom w:val="single" w:color="auto" w:sz="4" w:space="0"/>
              <w:right w:val="single" w:color="auto" w:sz="4" w:space="0"/>
            </w:tcBorders>
          </w:tcPr>
          <w:p w14:paraId="3ABF9536">
            <w:pPr>
              <w:spacing w:line="500" w:lineRule="exact"/>
              <w:jc w:val="left"/>
              <w:rPr>
                <w:rFonts w:cs="Times New Roman"/>
                <w:b/>
                <w:bCs/>
              </w:rPr>
            </w:pPr>
          </w:p>
        </w:tc>
        <w:tc>
          <w:tcPr>
            <w:tcW w:w="1143" w:type="dxa"/>
            <w:tcBorders>
              <w:top w:val="single" w:color="auto" w:sz="4" w:space="0"/>
              <w:left w:val="single" w:color="auto" w:sz="4" w:space="0"/>
              <w:bottom w:val="single" w:color="auto" w:sz="4" w:space="0"/>
              <w:right w:val="single" w:color="auto" w:sz="4" w:space="0"/>
            </w:tcBorders>
          </w:tcPr>
          <w:p w14:paraId="43F6AF21">
            <w:pPr>
              <w:spacing w:line="500" w:lineRule="exact"/>
              <w:jc w:val="left"/>
              <w:rPr>
                <w:rFonts w:cs="Times New Roman"/>
                <w:b/>
                <w:bCs/>
              </w:rPr>
            </w:pPr>
          </w:p>
        </w:tc>
        <w:tc>
          <w:tcPr>
            <w:tcW w:w="735" w:type="dxa"/>
            <w:tcBorders>
              <w:top w:val="single" w:color="auto" w:sz="4" w:space="0"/>
              <w:left w:val="single" w:color="auto" w:sz="4" w:space="0"/>
              <w:bottom w:val="single" w:color="auto" w:sz="4" w:space="0"/>
              <w:right w:val="single" w:color="auto" w:sz="4" w:space="0"/>
            </w:tcBorders>
          </w:tcPr>
          <w:p w14:paraId="7C3E0166">
            <w:pPr>
              <w:spacing w:line="500" w:lineRule="exact"/>
              <w:jc w:val="left"/>
              <w:rPr>
                <w:rFonts w:cs="Times New Roman"/>
                <w:b/>
                <w:bCs/>
              </w:rPr>
            </w:pPr>
          </w:p>
        </w:tc>
        <w:tc>
          <w:tcPr>
            <w:tcW w:w="1288" w:type="dxa"/>
            <w:tcBorders>
              <w:top w:val="single" w:color="auto" w:sz="4" w:space="0"/>
              <w:left w:val="single" w:color="auto" w:sz="4" w:space="0"/>
              <w:bottom w:val="single" w:color="auto" w:sz="4" w:space="0"/>
              <w:right w:val="single" w:color="auto" w:sz="4" w:space="0"/>
            </w:tcBorders>
          </w:tcPr>
          <w:p w14:paraId="10D32241">
            <w:pPr>
              <w:spacing w:line="500" w:lineRule="exact"/>
              <w:jc w:val="left"/>
              <w:rPr>
                <w:rFonts w:cs="Times New Roman"/>
                <w:b/>
                <w:bCs/>
              </w:rPr>
            </w:pPr>
          </w:p>
        </w:tc>
        <w:tc>
          <w:tcPr>
            <w:tcW w:w="1038" w:type="dxa"/>
            <w:tcBorders>
              <w:top w:val="single" w:color="auto" w:sz="4" w:space="0"/>
              <w:left w:val="single" w:color="auto" w:sz="4" w:space="0"/>
              <w:bottom w:val="single" w:color="auto" w:sz="4" w:space="0"/>
              <w:right w:val="single" w:color="auto" w:sz="4" w:space="0"/>
            </w:tcBorders>
          </w:tcPr>
          <w:p w14:paraId="4FFA1F2B">
            <w:pPr>
              <w:spacing w:line="500" w:lineRule="exact"/>
              <w:jc w:val="left"/>
              <w:rPr>
                <w:rFonts w:cs="Times New Roman"/>
                <w:b/>
                <w:bCs/>
              </w:rPr>
            </w:pPr>
          </w:p>
        </w:tc>
        <w:tc>
          <w:tcPr>
            <w:tcW w:w="1287" w:type="dxa"/>
            <w:tcBorders>
              <w:top w:val="single" w:color="auto" w:sz="4" w:space="0"/>
              <w:left w:val="single" w:color="auto" w:sz="4" w:space="0"/>
              <w:bottom w:val="single" w:color="auto" w:sz="4" w:space="0"/>
              <w:right w:val="single" w:color="auto" w:sz="4" w:space="0"/>
            </w:tcBorders>
          </w:tcPr>
          <w:p w14:paraId="175C27A1">
            <w:pPr>
              <w:spacing w:line="500" w:lineRule="exact"/>
              <w:jc w:val="left"/>
              <w:rPr>
                <w:rFonts w:cs="Times New Roman"/>
                <w:b/>
                <w:bCs/>
              </w:rPr>
            </w:pPr>
          </w:p>
        </w:tc>
      </w:tr>
      <w:tr w14:paraId="76AA11EB">
        <w:tblPrEx>
          <w:tblCellMar>
            <w:top w:w="0" w:type="dxa"/>
            <w:left w:w="108" w:type="dxa"/>
            <w:bottom w:w="0" w:type="dxa"/>
            <w:right w:w="108" w:type="dxa"/>
          </w:tblCellMar>
        </w:tblPrEx>
        <w:trPr>
          <w:jc w:val="center"/>
        </w:trPr>
        <w:tc>
          <w:tcPr>
            <w:tcW w:w="495" w:type="dxa"/>
            <w:tcBorders>
              <w:top w:val="single" w:color="auto" w:sz="4" w:space="0"/>
              <w:left w:val="single" w:color="auto" w:sz="4" w:space="0"/>
              <w:bottom w:val="single" w:color="auto" w:sz="4" w:space="0"/>
              <w:right w:val="single" w:color="auto" w:sz="4" w:space="0"/>
            </w:tcBorders>
          </w:tcPr>
          <w:p w14:paraId="2EDD1FBB">
            <w:pPr>
              <w:spacing w:line="500" w:lineRule="exact"/>
              <w:jc w:val="left"/>
              <w:rPr>
                <w:rFonts w:cs="Times New Roman"/>
              </w:rPr>
            </w:pPr>
          </w:p>
        </w:tc>
        <w:tc>
          <w:tcPr>
            <w:tcW w:w="1088" w:type="dxa"/>
            <w:tcBorders>
              <w:top w:val="single" w:color="auto" w:sz="4" w:space="0"/>
              <w:left w:val="single" w:color="auto" w:sz="4" w:space="0"/>
              <w:bottom w:val="single" w:color="auto" w:sz="4" w:space="0"/>
              <w:right w:val="single" w:color="auto" w:sz="4" w:space="0"/>
            </w:tcBorders>
          </w:tcPr>
          <w:p w14:paraId="511522BE">
            <w:pPr>
              <w:spacing w:line="500" w:lineRule="exact"/>
              <w:jc w:val="left"/>
              <w:rPr>
                <w:rFonts w:cs="Times New Roman"/>
              </w:rPr>
            </w:pPr>
          </w:p>
        </w:tc>
        <w:tc>
          <w:tcPr>
            <w:tcW w:w="988" w:type="dxa"/>
            <w:tcBorders>
              <w:top w:val="single" w:color="auto" w:sz="4" w:space="0"/>
              <w:left w:val="single" w:color="auto" w:sz="4" w:space="0"/>
              <w:bottom w:val="single" w:color="auto" w:sz="4" w:space="0"/>
              <w:right w:val="single" w:color="auto" w:sz="4" w:space="0"/>
            </w:tcBorders>
          </w:tcPr>
          <w:p w14:paraId="4126CC58">
            <w:pPr>
              <w:spacing w:line="500" w:lineRule="exact"/>
              <w:jc w:val="left"/>
              <w:rPr>
                <w:rFonts w:cs="Times New Roman"/>
                <w:b/>
                <w:bCs/>
              </w:rPr>
            </w:pPr>
          </w:p>
        </w:tc>
        <w:tc>
          <w:tcPr>
            <w:tcW w:w="957" w:type="dxa"/>
            <w:tcBorders>
              <w:top w:val="single" w:color="auto" w:sz="4" w:space="0"/>
              <w:left w:val="single" w:color="auto" w:sz="4" w:space="0"/>
              <w:bottom w:val="single" w:color="auto" w:sz="4" w:space="0"/>
              <w:right w:val="single" w:color="auto" w:sz="4" w:space="0"/>
            </w:tcBorders>
          </w:tcPr>
          <w:p w14:paraId="3F50F8DB">
            <w:pPr>
              <w:spacing w:line="500" w:lineRule="exact"/>
              <w:jc w:val="left"/>
              <w:rPr>
                <w:rFonts w:cs="Times New Roman"/>
                <w:b/>
                <w:bCs/>
              </w:rPr>
            </w:pPr>
          </w:p>
        </w:tc>
        <w:tc>
          <w:tcPr>
            <w:tcW w:w="1143" w:type="dxa"/>
            <w:tcBorders>
              <w:top w:val="single" w:color="auto" w:sz="4" w:space="0"/>
              <w:left w:val="single" w:color="auto" w:sz="4" w:space="0"/>
              <w:bottom w:val="single" w:color="auto" w:sz="4" w:space="0"/>
              <w:right w:val="single" w:color="auto" w:sz="4" w:space="0"/>
            </w:tcBorders>
          </w:tcPr>
          <w:p w14:paraId="11D222B2">
            <w:pPr>
              <w:spacing w:line="500" w:lineRule="exact"/>
              <w:jc w:val="left"/>
              <w:rPr>
                <w:rFonts w:cs="Times New Roman"/>
                <w:b/>
                <w:bCs/>
              </w:rPr>
            </w:pPr>
          </w:p>
        </w:tc>
        <w:tc>
          <w:tcPr>
            <w:tcW w:w="735" w:type="dxa"/>
            <w:tcBorders>
              <w:top w:val="single" w:color="auto" w:sz="4" w:space="0"/>
              <w:left w:val="single" w:color="auto" w:sz="4" w:space="0"/>
              <w:bottom w:val="single" w:color="auto" w:sz="4" w:space="0"/>
              <w:right w:val="single" w:color="auto" w:sz="4" w:space="0"/>
            </w:tcBorders>
          </w:tcPr>
          <w:p w14:paraId="00A8F7B8">
            <w:pPr>
              <w:spacing w:line="500" w:lineRule="exact"/>
              <w:jc w:val="left"/>
              <w:rPr>
                <w:rFonts w:cs="Times New Roman"/>
                <w:b/>
                <w:bCs/>
              </w:rPr>
            </w:pPr>
          </w:p>
        </w:tc>
        <w:tc>
          <w:tcPr>
            <w:tcW w:w="1288" w:type="dxa"/>
            <w:tcBorders>
              <w:top w:val="single" w:color="auto" w:sz="4" w:space="0"/>
              <w:left w:val="single" w:color="auto" w:sz="4" w:space="0"/>
              <w:bottom w:val="single" w:color="auto" w:sz="4" w:space="0"/>
              <w:right w:val="single" w:color="auto" w:sz="4" w:space="0"/>
            </w:tcBorders>
          </w:tcPr>
          <w:p w14:paraId="70BC236D">
            <w:pPr>
              <w:spacing w:line="500" w:lineRule="exact"/>
              <w:jc w:val="left"/>
              <w:rPr>
                <w:rFonts w:cs="Times New Roman"/>
                <w:b/>
                <w:bCs/>
              </w:rPr>
            </w:pPr>
          </w:p>
        </w:tc>
        <w:tc>
          <w:tcPr>
            <w:tcW w:w="1038" w:type="dxa"/>
            <w:tcBorders>
              <w:top w:val="single" w:color="auto" w:sz="4" w:space="0"/>
              <w:left w:val="single" w:color="auto" w:sz="4" w:space="0"/>
              <w:bottom w:val="single" w:color="auto" w:sz="4" w:space="0"/>
              <w:right w:val="single" w:color="auto" w:sz="4" w:space="0"/>
            </w:tcBorders>
          </w:tcPr>
          <w:p w14:paraId="49A11C7A">
            <w:pPr>
              <w:spacing w:line="500" w:lineRule="exact"/>
              <w:jc w:val="left"/>
              <w:rPr>
                <w:rFonts w:cs="Times New Roman"/>
                <w:b/>
                <w:bCs/>
              </w:rPr>
            </w:pPr>
          </w:p>
        </w:tc>
        <w:tc>
          <w:tcPr>
            <w:tcW w:w="1287" w:type="dxa"/>
            <w:tcBorders>
              <w:top w:val="single" w:color="auto" w:sz="4" w:space="0"/>
              <w:left w:val="single" w:color="auto" w:sz="4" w:space="0"/>
              <w:bottom w:val="single" w:color="auto" w:sz="4" w:space="0"/>
              <w:right w:val="single" w:color="auto" w:sz="4" w:space="0"/>
            </w:tcBorders>
          </w:tcPr>
          <w:p w14:paraId="06E0B8C7">
            <w:pPr>
              <w:spacing w:line="500" w:lineRule="exact"/>
              <w:jc w:val="left"/>
              <w:rPr>
                <w:rFonts w:cs="Times New Roman"/>
                <w:b/>
                <w:bCs/>
              </w:rPr>
            </w:pPr>
          </w:p>
        </w:tc>
      </w:tr>
      <w:tr w14:paraId="4581C057">
        <w:tblPrEx>
          <w:tblCellMar>
            <w:top w:w="0" w:type="dxa"/>
            <w:left w:w="108" w:type="dxa"/>
            <w:bottom w:w="0" w:type="dxa"/>
            <w:right w:w="108" w:type="dxa"/>
          </w:tblCellMar>
        </w:tblPrEx>
        <w:trPr>
          <w:jc w:val="center"/>
        </w:trPr>
        <w:tc>
          <w:tcPr>
            <w:tcW w:w="495" w:type="dxa"/>
            <w:tcBorders>
              <w:top w:val="single" w:color="auto" w:sz="4" w:space="0"/>
              <w:left w:val="single" w:color="auto" w:sz="4" w:space="0"/>
              <w:bottom w:val="single" w:color="auto" w:sz="4" w:space="0"/>
              <w:right w:val="single" w:color="auto" w:sz="4" w:space="0"/>
            </w:tcBorders>
          </w:tcPr>
          <w:p w14:paraId="44C904EF">
            <w:pPr>
              <w:spacing w:line="500" w:lineRule="exact"/>
              <w:jc w:val="left"/>
              <w:rPr>
                <w:rFonts w:cs="Times New Roman"/>
              </w:rPr>
            </w:pPr>
          </w:p>
        </w:tc>
        <w:tc>
          <w:tcPr>
            <w:tcW w:w="1088" w:type="dxa"/>
            <w:tcBorders>
              <w:top w:val="single" w:color="auto" w:sz="4" w:space="0"/>
              <w:left w:val="single" w:color="auto" w:sz="4" w:space="0"/>
              <w:bottom w:val="single" w:color="auto" w:sz="4" w:space="0"/>
              <w:right w:val="single" w:color="auto" w:sz="4" w:space="0"/>
            </w:tcBorders>
          </w:tcPr>
          <w:p w14:paraId="647839BD">
            <w:pPr>
              <w:spacing w:line="500" w:lineRule="exact"/>
              <w:jc w:val="left"/>
              <w:rPr>
                <w:rFonts w:cs="Times New Roman"/>
              </w:rPr>
            </w:pPr>
          </w:p>
        </w:tc>
        <w:tc>
          <w:tcPr>
            <w:tcW w:w="988" w:type="dxa"/>
            <w:tcBorders>
              <w:top w:val="single" w:color="auto" w:sz="4" w:space="0"/>
              <w:left w:val="single" w:color="auto" w:sz="4" w:space="0"/>
              <w:bottom w:val="single" w:color="auto" w:sz="4" w:space="0"/>
              <w:right w:val="single" w:color="auto" w:sz="4" w:space="0"/>
            </w:tcBorders>
          </w:tcPr>
          <w:p w14:paraId="530BD016">
            <w:pPr>
              <w:spacing w:line="500" w:lineRule="exact"/>
              <w:jc w:val="left"/>
              <w:rPr>
                <w:rFonts w:cs="Times New Roman"/>
                <w:b/>
                <w:bCs/>
              </w:rPr>
            </w:pPr>
          </w:p>
        </w:tc>
        <w:tc>
          <w:tcPr>
            <w:tcW w:w="957" w:type="dxa"/>
            <w:tcBorders>
              <w:top w:val="single" w:color="auto" w:sz="4" w:space="0"/>
              <w:left w:val="single" w:color="auto" w:sz="4" w:space="0"/>
              <w:bottom w:val="single" w:color="auto" w:sz="4" w:space="0"/>
              <w:right w:val="single" w:color="auto" w:sz="4" w:space="0"/>
            </w:tcBorders>
          </w:tcPr>
          <w:p w14:paraId="060CAF43">
            <w:pPr>
              <w:spacing w:line="500" w:lineRule="exact"/>
              <w:jc w:val="left"/>
              <w:rPr>
                <w:rFonts w:cs="Times New Roman"/>
                <w:b/>
                <w:bCs/>
              </w:rPr>
            </w:pPr>
          </w:p>
        </w:tc>
        <w:tc>
          <w:tcPr>
            <w:tcW w:w="1143" w:type="dxa"/>
            <w:tcBorders>
              <w:top w:val="single" w:color="auto" w:sz="4" w:space="0"/>
              <w:left w:val="single" w:color="auto" w:sz="4" w:space="0"/>
              <w:bottom w:val="single" w:color="auto" w:sz="4" w:space="0"/>
              <w:right w:val="single" w:color="auto" w:sz="4" w:space="0"/>
            </w:tcBorders>
          </w:tcPr>
          <w:p w14:paraId="7371BD1D">
            <w:pPr>
              <w:spacing w:line="500" w:lineRule="exact"/>
              <w:jc w:val="left"/>
              <w:rPr>
                <w:rFonts w:cs="Times New Roman"/>
                <w:b/>
                <w:bCs/>
              </w:rPr>
            </w:pPr>
          </w:p>
        </w:tc>
        <w:tc>
          <w:tcPr>
            <w:tcW w:w="735" w:type="dxa"/>
            <w:tcBorders>
              <w:top w:val="single" w:color="auto" w:sz="4" w:space="0"/>
              <w:left w:val="single" w:color="auto" w:sz="4" w:space="0"/>
              <w:bottom w:val="single" w:color="auto" w:sz="4" w:space="0"/>
              <w:right w:val="single" w:color="auto" w:sz="4" w:space="0"/>
            </w:tcBorders>
          </w:tcPr>
          <w:p w14:paraId="4CB2D423">
            <w:pPr>
              <w:spacing w:line="500" w:lineRule="exact"/>
              <w:jc w:val="left"/>
              <w:rPr>
                <w:rFonts w:cs="Times New Roman"/>
                <w:b/>
                <w:bCs/>
              </w:rPr>
            </w:pPr>
          </w:p>
        </w:tc>
        <w:tc>
          <w:tcPr>
            <w:tcW w:w="1288" w:type="dxa"/>
            <w:tcBorders>
              <w:top w:val="single" w:color="auto" w:sz="4" w:space="0"/>
              <w:left w:val="single" w:color="auto" w:sz="4" w:space="0"/>
              <w:bottom w:val="single" w:color="auto" w:sz="4" w:space="0"/>
              <w:right w:val="single" w:color="auto" w:sz="4" w:space="0"/>
            </w:tcBorders>
          </w:tcPr>
          <w:p w14:paraId="40DFC374">
            <w:pPr>
              <w:spacing w:line="500" w:lineRule="exact"/>
              <w:jc w:val="left"/>
              <w:rPr>
                <w:rFonts w:cs="Times New Roman"/>
                <w:b/>
                <w:bCs/>
              </w:rPr>
            </w:pPr>
          </w:p>
        </w:tc>
        <w:tc>
          <w:tcPr>
            <w:tcW w:w="1038" w:type="dxa"/>
            <w:tcBorders>
              <w:top w:val="single" w:color="auto" w:sz="4" w:space="0"/>
              <w:left w:val="single" w:color="auto" w:sz="4" w:space="0"/>
              <w:bottom w:val="single" w:color="auto" w:sz="4" w:space="0"/>
              <w:right w:val="single" w:color="auto" w:sz="4" w:space="0"/>
            </w:tcBorders>
          </w:tcPr>
          <w:p w14:paraId="4AA2D246">
            <w:pPr>
              <w:spacing w:line="500" w:lineRule="exact"/>
              <w:jc w:val="left"/>
              <w:rPr>
                <w:rFonts w:cs="Times New Roman"/>
                <w:b/>
                <w:bCs/>
              </w:rPr>
            </w:pPr>
          </w:p>
        </w:tc>
        <w:tc>
          <w:tcPr>
            <w:tcW w:w="1287" w:type="dxa"/>
            <w:tcBorders>
              <w:top w:val="single" w:color="auto" w:sz="4" w:space="0"/>
              <w:left w:val="single" w:color="auto" w:sz="4" w:space="0"/>
              <w:bottom w:val="single" w:color="auto" w:sz="4" w:space="0"/>
              <w:right w:val="single" w:color="auto" w:sz="4" w:space="0"/>
            </w:tcBorders>
          </w:tcPr>
          <w:p w14:paraId="43E555F1">
            <w:pPr>
              <w:spacing w:line="500" w:lineRule="exact"/>
              <w:jc w:val="left"/>
              <w:rPr>
                <w:rFonts w:cs="Times New Roman"/>
                <w:b/>
                <w:bCs/>
              </w:rPr>
            </w:pPr>
          </w:p>
        </w:tc>
      </w:tr>
      <w:tr w14:paraId="3C32AE93">
        <w:tblPrEx>
          <w:tblCellMar>
            <w:top w:w="0" w:type="dxa"/>
            <w:left w:w="108" w:type="dxa"/>
            <w:bottom w:w="0" w:type="dxa"/>
            <w:right w:w="108" w:type="dxa"/>
          </w:tblCellMar>
        </w:tblPrEx>
        <w:trPr>
          <w:jc w:val="center"/>
        </w:trPr>
        <w:tc>
          <w:tcPr>
            <w:tcW w:w="495" w:type="dxa"/>
            <w:tcBorders>
              <w:top w:val="single" w:color="auto" w:sz="4" w:space="0"/>
              <w:left w:val="single" w:color="auto" w:sz="4" w:space="0"/>
              <w:bottom w:val="single" w:color="auto" w:sz="4" w:space="0"/>
              <w:right w:val="single" w:color="auto" w:sz="4" w:space="0"/>
            </w:tcBorders>
          </w:tcPr>
          <w:p w14:paraId="175A1361">
            <w:pPr>
              <w:spacing w:line="500" w:lineRule="exact"/>
              <w:jc w:val="left"/>
              <w:rPr>
                <w:rFonts w:cs="Times New Roman"/>
              </w:rPr>
            </w:pPr>
          </w:p>
        </w:tc>
        <w:tc>
          <w:tcPr>
            <w:tcW w:w="1088" w:type="dxa"/>
            <w:tcBorders>
              <w:top w:val="single" w:color="auto" w:sz="4" w:space="0"/>
              <w:left w:val="single" w:color="auto" w:sz="4" w:space="0"/>
              <w:bottom w:val="single" w:color="auto" w:sz="4" w:space="0"/>
              <w:right w:val="single" w:color="auto" w:sz="4" w:space="0"/>
            </w:tcBorders>
          </w:tcPr>
          <w:p w14:paraId="5641C218">
            <w:pPr>
              <w:spacing w:line="500" w:lineRule="exact"/>
              <w:jc w:val="left"/>
              <w:rPr>
                <w:rFonts w:cs="Times New Roman"/>
              </w:rPr>
            </w:pPr>
          </w:p>
        </w:tc>
        <w:tc>
          <w:tcPr>
            <w:tcW w:w="988" w:type="dxa"/>
            <w:tcBorders>
              <w:top w:val="single" w:color="auto" w:sz="4" w:space="0"/>
              <w:left w:val="single" w:color="auto" w:sz="4" w:space="0"/>
              <w:bottom w:val="single" w:color="auto" w:sz="4" w:space="0"/>
              <w:right w:val="single" w:color="auto" w:sz="4" w:space="0"/>
            </w:tcBorders>
          </w:tcPr>
          <w:p w14:paraId="37326FBB">
            <w:pPr>
              <w:spacing w:line="500" w:lineRule="exact"/>
              <w:jc w:val="left"/>
              <w:rPr>
                <w:rFonts w:cs="Times New Roman"/>
                <w:b/>
                <w:bCs/>
              </w:rPr>
            </w:pPr>
          </w:p>
        </w:tc>
        <w:tc>
          <w:tcPr>
            <w:tcW w:w="957" w:type="dxa"/>
            <w:tcBorders>
              <w:top w:val="single" w:color="auto" w:sz="4" w:space="0"/>
              <w:left w:val="single" w:color="auto" w:sz="4" w:space="0"/>
              <w:bottom w:val="single" w:color="auto" w:sz="4" w:space="0"/>
              <w:right w:val="single" w:color="auto" w:sz="4" w:space="0"/>
            </w:tcBorders>
          </w:tcPr>
          <w:p w14:paraId="7E3FF8FA">
            <w:pPr>
              <w:spacing w:line="500" w:lineRule="exact"/>
              <w:jc w:val="left"/>
              <w:rPr>
                <w:rFonts w:cs="Times New Roman"/>
                <w:b/>
                <w:bCs/>
              </w:rPr>
            </w:pPr>
          </w:p>
        </w:tc>
        <w:tc>
          <w:tcPr>
            <w:tcW w:w="1143" w:type="dxa"/>
            <w:tcBorders>
              <w:top w:val="single" w:color="auto" w:sz="4" w:space="0"/>
              <w:left w:val="single" w:color="auto" w:sz="4" w:space="0"/>
              <w:bottom w:val="single" w:color="auto" w:sz="4" w:space="0"/>
              <w:right w:val="single" w:color="auto" w:sz="4" w:space="0"/>
            </w:tcBorders>
          </w:tcPr>
          <w:p w14:paraId="2E50A723">
            <w:pPr>
              <w:spacing w:line="500" w:lineRule="exact"/>
              <w:jc w:val="left"/>
              <w:rPr>
                <w:rFonts w:cs="Times New Roman"/>
                <w:b/>
                <w:bCs/>
              </w:rPr>
            </w:pPr>
          </w:p>
        </w:tc>
        <w:tc>
          <w:tcPr>
            <w:tcW w:w="735" w:type="dxa"/>
            <w:tcBorders>
              <w:top w:val="single" w:color="auto" w:sz="4" w:space="0"/>
              <w:left w:val="single" w:color="auto" w:sz="4" w:space="0"/>
              <w:bottom w:val="single" w:color="auto" w:sz="4" w:space="0"/>
              <w:right w:val="single" w:color="auto" w:sz="4" w:space="0"/>
            </w:tcBorders>
          </w:tcPr>
          <w:p w14:paraId="01CC33CF">
            <w:pPr>
              <w:spacing w:line="500" w:lineRule="exact"/>
              <w:jc w:val="left"/>
              <w:rPr>
                <w:rFonts w:cs="Times New Roman"/>
                <w:b/>
                <w:bCs/>
              </w:rPr>
            </w:pPr>
          </w:p>
        </w:tc>
        <w:tc>
          <w:tcPr>
            <w:tcW w:w="1288" w:type="dxa"/>
            <w:tcBorders>
              <w:top w:val="single" w:color="auto" w:sz="4" w:space="0"/>
              <w:left w:val="single" w:color="auto" w:sz="4" w:space="0"/>
              <w:bottom w:val="single" w:color="auto" w:sz="4" w:space="0"/>
              <w:right w:val="single" w:color="auto" w:sz="4" w:space="0"/>
            </w:tcBorders>
          </w:tcPr>
          <w:p w14:paraId="4644704F">
            <w:pPr>
              <w:spacing w:line="500" w:lineRule="exact"/>
              <w:jc w:val="left"/>
              <w:rPr>
                <w:rFonts w:cs="Times New Roman"/>
                <w:b/>
                <w:bCs/>
              </w:rPr>
            </w:pPr>
          </w:p>
        </w:tc>
        <w:tc>
          <w:tcPr>
            <w:tcW w:w="1038" w:type="dxa"/>
            <w:tcBorders>
              <w:top w:val="single" w:color="auto" w:sz="4" w:space="0"/>
              <w:left w:val="single" w:color="auto" w:sz="4" w:space="0"/>
              <w:bottom w:val="single" w:color="auto" w:sz="4" w:space="0"/>
              <w:right w:val="single" w:color="auto" w:sz="4" w:space="0"/>
            </w:tcBorders>
          </w:tcPr>
          <w:p w14:paraId="6E220C85">
            <w:pPr>
              <w:spacing w:line="500" w:lineRule="exact"/>
              <w:jc w:val="left"/>
              <w:rPr>
                <w:rFonts w:cs="Times New Roman"/>
                <w:b/>
                <w:bCs/>
              </w:rPr>
            </w:pPr>
          </w:p>
        </w:tc>
        <w:tc>
          <w:tcPr>
            <w:tcW w:w="1287" w:type="dxa"/>
            <w:tcBorders>
              <w:top w:val="single" w:color="auto" w:sz="4" w:space="0"/>
              <w:left w:val="single" w:color="auto" w:sz="4" w:space="0"/>
              <w:bottom w:val="single" w:color="auto" w:sz="4" w:space="0"/>
              <w:right w:val="single" w:color="auto" w:sz="4" w:space="0"/>
            </w:tcBorders>
          </w:tcPr>
          <w:p w14:paraId="64327BD7">
            <w:pPr>
              <w:spacing w:line="500" w:lineRule="exact"/>
              <w:jc w:val="left"/>
              <w:rPr>
                <w:rFonts w:cs="Times New Roman"/>
                <w:b/>
                <w:bCs/>
              </w:rPr>
            </w:pPr>
          </w:p>
        </w:tc>
      </w:tr>
      <w:tr w14:paraId="2E7B9A67">
        <w:tblPrEx>
          <w:tblCellMar>
            <w:top w:w="0" w:type="dxa"/>
            <w:left w:w="108" w:type="dxa"/>
            <w:bottom w:w="0" w:type="dxa"/>
            <w:right w:w="108" w:type="dxa"/>
          </w:tblCellMar>
        </w:tblPrEx>
        <w:trPr>
          <w:trHeight w:val="179" w:hRule="atLeast"/>
          <w:jc w:val="center"/>
        </w:trPr>
        <w:tc>
          <w:tcPr>
            <w:tcW w:w="495" w:type="dxa"/>
            <w:tcBorders>
              <w:top w:val="single" w:color="auto" w:sz="4" w:space="0"/>
              <w:left w:val="single" w:color="auto" w:sz="4" w:space="0"/>
              <w:bottom w:val="single" w:color="auto" w:sz="4" w:space="0"/>
              <w:right w:val="single" w:color="auto" w:sz="4" w:space="0"/>
            </w:tcBorders>
          </w:tcPr>
          <w:p w14:paraId="57A115C2">
            <w:pPr>
              <w:spacing w:line="500" w:lineRule="exact"/>
              <w:jc w:val="left"/>
              <w:rPr>
                <w:rFonts w:cs="Times New Roman"/>
              </w:rPr>
            </w:pPr>
          </w:p>
        </w:tc>
        <w:tc>
          <w:tcPr>
            <w:tcW w:w="1088" w:type="dxa"/>
            <w:tcBorders>
              <w:top w:val="single" w:color="auto" w:sz="4" w:space="0"/>
              <w:left w:val="single" w:color="auto" w:sz="4" w:space="0"/>
              <w:bottom w:val="single" w:color="auto" w:sz="4" w:space="0"/>
              <w:right w:val="single" w:color="auto" w:sz="4" w:space="0"/>
            </w:tcBorders>
          </w:tcPr>
          <w:p w14:paraId="2470069C">
            <w:pPr>
              <w:spacing w:line="500" w:lineRule="exact"/>
              <w:jc w:val="left"/>
              <w:rPr>
                <w:rFonts w:cs="Times New Roman"/>
              </w:rPr>
            </w:pPr>
          </w:p>
        </w:tc>
        <w:tc>
          <w:tcPr>
            <w:tcW w:w="988" w:type="dxa"/>
            <w:tcBorders>
              <w:top w:val="single" w:color="auto" w:sz="4" w:space="0"/>
              <w:left w:val="single" w:color="auto" w:sz="4" w:space="0"/>
              <w:bottom w:val="single" w:color="auto" w:sz="4" w:space="0"/>
              <w:right w:val="single" w:color="auto" w:sz="4" w:space="0"/>
            </w:tcBorders>
          </w:tcPr>
          <w:p w14:paraId="76A73DC5">
            <w:pPr>
              <w:spacing w:line="500" w:lineRule="exact"/>
              <w:jc w:val="left"/>
              <w:rPr>
                <w:rFonts w:cs="Times New Roman"/>
                <w:b/>
                <w:bCs/>
              </w:rPr>
            </w:pPr>
          </w:p>
        </w:tc>
        <w:tc>
          <w:tcPr>
            <w:tcW w:w="957" w:type="dxa"/>
            <w:tcBorders>
              <w:top w:val="single" w:color="auto" w:sz="4" w:space="0"/>
              <w:left w:val="single" w:color="auto" w:sz="4" w:space="0"/>
              <w:bottom w:val="single" w:color="auto" w:sz="4" w:space="0"/>
              <w:right w:val="single" w:color="auto" w:sz="4" w:space="0"/>
            </w:tcBorders>
          </w:tcPr>
          <w:p w14:paraId="0042CB21">
            <w:pPr>
              <w:spacing w:line="500" w:lineRule="exact"/>
              <w:jc w:val="left"/>
              <w:rPr>
                <w:rFonts w:cs="Times New Roman"/>
                <w:b/>
                <w:bCs/>
              </w:rPr>
            </w:pPr>
          </w:p>
        </w:tc>
        <w:tc>
          <w:tcPr>
            <w:tcW w:w="1143" w:type="dxa"/>
            <w:tcBorders>
              <w:top w:val="single" w:color="auto" w:sz="4" w:space="0"/>
              <w:left w:val="single" w:color="auto" w:sz="4" w:space="0"/>
              <w:bottom w:val="single" w:color="auto" w:sz="4" w:space="0"/>
              <w:right w:val="single" w:color="auto" w:sz="4" w:space="0"/>
            </w:tcBorders>
          </w:tcPr>
          <w:p w14:paraId="4788E052">
            <w:pPr>
              <w:spacing w:line="500" w:lineRule="exact"/>
              <w:jc w:val="left"/>
              <w:rPr>
                <w:rFonts w:cs="Times New Roman"/>
                <w:b/>
                <w:bCs/>
              </w:rPr>
            </w:pPr>
          </w:p>
        </w:tc>
        <w:tc>
          <w:tcPr>
            <w:tcW w:w="735" w:type="dxa"/>
            <w:tcBorders>
              <w:top w:val="single" w:color="auto" w:sz="4" w:space="0"/>
              <w:left w:val="single" w:color="auto" w:sz="4" w:space="0"/>
              <w:bottom w:val="single" w:color="auto" w:sz="4" w:space="0"/>
              <w:right w:val="single" w:color="auto" w:sz="4" w:space="0"/>
            </w:tcBorders>
          </w:tcPr>
          <w:p w14:paraId="21006091">
            <w:pPr>
              <w:spacing w:line="500" w:lineRule="exact"/>
              <w:jc w:val="left"/>
              <w:rPr>
                <w:rFonts w:cs="Times New Roman"/>
                <w:b/>
                <w:bCs/>
              </w:rPr>
            </w:pPr>
          </w:p>
        </w:tc>
        <w:tc>
          <w:tcPr>
            <w:tcW w:w="1288" w:type="dxa"/>
            <w:tcBorders>
              <w:top w:val="single" w:color="auto" w:sz="4" w:space="0"/>
              <w:left w:val="single" w:color="auto" w:sz="4" w:space="0"/>
              <w:bottom w:val="single" w:color="auto" w:sz="4" w:space="0"/>
              <w:right w:val="single" w:color="auto" w:sz="4" w:space="0"/>
            </w:tcBorders>
          </w:tcPr>
          <w:p w14:paraId="1FA80F37">
            <w:pPr>
              <w:spacing w:line="500" w:lineRule="exact"/>
              <w:jc w:val="left"/>
              <w:rPr>
                <w:rFonts w:cs="Times New Roman"/>
                <w:b/>
                <w:bCs/>
              </w:rPr>
            </w:pPr>
          </w:p>
        </w:tc>
        <w:tc>
          <w:tcPr>
            <w:tcW w:w="1038" w:type="dxa"/>
            <w:tcBorders>
              <w:top w:val="single" w:color="auto" w:sz="4" w:space="0"/>
              <w:left w:val="single" w:color="auto" w:sz="4" w:space="0"/>
              <w:bottom w:val="single" w:color="auto" w:sz="4" w:space="0"/>
              <w:right w:val="single" w:color="auto" w:sz="4" w:space="0"/>
            </w:tcBorders>
          </w:tcPr>
          <w:p w14:paraId="384705B2">
            <w:pPr>
              <w:spacing w:line="500" w:lineRule="exact"/>
              <w:jc w:val="left"/>
              <w:rPr>
                <w:rFonts w:cs="Times New Roman"/>
                <w:b/>
                <w:bCs/>
              </w:rPr>
            </w:pPr>
          </w:p>
        </w:tc>
        <w:tc>
          <w:tcPr>
            <w:tcW w:w="1287" w:type="dxa"/>
            <w:tcBorders>
              <w:top w:val="single" w:color="auto" w:sz="4" w:space="0"/>
              <w:left w:val="single" w:color="auto" w:sz="4" w:space="0"/>
              <w:bottom w:val="single" w:color="auto" w:sz="4" w:space="0"/>
              <w:right w:val="single" w:color="auto" w:sz="4" w:space="0"/>
            </w:tcBorders>
          </w:tcPr>
          <w:p w14:paraId="5D14288F">
            <w:pPr>
              <w:spacing w:line="500" w:lineRule="exact"/>
              <w:jc w:val="left"/>
              <w:rPr>
                <w:rFonts w:cs="Times New Roman"/>
                <w:b/>
                <w:bCs/>
              </w:rPr>
            </w:pPr>
          </w:p>
        </w:tc>
      </w:tr>
      <w:tr w14:paraId="024C298E">
        <w:tblPrEx>
          <w:tblCellMar>
            <w:top w:w="0" w:type="dxa"/>
            <w:left w:w="108" w:type="dxa"/>
            <w:bottom w:w="0" w:type="dxa"/>
            <w:right w:w="108" w:type="dxa"/>
          </w:tblCellMar>
        </w:tblPrEx>
        <w:trPr>
          <w:jc w:val="center"/>
        </w:trPr>
        <w:tc>
          <w:tcPr>
            <w:tcW w:w="495" w:type="dxa"/>
            <w:tcBorders>
              <w:top w:val="single" w:color="auto" w:sz="4" w:space="0"/>
              <w:left w:val="single" w:color="auto" w:sz="4" w:space="0"/>
              <w:bottom w:val="single" w:color="auto" w:sz="4" w:space="0"/>
              <w:right w:val="single" w:color="auto" w:sz="4" w:space="0"/>
            </w:tcBorders>
          </w:tcPr>
          <w:p w14:paraId="0DAFFEBB">
            <w:pPr>
              <w:spacing w:line="500" w:lineRule="exact"/>
              <w:jc w:val="left"/>
              <w:rPr>
                <w:rFonts w:cs="Times New Roman"/>
              </w:rPr>
            </w:pPr>
          </w:p>
        </w:tc>
        <w:tc>
          <w:tcPr>
            <w:tcW w:w="1088" w:type="dxa"/>
            <w:tcBorders>
              <w:top w:val="single" w:color="auto" w:sz="4" w:space="0"/>
              <w:left w:val="single" w:color="auto" w:sz="4" w:space="0"/>
              <w:bottom w:val="single" w:color="auto" w:sz="4" w:space="0"/>
              <w:right w:val="single" w:color="auto" w:sz="4" w:space="0"/>
            </w:tcBorders>
          </w:tcPr>
          <w:p w14:paraId="3E907A9B">
            <w:pPr>
              <w:spacing w:line="500" w:lineRule="exact"/>
              <w:jc w:val="left"/>
              <w:rPr>
                <w:rFonts w:cs="Times New Roman"/>
              </w:rPr>
            </w:pPr>
          </w:p>
        </w:tc>
        <w:tc>
          <w:tcPr>
            <w:tcW w:w="988" w:type="dxa"/>
            <w:tcBorders>
              <w:top w:val="single" w:color="auto" w:sz="4" w:space="0"/>
              <w:left w:val="single" w:color="auto" w:sz="4" w:space="0"/>
              <w:bottom w:val="single" w:color="auto" w:sz="4" w:space="0"/>
              <w:right w:val="single" w:color="auto" w:sz="4" w:space="0"/>
            </w:tcBorders>
          </w:tcPr>
          <w:p w14:paraId="0FC6C82F">
            <w:pPr>
              <w:spacing w:line="500" w:lineRule="exact"/>
              <w:jc w:val="left"/>
              <w:rPr>
                <w:rFonts w:cs="Times New Roman"/>
                <w:b/>
                <w:bCs/>
              </w:rPr>
            </w:pPr>
          </w:p>
        </w:tc>
        <w:tc>
          <w:tcPr>
            <w:tcW w:w="957" w:type="dxa"/>
            <w:tcBorders>
              <w:top w:val="single" w:color="auto" w:sz="4" w:space="0"/>
              <w:left w:val="single" w:color="auto" w:sz="4" w:space="0"/>
              <w:bottom w:val="single" w:color="auto" w:sz="4" w:space="0"/>
              <w:right w:val="single" w:color="auto" w:sz="4" w:space="0"/>
            </w:tcBorders>
          </w:tcPr>
          <w:p w14:paraId="1B82A293">
            <w:pPr>
              <w:spacing w:line="500" w:lineRule="exact"/>
              <w:jc w:val="left"/>
              <w:rPr>
                <w:rFonts w:cs="Times New Roman"/>
                <w:b/>
                <w:bCs/>
              </w:rPr>
            </w:pPr>
          </w:p>
        </w:tc>
        <w:tc>
          <w:tcPr>
            <w:tcW w:w="1143" w:type="dxa"/>
            <w:tcBorders>
              <w:top w:val="single" w:color="auto" w:sz="4" w:space="0"/>
              <w:left w:val="single" w:color="auto" w:sz="4" w:space="0"/>
              <w:bottom w:val="single" w:color="auto" w:sz="4" w:space="0"/>
              <w:right w:val="single" w:color="auto" w:sz="4" w:space="0"/>
            </w:tcBorders>
          </w:tcPr>
          <w:p w14:paraId="63386BE1">
            <w:pPr>
              <w:spacing w:line="500" w:lineRule="exact"/>
              <w:jc w:val="left"/>
              <w:rPr>
                <w:rFonts w:cs="Times New Roman"/>
                <w:b/>
                <w:bCs/>
              </w:rPr>
            </w:pPr>
          </w:p>
        </w:tc>
        <w:tc>
          <w:tcPr>
            <w:tcW w:w="735" w:type="dxa"/>
            <w:tcBorders>
              <w:top w:val="single" w:color="auto" w:sz="4" w:space="0"/>
              <w:left w:val="single" w:color="auto" w:sz="4" w:space="0"/>
              <w:bottom w:val="single" w:color="auto" w:sz="4" w:space="0"/>
              <w:right w:val="single" w:color="auto" w:sz="4" w:space="0"/>
            </w:tcBorders>
          </w:tcPr>
          <w:p w14:paraId="4DA380F2">
            <w:pPr>
              <w:spacing w:line="500" w:lineRule="exact"/>
              <w:jc w:val="left"/>
              <w:rPr>
                <w:rFonts w:cs="Times New Roman"/>
                <w:b/>
                <w:bCs/>
              </w:rPr>
            </w:pPr>
          </w:p>
        </w:tc>
        <w:tc>
          <w:tcPr>
            <w:tcW w:w="1288" w:type="dxa"/>
            <w:tcBorders>
              <w:top w:val="single" w:color="auto" w:sz="4" w:space="0"/>
              <w:left w:val="single" w:color="auto" w:sz="4" w:space="0"/>
              <w:bottom w:val="single" w:color="auto" w:sz="4" w:space="0"/>
              <w:right w:val="single" w:color="auto" w:sz="4" w:space="0"/>
            </w:tcBorders>
          </w:tcPr>
          <w:p w14:paraId="1EAC896D">
            <w:pPr>
              <w:spacing w:line="500" w:lineRule="exact"/>
              <w:jc w:val="left"/>
              <w:rPr>
                <w:rFonts w:cs="Times New Roman"/>
                <w:b/>
                <w:bCs/>
              </w:rPr>
            </w:pPr>
          </w:p>
        </w:tc>
        <w:tc>
          <w:tcPr>
            <w:tcW w:w="1038" w:type="dxa"/>
            <w:tcBorders>
              <w:top w:val="single" w:color="auto" w:sz="4" w:space="0"/>
              <w:left w:val="single" w:color="auto" w:sz="4" w:space="0"/>
              <w:bottom w:val="single" w:color="auto" w:sz="4" w:space="0"/>
              <w:right w:val="single" w:color="auto" w:sz="4" w:space="0"/>
            </w:tcBorders>
          </w:tcPr>
          <w:p w14:paraId="0BC250CB">
            <w:pPr>
              <w:spacing w:line="500" w:lineRule="exact"/>
              <w:jc w:val="left"/>
              <w:rPr>
                <w:rFonts w:cs="Times New Roman"/>
                <w:b/>
                <w:bCs/>
              </w:rPr>
            </w:pPr>
          </w:p>
        </w:tc>
        <w:tc>
          <w:tcPr>
            <w:tcW w:w="1287" w:type="dxa"/>
            <w:tcBorders>
              <w:top w:val="single" w:color="auto" w:sz="4" w:space="0"/>
              <w:left w:val="single" w:color="auto" w:sz="4" w:space="0"/>
              <w:bottom w:val="single" w:color="auto" w:sz="4" w:space="0"/>
              <w:right w:val="single" w:color="auto" w:sz="4" w:space="0"/>
            </w:tcBorders>
          </w:tcPr>
          <w:p w14:paraId="0D021D6E">
            <w:pPr>
              <w:spacing w:line="500" w:lineRule="exact"/>
              <w:jc w:val="left"/>
              <w:rPr>
                <w:rFonts w:cs="Times New Roman"/>
                <w:b/>
                <w:bCs/>
              </w:rPr>
            </w:pPr>
          </w:p>
        </w:tc>
      </w:tr>
    </w:tbl>
    <w:p w14:paraId="7602505B">
      <w:pPr>
        <w:spacing w:line="400" w:lineRule="exact"/>
        <w:ind w:right="420"/>
        <w:rPr>
          <w:rFonts w:cs="Times New Roman"/>
        </w:rPr>
      </w:pPr>
      <w:r>
        <w:rPr>
          <w:rFonts w:hint="eastAsia" w:ascii="宋体" w:hAnsi="宋体" w:cs="宋体"/>
          <w:kern w:val="0"/>
        </w:rPr>
        <w:t>开标时间：</w:t>
      </w:r>
      <w:r>
        <w:rPr>
          <w:rFonts w:ascii="宋体" w:hAnsi="宋体" w:cs="宋体"/>
          <w:kern w:val="0"/>
        </w:rPr>
        <w:t>____</w:t>
      </w:r>
      <w:r>
        <w:rPr>
          <w:rFonts w:hint="eastAsia" w:ascii="宋体" w:hAnsi="宋体" w:cs="宋体"/>
          <w:kern w:val="0"/>
        </w:rPr>
        <w:t>年</w:t>
      </w:r>
      <w:r>
        <w:rPr>
          <w:rFonts w:ascii="宋体" w:hAnsi="宋体" w:cs="宋体"/>
          <w:kern w:val="0"/>
        </w:rPr>
        <w:t>____</w:t>
      </w:r>
      <w:r>
        <w:rPr>
          <w:rFonts w:hint="eastAsia" w:ascii="宋体" w:hAnsi="宋体" w:cs="宋体"/>
          <w:kern w:val="0"/>
        </w:rPr>
        <w:t>月</w:t>
      </w:r>
      <w:r>
        <w:rPr>
          <w:rFonts w:ascii="宋体" w:hAnsi="宋体" w:cs="宋体"/>
          <w:kern w:val="0"/>
        </w:rPr>
        <w:t>____</w:t>
      </w:r>
      <w:r>
        <w:rPr>
          <w:rFonts w:hint="eastAsia" w:ascii="宋体" w:hAnsi="宋体" w:cs="宋体"/>
          <w:kern w:val="0"/>
        </w:rPr>
        <w:t>日</w:t>
      </w:r>
      <w:r>
        <w:rPr>
          <w:rFonts w:ascii="宋体" w:hAnsi="宋体" w:cs="宋体"/>
          <w:kern w:val="0"/>
        </w:rPr>
        <w:t>____</w:t>
      </w:r>
      <w:r>
        <w:rPr>
          <w:rFonts w:hint="eastAsia" w:ascii="宋体" w:hAnsi="宋体" w:cs="宋体"/>
          <w:kern w:val="0"/>
        </w:rPr>
        <w:t>时</w:t>
      </w:r>
      <w:r>
        <w:rPr>
          <w:rFonts w:ascii="宋体" w:hAnsi="宋体" w:cs="宋体"/>
          <w:kern w:val="0"/>
        </w:rPr>
        <w:t>____</w:t>
      </w:r>
      <w:r>
        <w:rPr>
          <w:rFonts w:hint="eastAsia" w:ascii="宋体" w:hAnsi="宋体" w:cs="宋体"/>
          <w:kern w:val="0"/>
        </w:rPr>
        <w:t>分开标地点：</w:t>
      </w:r>
    </w:p>
    <w:p w14:paraId="2320D0FC">
      <w:pPr>
        <w:spacing w:line="440" w:lineRule="exact"/>
        <w:rPr>
          <w:rFonts w:cs="Times New Roman"/>
        </w:rPr>
      </w:pPr>
      <w:r>
        <w:rPr>
          <w:rFonts w:hint="eastAsia" w:cs="宋体"/>
        </w:rPr>
        <w:t>　　　</w:t>
      </w:r>
    </w:p>
    <w:p w14:paraId="4F50A5B6">
      <w:pPr>
        <w:adjustRightInd w:val="0"/>
        <w:snapToGrid w:val="0"/>
        <w:spacing w:line="360" w:lineRule="auto"/>
        <w:rPr>
          <w:kern w:val="0"/>
        </w:rPr>
      </w:pPr>
      <w:r>
        <w:rPr>
          <w:rFonts w:hint="eastAsia" w:cs="宋体"/>
          <w:kern w:val="0"/>
        </w:rPr>
        <w:t>招标人代表：</w:t>
      </w:r>
      <w:r>
        <w:rPr>
          <w:kern w:val="0"/>
        </w:rPr>
        <w:t>__________</w:t>
      </w:r>
      <w:r>
        <w:rPr>
          <w:rFonts w:hint="eastAsia" w:cs="宋体"/>
          <w:kern w:val="0"/>
        </w:rPr>
        <w:t>纪律监察：</w:t>
      </w:r>
      <w:r>
        <w:rPr>
          <w:kern w:val="0"/>
        </w:rPr>
        <w:t>_____________</w:t>
      </w:r>
      <w:r>
        <w:rPr>
          <w:rFonts w:hint="eastAsia" w:cs="宋体"/>
          <w:kern w:val="0"/>
        </w:rPr>
        <w:t>行政监管：</w:t>
      </w:r>
      <w:r>
        <w:rPr>
          <w:kern w:val="0"/>
        </w:rPr>
        <w:t>_____________</w:t>
      </w:r>
    </w:p>
    <w:p w14:paraId="6561E787">
      <w:pPr>
        <w:adjustRightInd w:val="0"/>
        <w:snapToGrid w:val="0"/>
        <w:spacing w:line="360" w:lineRule="auto"/>
        <w:rPr>
          <w:kern w:val="0"/>
        </w:rPr>
      </w:pPr>
      <w:r>
        <w:rPr>
          <w:rFonts w:hint="eastAsia" w:cs="宋体"/>
          <w:kern w:val="0"/>
        </w:rPr>
        <w:t>招标代理：</w:t>
      </w:r>
      <w:r>
        <w:rPr>
          <w:kern w:val="0"/>
        </w:rPr>
        <w:t>__________</w:t>
      </w:r>
      <w:r>
        <w:rPr>
          <w:rFonts w:hint="eastAsia" w:cs="宋体"/>
          <w:kern w:val="0"/>
        </w:rPr>
        <w:t>交易中心：</w:t>
      </w:r>
      <w:r>
        <w:rPr>
          <w:kern w:val="0"/>
        </w:rPr>
        <w:t>_____________</w:t>
      </w:r>
    </w:p>
    <w:p w14:paraId="2FEDE25D">
      <w:pPr>
        <w:spacing w:line="620" w:lineRule="exact"/>
        <w:ind w:firstLine="630" w:firstLineChars="300"/>
        <w:rPr>
          <w:rFonts w:cs="Times New Roman"/>
          <w:sz w:val="20"/>
          <w:szCs w:val="20"/>
        </w:rPr>
      </w:pPr>
      <w:r>
        <w:rPr>
          <w:rFonts w:hint="eastAsia" w:cs="宋体"/>
        </w:rPr>
        <w:t>年   月   日</w:t>
      </w:r>
    </w:p>
    <w:p w14:paraId="448B66A5">
      <w:pPr>
        <w:spacing w:line="440" w:lineRule="exact"/>
        <w:rPr>
          <w:rFonts w:cs="Times New Roman"/>
        </w:rPr>
      </w:pPr>
      <w:r>
        <w:rPr>
          <w:rFonts w:cs="Times New Roman"/>
        </w:rPr>
        <w:br w:type="page"/>
      </w:r>
    </w:p>
    <w:p w14:paraId="20649532">
      <w:pPr>
        <w:adjustRightInd w:val="0"/>
        <w:snapToGrid w:val="0"/>
        <w:spacing w:line="360" w:lineRule="auto"/>
        <w:jc w:val="left"/>
        <w:outlineLvl w:val="2"/>
        <w:rPr>
          <w:rFonts w:hint="eastAsia" w:ascii="黑体" w:hAnsi="黑体" w:eastAsia="黑体" w:cs="Times New Roman"/>
          <w:b/>
          <w:bCs/>
          <w:sz w:val="32"/>
          <w:szCs w:val="32"/>
        </w:rPr>
      </w:pPr>
      <w:bookmarkStart w:id="622" w:name="_Toc1737"/>
      <w:bookmarkEnd w:id="622"/>
      <w:bookmarkStart w:id="623" w:name="_Toc45896675"/>
      <w:bookmarkEnd w:id="623"/>
      <w:bookmarkStart w:id="624" w:name="_Toc6818"/>
      <w:bookmarkEnd w:id="624"/>
      <w:bookmarkStart w:id="625" w:name="_Toc45896971"/>
      <w:bookmarkEnd w:id="625"/>
      <w:r>
        <w:rPr>
          <w:rFonts w:hint="eastAsia" w:ascii="黑体" w:hAnsi="黑体" w:eastAsia="黑体" w:cs="黑体"/>
          <w:b/>
          <w:bCs/>
          <w:sz w:val="32"/>
          <w:szCs w:val="32"/>
        </w:rPr>
        <w:t>附件二：问题澄清通知</w:t>
      </w:r>
    </w:p>
    <w:p w14:paraId="0CC320E7">
      <w:pPr>
        <w:adjustRightInd w:val="0"/>
        <w:snapToGrid w:val="0"/>
        <w:spacing w:line="360" w:lineRule="auto"/>
        <w:jc w:val="center"/>
        <w:rPr>
          <w:rFonts w:eastAsia="黑体" w:cs="Times New Roman"/>
          <w:kern w:val="0"/>
          <w:sz w:val="28"/>
          <w:szCs w:val="28"/>
        </w:rPr>
      </w:pPr>
    </w:p>
    <w:p w14:paraId="4CB0A31B">
      <w:pPr>
        <w:adjustRightInd w:val="0"/>
        <w:snapToGrid w:val="0"/>
        <w:spacing w:line="360" w:lineRule="auto"/>
        <w:jc w:val="center"/>
        <w:rPr>
          <w:rFonts w:eastAsia="黑体" w:cs="Times New Roman"/>
          <w:kern w:val="0"/>
          <w:sz w:val="28"/>
          <w:szCs w:val="28"/>
        </w:rPr>
      </w:pPr>
      <w:r>
        <w:rPr>
          <w:rFonts w:hint="eastAsia" w:eastAsia="黑体" w:cs="黑体"/>
          <w:kern w:val="0"/>
          <w:sz w:val="28"/>
          <w:szCs w:val="28"/>
        </w:rPr>
        <w:t>问题澄清通知</w:t>
      </w:r>
    </w:p>
    <w:p w14:paraId="4034CBC5">
      <w:pPr>
        <w:adjustRightInd w:val="0"/>
        <w:snapToGrid w:val="0"/>
        <w:spacing w:line="360" w:lineRule="auto"/>
        <w:ind w:firstLine="5250" w:firstLineChars="2500"/>
        <w:jc w:val="left"/>
        <w:rPr>
          <w:rFonts w:ascii="宋体" w:cs="Times New Roman"/>
          <w:kern w:val="0"/>
        </w:rPr>
      </w:pPr>
      <w:r>
        <w:rPr>
          <w:rFonts w:hint="eastAsia" w:ascii="宋体" w:hAnsi="宋体" w:cs="宋体"/>
          <w:kern w:val="0"/>
        </w:rPr>
        <w:t>编号：</w:t>
      </w:r>
    </w:p>
    <w:p w14:paraId="33EECBA0">
      <w:pPr>
        <w:adjustRightInd w:val="0"/>
        <w:snapToGrid w:val="0"/>
        <w:spacing w:line="360" w:lineRule="auto"/>
        <w:jc w:val="left"/>
        <w:rPr>
          <w:rFonts w:ascii="宋体" w:cs="Times New Roman"/>
          <w:kern w:val="0"/>
        </w:rPr>
      </w:pPr>
      <w:r>
        <w:rPr>
          <w:rFonts w:ascii="宋体" w:hAnsi="宋体" w:cs="宋体"/>
          <w:kern w:val="0"/>
        </w:rPr>
        <w:t>_____________</w:t>
      </w:r>
      <w:r>
        <w:rPr>
          <w:rFonts w:hint="eastAsia" w:ascii="宋体" w:hAnsi="宋体" w:cs="宋体"/>
          <w:kern w:val="0"/>
        </w:rPr>
        <w:t>（投标人名称）：</w:t>
      </w:r>
    </w:p>
    <w:p w14:paraId="2D4B7BD0">
      <w:pPr>
        <w:adjustRightInd w:val="0"/>
        <w:snapToGrid w:val="0"/>
        <w:spacing w:line="360" w:lineRule="auto"/>
        <w:jc w:val="left"/>
        <w:rPr>
          <w:rFonts w:ascii="宋体" w:cs="Times New Roman"/>
          <w:kern w:val="0"/>
        </w:rPr>
      </w:pPr>
    </w:p>
    <w:p w14:paraId="2502FFFB">
      <w:pPr>
        <w:adjustRightInd w:val="0"/>
        <w:snapToGrid w:val="0"/>
        <w:spacing w:line="360" w:lineRule="auto"/>
        <w:ind w:firstLine="420" w:firstLineChars="200"/>
        <w:jc w:val="left"/>
        <w:rPr>
          <w:rFonts w:ascii="宋体" w:cs="Times New Roman"/>
          <w:kern w:val="0"/>
        </w:rPr>
      </w:pPr>
      <w:r>
        <w:rPr>
          <w:rFonts w:ascii="宋体" w:hAnsi="宋体" w:cs="宋体"/>
          <w:kern w:val="0"/>
        </w:rPr>
        <w:t>_____________</w:t>
      </w:r>
      <w:r>
        <w:rPr>
          <w:rFonts w:hint="eastAsia" w:ascii="宋体" w:hAnsi="宋体" w:cs="宋体"/>
          <w:kern w:val="0"/>
        </w:rPr>
        <w:t>（项目名称）</w:t>
      </w:r>
      <w:r>
        <w:rPr>
          <w:rFonts w:ascii="宋体" w:hAnsi="宋体" w:cs="宋体"/>
          <w:kern w:val="0"/>
        </w:rPr>
        <w:t>_____________</w:t>
      </w:r>
      <w:r>
        <w:rPr>
          <w:rFonts w:hint="eastAsia" w:ascii="宋体" w:hAnsi="宋体" w:cs="宋体"/>
          <w:kern w:val="0"/>
        </w:rPr>
        <w:t>招标的评标委员会，对你方的投标文件进行了仔细的审查，现需你方对下列问题以书面形式予以澄清：</w:t>
      </w:r>
    </w:p>
    <w:p w14:paraId="440F74E5">
      <w:pPr>
        <w:adjustRightInd w:val="0"/>
        <w:snapToGrid w:val="0"/>
        <w:spacing w:line="360" w:lineRule="auto"/>
        <w:ind w:firstLine="420" w:firstLineChars="200"/>
        <w:jc w:val="left"/>
        <w:rPr>
          <w:rFonts w:ascii="宋体" w:cs="Times New Roman"/>
          <w:kern w:val="0"/>
        </w:rPr>
      </w:pPr>
    </w:p>
    <w:p w14:paraId="043BA9FC">
      <w:pPr>
        <w:adjustRightInd w:val="0"/>
        <w:snapToGrid w:val="0"/>
        <w:spacing w:line="360" w:lineRule="auto"/>
        <w:ind w:firstLine="420" w:firstLineChars="200"/>
        <w:jc w:val="left"/>
        <w:rPr>
          <w:rFonts w:ascii="宋体" w:cs="Times New Roman"/>
          <w:kern w:val="0"/>
        </w:rPr>
      </w:pPr>
      <w:r>
        <w:rPr>
          <w:rFonts w:ascii="宋体" w:hAnsi="宋体" w:cs="宋体"/>
          <w:kern w:val="0"/>
        </w:rPr>
        <w:t>1.</w:t>
      </w:r>
    </w:p>
    <w:p w14:paraId="6805A74B">
      <w:pPr>
        <w:adjustRightInd w:val="0"/>
        <w:snapToGrid w:val="0"/>
        <w:spacing w:line="360" w:lineRule="auto"/>
        <w:ind w:firstLine="420" w:firstLineChars="200"/>
        <w:jc w:val="left"/>
        <w:rPr>
          <w:rFonts w:ascii="宋体" w:cs="Times New Roman"/>
          <w:kern w:val="0"/>
        </w:rPr>
      </w:pPr>
      <w:r>
        <w:rPr>
          <w:rFonts w:ascii="宋体" w:hAnsi="宋体" w:cs="宋体"/>
          <w:kern w:val="0"/>
        </w:rPr>
        <w:t>2.</w:t>
      </w:r>
    </w:p>
    <w:p w14:paraId="3E6DD191">
      <w:pPr>
        <w:adjustRightInd w:val="0"/>
        <w:snapToGrid w:val="0"/>
        <w:spacing w:line="360" w:lineRule="auto"/>
        <w:ind w:firstLine="420" w:firstLineChars="200"/>
        <w:jc w:val="left"/>
        <w:rPr>
          <w:rFonts w:ascii="宋体" w:cs="宋体"/>
          <w:kern w:val="0"/>
        </w:rPr>
      </w:pPr>
      <w:r>
        <w:rPr>
          <w:rFonts w:hint="eastAsia" w:ascii="宋体" w:cs="宋体"/>
          <w:kern w:val="0"/>
        </w:rPr>
        <w:t>……</w:t>
      </w:r>
    </w:p>
    <w:p w14:paraId="068972C6">
      <w:pPr>
        <w:adjustRightInd w:val="0"/>
        <w:snapToGrid w:val="0"/>
        <w:spacing w:line="360" w:lineRule="auto"/>
        <w:ind w:firstLine="420" w:firstLineChars="200"/>
        <w:jc w:val="left"/>
        <w:rPr>
          <w:rFonts w:ascii="宋体" w:cs="Times New Roman"/>
          <w:kern w:val="0"/>
        </w:rPr>
      </w:pPr>
      <w:r>
        <w:rPr>
          <w:rFonts w:hint="eastAsia" w:ascii="宋体" w:hAnsi="宋体" w:cs="宋体"/>
          <w:kern w:val="0"/>
        </w:rPr>
        <w:t>请将上述问题的澄清于</w:t>
      </w:r>
      <w:r>
        <w:rPr>
          <w:rFonts w:ascii="宋体" w:hAnsi="宋体" w:cs="宋体"/>
          <w:kern w:val="0"/>
        </w:rPr>
        <w:t>______</w:t>
      </w:r>
      <w:r>
        <w:rPr>
          <w:rFonts w:hint="eastAsia" w:ascii="宋体" w:hAnsi="宋体" w:cs="宋体"/>
          <w:kern w:val="0"/>
        </w:rPr>
        <w:t>年</w:t>
      </w:r>
      <w:r>
        <w:rPr>
          <w:rFonts w:ascii="宋体" w:hAnsi="宋体" w:cs="宋体"/>
          <w:kern w:val="0"/>
        </w:rPr>
        <w:t>____</w:t>
      </w:r>
      <w:r>
        <w:rPr>
          <w:rFonts w:hint="eastAsia" w:ascii="宋体" w:hAnsi="宋体" w:cs="宋体"/>
          <w:kern w:val="0"/>
        </w:rPr>
        <w:t>月</w:t>
      </w:r>
      <w:r>
        <w:rPr>
          <w:rFonts w:ascii="宋体" w:hAnsi="宋体" w:cs="宋体"/>
          <w:kern w:val="0"/>
        </w:rPr>
        <w:t>____</w:t>
      </w:r>
      <w:r>
        <w:rPr>
          <w:rFonts w:hint="eastAsia" w:ascii="宋体" w:hAnsi="宋体" w:cs="宋体"/>
          <w:kern w:val="0"/>
        </w:rPr>
        <w:t>日</w:t>
      </w:r>
      <w:r>
        <w:rPr>
          <w:rFonts w:ascii="宋体" w:hAnsi="宋体" w:cs="宋体"/>
          <w:kern w:val="0"/>
        </w:rPr>
        <w:t>____</w:t>
      </w:r>
      <w:r>
        <w:rPr>
          <w:rFonts w:hint="eastAsia" w:ascii="宋体" w:hAnsi="宋体" w:cs="宋体"/>
          <w:kern w:val="0"/>
        </w:rPr>
        <w:t>时前递交至</w:t>
      </w:r>
      <w:r>
        <w:rPr>
          <w:rFonts w:ascii="宋体" w:hAnsi="宋体" w:cs="宋体"/>
          <w:kern w:val="0"/>
        </w:rPr>
        <w:t>_______________________</w:t>
      </w:r>
      <w:r>
        <w:rPr>
          <w:rFonts w:hint="eastAsia" w:ascii="宋体" w:hAnsi="宋体" w:cs="宋体"/>
          <w:kern w:val="0"/>
        </w:rPr>
        <w:t>（详细地址）或传真至</w:t>
      </w:r>
      <w:r>
        <w:rPr>
          <w:rFonts w:ascii="宋体" w:hAnsi="宋体" w:cs="宋体"/>
          <w:kern w:val="0"/>
        </w:rPr>
        <w:t>_________</w:t>
      </w:r>
      <w:r>
        <w:rPr>
          <w:rFonts w:hint="eastAsia" w:ascii="宋体" w:hAnsi="宋体" w:cs="宋体"/>
          <w:kern w:val="0"/>
        </w:rPr>
        <w:t>（传真号码）。采用传真方式的，应在</w:t>
      </w:r>
      <w:r>
        <w:rPr>
          <w:rFonts w:ascii="宋体" w:hAnsi="宋体" w:cs="宋体"/>
          <w:kern w:val="0"/>
        </w:rPr>
        <w:t>_______</w:t>
      </w:r>
      <w:r>
        <w:rPr>
          <w:rFonts w:hint="eastAsia" w:ascii="宋体" w:hAnsi="宋体" w:cs="宋体"/>
          <w:kern w:val="0"/>
        </w:rPr>
        <w:t>年</w:t>
      </w:r>
      <w:r>
        <w:rPr>
          <w:rFonts w:ascii="宋体" w:hAnsi="宋体" w:cs="宋体"/>
          <w:kern w:val="0"/>
        </w:rPr>
        <w:t>________</w:t>
      </w:r>
      <w:r>
        <w:rPr>
          <w:rFonts w:hint="eastAsia" w:ascii="宋体" w:hAnsi="宋体" w:cs="宋体"/>
          <w:kern w:val="0"/>
        </w:rPr>
        <w:t>月</w:t>
      </w:r>
      <w:r>
        <w:rPr>
          <w:rFonts w:ascii="宋体" w:hAnsi="宋体" w:cs="宋体"/>
          <w:kern w:val="0"/>
        </w:rPr>
        <w:t>________</w:t>
      </w:r>
      <w:r>
        <w:rPr>
          <w:rFonts w:hint="eastAsia" w:ascii="宋体" w:hAnsi="宋体" w:cs="宋体"/>
          <w:kern w:val="0"/>
        </w:rPr>
        <w:t>日</w:t>
      </w:r>
      <w:r>
        <w:rPr>
          <w:rFonts w:ascii="宋体" w:hAnsi="宋体" w:cs="宋体"/>
          <w:kern w:val="0"/>
        </w:rPr>
        <w:t>________</w:t>
      </w:r>
      <w:r>
        <w:rPr>
          <w:rFonts w:hint="eastAsia" w:ascii="宋体" w:hAnsi="宋体" w:cs="宋体"/>
          <w:kern w:val="0"/>
        </w:rPr>
        <w:t>时前将原件扫描件递交至</w:t>
      </w:r>
      <w:r>
        <w:rPr>
          <w:rFonts w:ascii="宋体" w:hAnsi="宋体" w:cs="宋体"/>
          <w:kern w:val="0"/>
        </w:rPr>
        <w:t>_____________________________</w:t>
      </w:r>
      <w:r>
        <w:rPr>
          <w:rFonts w:hint="eastAsia" w:ascii="宋体" w:hAnsi="宋体" w:cs="宋体"/>
          <w:kern w:val="0"/>
        </w:rPr>
        <w:t>（详细地址）。</w:t>
      </w:r>
    </w:p>
    <w:p w14:paraId="6206AF4F">
      <w:pPr>
        <w:adjustRightInd w:val="0"/>
        <w:snapToGrid w:val="0"/>
        <w:spacing w:line="360" w:lineRule="auto"/>
        <w:ind w:firstLine="420" w:firstLineChars="200"/>
        <w:jc w:val="left"/>
        <w:rPr>
          <w:rFonts w:ascii="宋体" w:cs="Times New Roman"/>
          <w:kern w:val="0"/>
        </w:rPr>
      </w:pPr>
    </w:p>
    <w:p w14:paraId="3D7C5028">
      <w:pPr>
        <w:adjustRightInd w:val="0"/>
        <w:snapToGrid w:val="0"/>
        <w:spacing w:line="360" w:lineRule="auto"/>
        <w:ind w:firstLine="420" w:firstLineChars="200"/>
        <w:jc w:val="left"/>
        <w:rPr>
          <w:rFonts w:ascii="宋体" w:cs="Times New Roman"/>
          <w:kern w:val="0"/>
        </w:rPr>
      </w:pPr>
    </w:p>
    <w:p w14:paraId="10E193CE">
      <w:pPr>
        <w:adjustRightInd w:val="0"/>
        <w:snapToGrid w:val="0"/>
        <w:spacing w:line="360" w:lineRule="auto"/>
        <w:ind w:firstLine="4200" w:firstLineChars="2000"/>
        <w:jc w:val="left"/>
        <w:rPr>
          <w:rFonts w:ascii="宋体" w:cs="Times New Roman"/>
          <w:kern w:val="0"/>
        </w:rPr>
      </w:pPr>
      <w:r>
        <w:rPr>
          <w:rFonts w:hint="eastAsia" w:ascii="宋体" w:hAnsi="宋体" w:cs="宋体"/>
          <w:kern w:val="0"/>
        </w:rPr>
        <w:t>招标人或招标代理机构：</w:t>
      </w:r>
      <w:r>
        <w:rPr>
          <w:rFonts w:ascii="宋体" w:hAnsi="宋体" w:cs="宋体"/>
          <w:kern w:val="0"/>
        </w:rPr>
        <w:t>_________</w:t>
      </w:r>
      <w:r>
        <w:rPr>
          <w:rFonts w:hint="eastAsia" w:ascii="宋体" w:hAnsi="宋体" w:cs="宋体"/>
          <w:kern w:val="0"/>
        </w:rPr>
        <w:t>（签字或盖章）</w:t>
      </w:r>
    </w:p>
    <w:p w14:paraId="3142D46B">
      <w:pPr>
        <w:adjustRightInd w:val="0"/>
        <w:snapToGrid w:val="0"/>
        <w:spacing w:line="360" w:lineRule="auto"/>
        <w:ind w:firstLine="5250" w:firstLineChars="2500"/>
        <w:jc w:val="left"/>
        <w:rPr>
          <w:rFonts w:ascii="宋体" w:cs="Times New Roman"/>
          <w:kern w:val="0"/>
        </w:rPr>
      </w:pPr>
      <w:r>
        <w:rPr>
          <w:rFonts w:ascii="宋体" w:hAnsi="宋体" w:cs="宋体"/>
          <w:kern w:val="0"/>
        </w:rPr>
        <w:t>_________</w:t>
      </w:r>
      <w:r>
        <w:rPr>
          <w:rFonts w:hint="eastAsia" w:ascii="宋体" w:hAnsi="宋体" w:cs="宋体"/>
          <w:kern w:val="0"/>
        </w:rPr>
        <w:t>年</w:t>
      </w:r>
      <w:r>
        <w:rPr>
          <w:rFonts w:ascii="宋体" w:hAnsi="宋体" w:cs="宋体"/>
          <w:kern w:val="0"/>
        </w:rPr>
        <w:t>________</w:t>
      </w:r>
      <w:r>
        <w:rPr>
          <w:rFonts w:hint="eastAsia" w:ascii="宋体" w:hAnsi="宋体" w:cs="宋体"/>
          <w:kern w:val="0"/>
        </w:rPr>
        <w:t>月</w:t>
      </w:r>
      <w:r>
        <w:rPr>
          <w:rFonts w:ascii="宋体" w:hAnsi="宋体" w:cs="宋体"/>
          <w:kern w:val="0"/>
        </w:rPr>
        <w:t>________</w:t>
      </w:r>
      <w:r>
        <w:rPr>
          <w:rFonts w:hint="eastAsia" w:ascii="宋体" w:hAnsi="宋体" w:cs="宋体"/>
          <w:kern w:val="0"/>
        </w:rPr>
        <w:t>日</w:t>
      </w:r>
    </w:p>
    <w:p w14:paraId="7A175A39">
      <w:pPr>
        <w:adjustRightInd w:val="0"/>
        <w:snapToGrid w:val="0"/>
        <w:jc w:val="left"/>
        <w:rPr>
          <w:rFonts w:cs="Times New Roman"/>
        </w:rPr>
      </w:pPr>
      <w:r>
        <w:rPr>
          <w:rFonts w:cs="Times New Roman"/>
        </w:rPr>
        <w:br w:type="page"/>
      </w:r>
    </w:p>
    <w:p w14:paraId="6BBE3C85">
      <w:pPr>
        <w:adjustRightInd w:val="0"/>
        <w:snapToGrid w:val="0"/>
        <w:spacing w:line="360" w:lineRule="auto"/>
        <w:jc w:val="left"/>
        <w:outlineLvl w:val="2"/>
        <w:rPr>
          <w:rFonts w:hint="eastAsia" w:ascii="黑体" w:hAnsi="黑体" w:eastAsia="黑体" w:cs="Times New Roman"/>
          <w:b/>
          <w:bCs/>
          <w:sz w:val="32"/>
          <w:szCs w:val="32"/>
        </w:rPr>
      </w:pPr>
      <w:bookmarkStart w:id="626" w:name="_Toc45896972"/>
      <w:bookmarkEnd w:id="626"/>
      <w:bookmarkStart w:id="627" w:name="_Toc45896676"/>
      <w:bookmarkEnd w:id="627"/>
      <w:bookmarkStart w:id="628" w:name="_Toc26726"/>
      <w:bookmarkEnd w:id="628"/>
      <w:bookmarkStart w:id="629" w:name="_Toc13777"/>
      <w:bookmarkEnd w:id="629"/>
      <w:r>
        <w:rPr>
          <w:rFonts w:hint="eastAsia" w:ascii="黑体" w:hAnsi="黑体" w:eastAsia="黑体" w:cs="黑体"/>
          <w:b/>
          <w:bCs/>
          <w:sz w:val="32"/>
          <w:szCs w:val="32"/>
        </w:rPr>
        <w:t>附件三：问题的澄清</w:t>
      </w:r>
    </w:p>
    <w:p w14:paraId="71223DD6">
      <w:pPr>
        <w:adjustRightInd w:val="0"/>
        <w:snapToGrid w:val="0"/>
        <w:spacing w:line="360" w:lineRule="auto"/>
        <w:jc w:val="center"/>
        <w:rPr>
          <w:rFonts w:ascii="黑体" w:eastAsia="黑体" w:cs="Times New Roman"/>
          <w:kern w:val="0"/>
          <w:sz w:val="28"/>
          <w:szCs w:val="28"/>
        </w:rPr>
      </w:pPr>
    </w:p>
    <w:p w14:paraId="30CDEFB5">
      <w:pPr>
        <w:adjustRightInd w:val="0"/>
        <w:snapToGrid w:val="0"/>
        <w:spacing w:line="360" w:lineRule="auto"/>
        <w:jc w:val="center"/>
        <w:rPr>
          <w:rFonts w:ascii="黑体" w:eastAsia="黑体" w:cs="Times New Roman"/>
          <w:kern w:val="0"/>
          <w:sz w:val="28"/>
          <w:szCs w:val="28"/>
        </w:rPr>
      </w:pPr>
      <w:r>
        <w:rPr>
          <w:rFonts w:hint="eastAsia" w:ascii="黑体" w:eastAsia="黑体" w:cs="黑体"/>
          <w:kern w:val="0"/>
          <w:sz w:val="28"/>
          <w:szCs w:val="28"/>
        </w:rPr>
        <w:t>问题的澄清</w:t>
      </w:r>
    </w:p>
    <w:p w14:paraId="057B64ED">
      <w:pPr>
        <w:adjustRightInd w:val="0"/>
        <w:snapToGrid w:val="0"/>
        <w:spacing w:line="360" w:lineRule="auto"/>
        <w:ind w:firstLine="5250" w:firstLineChars="2500"/>
        <w:jc w:val="left"/>
        <w:rPr>
          <w:rFonts w:ascii="宋体" w:cs="Times New Roman"/>
          <w:kern w:val="0"/>
        </w:rPr>
      </w:pPr>
      <w:r>
        <w:rPr>
          <w:rFonts w:hint="eastAsia" w:ascii="宋体" w:hAnsi="宋体" w:cs="宋体"/>
          <w:kern w:val="0"/>
        </w:rPr>
        <w:t>编号：</w:t>
      </w:r>
    </w:p>
    <w:p w14:paraId="3AE3A47F">
      <w:pPr>
        <w:adjustRightInd w:val="0"/>
        <w:snapToGrid w:val="0"/>
        <w:spacing w:line="360" w:lineRule="auto"/>
        <w:jc w:val="left"/>
        <w:rPr>
          <w:rFonts w:ascii="宋体" w:cs="Times New Roman"/>
          <w:kern w:val="0"/>
        </w:rPr>
      </w:pPr>
    </w:p>
    <w:p w14:paraId="6874CC6E">
      <w:pPr>
        <w:adjustRightInd w:val="0"/>
        <w:snapToGrid w:val="0"/>
        <w:spacing w:line="360" w:lineRule="auto"/>
        <w:jc w:val="left"/>
        <w:rPr>
          <w:rFonts w:ascii="宋体" w:cs="Times New Roman"/>
          <w:kern w:val="0"/>
        </w:rPr>
      </w:pPr>
      <w:r>
        <w:rPr>
          <w:rFonts w:ascii="宋体" w:hAnsi="宋体" w:cs="宋体"/>
          <w:kern w:val="0"/>
        </w:rPr>
        <w:t>__________________</w:t>
      </w:r>
      <w:r>
        <w:rPr>
          <w:rFonts w:hint="eastAsia" w:ascii="宋体" w:hAnsi="宋体" w:cs="宋体"/>
          <w:kern w:val="0"/>
        </w:rPr>
        <w:t>（项目名称）</w:t>
      </w:r>
      <w:r>
        <w:rPr>
          <w:rFonts w:ascii="宋体" w:hAnsi="宋体" w:cs="宋体"/>
          <w:kern w:val="0"/>
        </w:rPr>
        <w:t>_____________</w:t>
      </w:r>
      <w:r>
        <w:rPr>
          <w:rFonts w:hint="eastAsia" w:ascii="宋体" w:hAnsi="宋体" w:cs="宋体"/>
          <w:kern w:val="0"/>
        </w:rPr>
        <w:t>招标评标委员会：</w:t>
      </w:r>
    </w:p>
    <w:p w14:paraId="56522987">
      <w:pPr>
        <w:adjustRightInd w:val="0"/>
        <w:snapToGrid w:val="0"/>
        <w:spacing w:line="360" w:lineRule="auto"/>
        <w:ind w:firstLine="420" w:firstLineChars="200"/>
        <w:jc w:val="left"/>
        <w:rPr>
          <w:rFonts w:ascii="宋体" w:cs="Times New Roman"/>
          <w:kern w:val="0"/>
        </w:rPr>
      </w:pPr>
    </w:p>
    <w:p w14:paraId="5586586B">
      <w:pPr>
        <w:adjustRightInd w:val="0"/>
        <w:snapToGrid w:val="0"/>
        <w:spacing w:line="360" w:lineRule="auto"/>
        <w:ind w:firstLine="420" w:firstLineChars="200"/>
        <w:jc w:val="left"/>
        <w:rPr>
          <w:rFonts w:ascii="宋体" w:cs="Times New Roman"/>
          <w:kern w:val="0"/>
        </w:rPr>
      </w:pPr>
      <w:r>
        <w:rPr>
          <w:rFonts w:hint="eastAsia" w:ascii="宋体" w:hAnsi="宋体" w:cs="宋体"/>
          <w:kern w:val="0"/>
        </w:rPr>
        <w:t>问题澄清通知（编号：</w:t>
      </w:r>
      <w:r>
        <w:rPr>
          <w:rFonts w:ascii="宋体" w:hAnsi="宋体" w:cs="宋体"/>
          <w:kern w:val="0"/>
        </w:rPr>
        <w:t>________</w:t>
      </w:r>
      <w:r>
        <w:rPr>
          <w:rFonts w:hint="eastAsia" w:ascii="宋体" w:hAnsi="宋体" w:cs="宋体"/>
          <w:kern w:val="0"/>
        </w:rPr>
        <w:t>）已收悉，现澄清如下：</w:t>
      </w:r>
    </w:p>
    <w:p w14:paraId="33814212">
      <w:pPr>
        <w:adjustRightInd w:val="0"/>
        <w:snapToGrid w:val="0"/>
        <w:spacing w:line="360" w:lineRule="auto"/>
        <w:ind w:firstLine="420" w:firstLineChars="200"/>
        <w:jc w:val="left"/>
        <w:rPr>
          <w:rFonts w:ascii="宋体" w:cs="Times New Roman"/>
          <w:kern w:val="0"/>
        </w:rPr>
      </w:pPr>
      <w:r>
        <w:rPr>
          <w:rFonts w:ascii="宋体" w:hAnsi="宋体" w:cs="宋体"/>
          <w:kern w:val="0"/>
        </w:rPr>
        <w:t>1.</w:t>
      </w:r>
    </w:p>
    <w:p w14:paraId="2ABF68EA">
      <w:pPr>
        <w:adjustRightInd w:val="0"/>
        <w:snapToGrid w:val="0"/>
        <w:spacing w:line="360" w:lineRule="auto"/>
        <w:ind w:firstLine="420" w:firstLineChars="200"/>
        <w:jc w:val="left"/>
        <w:rPr>
          <w:rFonts w:ascii="宋体" w:cs="Times New Roman"/>
          <w:kern w:val="0"/>
        </w:rPr>
      </w:pPr>
      <w:r>
        <w:rPr>
          <w:rFonts w:ascii="宋体" w:hAnsi="宋体" w:cs="宋体"/>
          <w:kern w:val="0"/>
        </w:rPr>
        <w:t>2.</w:t>
      </w:r>
    </w:p>
    <w:p w14:paraId="5EFDDB33">
      <w:pPr>
        <w:adjustRightInd w:val="0"/>
        <w:snapToGrid w:val="0"/>
        <w:spacing w:line="360" w:lineRule="auto"/>
        <w:ind w:firstLine="420" w:firstLineChars="200"/>
        <w:jc w:val="left"/>
        <w:rPr>
          <w:rFonts w:ascii="宋体" w:cs="Times New Roman"/>
          <w:kern w:val="0"/>
        </w:rPr>
      </w:pPr>
    </w:p>
    <w:p w14:paraId="2C511553">
      <w:pPr>
        <w:adjustRightInd w:val="0"/>
        <w:snapToGrid w:val="0"/>
        <w:spacing w:line="360" w:lineRule="auto"/>
        <w:ind w:firstLine="420" w:firstLineChars="200"/>
        <w:jc w:val="left"/>
        <w:rPr>
          <w:rFonts w:ascii="宋体" w:cs="宋体"/>
          <w:kern w:val="0"/>
        </w:rPr>
      </w:pPr>
      <w:r>
        <w:rPr>
          <w:rFonts w:ascii="宋体" w:cs="宋体"/>
          <w:kern w:val="0"/>
        </w:rPr>
        <w:t>.....</w:t>
      </w:r>
    </w:p>
    <w:p w14:paraId="1402B9B8">
      <w:pPr>
        <w:adjustRightInd w:val="0"/>
        <w:snapToGrid w:val="0"/>
        <w:spacing w:line="360" w:lineRule="auto"/>
        <w:ind w:firstLine="420" w:firstLineChars="200"/>
        <w:jc w:val="left"/>
        <w:rPr>
          <w:rFonts w:ascii="宋体" w:cs="宋体"/>
          <w:kern w:val="0"/>
        </w:rPr>
      </w:pPr>
    </w:p>
    <w:p w14:paraId="525FCD53">
      <w:pPr>
        <w:adjustRightInd w:val="0"/>
        <w:snapToGrid w:val="0"/>
        <w:spacing w:line="360" w:lineRule="auto"/>
        <w:ind w:firstLine="420" w:firstLineChars="200"/>
        <w:jc w:val="left"/>
        <w:rPr>
          <w:rFonts w:ascii="宋体" w:cs="宋体"/>
          <w:kern w:val="0"/>
        </w:rPr>
      </w:pPr>
    </w:p>
    <w:p w14:paraId="0760298E">
      <w:pPr>
        <w:adjustRightInd w:val="0"/>
        <w:snapToGrid w:val="0"/>
        <w:spacing w:line="360" w:lineRule="auto"/>
        <w:ind w:firstLine="3150" w:firstLineChars="1500"/>
        <w:jc w:val="left"/>
        <w:rPr>
          <w:rFonts w:ascii="宋体" w:cs="Times New Roman"/>
          <w:kern w:val="0"/>
        </w:rPr>
      </w:pPr>
      <w:r>
        <w:rPr>
          <w:rFonts w:hint="eastAsia" w:ascii="宋体" w:hAnsi="宋体" w:cs="宋体"/>
          <w:kern w:val="0"/>
        </w:rPr>
        <w:t>投标人：</w:t>
      </w:r>
      <w:r>
        <w:rPr>
          <w:rFonts w:ascii="宋体" w:hAnsi="宋体" w:cs="宋体"/>
          <w:kern w:val="0"/>
        </w:rPr>
        <w:t>________________________</w:t>
      </w:r>
      <w:r>
        <w:rPr>
          <w:rFonts w:hint="eastAsia" w:ascii="宋体" w:hAnsi="宋体" w:cs="宋体"/>
          <w:kern w:val="0"/>
        </w:rPr>
        <w:t>（单位盖章）</w:t>
      </w:r>
    </w:p>
    <w:p w14:paraId="254C2BF1">
      <w:pPr>
        <w:adjustRightInd w:val="0"/>
        <w:snapToGrid w:val="0"/>
        <w:spacing w:line="360" w:lineRule="auto"/>
        <w:ind w:firstLine="3150" w:firstLineChars="1500"/>
        <w:jc w:val="left"/>
        <w:rPr>
          <w:rFonts w:ascii="宋体" w:cs="Times New Roman"/>
          <w:kern w:val="0"/>
        </w:rPr>
      </w:pPr>
      <w:r>
        <w:rPr>
          <w:rFonts w:hint="eastAsia" w:ascii="宋体" w:hAnsi="宋体" w:cs="宋体"/>
          <w:kern w:val="0"/>
        </w:rPr>
        <w:t>法定代表人或其委托代理人：</w:t>
      </w:r>
      <w:r>
        <w:rPr>
          <w:rFonts w:ascii="宋体" w:hAnsi="宋体" w:cs="宋体"/>
          <w:kern w:val="0"/>
        </w:rPr>
        <w:t>__________</w:t>
      </w:r>
      <w:r>
        <w:rPr>
          <w:rFonts w:hint="eastAsia" w:ascii="宋体" w:hAnsi="宋体" w:cs="宋体"/>
          <w:kern w:val="0"/>
        </w:rPr>
        <w:t>（电子签章）</w:t>
      </w:r>
    </w:p>
    <w:p w14:paraId="49EC2684">
      <w:pPr>
        <w:adjustRightInd w:val="0"/>
        <w:snapToGrid w:val="0"/>
        <w:spacing w:line="360" w:lineRule="auto"/>
        <w:ind w:firstLine="5250" w:firstLineChars="2500"/>
        <w:jc w:val="left"/>
        <w:rPr>
          <w:rFonts w:ascii="宋体" w:cs="Times New Roman"/>
          <w:kern w:val="0"/>
        </w:rPr>
      </w:pPr>
      <w:r>
        <w:rPr>
          <w:rFonts w:ascii="宋体" w:hAnsi="宋体" w:cs="宋体"/>
          <w:kern w:val="0"/>
        </w:rPr>
        <w:t>________</w:t>
      </w:r>
      <w:r>
        <w:rPr>
          <w:rFonts w:hint="eastAsia" w:ascii="宋体" w:hAnsi="宋体" w:cs="宋体"/>
          <w:kern w:val="0"/>
        </w:rPr>
        <w:t>年</w:t>
      </w:r>
      <w:r>
        <w:rPr>
          <w:rFonts w:ascii="宋体" w:hAnsi="宋体" w:cs="宋体"/>
          <w:kern w:val="0"/>
        </w:rPr>
        <w:t>________</w:t>
      </w:r>
      <w:r>
        <w:rPr>
          <w:rFonts w:hint="eastAsia" w:ascii="宋体" w:hAnsi="宋体" w:cs="宋体"/>
          <w:kern w:val="0"/>
        </w:rPr>
        <w:t>月</w:t>
      </w:r>
      <w:r>
        <w:rPr>
          <w:rFonts w:ascii="宋体" w:hAnsi="宋体" w:cs="宋体"/>
          <w:kern w:val="0"/>
        </w:rPr>
        <w:t>________</w:t>
      </w:r>
      <w:r>
        <w:rPr>
          <w:rFonts w:hint="eastAsia" w:ascii="宋体" w:hAnsi="宋体" w:cs="宋体"/>
          <w:kern w:val="0"/>
        </w:rPr>
        <w:t>日</w:t>
      </w:r>
    </w:p>
    <w:p w14:paraId="4A68EA1E">
      <w:pPr>
        <w:adjustRightInd w:val="0"/>
        <w:snapToGrid w:val="0"/>
        <w:jc w:val="left"/>
        <w:rPr>
          <w:rFonts w:cs="Times New Roman"/>
        </w:rPr>
      </w:pPr>
      <w:r>
        <w:rPr>
          <w:rFonts w:cs="Times New Roman"/>
        </w:rPr>
        <w:br w:type="page"/>
      </w:r>
    </w:p>
    <w:p w14:paraId="72462434">
      <w:pPr>
        <w:pStyle w:val="4"/>
        <w:ind w:firstLine="0" w:firstLineChars="0"/>
        <w:rPr>
          <w:rFonts w:hint="eastAsia" w:cs="Times New Roman"/>
        </w:rPr>
      </w:pPr>
      <w:bookmarkStart w:id="630" w:name="_Toc152045584"/>
      <w:bookmarkEnd w:id="630"/>
      <w:bookmarkStart w:id="631" w:name="_Toc719"/>
      <w:bookmarkEnd w:id="631"/>
      <w:bookmarkStart w:id="632" w:name="_Toc300835005"/>
      <w:bookmarkEnd w:id="632"/>
      <w:bookmarkStart w:id="633" w:name="_Toc247527609"/>
      <w:bookmarkEnd w:id="633"/>
      <w:bookmarkStart w:id="634" w:name="_Toc45896973"/>
      <w:bookmarkEnd w:id="634"/>
      <w:bookmarkStart w:id="635" w:name="_Toc25124"/>
      <w:bookmarkEnd w:id="635"/>
      <w:bookmarkStart w:id="636" w:name="_Toc45896677"/>
      <w:bookmarkEnd w:id="636"/>
      <w:bookmarkStart w:id="637" w:name="_Toc247514008"/>
      <w:bookmarkEnd w:id="637"/>
      <w:bookmarkStart w:id="638" w:name="_Toc144974551"/>
      <w:bookmarkEnd w:id="638"/>
      <w:bookmarkStart w:id="639" w:name="_Toc152042361"/>
      <w:bookmarkEnd w:id="639"/>
      <w:r>
        <w:rPr>
          <w:rFonts w:hint="eastAsia"/>
        </w:rPr>
        <w:t>附件四：中标通知书</w:t>
      </w:r>
    </w:p>
    <w:p w14:paraId="26E6F9B0">
      <w:pPr>
        <w:spacing w:line="400" w:lineRule="exact"/>
        <w:rPr>
          <w:rFonts w:cs="Times New Roman"/>
        </w:rPr>
      </w:pPr>
    </w:p>
    <w:p w14:paraId="20EBB322">
      <w:pPr>
        <w:spacing w:line="400" w:lineRule="exact"/>
        <w:jc w:val="center"/>
        <w:rPr>
          <w:rFonts w:ascii="黑体" w:eastAsia="黑体" w:cs="Times New Roman"/>
          <w:sz w:val="28"/>
          <w:szCs w:val="28"/>
        </w:rPr>
      </w:pPr>
      <w:r>
        <w:rPr>
          <w:rFonts w:hint="eastAsia" w:ascii="黑体" w:eastAsia="黑体" w:cs="黑体"/>
          <w:sz w:val="28"/>
          <w:szCs w:val="28"/>
        </w:rPr>
        <w:t>中标通知书</w:t>
      </w:r>
    </w:p>
    <w:p w14:paraId="4B0B820B">
      <w:pPr>
        <w:spacing w:line="400" w:lineRule="exact"/>
      </w:pPr>
    </w:p>
    <w:p w14:paraId="44B8F4AF">
      <w:pPr>
        <w:spacing w:line="440" w:lineRule="exact"/>
        <w:rPr>
          <w:rFonts w:cs="Times New Roman"/>
        </w:rPr>
      </w:pPr>
      <w:r>
        <w:rPr>
          <w:rFonts w:hint="eastAsia" w:cs="宋体"/>
        </w:rPr>
        <w:t>（中标人名称）：</w:t>
      </w:r>
    </w:p>
    <w:p w14:paraId="09820C2C">
      <w:pPr>
        <w:spacing w:line="440" w:lineRule="exact"/>
        <w:rPr>
          <w:rFonts w:cs="Times New Roman"/>
        </w:rPr>
      </w:pPr>
    </w:p>
    <w:p w14:paraId="57E25069">
      <w:pPr>
        <w:spacing w:line="360" w:lineRule="auto"/>
        <w:ind w:firstLine="420" w:firstLineChars="200"/>
        <w:rPr>
          <w:rFonts w:cs="Times New Roman"/>
        </w:rPr>
      </w:pPr>
      <w:r>
        <w:rPr>
          <w:rFonts w:hint="eastAsia" w:cs="宋体"/>
        </w:rPr>
        <w:t>你方于   （投标日期）所递交的（项目名称）总承包招标的投标文件已被我方接受，被确定为中标人。</w:t>
      </w:r>
    </w:p>
    <w:p w14:paraId="31FECD76">
      <w:pPr>
        <w:spacing w:line="360" w:lineRule="auto"/>
        <w:ind w:firstLine="420" w:firstLineChars="200"/>
        <w:rPr>
          <w:rFonts w:cs="Times New Roman"/>
        </w:rPr>
      </w:pPr>
      <w:r>
        <w:rPr>
          <w:rFonts w:hint="eastAsia" w:cs="宋体"/>
        </w:rPr>
        <w:t xml:space="preserve">中标价：工程设计费投标报价 </w:t>
      </w:r>
      <w:r>
        <w:rPr>
          <w:rFonts w:hint="eastAsia"/>
        </w:rPr>
        <w:t xml:space="preserve"> </w:t>
      </w:r>
      <w:r>
        <w:t>%</w:t>
      </w:r>
      <w:r>
        <w:rPr>
          <w:rFonts w:hint="eastAsia" w:cs="宋体"/>
          <w:sz w:val="20"/>
          <w:szCs w:val="20"/>
        </w:rPr>
        <w:t>，</w:t>
      </w:r>
      <w:r>
        <w:rPr>
          <w:rFonts w:hint="eastAsia" w:cs="宋体"/>
        </w:rPr>
        <w:t>建安工程费投标报价下浮率</w:t>
      </w:r>
      <w:r>
        <w:t xml:space="preserve">  %</w:t>
      </w:r>
      <w:r>
        <w:rPr>
          <w:rFonts w:hint="eastAsia" w:cs="宋体"/>
        </w:rPr>
        <w:t>。</w:t>
      </w:r>
    </w:p>
    <w:p w14:paraId="58F66FAB">
      <w:pPr>
        <w:spacing w:line="360" w:lineRule="auto"/>
        <w:ind w:firstLine="420" w:firstLineChars="200"/>
        <w:rPr>
          <w:rFonts w:cs="Times New Roman"/>
        </w:rPr>
      </w:pPr>
      <w:r>
        <w:rPr>
          <w:rFonts w:hint="eastAsia" w:cs="宋体"/>
        </w:rPr>
        <w:t>工期：  日历天。</w:t>
      </w:r>
    </w:p>
    <w:p w14:paraId="35C69244">
      <w:pPr>
        <w:spacing w:line="360" w:lineRule="auto"/>
        <w:ind w:firstLine="420" w:firstLineChars="200"/>
        <w:rPr>
          <w:rFonts w:cs="宋体"/>
        </w:rPr>
      </w:pPr>
      <w:r>
        <w:rPr>
          <w:rFonts w:hint="eastAsia" w:cs="宋体"/>
        </w:rPr>
        <w:t>设计质量标准：</w:t>
      </w:r>
    </w:p>
    <w:p w14:paraId="0BAD01EB">
      <w:pPr>
        <w:spacing w:line="360" w:lineRule="auto"/>
        <w:ind w:firstLine="420" w:firstLineChars="200"/>
        <w:rPr>
          <w:rFonts w:cs="宋体"/>
        </w:rPr>
      </w:pPr>
      <w:r>
        <w:rPr>
          <w:rFonts w:hint="eastAsia" w:cs="宋体"/>
        </w:rPr>
        <w:t>施工质量标准：</w:t>
      </w:r>
    </w:p>
    <w:p w14:paraId="1E989AD2">
      <w:pPr>
        <w:spacing w:line="360" w:lineRule="auto"/>
        <w:ind w:firstLine="420" w:firstLineChars="200"/>
        <w:rPr>
          <w:rFonts w:cs="Times New Roman"/>
        </w:rPr>
      </w:pPr>
      <w:r>
        <w:rPr>
          <w:rFonts w:hint="eastAsia" w:cs="宋体"/>
        </w:rPr>
        <w:t>总承包质量标准：</w:t>
      </w:r>
    </w:p>
    <w:p w14:paraId="44122443">
      <w:pPr>
        <w:spacing w:line="360" w:lineRule="auto"/>
        <w:ind w:firstLine="420"/>
        <w:rPr>
          <w:rFonts w:cs="Times New Roman"/>
        </w:rPr>
      </w:pPr>
      <w:r>
        <w:rPr>
          <w:rFonts w:hint="eastAsia" w:cs="宋体"/>
        </w:rPr>
        <w:t>总承包项目负责人：（姓名）。</w:t>
      </w:r>
    </w:p>
    <w:p w14:paraId="132C272B">
      <w:pPr>
        <w:spacing w:line="360" w:lineRule="auto"/>
        <w:ind w:firstLine="420"/>
        <w:rPr>
          <w:rFonts w:cs="Times New Roman"/>
        </w:rPr>
      </w:pPr>
      <w:r>
        <w:rPr>
          <w:rFonts w:hint="eastAsia" w:cs="宋体"/>
        </w:rPr>
        <w:t>设计负责人：（姓名）。</w:t>
      </w:r>
    </w:p>
    <w:p w14:paraId="5BA26E75">
      <w:pPr>
        <w:spacing w:line="360" w:lineRule="auto"/>
        <w:ind w:firstLine="420"/>
        <w:rPr>
          <w:rFonts w:cs="Times New Roman"/>
        </w:rPr>
      </w:pPr>
      <w:r>
        <w:rPr>
          <w:rFonts w:hint="eastAsia" w:cs="宋体"/>
        </w:rPr>
        <w:t>施工负责人（项目经理）：（姓名）。</w:t>
      </w:r>
    </w:p>
    <w:p w14:paraId="436E17B1">
      <w:pPr>
        <w:spacing w:line="360" w:lineRule="auto"/>
        <w:ind w:firstLine="420"/>
        <w:rPr>
          <w:rFonts w:cs="Times New Roman"/>
        </w:rPr>
      </w:pPr>
      <w:r>
        <w:rPr>
          <w:rFonts w:hint="eastAsia" w:cs="宋体"/>
        </w:rPr>
        <w:t>请你方在接到本通知书后的    日内到（指定地点）与我方签订设计施工总承包合同，在此之前按招标文件第二章</w:t>
      </w:r>
      <w:r>
        <w:t>“</w:t>
      </w:r>
      <w:r>
        <w:rPr>
          <w:rFonts w:hint="eastAsia" w:cs="宋体"/>
        </w:rPr>
        <w:t>投标人须知</w:t>
      </w:r>
      <w:r>
        <w:t>”</w:t>
      </w:r>
      <w:r>
        <w:rPr>
          <w:rFonts w:hint="eastAsia" w:cs="宋体"/>
        </w:rPr>
        <w:t>第</w:t>
      </w:r>
      <w:r>
        <w:t>7.4.1</w:t>
      </w:r>
      <w:r>
        <w:rPr>
          <w:rFonts w:hint="eastAsia" w:cs="宋体"/>
        </w:rPr>
        <w:t>款规定向我方提交履约担保。</w:t>
      </w:r>
    </w:p>
    <w:p w14:paraId="0A5F7DBF">
      <w:pPr>
        <w:spacing w:line="360" w:lineRule="auto"/>
        <w:ind w:firstLine="420"/>
        <w:rPr>
          <w:rFonts w:cs="Times New Roman"/>
        </w:rPr>
      </w:pPr>
      <w:r>
        <w:rPr>
          <w:rFonts w:hint="eastAsia" w:cs="宋体"/>
        </w:rPr>
        <w:t>随附的澄清、说明、补正事项纪要，是本中标通知书的组成部分。</w:t>
      </w:r>
    </w:p>
    <w:p w14:paraId="72CBE850">
      <w:pPr>
        <w:spacing w:line="360" w:lineRule="auto"/>
        <w:ind w:firstLine="420" w:firstLineChars="200"/>
        <w:rPr>
          <w:rFonts w:cs="Times New Roman"/>
        </w:rPr>
      </w:pPr>
      <w:r>
        <w:rPr>
          <w:rFonts w:hint="eastAsia" w:cs="宋体"/>
        </w:rPr>
        <w:t>特此通知。</w:t>
      </w:r>
    </w:p>
    <w:p w14:paraId="4B90071C">
      <w:pPr>
        <w:spacing w:line="360" w:lineRule="auto"/>
        <w:ind w:firstLine="420" w:firstLineChars="200"/>
        <w:rPr>
          <w:rFonts w:cs="Times New Roman"/>
        </w:rPr>
      </w:pPr>
      <w:r>
        <w:rPr>
          <w:rFonts w:hint="eastAsia" w:cs="宋体"/>
        </w:rPr>
        <w:t>附：澄清、说明、补正事项纪要</w:t>
      </w:r>
    </w:p>
    <w:p w14:paraId="39B2D667">
      <w:pPr>
        <w:spacing w:line="360" w:lineRule="auto"/>
        <w:rPr>
          <w:rFonts w:cs="Times New Roman"/>
        </w:rPr>
      </w:pPr>
    </w:p>
    <w:p w14:paraId="2E4E9213">
      <w:pPr>
        <w:spacing w:line="440" w:lineRule="exact"/>
        <w:rPr>
          <w:rFonts w:cs="Times New Roman"/>
        </w:rPr>
      </w:pPr>
    </w:p>
    <w:p w14:paraId="5012377A">
      <w:pPr>
        <w:spacing w:line="540" w:lineRule="exact"/>
        <w:ind w:firstLine="3238" w:firstLineChars="1542"/>
      </w:pPr>
      <w:r>
        <w:rPr>
          <w:rFonts w:hint="eastAsia" w:cs="宋体"/>
        </w:rPr>
        <w:t>招标人：（单位盖章）</w:t>
      </w:r>
    </w:p>
    <w:p w14:paraId="6BEB3B4D">
      <w:pPr>
        <w:spacing w:line="540" w:lineRule="exact"/>
        <w:ind w:firstLine="3238" w:firstLineChars="1542"/>
        <w:rPr>
          <w:rFonts w:cs="Times New Roman"/>
        </w:rPr>
      </w:pPr>
      <w:r>
        <w:rPr>
          <w:rFonts w:hint="eastAsia" w:cs="宋体"/>
        </w:rPr>
        <w:t>法定代表人：（签字）</w:t>
      </w:r>
    </w:p>
    <w:p w14:paraId="0F20C074">
      <w:pPr>
        <w:spacing w:line="540" w:lineRule="exact"/>
        <w:ind w:firstLine="3863" w:firstLineChars="1840"/>
        <w:rPr>
          <w:rFonts w:cs="Times New Roman"/>
        </w:rPr>
      </w:pPr>
      <w:r>
        <w:rPr>
          <w:rFonts w:hint="eastAsia" w:cs="宋体"/>
        </w:rPr>
        <w:t>年   月   日</w:t>
      </w:r>
    </w:p>
    <w:p w14:paraId="5E2FFFB6">
      <w:bookmarkStart w:id="640" w:name="_Toc152045585"/>
      <w:bookmarkStart w:id="641" w:name="_Toc300835006"/>
      <w:bookmarkStart w:id="642" w:name="_Toc45896974"/>
      <w:bookmarkStart w:id="643" w:name="_Toc247527610"/>
      <w:bookmarkStart w:id="644" w:name="_Toc45896678"/>
      <w:bookmarkStart w:id="645" w:name="_Toc247514009"/>
      <w:bookmarkStart w:id="646" w:name="_Toc144974552"/>
      <w:bookmarkStart w:id="647" w:name="_Toc152042362"/>
      <w:r>
        <w:rPr>
          <w:rFonts w:hint="eastAsia"/>
        </w:rPr>
        <w:br w:type="page"/>
      </w:r>
    </w:p>
    <w:bookmarkEnd w:id="640"/>
    <w:bookmarkEnd w:id="641"/>
    <w:bookmarkEnd w:id="642"/>
    <w:bookmarkEnd w:id="643"/>
    <w:bookmarkEnd w:id="644"/>
    <w:bookmarkEnd w:id="645"/>
    <w:bookmarkEnd w:id="646"/>
    <w:bookmarkEnd w:id="647"/>
    <w:p w14:paraId="7C086DB2">
      <w:pPr>
        <w:pStyle w:val="4"/>
        <w:rPr>
          <w:rFonts w:hint="eastAsia" w:cs="Times New Roman"/>
        </w:rPr>
      </w:pPr>
      <w:bookmarkStart w:id="648" w:name="_Toc20704"/>
      <w:bookmarkEnd w:id="648"/>
      <w:bookmarkStart w:id="649" w:name="_Toc30998"/>
      <w:bookmarkEnd w:id="649"/>
      <w:r>
        <w:rPr>
          <w:rFonts w:hint="eastAsia"/>
        </w:rPr>
        <w:t>附件五：中标结果通知书</w:t>
      </w:r>
    </w:p>
    <w:p w14:paraId="6A998BF0">
      <w:pPr>
        <w:spacing w:line="400" w:lineRule="exact"/>
        <w:rPr>
          <w:rFonts w:cs="Times New Roman"/>
        </w:rPr>
      </w:pPr>
    </w:p>
    <w:p w14:paraId="010952F7">
      <w:pPr>
        <w:spacing w:line="400" w:lineRule="exact"/>
        <w:jc w:val="center"/>
        <w:rPr>
          <w:rFonts w:ascii="黑体" w:eastAsia="黑体" w:cs="Times New Roman"/>
          <w:sz w:val="28"/>
          <w:szCs w:val="28"/>
        </w:rPr>
      </w:pPr>
      <w:r>
        <w:rPr>
          <w:rFonts w:hint="eastAsia" w:ascii="黑体" w:eastAsia="黑体" w:cs="黑体"/>
          <w:sz w:val="28"/>
          <w:szCs w:val="28"/>
        </w:rPr>
        <w:t>中标结果通知书</w:t>
      </w:r>
    </w:p>
    <w:p w14:paraId="1F307D6D">
      <w:pPr>
        <w:spacing w:line="400" w:lineRule="exact"/>
        <w:rPr>
          <w:rFonts w:cs="Times New Roman"/>
        </w:rPr>
      </w:pPr>
    </w:p>
    <w:p w14:paraId="3778AFC0">
      <w:pPr>
        <w:spacing w:line="440" w:lineRule="exact"/>
        <w:rPr>
          <w:rFonts w:cs="Times New Roman"/>
        </w:rPr>
      </w:pPr>
      <w:r>
        <w:rPr>
          <w:rFonts w:hint="eastAsia" w:cs="宋体"/>
        </w:rPr>
        <w:t>（未中标人名称）：</w:t>
      </w:r>
    </w:p>
    <w:p w14:paraId="29D46B0B">
      <w:pPr>
        <w:spacing w:line="440" w:lineRule="exact"/>
      </w:pPr>
    </w:p>
    <w:p w14:paraId="08A9B5BC">
      <w:pPr>
        <w:spacing w:line="360" w:lineRule="auto"/>
        <w:ind w:firstLine="420"/>
        <w:rPr>
          <w:rFonts w:cs="Times New Roman"/>
        </w:rPr>
      </w:pPr>
      <w:r>
        <w:rPr>
          <w:rFonts w:hint="eastAsia" w:cs="宋体"/>
        </w:rPr>
        <w:t>我方已接受（中标人名称）于（投标日期）所递交的（项目名称）总承包招标的投标文件，确定（中标人名称）为中标人。</w:t>
      </w:r>
    </w:p>
    <w:p w14:paraId="544BFBFF">
      <w:pPr>
        <w:spacing w:line="360" w:lineRule="auto"/>
        <w:rPr>
          <w:rFonts w:cs="Times New Roman"/>
        </w:rPr>
      </w:pPr>
      <w:r>
        <w:rPr>
          <w:rFonts w:hint="eastAsia" w:cs="宋体"/>
        </w:rPr>
        <w:t>　　感谢你单位对我们工作的大力支持！</w:t>
      </w:r>
    </w:p>
    <w:p w14:paraId="3F81C5AF">
      <w:pPr>
        <w:spacing w:line="440" w:lineRule="exact"/>
        <w:rPr>
          <w:rFonts w:cs="Times New Roman"/>
        </w:rPr>
      </w:pPr>
    </w:p>
    <w:p w14:paraId="28858849">
      <w:pPr>
        <w:spacing w:line="440" w:lineRule="exact"/>
        <w:rPr>
          <w:rFonts w:cs="Times New Roman"/>
        </w:rPr>
      </w:pPr>
    </w:p>
    <w:p w14:paraId="65422365">
      <w:pPr>
        <w:spacing w:line="440" w:lineRule="exact"/>
        <w:rPr>
          <w:rFonts w:cs="Times New Roman"/>
        </w:rPr>
      </w:pPr>
    </w:p>
    <w:p w14:paraId="683BC3C1">
      <w:pPr>
        <w:spacing w:line="440" w:lineRule="exact"/>
        <w:rPr>
          <w:rFonts w:cs="Times New Roman"/>
        </w:rPr>
      </w:pPr>
      <w:r>
        <w:rPr>
          <w:rFonts w:hint="eastAsia" w:cs="宋体"/>
        </w:rPr>
        <w:t>招标人：（单位盖章）</w:t>
      </w:r>
    </w:p>
    <w:p w14:paraId="2B454B4C">
      <w:pPr>
        <w:spacing w:line="440" w:lineRule="exact"/>
        <w:rPr>
          <w:rFonts w:cs="Times New Roman"/>
        </w:rPr>
      </w:pPr>
    </w:p>
    <w:p w14:paraId="1A3F1619">
      <w:pPr>
        <w:spacing w:line="440" w:lineRule="exact"/>
        <w:rPr>
          <w:rFonts w:cs="Times New Roman"/>
        </w:rPr>
      </w:pPr>
      <w:r>
        <w:rPr>
          <w:rFonts w:hint="eastAsia" w:cs="宋体"/>
        </w:rPr>
        <w:t>法定代表人：（签字）</w:t>
      </w:r>
    </w:p>
    <w:p w14:paraId="7D6252AB">
      <w:pPr>
        <w:spacing w:line="440" w:lineRule="exact"/>
        <w:rPr>
          <w:rFonts w:cs="Times New Roman"/>
        </w:rPr>
      </w:pPr>
    </w:p>
    <w:p w14:paraId="23268BC7">
      <w:pPr>
        <w:spacing w:line="440" w:lineRule="exact"/>
        <w:rPr>
          <w:rFonts w:cs="Times New Roman"/>
        </w:rPr>
      </w:pPr>
      <w:r>
        <w:rPr>
          <w:rFonts w:hint="eastAsia" w:cs="宋体"/>
        </w:rPr>
        <w:t>年  月  日</w:t>
      </w:r>
    </w:p>
    <w:p w14:paraId="0A928A18">
      <w:pPr>
        <w:spacing w:line="400" w:lineRule="exact"/>
        <w:rPr>
          <w:rFonts w:cs="Times New Roman"/>
        </w:rPr>
      </w:pPr>
    </w:p>
    <w:p w14:paraId="5043CBB3">
      <w:pPr>
        <w:spacing w:line="400" w:lineRule="exact"/>
        <w:rPr>
          <w:rFonts w:cs="Times New Roman"/>
        </w:rPr>
      </w:pPr>
      <w:r>
        <w:rPr>
          <w:rFonts w:cs="Times New Roman"/>
        </w:rPr>
        <w:br w:type="page"/>
      </w:r>
    </w:p>
    <w:p w14:paraId="4749DFAD">
      <w:pPr>
        <w:pStyle w:val="4"/>
        <w:ind w:firstLine="0" w:firstLineChars="0"/>
        <w:rPr>
          <w:rFonts w:hint="eastAsia" w:cs="Times New Roman"/>
        </w:rPr>
      </w:pPr>
      <w:bookmarkStart w:id="650" w:name="_Toc45896975"/>
      <w:bookmarkEnd w:id="650"/>
      <w:bookmarkStart w:id="651" w:name="_Toc247514010"/>
      <w:bookmarkEnd w:id="651"/>
      <w:bookmarkStart w:id="652" w:name="_Toc152045586"/>
      <w:bookmarkEnd w:id="652"/>
      <w:bookmarkStart w:id="653" w:name="_Toc21885"/>
      <w:bookmarkEnd w:id="653"/>
      <w:bookmarkStart w:id="654" w:name="_Toc152042363"/>
      <w:bookmarkEnd w:id="654"/>
      <w:bookmarkStart w:id="655" w:name="_Toc144974553"/>
      <w:bookmarkEnd w:id="655"/>
      <w:bookmarkStart w:id="656" w:name="_Toc18418"/>
      <w:bookmarkEnd w:id="656"/>
      <w:bookmarkStart w:id="657" w:name="_Toc45896679"/>
      <w:bookmarkEnd w:id="657"/>
      <w:bookmarkStart w:id="658" w:name="_Toc247527611"/>
      <w:bookmarkEnd w:id="658"/>
      <w:bookmarkStart w:id="659" w:name="_Toc300835007"/>
      <w:bookmarkEnd w:id="659"/>
      <w:r>
        <w:rPr>
          <w:rFonts w:hint="eastAsia"/>
        </w:rPr>
        <w:t>附件六：确认通知</w:t>
      </w:r>
    </w:p>
    <w:p w14:paraId="6FC9C14F">
      <w:pPr>
        <w:spacing w:line="400" w:lineRule="exact"/>
        <w:rPr>
          <w:rFonts w:cs="Times New Roman"/>
        </w:rPr>
      </w:pPr>
    </w:p>
    <w:p w14:paraId="714B9B10">
      <w:pPr>
        <w:spacing w:line="400" w:lineRule="exact"/>
        <w:jc w:val="center"/>
        <w:rPr>
          <w:rFonts w:ascii="黑体" w:eastAsia="黑体" w:cs="Times New Roman"/>
          <w:sz w:val="28"/>
          <w:szCs w:val="28"/>
        </w:rPr>
      </w:pPr>
      <w:r>
        <w:rPr>
          <w:rFonts w:hint="eastAsia" w:ascii="黑体" w:eastAsia="黑体" w:cs="黑体"/>
          <w:sz w:val="28"/>
          <w:szCs w:val="28"/>
        </w:rPr>
        <w:t>确认通知</w:t>
      </w:r>
    </w:p>
    <w:p w14:paraId="3B6BB235">
      <w:pPr>
        <w:spacing w:line="400" w:lineRule="exact"/>
        <w:rPr>
          <w:rFonts w:cs="Times New Roman"/>
        </w:rPr>
      </w:pPr>
    </w:p>
    <w:p w14:paraId="221C160A">
      <w:pPr>
        <w:spacing w:line="440" w:lineRule="exact"/>
        <w:ind w:firstLine="420" w:firstLineChars="200"/>
        <w:rPr>
          <w:rFonts w:cs="Times New Roman"/>
        </w:rPr>
      </w:pPr>
      <w:r>
        <w:rPr>
          <w:rFonts w:hint="eastAsia" w:cs="宋体"/>
        </w:rPr>
        <w:t>（招标人名称）：</w:t>
      </w:r>
    </w:p>
    <w:p w14:paraId="70EE12A2">
      <w:pPr>
        <w:spacing w:line="440" w:lineRule="exact"/>
        <w:rPr>
          <w:rFonts w:cs="Times New Roman"/>
        </w:rPr>
      </w:pPr>
      <w:r>
        <w:rPr>
          <w:rFonts w:hint="eastAsia" w:cs="宋体"/>
        </w:rPr>
        <w:t>　　</w:t>
      </w:r>
    </w:p>
    <w:p w14:paraId="3824392C">
      <w:pPr>
        <w:spacing w:line="360" w:lineRule="auto"/>
        <w:ind w:firstLine="840" w:firstLineChars="400"/>
      </w:pPr>
      <w:r>
        <w:rPr>
          <w:rFonts w:hint="eastAsia" w:cs="宋体"/>
        </w:rPr>
        <w:t>你方于</w:t>
      </w:r>
      <w:r>
        <w:t xml:space="preserve">      </w:t>
      </w:r>
      <w:r>
        <w:rPr>
          <w:rFonts w:hint="eastAsia" w:cs="宋体"/>
        </w:rPr>
        <w:t>年</w:t>
      </w:r>
      <w:r>
        <w:t xml:space="preserve">      </w:t>
      </w:r>
      <w:r>
        <w:rPr>
          <w:rFonts w:hint="eastAsia" w:cs="宋体"/>
        </w:rPr>
        <w:t>月</w:t>
      </w:r>
      <w:r>
        <w:t xml:space="preserve">     </w:t>
      </w:r>
      <w:r>
        <w:rPr>
          <w:rFonts w:hint="eastAsia" w:cs="宋体"/>
        </w:rPr>
        <w:t>日发出的</w:t>
      </w:r>
      <w:r>
        <w:t xml:space="preserve">             </w:t>
      </w:r>
      <w:r>
        <w:rPr>
          <w:rFonts w:hint="eastAsia" w:cs="宋体"/>
        </w:rPr>
        <w:t>（项目名称）关于</w:t>
      </w:r>
      <w:r>
        <w:t xml:space="preserve">       </w:t>
      </w:r>
    </w:p>
    <w:p w14:paraId="57F99F22">
      <w:pPr>
        <w:spacing w:line="360" w:lineRule="auto"/>
        <w:ind w:firstLine="420"/>
        <w:rPr>
          <w:rFonts w:cs="Times New Roman"/>
        </w:rPr>
      </w:pPr>
      <w:r>
        <w:t xml:space="preserve">               </w:t>
      </w:r>
      <w:r>
        <w:rPr>
          <w:rFonts w:hint="eastAsia" w:cs="宋体"/>
        </w:rPr>
        <w:t>的通知，我方已于</w:t>
      </w:r>
      <w:r>
        <w:t xml:space="preserve">    </w:t>
      </w:r>
      <w:r>
        <w:rPr>
          <w:rFonts w:hint="eastAsia" w:cs="宋体"/>
        </w:rPr>
        <w:t>年</w:t>
      </w:r>
      <w:r>
        <w:t xml:space="preserve">    </w:t>
      </w:r>
      <w:r>
        <w:rPr>
          <w:rFonts w:hint="eastAsia" w:cs="宋体"/>
        </w:rPr>
        <w:t>月</w:t>
      </w:r>
      <w:r>
        <w:t xml:space="preserve">     </w:t>
      </w:r>
      <w:r>
        <w:rPr>
          <w:rFonts w:hint="eastAsia" w:cs="宋体"/>
        </w:rPr>
        <w:t>日收到。</w:t>
      </w:r>
    </w:p>
    <w:p w14:paraId="649315A5">
      <w:pPr>
        <w:spacing w:line="360" w:lineRule="auto"/>
        <w:rPr>
          <w:rFonts w:cs="Times New Roman"/>
        </w:rPr>
      </w:pPr>
      <w:r>
        <w:rPr>
          <w:rFonts w:hint="eastAsia" w:cs="宋体"/>
        </w:rPr>
        <w:t>　　特此确认。</w:t>
      </w:r>
    </w:p>
    <w:p w14:paraId="65AB3644">
      <w:pPr>
        <w:spacing w:line="440" w:lineRule="exact"/>
        <w:rPr>
          <w:rFonts w:cs="Times New Roman"/>
        </w:rPr>
      </w:pPr>
    </w:p>
    <w:p w14:paraId="36F04F90">
      <w:pPr>
        <w:spacing w:line="440" w:lineRule="exact"/>
        <w:rPr>
          <w:rFonts w:cs="Times New Roman"/>
        </w:rPr>
      </w:pPr>
    </w:p>
    <w:p w14:paraId="564C07CC">
      <w:pPr>
        <w:spacing w:line="440" w:lineRule="exact"/>
        <w:ind w:firstLine="5040" w:firstLineChars="2400"/>
        <w:rPr>
          <w:rFonts w:cs="Times New Roman"/>
        </w:rPr>
      </w:pPr>
      <w:r>
        <w:rPr>
          <w:rFonts w:hint="eastAsia" w:cs="宋体"/>
        </w:rPr>
        <w:t>投标人：（单位盖章）</w:t>
      </w:r>
    </w:p>
    <w:p w14:paraId="3FA9CDFD">
      <w:pPr>
        <w:spacing w:line="440" w:lineRule="exact"/>
        <w:rPr>
          <w:rFonts w:cs="Times New Roman"/>
        </w:rPr>
      </w:pPr>
    </w:p>
    <w:p w14:paraId="4579AC54">
      <w:pPr>
        <w:spacing w:line="440" w:lineRule="exact"/>
        <w:ind w:firstLine="5460" w:firstLineChars="2600"/>
      </w:pPr>
      <w:r>
        <w:rPr>
          <w:rFonts w:hint="eastAsia" w:cs="宋体"/>
        </w:rPr>
        <w:t>年  月  日</w:t>
      </w:r>
    </w:p>
    <w:bookmarkEnd w:id="611"/>
    <w:bookmarkEnd w:id="612"/>
    <w:p w14:paraId="0E9C046A">
      <w:pPr>
        <w:pStyle w:val="4"/>
        <w:spacing w:line="240" w:lineRule="auto"/>
        <w:rPr>
          <w:rFonts w:hint="eastAsia" w:cs="Times New Roman"/>
        </w:rPr>
      </w:pPr>
      <w:bookmarkStart w:id="660" w:name="_Toc4455"/>
      <w:bookmarkEnd w:id="660"/>
      <w:bookmarkStart w:id="661" w:name="_Toc45896976"/>
      <w:bookmarkEnd w:id="661"/>
      <w:bookmarkStart w:id="662" w:name="_Toc32698"/>
      <w:bookmarkEnd w:id="662"/>
      <w:bookmarkStart w:id="663" w:name="_Toc45896680"/>
      <w:bookmarkEnd w:id="663"/>
      <w:r>
        <w:rPr>
          <w:rFonts w:cs="Times New Roman"/>
        </w:rPr>
        <w:br w:type="page"/>
      </w:r>
      <w:r>
        <w:rPr>
          <w:rFonts w:hint="eastAsia"/>
        </w:rPr>
        <w:t>附件七：电子投标文件编制及上传要求</w:t>
      </w:r>
    </w:p>
    <w:p w14:paraId="47098769">
      <w:pPr>
        <w:pStyle w:val="34"/>
        <w:spacing w:line="360" w:lineRule="auto"/>
        <w:rPr>
          <w:rFonts w:hint="eastAsia" w:cs="Times New Roman"/>
        </w:rPr>
      </w:pPr>
      <w:r>
        <w:rPr>
          <w:rFonts w:hint="eastAsia"/>
        </w:rPr>
        <w:t>1.电子投标文件的制作应使用《云南省工程建设模块化投标文件编制系统》，生成电子签名（或签名）的投标文件，格式为</w:t>
      </w:r>
      <w:r>
        <w:t>*.BTBJ</w:t>
      </w:r>
      <w:r>
        <w:rPr>
          <w:rFonts w:hint="eastAsia"/>
        </w:rPr>
        <w:t>。如果要求提供电子效果图纸文件</w:t>
      </w:r>
      <w:r>
        <w:t>/</w:t>
      </w:r>
      <w:r>
        <w:rPr>
          <w:rFonts w:hint="eastAsia"/>
        </w:rPr>
        <w:t>电子视频演示文件，也必须使用《云南省工程建设模块化投标文件编制系统》制作生成电子签名的效果图纸文件（格式为</w:t>
      </w:r>
      <w:r>
        <w:t>*.BTBT</w:t>
      </w:r>
      <w:r>
        <w:rPr>
          <w:rFonts w:hint="eastAsia"/>
        </w:rPr>
        <w:t>）</w:t>
      </w:r>
      <w:r>
        <w:t>/</w:t>
      </w:r>
      <w:r>
        <w:rPr>
          <w:rFonts w:hint="eastAsia"/>
        </w:rPr>
        <w:t>视频演示文件（格式为</w:t>
      </w:r>
      <w:r>
        <w:t>*.BTBY</w:t>
      </w:r>
      <w:r>
        <w:rPr>
          <w:rFonts w:hint="eastAsia"/>
        </w:rPr>
        <w:t>），电子投标文件须在网上递交上传。</w:t>
      </w:r>
    </w:p>
    <w:p w14:paraId="58FFE0A6">
      <w:pPr>
        <w:pStyle w:val="34"/>
        <w:spacing w:line="360" w:lineRule="auto"/>
        <w:rPr>
          <w:rFonts w:hint="eastAsia" w:cs="Times New Roman"/>
        </w:rPr>
      </w:pPr>
      <w:r>
        <w:rPr>
          <w:rFonts w:hint="eastAsia"/>
        </w:rPr>
        <w:t>2.《云南省工程建设模块化投标文件编制系统》提供数字证书（</w:t>
      </w:r>
      <w:r>
        <w:t>CA</w:t>
      </w:r>
      <w:r>
        <w:rPr>
          <w:rFonts w:hint="eastAsia"/>
        </w:rPr>
        <w:t>）对投标文件进行加密功能。投标人对网上递交的投标文件应加密。如果投标人使用某个数字证书（</w:t>
      </w:r>
      <w:r>
        <w:t>CA</w:t>
      </w:r>
      <w:r>
        <w:rPr>
          <w:rFonts w:hint="eastAsia"/>
        </w:rPr>
        <w:t>）对投标文件进行了数字证书（</w:t>
      </w:r>
      <w:r>
        <w:t>CA</w:t>
      </w:r>
      <w:r>
        <w:rPr>
          <w:rFonts w:hint="eastAsia"/>
        </w:rPr>
        <w:t>）加密，需要在开标会上使用该数字证书（</w:t>
      </w:r>
      <w:r>
        <w:t>CA</w:t>
      </w:r>
      <w:r>
        <w:rPr>
          <w:rFonts w:hint="eastAsia"/>
        </w:rPr>
        <w:t>）进行现场解密，才能读取或导入投标文件，因投标人原因造成投标文件未解密的，视为撤回其投标文件。</w:t>
      </w:r>
    </w:p>
    <w:p w14:paraId="45C9EE2E">
      <w:pPr>
        <w:pStyle w:val="34"/>
        <w:spacing w:line="360" w:lineRule="auto"/>
        <w:rPr>
          <w:rFonts w:hint="eastAsia" w:cs="Times New Roman"/>
        </w:rPr>
      </w:pPr>
      <w:r>
        <w:rPr>
          <w:rFonts w:hint="eastAsia"/>
        </w:rPr>
        <w:t>3.网上递交投标文件应根据招标文件要求，在投标截止时间前将电子投标文件上传至指定的开标项目，并打印“上传投标文件回执”，以表明上传成功。同时，应自行核验下载上传成功的投标文件，并进行查看和解密以确保上传投标文件的正确性。</w:t>
      </w:r>
    </w:p>
    <w:p w14:paraId="710E36C5">
      <w:pPr>
        <w:pStyle w:val="34"/>
        <w:spacing w:line="360" w:lineRule="auto"/>
        <w:rPr>
          <w:rFonts w:hint="eastAsia" w:cs="Times New Roman"/>
        </w:rPr>
      </w:pPr>
      <w:r>
        <w:rPr>
          <w:rFonts w:hint="eastAsia"/>
        </w:rPr>
        <w:t>4.投标人投标时，须按本附件“电子投标文件编制及报送要求”规定编制及网上递交电子投标文件。</w:t>
      </w:r>
    </w:p>
    <w:p w14:paraId="05E56AF9">
      <w:pPr>
        <w:pStyle w:val="34"/>
        <w:spacing w:line="360" w:lineRule="auto"/>
        <w:rPr>
          <w:rFonts w:hint="eastAsia" w:cs="Times New Roman"/>
        </w:rPr>
      </w:pPr>
      <w:r>
        <w:rPr>
          <w:rFonts w:hint="eastAsia"/>
        </w:rPr>
        <w:t>5.该投标文件制作及报送要求如果与招标文件规定不一致，以此投标文件制作及报送要求为准。</w:t>
      </w:r>
    </w:p>
    <w:p w14:paraId="3D0E10BB">
      <w:pPr>
        <w:pStyle w:val="34"/>
        <w:spacing w:line="360" w:lineRule="auto"/>
        <w:rPr>
          <w:rFonts w:hint="eastAsia" w:cs="Times New Roman"/>
        </w:rPr>
      </w:pPr>
      <w:r>
        <w:rPr>
          <w:rFonts w:hint="eastAsia"/>
        </w:rPr>
        <w:t>6.在编制技术标投标文件时，</w:t>
      </w:r>
      <w:r>
        <w:rPr>
          <w:rFonts w:hint="eastAsia"/>
          <w:b/>
          <w:bCs/>
        </w:rPr>
        <w:t>粘贴图片使用</w:t>
      </w:r>
      <w:r>
        <w:rPr>
          <w:b/>
          <w:bCs/>
        </w:rPr>
        <w:t>JPG</w:t>
      </w:r>
      <w:r>
        <w:rPr>
          <w:rFonts w:hint="eastAsia"/>
          <w:b/>
          <w:bCs/>
        </w:rPr>
        <w:t>格式的文件，并且每张图片的分辨率应小于</w:t>
      </w:r>
      <w:r>
        <w:rPr>
          <w:b/>
          <w:bCs/>
        </w:rPr>
        <w:t>100dpi</w:t>
      </w:r>
      <w:r>
        <w:rPr>
          <w:rFonts w:hint="eastAsia"/>
          <w:b/>
          <w:bCs/>
        </w:rPr>
        <w:t>，最终的每份标书文件所占用的磁盘空间必须小于100</w:t>
      </w:r>
      <w:r>
        <w:rPr>
          <w:b/>
          <w:bCs/>
        </w:rPr>
        <w:t>M</w:t>
      </w:r>
      <w:r>
        <w:rPr>
          <w:rFonts w:hint="eastAsia"/>
          <w:b/>
          <w:bCs/>
        </w:rPr>
        <w:t>。</w:t>
      </w:r>
    </w:p>
    <w:p w14:paraId="4C81F7A7">
      <w:pPr>
        <w:pStyle w:val="34"/>
        <w:spacing w:line="360" w:lineRule="auto"/>
        <w:rPr>
          <w:rFonts w:hint="eastAsia" w:cs="Times New Roman"/>
          <w:b/>
          <w:bCs/>
        </w:rPr>
      </w:pPr>
      <w:bookmarkStart w:id="664" w:name="_Toc9368"/>
      <w:bookmarkEnd w:id="664"/>
      <w:bookmarkStart w:id="665" w:name="_Toc516609419"/>
      <w:bookmarkEnd w:id="665"/>
      <w:bookmarkStart w:id="666" w:name="_Toc524363213"/>
      <w:bookmarkEnd w:id="666"/>
      <w:bookmarkStart w:id="667" w:name="_Toc497754411"/>
      <w:bookmarkEnd w:id="667"/>
      <w:bookmarkStart w:id="668" w:name="_Toc516230809"/>
      <w:bookmarkEnd w:id="668"/>
      <w:r>
        <w:rPr>
          <w:rFonts w:hint="eastAsia"/>
          <w:b/>
          <w:bCs/>
        </w:rPr>
        <w:t>注：不同单位的投标文件若芯片序列号、硬盘序列号、网卡序列号一致，视为由同一台电脑编制！</w:t>
      </w:r>
    </w:p>
    <w:bookmarkEnd w:id="613"/>
    <w:bookmarkEnd w:id="614"/>
    <w:bookmarkEnd w:id="615"/>
    <w:bookmarkEnd w:id="616"/>
    <w:bookmarkEnd w:id="617"/>
    <w:p w14:paraId="5AD3BCA6">
      <w:pPr>
        <w:pStyle w:val="34"/>
        <w:spacing w:line="360" w:lineRule="auto"/>
        <w:rPr>
          <w:rFonts w:hint="eastAsia"/>
        </w:rPr>
      </w:pPr>
    </w:p>
    <w:p w14:paraId="00A51999">
      <w:pPr>
        <w:rPr>
          <w:rFonts w:cs="宋体"/>
          <w:kern w:val="32"/>
          <w:sz w:val="36"/>
          <w:szCs w:val="36"/>
        </w:rPr>
      </w:pPr>
      <w:bookmarkStart w:id="669" w:name="_Toc24945_WPSOffice_Level1"/>
      <w:bookmarkEnd w:id="669"/>
      <w:bookmarkStart w:id="670" w:name="_Toc15145_WPSOffice_Level1"/>
      <w:bookmarkEnd w:id="670"/>
      <w:bookmarkStart w:id="671" w:name="_Toc3324"/>
      <w:bookmarkEnd w:id="671"/>
      <w:r>
        <w:rPr>
          <w:rFonts w:hint="eastAsia" w:cs="宋体"/>
          <w:kern w:val="32"/>
          <w:sz w:val="36"/>
          <w:szCs w:val="36"/>
        </w:rPr>
        <w:br w:type="page"/>
      </w:r>
    </w:p>
    <w:p w14:paraId="661A8EDA">
      <w:pPr>
        <w:pStyle w:val="2"/>
        <w:spacing w:line="240" w:lineRule="auto"/>
        <w:jc w:val="center"/>
        <w:rPr>
          <w:rFonts w:cs="Times New Roman"/>
          <w:kern w:val="32"/>
          <w:sz w:val="36"/>
          <w:szCs w:val="36"/>
        </w:rPr>
      </w:pPr>
      <w:r>
        <w:rPr>
          <w:rFonts w:hint="eastAsia" w:cs="宋体"/>
          <w:kern w:val="32"/>
          <w:sz w:val="36"/>
          <w:szCs w:val="36"/>
        </w:rPr>
        <w:t>第三章  评标办法</w:t>
      </w:r>
    </w:p>
    <w:p w14:paraId="128C6839">
      <w:pPr>
        <w:widowControl/>
        <w:spacing w:line="360" w:lineRule="auto"/>
        <w:ind w:left="479" w:hanging="479" w:hangingChars="199"/>
        <w:jc w:val="center"/>
        <w:rPr>
          <w:b/>
          <w:bCs/>
          <w:kern w:val="0"/>
          <w:sz w:val="24"/>
          <w:szCs w:val="24"/>
        </w:rPr>
      </w:pPr>
      <w:bookmarkStart w:id="672" w:name="_Toc7886_WPSOffice_Level2"/>
      <w:bookmarkEnd w:id="672"/>
      <w:bookmarkStart w:id="673" w:name="_Toc435016849"/>
      <w:bookmarkEnd w:id="673"/>
      <w:bookmarkStart w:id="674" w:name="_Toc29_WPSOffice_Level2"/>
      <w:bookmarkEnd w:id="674"/>
      <w:bookmarkStart w:id="675" w:name="_Toc395965055"/>
      <w:bookmarkEnd w:id="675"/>
      <w:bookmarkStart w:id="676" w:name="_Toc26239"/>
      <w:bookmarkEnd w:id="676"/>
      <w:bookmarkStart w:id="677" w:name="_Toc45896978"/>
      <w:bookmarkEnd w:id="677"/>
      <w:bookmarkStart w:id="678" w:name="_Toc8792"/>
      <w:bookmarkEnd w:id="678"/>
      <w:bookmarkStart w:id="679" w:name="_Toc45896681"/>
      <w:bookmarkEnd w:id="679"/>
      <w:bookmarkStart w:id="680" w:name="_Toc144974577"/>
      <w:bookmarkStart w:id="681" w:name="_Toc247527634"/>
      <w:bookmarkStart w:id="682" w:name="_Toc446574543"/>
      <w:bookmarkStart w:id="683" w:name="_Toc152045609"/>
      <w:bookmarkStart w:id="684" w:name="_Toc152042387"/>
      <w:bookmarkStart w:id="685" w:name="_Toc12738"/>
      <w:bookmarkStart w:id="686" w:name="_Toc247514033"/>
      <w:r>
        <w:rPr>
          <w:rFonts w:hint="eastAsia" w:cs="宋体"/>
          <w:b/>
          <w:bCs/>
          <w:kern w:val="0"/>
          <w:sz w:val="24"/>
          <w:szCs w:val="24"/>
        </w:rPr>
        <w:t>一、评标办法前附表</w:t>
      </w:r>
    </w:p>
    <w:tbl>
      <w:tblPr>
        <w:tblStyle w:val="25"/>
        <w:tblW w:w="9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5"/>
        <w:gridCol w:w="1125"/>
        <w:gridCol w:w="1836"/>
        <w:gridCol w:w="5534"/>
      </w:tblGrid>
      <w:tr w14:paraId="7C073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7" w:hRule="atLeast"/>
          <w:tblHeader/>
          <w:jc w:val="center"/>
        </w:trPr>
        <w:tc>
          <w:tcPr>
            <w:tcW w:w="605" w:type="dxa"/>
            <w:tcMar>
              <w:top w:w="28" w:type="dxa"/>
              <w:left w:w="28" w:type="dxa"/>
              <w:bottom w:w="28" w:type="dxa"/>
              <w:right w:w="28" w:type="dxa"/>
            </w:tcMar>
            <w:vAlign w:val="center"/>
          </w:tcPr>
          <w:p w14:paraId="0ED13112">
            <w:pPr>
              <w:pStyle w:val="35"/>
              <w:spacing w:line="240" w:lineRule="auto"/>
              <w:jc w:val="center"/>
              <w:rPr>
                <w:rFonts w:ascii="Times New Roman" w:hAnsi="Times New Roman" w:eastAsia="宋体" w:cs="Times New Roman"/>
                <w:b/>
                <w:bCs/>
                <w:lang w:val="en-US"/>
              </w:rPr>
            </w:pPr>
            <w:r>
              <w:rPr>
                <w:rFonts w:hint="eastAsia" w:ascii="Times New Roman" w:hAnsi="Times New Roman" w:eastAsia="宋体" w:cs="Times New Roman"/>
                <w:b/>
                <w:bCs/>
                <w:lang w:val="en-US"/>
              </w:rPr>
              <w:t>2.1</w:t>
            </w:r>
          </w:p>
        </w:tc>
        <w:tc>
          <w:tcPr>
            <w:tcW w:w="1125" w:type="dxa"/>
            <w:tcMar>
              <w:top w:w="28" w:type="dxa"/>
              <w:left w:w="28" w:type="dxa"/>
              <w:bottom w:w="28" w:type="dxa"/>
              <w:right w:w="28" w:type="dxa"/>
            </w:tcMar>
            <w:vAlign w:val="center"/>
          </w:tcPr>
          <w:p w14:paraId="38044D3B">
            <w:pPr>
              <w:pStyle w:val="35"/>
              <w:spacing w:line="240" w:lineRule="auto"/>
              <w:jc w:val="center"/>
              <w:rPr>
                <w:rFonts w:ascii="Times New Roman" w:hAnsi="Times New Roman" w:eastAsia="宋体" w:cs="Times New Roman"/>
                <w:b/>
                <w:bCs/>
                <w:lang w:val="en-US"/>
              </w:rPr>
            </w:pPr>
            <w:r>
              <w:rPr>
                <w:rFonts w:hint="eastAsia" w:ascii="Times New Roman" w:hAnsi="Times New Roman" w:eastAsia="宋体" w:cs="宋体"/>
                <w:b/>
                <w:bCs/>
                <w:lang w:val="en-US"/>
              </w:rPr>
              <w:t>初步评审</w:t>
            </w:r>
          </w:p>
        </w:tc>
        <w:tc>
          <w:tcPr>
            <w:tcW w:w="7370" w:type="dxa"/>
            <w:gridSpan w:val="2"/>
            <w:tcMar>
              <w:top w:w="28" w:type="dxa"/>
              <w:left w:w="28" w:type="dxa"/>
              <w:bottom w:w="28" w:type="dxa"/>
              <w:right w:w="28" w:type="dxa"/>
            </w:tcMar>
            <w:vAlign w:val="center"/>
          </w:tcPr>
          <w:p w14:paraId="7A808525">
            <w:pPr>
              <w:pStyle w:val="35"/>
              <w:spacing w:line="240" w:lineRule="auto"/>
              <w:jc w:val="center"/>
              <w:rPr>
                <w:rFonts w:ascii="Times New Roman" w:hAnsi="Times New Roman" w:eastAsia="宋体" w:cs="Times New Roman"/>
                <w:b/>
                <w:bCs/>
                <w:lang w:val="en-US"/>
              </w:rPr>
            </w:pPr>
          </w:p>
        </w:tc>
      </w:tr>
      <w:tr w14:paraId="67B42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tblHeader/>
          <w:jc w:val="center"/>
        </w:trPr>
        <w:tc>
          <w:tcPr>
            <w:tcW w:w="605" w:type="dxa"/>
            <w:tcMar>
              <w:top w:w="28" w:type="dxa"/>
              <w:left w:w="28" w:type="dxa"/>
              <w:bottom w:w="28" w:type="dxa"/>
              <w:right w:w="28" w:type="dxa"/>
            </w:tcMar>
            <w:vAlign w:val="center"/>
          </w:tcPr>
          <w:p w14:paraId="28903782">
            <w:pPr>
              <w:pStyle w:val="35"/>
              <w:spacing w:line="240" w:lineRule="auto"/>
              <w:jc w:val="center"/>
              <w:rPr>
                <w:rFonts w:ascii="Times New Roman" w:hAnsi="Times New Roman" w:eastAsia="宋体" w:cs="Times New Roman"/>
                <w:b/>
                <w:bCs/>
                <w:lang w:val="en-US"/>
              </w:rPr>
            </w:pPr>
            <w:r>
              <w:rPr>
                <w:rFonts w:hint="eastAsia" w:ascii="Times New Roman" w:hAnsi="Times New Roman" w:eastAsia="宋体" w:cs="宋体"/>
                <w:b/>
                <w:bCs/>
                <w:lang w:val="en-US"/>
              </w:rPr>
              <w:t>条款号</w:t>
            </w:r>
          </w:p>
        </w:tc>
        <w:tc>
          <w:tcPr>
            <w:tcW w:w="1125" w:type="dxa"/>
            <w:tcMar>
              <w:top w:w="28" w:type="dxa"/>
              <w:left w:w="28" w:type="dxa"/>
              <w:bottom w:w="28" w:type="dxa"/>
              <w:right w:w="28" w:type="dxa"/>
            </w:tcMar>
            <w:vAlign w:val="center"/>
          </w:tcPr>
          <w:p w14:paraId="43B42D95">
            <w:pPr>
              <w:pStyle w:val="35"/>
              <w:spacing w:line="240" w:lineRule="auto"/>
              <w:jc w:val="center"/>
              <w:rPr>
                <w:rFonts w:ascii="Times New Roman" w:hAnsi="Times New Roman" w:eastAsia="宋体" w:cs="Times New Roman"/>
                <w:b/>
                <w:bCs/>
                <w:lang w:val="en-US"/>
              </w:rPr>
            </w:pPr>
            <w:r>
              <w:rPr>
                <w:rFonts w:hint="eastAsia" w:ascii="Times New Roman" w:hAnsi="Times New Roman" w:eastAsia="宋体" w:cs="宋体"/>
                <w:b/>
                <w:bCs/>
                <w:lang w:val="en-US"/>
              </w:rPr>
              <w:t>评审条款</w:t>
            </w:r>
          </w:p>
        </w:tc>
        <w:tc>
          <w:tcPr>
            <w:tcW w:w="1836" w:type="dxa"/>
            <w:tcMar>
              <w:top w:w="28" w:type="dxa"/>
              <w:left w:w="28" w:type="dxa"/>
              <w:bottom w:w="28" w:type="dxa"/>
              <w:right w:w="28" w:type="dxa"/>
            </w:tcMar>
            <w:vAlign w:val="center"/>
          </w:tcPr>
          <w:p w14:paraId="7E7E1FE4">
            <w:pPr>
              <w:pStyle w:val="35"/>
              <w:spacing w:line="240" w:lineRule="auto"/>
              <w:jc w:val="center"/>
              <w:rPr>
                <w:rFonts w:ascii="Times New Roman" w:hAnsi="Times New Roman" w:eastAsia="宋体" w:cs="Times New Roman"/>
                <w:b/>
                <w:bCs/>
                <w:lang w:val="en-US"/>
              </w:rPr>
            </w:pPr>
            <w:r>
              <w:rPr>
                <w:rFonts w:hint="eastAsia" w:ascii="Times New Roman" w:hAnsi="Times New Roman" w:eastAsia="宋体" w:cs="宋体"/>
                <w:b/>
                <w:bCs/>
                <w:lang w:val="en-US"/>
              </w:rPr>
              <w:t>评审因素</w:t>
            </w:r>
          </w:p>
        </w:tc>
        <w:tc>
          <w:tcPr>
            <w:tcW w:w="5534" w:type="dxa"/>
            <w:tcMar>
              <w:top w:w="28" w:type="dxa"/>
              <w:left w:w="28" w:type="dxa"/>
              <w:bottom w:w="28" w:type="dxa"/>
              <w:right w:w="28" w:type="dxa"/>
            </w:tcMar>
            <w:vAlign w:val="center"/>
          </w:tcPr>
          <w:p w14:paraId="405D9DA5">
            <w:pPr>
              <w:pStyle w:val="35"/>
              <w:spacing w:line="240" w:lineRule="auto"/>
              <w:jc w:val="center"/>
              <w:rPr>
                <w:rFonts w:ascii="Times New Roman" w:hAnsi="Times New Roman" w:eastAsia="宋体" w:cs="Times New Roman"/>
                <w:b/>
                <w:bCs/>
                <w:lang w:val="en-US"/>
              </w:rPr>
            </w:pPr>
            <w:r>
              <w:rPr>
                <w:rFonts w:hint="eastAsia" w:ascii="Times New Roman" w:hAnsi="Times New Roman" w:eastAsia="宋体" w:cs="宋体"/>
                <w:b/>
                <w:bCs/>
                <w:lang w:val="en-US"/>
              </w:rPr>
              <w:t>评审标准</w:t>
            </w:r>
          </w:p>
        </w:tc>
      </w:tr>
      <w:tr w14:paraId="38F32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jc w:val="center"/>
        </w:trPr>
        <w:tc>
          <w:tcPr>
            <w:tcW w:w="605" w:type="dxa"/>
            <w:vMerge w:val="restart"/>
            <w:tcMar>
              <w:top w:w="28" w:type="dxa"/>
              <w:left w:w="28" w:type="dxa"/>
              <w:bottom w:w="28" w:type="dxa"/>
              <w:right w:w="28" w:type="dxa"/>
            </w:tcMar>
            <w:vAlign w:val="center"/>
          </w:tcPr>
          <w:p w14:paraId="74C33C75">
            <w:pPr>
              <w:pStyle w:val="35"/>
              <w:spacing w:line="240" w:lineRule="auto"/>
              <w:jc w:val="center"/>
              <w:rPr>
                <w:rFonts w:ascii="Times New Roman" w:hAnsi="Times New Roman" w:eastAsia="宋体" w:cs="Times New Roman"/>
                <w:lang w:val="en-US"/>
              </w:rPr>
            </w:pPr>
            <w:r>
              <w:rPr>
                <w:rFonts w:hint="eastAsia" w:ascii="Times New Roman" w:hAnsi="Times New Roman" w:eastAsia="宋体" w:cs="Times New Roman"/>
                <w:lang w:val="en-US"/>
              </w:rPr>
              <w:t>2.1.1</w:t>
            </w:r>
          </w:p>
        </w:tc>
        <w:tc>
          <w:tcPr>
            <w:tcW w:w="1125" w:type="dxa"/>
            <w:vMerge w:val="restart"/>
            <w:tcMar>
              <w:top w:w="28" w:type="dxa"/>
              <w:left w:w="28" w:type="dxa"/>
              <w:bottom w:w="28" w:type="dxa"/>
              <w:right w:w="28" w:type="dxa"/>
            </w:tcMar>
            <w:vAlign w:val="center"/>
          </w:tcPr>
          <w:p w14:paraId="6813B1DD">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形式</w:t>
            </w:r>
          </w:p>
          <w:p w14:paraId="41309D46">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评审标准</w:t>
            </w:r>
          </w:p>
        </w:tc>
        <w:tc>
          <w:tcPr>
            <w:tcW w:w="1836" w:type="dxa"/>
            <w:tcMar>
              <w:top w:w="28" w:type="dxa"/>
              <w:left w:w="28" w:type="dxa"/>
              <w:bottom w:w="28" w:type="dxa"/>
              <w:right w:w="28" w:type="dxa"/>
            </w:tcMar>
            <w:vAlign w:val="center"/>
          </w:tcPr>
          <w:p w14:paraId="05C59A31">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投标人名称</w:t>
            </w:r>
          </w:p>
        </w:tc>
        <w:tc>
          <w:tcPr>
            <w:tcW w:w="5534" w:type="dxa"/>
            <w:tcMar>
              <w:top w:w="28" w:type="dxa"/>
              <w:left w:w="28" w:type="dxa"/>
              <w:bottom w:w="28" w:type="dxa"/>
              <w:right w:w="28" w:type="dxa"/>
            </w:tcMar>
            <w:vAlign w:val="center"/>
          </w:tcPr>
          <w:p w14:paraId="47AA8DCA">
            <w:pPr>
              <w:pStyle w:val="35"/>
              <w:spacing w:line="240" w:lineRule="auto"/>
              <w:rPr>
                <w:rFonts w:ascii="Times New Roman" w:hAnsi="Times New Roman" w:eastAsia="宋体" w:cs="Times New Roman"/>
                <w:lang w:val="en-US"/>
              </w:rPr>
            </w:pPr>
            <w:r>
              <w:rPr>
                <w:rFonts w:hint="eastAsia" w:ascii="Times New Roman" w:hAnsi="Times New Roman" w:eastAsia="宋体" w:cs="宋体"/>
                <w:lang w:val="en-US"/>
              </w:rPr>
              <w:t>与营业执照、资质证书一致。</w:t>
            </w:r>
          </w:p>
        </w:tc>
      </w:tr>
      <w:tr w14:paraId="4023C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7" w:hRule="atLeast"/>
          <w:jc w:val="center"/>
        </w:trPr>
        <w:tc>
          <w:tcPr>
            <w:tcW w:w="605" w:type="dxa"/>
            <w:vMerge w:val="continue"/>
            <w:tcMar>
              <w:top w:w="28" w:type="dxa"/>
              <w:left w:w="28" w:type="dxa"/>
              <w:bottom w:w="28" w:type="dxa"/>
              <w:right w:w="28" w:type="dxa"/>
            </w:tcMar>
            <w:vAlign w:val="center"/>
          </w:tcPr>
          <w:p w14:paraId="25D75036">
            <w:pPr>
              <w:pStyle w:val="35"/>
              <w:spacing w:line="240" w:lineRule="auto"/>
              <w:jc w:val="center"/>
              <w:rPr>
                <w:rFonts w:ascii="Times New Roman" w:hAnsi="Times New Roman" w:eastAsia="宋体" w:cs="Times New Roman"/>
                <w:lang w:val="en-US"/>
              </w:rPr>
            </w:pPr>
          </w:p>
        </w:tc>
        <w:tc>
          <w:tcPr>
            <w:tcW w:w="1125" w:type="dxa"/>
            <w:vMerge w:val="continue"/>
            <w:tcMar>
              <w:top w:w="28" w:type="dxa"/>
              <w:left w:w="28" w:type="dxa"/>
              <w:bottom w:w="28" w:type="dxa"/>
              <w:right w:w="28" w:type="dxa"/>
            </w:tcMar>
            <w:vAlign w:val="center"/>
          </w:tcPr>
          <w:p w14:paraId="32616270">
            <w:pPr>
              <w:pStyle w:val="35"/>
              <w:spacing w:line="240" w:lineRule="auto"/>
              <w:jc w:val="center"/>
              <w:rPr>
                <w:rFonts w:ascii="Times New Roman" w:hAnsi="Times New Roman" w:eastAsia="宋体" w:cs="Times New Roman"/>
                <w:lang w:val="en-US"/>
              </w:rPr>
            </w:pPr>
          </w:p>
        </w:tc>
        <w:tc>
          <w:tcPr>
            <w:tcW w:w="1836" w:type="dxa"/>
            <w:tcMar>
              <w:top w:w="28" w:type="dxa"/>
              <w:left w:w="28" w:type="dxa"/>
              <w:bottom w:w="28" w:type="dxa"/>
              <w:right w:w="28" w:type="dxa"/>
            </w:tcMar>
            <w:vAlign w:val="center"/>
          </w:tcPr>
          <w:p w14:paraId="302C28C2">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投标文件签署</w:t>
            </w:r>
          </w:p>
        </w:tc>
        <w:tc>
          <w:tcPr>
            <w:tcW w:w="5534" w:type="dxa"/>
            <w:tcMar>
              <w:top w:w="28" w:type="dxa"/>
              <w:left w:w="28" w:type="dxa"/>
              <w:bottom w:w="28" w:type="dxa"/>
              <w:right w:w="28" w:type="dxa"/>
            </w:tcMar>
            <w:vAlign w:val="center"/>
          </w:tcPr>
          <w:p w14:paraId="6DCDE29C">
            <w:pPr>
              <w:pStyle w:val="35"/>
              <w:spacing w:line="240" w:lineRule="auto"/>
              <w:rPr>
                <w:rFonts w:ascii="Times New Roman" w:hAnsi="Times New Roman" w:eastAsia="宋体" w:cs="Times New Roman"/>
                <w:lang w:val="en-US"/>
              </w:rPr>
            </w:pPr>
            <w:r>
              <w:rPr>
                <w:rFonts w:hint="eastAsia" w:ascii="Times New Roman" w:hAnsi="Times New Roman" w:eastAsia="宋体" w:cs="宋体"/>
                <w:lang w:val="en-US"/>
              </w:rPr>
              <w:t>符合第二章</w:t>
            </w:r>
            <w:r>
              <w:rPr>
                <w:rFonts w:hint="eastAsia" w:ascii="Times New Roman" w:hAnsi="Times New Roman" w:eastAsia="宋体" w:cs="Times New Roman"/>
                <w:lang w:val="en-US"/>
              </w:rPr>
              <w:t>“</w:t>
            </w:r>
            <w:r>
              <w:rPr>
                <w:rFonts w:hint="eastAsia" w:ascii="Times New Roman" w:hAnsi="Times New Roman" w:eastAsia="宋体" w:cs="宋体"/>
                <w:lang w:val="en-US"/>
              </w:rPr>
              <w:t>投标人须知</w:t>
            </w:r>
            <w:r>
              <w:rPr>
                <w:rFonts w:hint="eastAsia" w:ascii="Times New Roman" w:hAnsi="Times New Roman" w:eastAsia="宋体" w:cs="Times New Roman"/>
                <w:lang w:val="en-US"/>
              </w:rPr>
              <w:t>”</w:t>
            </w:r>
            <w:r>
              <w:rPr>
                <w:rFonts w:hint="eastAsia" w:ascii="Times New Roman" w:hAnsi="Times New Roman" w:eastAsia="宋体" w:cs="宋体"/>
                <w:lang w:val="en-US"/>
              </w:rPr>
              <w:t>第</w:t>
            </w:r>
            <w:r>
              <w:rPr>
                <w:rFonts w:hint="eastAsia" w:ascii="Times New Roman" w:hAnsi="Times New Roman" w:eastAsia="宋体" w:cs="Times New Roman"/>
                <w:lang w:val="en-US"/>
              </w:rPr>
              <w:t>3.7.3</w:t>
            </w:r>
            <w:r>
              <w:rPr>
                <w:rFonts w:hint="eastAsia" w:ascii="Times New Roman" w:hAnsi="Times New Roman" w:eastAsia="宋体" w:cs="宋体"/>
                <w:lang w:val="en-US"/>
              </w:rPr>
              <w:t>项要求。</w:t>
            </w:r>
          </w:p>
        </w:tc>
      </w:tr>
      <w:tr w14:paraId="6ECC2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3" w:hRule="atLeast"/>
          <w:jc w:val="center"/>
        </w:trPr>
        <w:tc>
          <w:tcPr>
            <w:tcW w:w="605" w:type="dxa"/>
            <w:vMerge w:val="continue"/>
            <w:tcMar>
              <w:top w:w="28" w:type="dxa"/>
              <w:left w:w="28" w:type="dxa"/>
              <w:bottom w:w="28" w:type="dxa"/>
              <w:right w:w="28" w:type="dxa"/>
            </w:tcMar>
            <w:vAlign w:val="center"/>
          </w:tcPr>
          <w:p w14:paraId="4325AAD9">
            <w:pPr>
              <w:pStyle w:val="35"/>
              <w:spacing w:line="240" w:lineRule="auto"/>
              <w:jc w:val="center"/>
              <w:rPr>
                <w:rFonts w:ascii="Times New Roman" w:hAnsi="Times New Roman" w:eastAsia="宋体" w:cs="Times New Roman"/>
                <w:lang w:val="en-US"/>
              </w:rPr>
            </w:pPr>
          </w:p>
        </w:tc>
        <w:tc>
          <w:tcPr>
            <w:tcW w:w="1125" w:type="dxa"/>
            <w:vMerge w:val="continue"/>
            <w:tcMar>
              <w:top w:w="28" w:type="dxa"/>
              <w:left w:w="28" w:type="dxa"/>
              <w:bottom w:w="28" w:type="dxa"/>
              <w:right w:w="28" w:type="dxa"/>
            </w:tcMar>
            <w:vAlign w:val="center"/>
          </w:tcPr>
          <w:p w14:paraId="62059EDD">
            <w:pPr>
              <w:pStyle w:val="35"/>
              <w:spacing w:line="240" w:lineRule="auto"/>
              <w:jc w:val="center"/>
              <w:rPr>
                <w:rFonts w:ascii="Times New Roman" w:hAnsi="Times New Roman" w:eastAsia="宋体" w:cs="Times New Roman"/>
                <w:lang w:val="en-US"/>
              </w:rPr>
            </w:pPr>
          </w:p>
        </w:tc>
        <w:tc>
          <w:tcPr>
            <w:tcW w:w="1836" w:type="dxa"/>
            <w:tcMar>
              <w:top w:w="28" w:type="dxa"/>
              <w:left w:w="28" w:type="dxa"/>
              <w:bottom w:w="28" w:type="dxa"/>
              <w:right w:w="28" w:type="dxa"/>
            </w:tcMar>
            <w:vAlign w:val="center"/>
          </w:tcPr>
          <w:p w14:paraId="20D09D3D">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投标文件格式</w:t>
            </w:r>
          </w:p>
        </w:tc>
        <w:tc>
          <w:tcPr>
            <w:tcW w:w="5534" w:type="dxa"/>
            <w:tcMar>
              <w:top w:w="28" w:type="dxa"/>
              <w:left w:w="28" w:type="dxa"/>
              <w:bottom w:w="28" w:type="dxa"/>
              <w:right w:w="28" w:type="dxa"/>
            </w:tcMar>
            <w:vAlign w:val="center"/>
          </w:tcPr>
          <w:p w14:paraId="1D34FF0D">
            <w:pPr>
              <w:pStyle w:val="35"/>
              <w:spacing w:line="240" w:lineRule="auto"/>
              <w:rPr>
                <w:rFonts w:ascii="Times New Roman" w:hAnsi="Times New Roman" w:eastAsia="宋体" w:cs="Times New Roman"/>
                <w:lang w:val="en-US"/>
              </w:rPr>
            </w:pPr>
            <w:r>
              <w:rPr>
                <w:rFonts w:hint="eastAsia" w:ascii="Times New Roman" w:hAnsi="Times New Roman" w:eastAsia="宋体" w:cs="宋体"/>
                <w:lang w:val="en-US"/>
              </w:rPr>
              <w:t>符合第二章附表七电子投标文件编制及报送要求和</w:t>
            </w:r>
            <w:r>
              <w:rPr>
                <w:rFonts w:hint="eastAsia" w:ascii="Times New Roman" w:hAnsi="Times New Roman" w:eastAsia="宋体" w:cs="Times New Roman"/>
                <w:lang w:val="en-US"/>
              </w:rPr>
              <w:t>“</w:t>
            </w:r>
            <w:r>
              <w:rPr>
                <w:rFonts w:hint="eastAsia" w:ascii="Times New Roman" w:hAnsi="Times New Roman" w:eastAsia="宋体" w:cs="宋体"/>
                <w:lang w:val="en-US"/>
              </w:rPr>
              <w:t>投标人须知</w:t>
            </w:r>
            <w:r>
              <w:rPr>
                <w:rFonts w:hint="eastAsia" w:ascii="Times New Roman" w:hAnsi="Times New Roman" w:eastAsia="宋体" w:cs="Times New Roman"/>
                <w:lang w:val="en-US"/>
              </w:rPr>
              <w:t>”</w:t>
            </w:r>
            <w:r>
              <w:rPr>
                <w:rFonts w:hint="eastAsia" w:ascii="Times New Roman" w:hAnsi="Times New Roman" w:eastAsia="宋体" w:cs="宋体"/>
                <w:lang w:val="en-US"/>
              </w:rPr>
              <w:t>第</w:t>
            </w:r>
            <w:r>
              <w:rPr>
                <w:rFonts w:hint="eastAsia" w:ascii="Times New Roman" w:hAnsi="Times New Roman" w:eastAsia="宋体" w:cs="Times New Roman"/>
                <w:lang w:val="en-US"/>
              </w:rPr>
              <w:t>3.7.1</w:t>
            </w:r>
            <w:r>
              <w:rPr>
                <w:rFonts w:hint="eastAsia" w:ascii="Times New Roman" w:hAnsi="Times New Roman" w:eastAsia="宋体" w:cs="宋体"/>
                <w:lang w:val="en-US"/>
              </w:rPr>
              <w:t>项要求。</w:t>
            </w:r>
          </w:p>
        </w:tc>
      </w:tr>
      <w:tr w14:paraId="55938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3" w:hRule="atLeast"/>
          <w:jc w:val="center"/>
        </w:trPr>
        <w:tc>
          <w:tcPr>
            <w:tcW w:w="605" w:type="dxa"/>
            <w:vMerge w:val="restart"/>
            <w:tcMar>
              <w:top w:w="28" w:type="dxa"/>
              <w:left w:w="28" w:type="dxa"/>
              <w:bottom w:w="28" w:type="dxa"/>
              <w:right w:w="28" w:type="dxa"/>
            </w:tcMar>
            <w:vAlign w:val="center"/>
          </w:tcPr>
          <w:p w14:paraId="304E24DF">
            <w:pPr>
              <w:pStyle w:val="35"/>
              <w:spacing w:line="240" w:lineRule="auto"/>
              <w:jc w:val="center"/>
              <w:rPr>
                <w:rFonts w:ascii="Times New Roman" w:hAnsi="Times New Roman" w:eastAsia="宋体" w:cs="Times New Roman"/>
                <w:lang w:val="en-US"/>
              </w:rPr>
            </w:pPr>
            <w:r>
              <w:rPr>
                <w:rFonts w:hint="eastAsia" w:ascii="Times New Roman" w:hAnsi="Times New Roman" w:eastAsia="宋体" w:cs="Times New Roman"/>
                <w:lang w:val="en-US"/>
              </w:rPr>
              <w:t>2.1.2</w:t>
            </w:r>
          </w:p>
        </w:tc>
        <w:tc>
          <w:tcPr>
            <w:tcW w:w="1125" w:type="dxa"/>
            <w:vMerge w:val="restart"/>
            <w:tcMar>
              <w:top w:w="28" w:type="dxa"/>
              <w:left w:w="28" w:type="dxa"/>
              <w:bottom w:w="28" w:type="dxa"/>
              <w:right w:w="28" w:type="dxa"/>
            </w:tcMar>
            <w:vAlign w:val="center"/>
          </w:tcPr>
          <w:p w14:paraId="394F3A23">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资格审查</w:t>
            </w:r>
          </w:p>
          <w:p w14:paraId="686D2CAC">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评审标准</w:t>
            </w:r>
          </w:p>
        </w:tc>
        <w:tc>
          <w:tcPr>
            <w:tcW w:w="1836" w:type="dxa"/>
            <w:tcMar>
              <w:top w:w="28" w:type="dxa"/>
              <w:left w:w="28" w:type="dxa"/>
              <w:bottom w:w="28" w:type="dxa"/>
              <w:right w:w="28" w:type="dxa"/>
            </w:tcMar>
            <w:vAlign w:val="center"/>
          </w:tcPr>
          <w:p w14:paraId="399305CF">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营业执照</w:t>
            </w:r>
          </w:p>
        </w:tc>
        <w:tc>
          <w:tcPr>
            <w:tcW w:w="5534" w:type="dxa"/>
            <w:tcMar>
              <w:top w:w="28" w:type="dxa"/>
              <w:left w:w="28" w:type="dxa"/>
              <w:bottom w:w="28" w:type="dxa"/>
              <w:right w:w="28" w:type="dxa"/>
            </w:tcMar>
            <w:vAlign w:val="center"/>
          </w:tcPr>
          <w:p w14:paraId="45997A08">
            <w:pPr>
              <w:pStyle w:val="35"/>
              <w:spacing w:line="240" w:lineRule="auto"/>
              <w:rPr>
                <w:rFonts w:ascii="Times New Roman" w:hAnsi="Times New Roman" w:eastAsia="宋体" w:cs="Times New Roman"/>
                <w:lang w:val="en-US"/>
              </w:rPr>
            </w:pPr>
            <w:r>
              <w:rPr>
                <w:rFonts w:hint="eastAsia" w:ascii="Times New Roman" w:hAnsi="Times New Roman" w:eastAsia="宋体" w:cs="宋体"/>
                <w:lang w:val="en-US"/>
              </w:rPr>
              <w:t>具备有效的营业执照，并上传原件扫描件。</w:t>
            </w:r>
          </w:p>
        </w:tc>
      </w:tr>
      <w:tr w14:paraId="6979B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jc w:val="center"/>
        </w:trPr>
        <w:tc>
          <w:tcPr>
            <w:tcW w:w="605" w:type="dxa"/>
            <w:vMerge w:val="continue"/>
            <w:tcMar>
              <w:top w:w="28" w:type="dxa"/>
              <w:left w:w="28" w:type="dxa"/>
              <w:bottom w:w="28" w:type="dxa"/>
              <w:right w:w="28" w:type="dxa"/>
            </w:tcMar>
            <w:vAlign w:val="center"/>
          </w:tcPr>
          <w:p w14:paraId="76E2AFE1">
            <w:pPr>
              <w:pStyle w:val="35"/>
              <w:spacing w:line="240" w:lineRule="auto"/>
              <w:jc w:val="center"/>
              <w:rPr>
                <w:rFonts w:ascii="Times New Roman" w:hAnsi="Times New Roman" w:eastAsia="宋体" w:cs="Times New Roman"/>
                <w:lang w:val="en-US"/>
              </w:rPr>
            </w:pPr>
          </w:p>
        </w:tc>
        <w:tc>
          <w:tcPr>
            <w:tcW w:w="1125" w:type="dxa"/>
            <w:vMerge w:val="continue"/>
            <w:tcMar>
              <w:top w:w="28" w:type="dxa"/>
              <w:left w:w="28" w:type="dxa"/>
              <w:bottom w:w="28" w:type="dxa"/>
              <w:right w:w="28" w:type="dxa"/>
            </w:tcMar>
            <w:vAlign w:val="center"/>
          </w:tcPr>
          <w:p w14:paraId="345B5FCC">
            <w:pPr>
              <w:pStyle w:val="35"/>
              <w:spacing w:line="240" w:lineRule="auto"/>
              <w:jc w:val="center"/>
              <w:rPr>
                <w:rFonts w:ascii="Times New Roman" w:hAnsi="Times New Roman" w:eastAsia="宋体" w:cs="Times New Roman"/>
                <w:lang w:val="en-US"/>
              </w:rPr>
            </w:pPr>
          </w:p>
        </w:tc>
        <w:tc>
          <w:tcPr>
            <w:tcW w:w="1836" w:type="dxa"/>
            <w:tcMar>
              <w:top w:w="28" w:type="dxa"/>
              <w:left w:w="28" w:type="dxa"/>
              <w:bottom w:w="28" w:type="dxa"/>
              <w:right w:w="28" w:type="dxa"/>
            </w:tcMar>
            <w:vAlign w:val="center"/>
          </w:tcPr>
          <w:p w14:paraId="6A073721">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资质要求</w:t>
            </w:r>
          </w:p>
        </w:tc>
        <w:tc>
          <w:tcPr>
            <w:tcW w:w="5534" w:type="dxa"/>
            <w:tcMar>
              <w:top w:w="28" w:type="dxa"/>
              <w:left w:w="28" w:type="dxa"/>
              <w:bottom w:w="28" w:type="dxa"/>
              <w:right w:w="28" w:type="dxa"/>
            </w:tcMar>
            <w:vAlign w:val="center"/>
          </w:tcPr>
          <w:p w14:paraId="58E79023">
            <w:pPr>
              <w:pStyle w:val="35"/>
              <w:spacing w:line="240" w:lineRule="auto"/>
              <w:rPr>
                <w:rFonts w:ascii="Times New Roman" w:hAnsi="Times New Roman" w:eastAsia="宋体" w:cs="Times New Roman"/>
                <w:lang w:val="en-US"/>
              </w:rPr>
            </w:pPr>
            <w:r>
              <w:rPr>
                <w:rFonts w:hint="eastAsia" w:ascii="Times New Roman" w:hAnsi="Times New Roman" w:eastAsia="宋体" w:cs="宋体"/>
                <w:lang w:val="en-US"/>
              </w:rPr>
              <w:t>符合第二章</w:t>
            </w:r>
            <w:r>
              <w:rPr>
                <w:rFonts w:hint="eastAsia" w:ascii="Times New Roman" w:hAnsi="Times New Roman" w:eastAsia="宋体" w:cs="Times New Roman"/>
                <w:lang w:val="en-US"/>
              </w:rPr>
              <w:t>“</w:t>
            </w:r>
            <w:r>
              <w:rPr>
                <w:rFonts w:hint="eastAsia" w:ascii="Times New Roman" w:hAnsi="Times New Roman" w:eastAsia="宋体" w:cs="宋体"/>
                <w:lang w:val="en-US"/>
              </w:rPr>
              <w:t>投标人须知</w:t>
            </w:r>
            <w:r>
              <w:rPr>
                <w:rFonts w:hint="eastAsia" w:ascii="Times New Roman" w:hAnsi="Times New Roman" w:eastAsia="宋体" w:cs="Times New Roman"/>
                <w:lang w:val="en-US"/>
              </w:rPr>
              <w:t>”</w:t>
            </w:r>
            <w:r>
              <w:rPr>
                <w:rFonts w:hint="eastAsia" w:ascii="Times New Roman" w:hAnsi="Times New Roman" w:eastAsia="宋体" w:cs="宋体"/>
                <w:lang w:val="en-US"/>
              </w:rPr>
              <w:t>第</w:t>
            </w:r>
            <w:r>
              <w:rPr>
                <w:rFonts w:hint="eastAsia" w:ascii="Times New Roman" w:hAnsi="Times New Roman" w:eastAsia="宋体" w:cs="Times New Roman"/>
                <w:lang w:val="en-US"/>
              </w:rPr>
              <w:t>1.4.1</w:t>
            </w:r>
            <w:r>
              <w:rPr>
                <w:rFonts w:hint="eastAsia" w:ascii="Times New Roman" w:hAnsi="Times New Roman" w:eastAsia="宋体" w:cs="宋体"/>
                <w:lang w:val="en-US"/>
              </w:rPr>
              <w:t>项规定。</w:t>
            </w:r>
          </w:p>
        </w:tc>
      </w:tr>
      <w:tr w14:paraId="3BF99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7" w:hRule="atLeast"/>
          <w:jc w:val="center"/>
        </w:trPr>
        <w:tc>
          <w:tcPr>
            <w:tcW w:w="605" w:type="dxa"/>
            <w:vMerge w:val="continue"/>
            <w:tcMar>
              <w:top w:w="28" w:type="dxa"/>
              <w:left w:w="28" w:type="dxa"/>
              <w:bottom w:w="28" w:type="dxa"/>
              <w:right w:w="28" w:type="dxa"/>
            </w:tcMar>
            <w:vAlign w:val="center"/>
          </w:tcPr>
          <w:p w14:paraId="22C8E45B">
            <w:pPr>
              <w:pStyle w:val="35"/>
              <w:spacing w:line="240" w:lineRule="auto"/>
              <w:jc w:val="center"/>
              <w:rPr>
                <w:rFonts w:ascii="Times New Roman" w:hAnsi="Times New Roman" w:eastAsia="宋体" w:cs="Times New Roman"/>
                <w:lang w:val="en-US"/>
              </w:rPr>
            </w:pPr>
          </w:p>
        </w:tc>
        <w:tc>
          <w:tcPr>
            <w:tcW w:w="1125" w:type="dxa"/>
            <w:vMerge w:val="continue"/>
            <w:tcMar>
              <w:top w:w="28" w:type="dxa"/>
              <w:left w:w="28" w:type="dxa"/>
              <w:bottom w:w="28" w:type="dxa"/>
              <w:right w:w="28" w:type="dxa"/>
            </w:tcMar>
            <w:vAlign w:val="center"/>
          </w:tcPr>
          <w:p w14:paraId="412E3D0B">
            <w:pPr>
              <w:pStyle w:val="35"/>
              <w:spacing w:line="240" w:lineRule="auto"/>
              <w:jc w:val="center"/>
              <w:rPr>
                <w:rFonts w:ascii="Times New Roman" w:hAnsi="Times New Roman" w:eastAsia="宋体" w:cs="Times New Roman"/>
                <w:lang w:val="en-US"/>
              </w:rPr>
            </w:pPr>
          </w:p>
        </w:tc>
        <w:tc>
          <w:tcPr>
            <w:tcW w:w="1836" w:type="dxa"/>
            <w:tcMar>
              <w:top w:w="28" w:type="dxa"/>
              <w:left w:w="28" w:type="dxa"/>
              <w:bottom w:w="28" w:type="dxa"/>
              <w:right w:w="28" w:type="dxa"/>
            </w:tcMar>
            <w:vAlign w:val="center"/>
          </w:tcPr>
          <w:p w14:paraId="6C550478">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财务要求</w:t>
            </w:r>
          </w:p>
        </w:tc>
        <w:tc>
          <w:tcPr>
            <w:tcW w:w="5534" w:type="dxa"/>
            <w:tcMar>
              <w:top w:w="28" w:type="dxa"/>
              <w:left w:w="28" w:type="dxa"/>
              <w:bottom w:w="28" w:type="dxa"/>
              <w:right w:w="28" w:type="dxa"/>
            </w:tcMar>
            <w:vAlign w:val="center"/>
          </w:tcPr>
          <w:p w14:paraId="55671E29">
            <w:pPr>
              <w:pStyle w:val="35"/>
              <w:spacing w:line="240" w:lineRule="auto"/>
              <w:rPr>
                <w:rFonts w:ascii="Times New Roman" w:hAnsi="Times New Roman" w:eastAsia="宋体" w:cs="Times New Roman"/>
                <w:lang w:val="en-US"/>
              </w:rPr>
            </w:pPr>
            <w:r>
              <w:rPr>
                <w:rFonts w:hint="eastAsia" w:ascii="Times New Roman" w:hAnsi="Times New Roman" w:eastAsia="宋体" w:cs="宋体"/>
                <w:lang w:val="en-US"/>
              </w:rPr>
              <w:t>符合第二章</w:t>
            </w:r>
            <w:r>
              <w:rPr>
                <w:rFonts w:hint="eastAsia" w:ascii="Times New Roman" w:hAnsi="Times New Roman" w:eastAsia="宋体" w:cs="Times New Roman"/>
                <w:lang w:val="en-US"/>
              </w:rPr>
              <w:t>“</w:t>
            </w:r>
            <w:r>
              <w:rPr>
                <w:rFonts w:hint="eastAsia" w:ascii="Times New Roman" w:hAnsi="Times New Roman" w:eastAsia="宋体" w:cs="宋体"/>
                <w:lang w:val="en-US"/>
              </w:rPr>
              <w:t>投标人须知</w:t>
            </w:r>
            <w:r>
              <w:rPr>
                <w:rFonts w:hint="eastAsia" w:ascii="Times New Roman" w:hAnsi="Times New Roman" w:eastAsia="宋体" w:cs="Times New Roman"/>
                <w:lang w:val="en-US"/>
              </w:rPr>
              <w:t>”</w:t>
            </w:r>
            <w:r>
              <w:rPr>
                <w:rFonts w:hint="eastAsia" w:ascii="Times New Roman" w:hAnsi="Times New Roman" w:eastAsia="宋体" w:cs="宋体"/>
                <w:lang w:val="en-US"/>
              </w:rPr>
              <w:t>第</w:t>
            </w:r>
            <w:r>
              <w:rPr>
                <w:rFonts w:hint="eastAsia" w:ascii="Times New Roman" w:hAnsi="Times New Roman" w:eastAsia="宋体" w:cs="Times New Roman"/>
                <w:lang w:val="en-US"/>
              </w:rPr>
              <w:t>1.4.1</w:t>
            </w:r>
            <w:r>
              <w:rPr>
                <w:rFonts w:hint="eastAsia" w:ascii="Times New Roman" w:hAnsi="Times New Roman" w:eastAsia="宋体" w:cs="宋体"/>
                <w:lang w:val="en-US"/>
              </w:rPr>
              <w:t>项规定。</w:t>
            </w:r>
          </w:p>
        </w:tc>
      </w:tr>
      <w:tr w14:paraId="6E680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jc w:val="center"/>
        </w:trPr>
        <w:tc>
          <w:tcPr>
            <w:tcW w:w="605" w:type="dxa"/>
            <w:vMerge w:val="continue"/>
            <w:tcMar>
              <w:top w:w="28" w:type="dxa"/>
              <w:left w:w="28" w:type="dxa"/>
              <w:bottom w:w="28" w:type="dxa"/>
              <w:right w:w="28" w:type="dxa"/>
            </w:tcMar>
            <w:vAlign w:val="center"/>
          </w:tcPr>
          <w:p w14:paraId="5508F636">
            <w:pPr>
              <w:pStyle w:val="35"/>
              <w:spacing w:line="240" w:lineRule="auto"/>
              <w:jc w:val="center"/>
              <w:rPr>
                <w:rFonts w:ascii="Times New Roman" w:hAnsi="Times New Roman" w:eastAsia="宋体" w:cs="Times New Roman"/>
                <w:lang w:val="en-US"/>
              </w:rPr>
            </w:pPr>
          </w:p>
        </w:tc>
        <w:tc>
          <w:tcPr>
            <w:tcW w:w="1125" w:type="dxa"/>
            <w:vMerge w:val="continue"/>
            <w:tcMar>
              <w:top w:w="28" w:type="dxa"/>
              <w:left w:w="28" w:type="dxa"/>
              <w:bottom w:w="28" w:type="dxa"/>
              <w:right w:w="28" w:type="dxa"/>
            </w:tcMar>
            <w:vAlign w:val="center"/>
          </w:tcPr>
          <w:p w14:paraId="76FF88CC">
            <w:pPr>
              <w:pStyle w:val="35"/>
              <w:spacing w:line="240" w:lineRule="auto"/>
              <w:jc w:val="center"/>
              <w:rPr>
                <w:rFonts w:ascii="Times New Roman" w:hAnsi="Times New Roman" w:eastAsia="宋体" w:cs="Times New Roman"/>
                <w:lang w:val="en-US"/>
              </w:rPr>
            </w:pPr>
          </w:p>
        </w:tc>
        <w:tc>
          <w:tcPr>
            <w:tcW w:w="1836" w:type="dxa"/>
            <w:tcMar>
              <w:top w:w="28" w:type="dxa"/>
              <w:left w:w="28" w:type="dxa"/>
              <w:bottom w:w="28" w:type="dxa"/>
              <w:right w:w="28" w:type="dxa"/>
            </w:tcMar>
            <w:vAlign w:val="center"/>
          </w:tcPr>
          <w:p w14:paraId="475BAC12">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信誉要求</w:t>
            </w:r>
          </w:p>
        </w:tc>
        <w:tc>
          <w:tcPr>
            <w:tcW w:w="5534" w:type="dxa"/>
            <w:tcMar>
              <w:top w:w="28" w:type="dxa"/>
              <w:left w:w="28" w:type="dxa"/>
              <w:bottom w:w="28" w:type="dxa"/>
              <w:right w:w="28" w:type="dxa"/>
            </w:tcMar>
            <w:vAlign w:val="center"/>
          </w:tcPr>
          <w:p w14:paraId="4B59D70E">
            <w:pPr>
              <w:pStyle w:val="35"/>
              <w:spacing w:line="240" w:lineRule="auto"/>
              <w:rPr>
                <w:rFonts w:ascii="Times New Roman" w:hAnsi="Times New Roman" w:eastAsia="宋体" w:cs="Times New Roman"/>
                <w:lang w:val="en-US"/>
              </w:rPr>
            </w:pPr>
            <w:r>
              <w:rPr>
                <w:rFonts w:hint="eastAsia" w:ascii="Times New Roman" w:hAnsi="Times New Roman" w:eastAsia="宋体" w:cs="宋体"/>
                <w:lang w:val="en-US"/>
              </w:rPr>
              <w:t>符合第二章</w:t>
            </w:r>
            <w:r>
              <w:rPr>
                <w:rFonts w:hint="eastAsia" w:ascii="Times New Roman" w:hAnsi="Times New Roman" w:eastAsia="宋体" w:cs="Times New Roman"/>
                <w:lang w:val="en-US"/>
              </w:rPr>
              <w:t>“</w:t>
            </w:r>
            <w:r>
              <w:rPr>
                <w:rFonts w:hint="eastAsia" w:ascii="Times New Roman" w:hAnsi="Times New Roman" w:eastAsia="宋体" w:cs="宋体"/>
                <w:lang w:val="en-US"/>
              </w:rPr>
              <w:t>投标人须知</w:t>
            </w:r>
            <w:r>
              <w:rPr>
                <w:rFonts w:hint="eastAsia" w:ascii="Times New Roman" w:hAnsi="Times New Roman" w:eastAsia="宋体" w:cs="Times New Roman"/>
                <w:lang w:val="en-US"/>
              </w:rPr>
              <w:t>”</w:t>
            </w:r>
            <w:r>
              <w:rPr>
                <w:rFonts w:hint="eastAsia" w:ascii="Times New Roman" w:hAnsi="Times New Roman" w:eastAsia="宋体" w:cs="宋体"/>
                <w:lang w:val="en-US"/>
              </w:rPr>
              <w:t>第</w:t>
            </w:r>
            <w:r>
              <w:rPr>
                <w:rFonts w:hint="eastAsia" w:ascii="Times New Roman" w:hAnsi="Times New Roman" w:eastAsia="宋体" w:cs="Times New Roman"/>
                <w:lang w:val="en-US"/>
              </w:rPr>
              <w:t>1.4.1</w:t>
            </w:r>
            <w:r>
              <w:rPr>
                <w:rFonts w:hint="eastAsia" w:ascii="Times New Roman" w:hAnsi="Times New Roman" w:eastAsia="宋体" w:cs="宋体"/>
                <w:lang w:val="en-US"/>
              </w:rPr>
              <w:t>项规定。</w:t>
            </w:r>
          </w:p>
        </w:tc>
      </w:tr>
      <w:tr w14:paraId="7E692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7" w:hRule="atLeast"/>
          <w:jc w:val="center"/>
        </w:trPr>
        <w:tc>
          <w:tcPr>
            <w:tcW w:w="605" w:type="dxa"/>
            <w:vMerge w:val="continue"/>
            <w:tcMar>
              <w:top w:w="28" w:type="dxa"/>
              <w:left w:w="28" w:type="dxa"/>
              <w:bottom w:w="28" w:type="dxa"/>
              <w:right w:w="28" w:type="dxa"/>
            </w:tcMar>
            <w:vAlign w:val="center"/>
          </w:tcPr>
          <w:p w14:paraId="31EA9336">
            <w:pPr>
              <w:pStyle w:val="35"/>
              <w:spacing w:line="240" w:lineRule="auto"/>
              <w:jc w:val="center"/>
              <w:rPr>
                <w:rFonts w:ascii="Times New Roman" w:hAnsi="Times New Roman" w:eastAsia="宋体" w:cs="Times New Roman"/>
                <w:lang w:val="en-US"/>
              </w:rPr>
            </w:pPr>
          </w:p>
        </w:tc>
        <w:tc>
          <w:tcPr>
            <w:tcW w:w="1125" w:type="dxa"/>
            <w:vMerge w:val="continue"/>
            <w:tcMar>
              <w:top w:w="28" w:type="dxa"/>
              <w:left w:w="28" w:type="dxa"/>
              <w:bottom w:w="28" w:type="dxa"/>
              <w:right w:w="28" w:type="dxa"/>
            </w:tcMar>
            <w:vAlign w:val="center"/>
          </w:tcPr>
          <w:p w14:paraId="41380C48">
            <w:pPr>
              <w:pStyle w:val="35"/>
              <w:spacing w:line="240" w:lineRule="auto"/>
              <w:jc w:val="center"/>
              <w:rPr>
                <w:rFonts w:ascii="Times New Roman" w:hAnsi="Times New Roman" w:eastAsia="宋体" w:cs="Times New Roman"/>
                <w:lang w:val="en-US"/>
              </w:rPr>
            </w:pPr>
          </w:p>
        </w:tc>
        <w:tc>
          <w:tcPr>
            <w:tcW w:w="1836" w:type="dxa"/>
            <w:tcMar>
              <w:top w:w="28" w:type="dxa"/>
              <w:left w:w="28" w:type="dxa"/>
              <w:bottom w:w="28" w:type="dxa"/>
              <w:right w:w="28" w:type="dxa"/>
            </w:tcMar>
            <w:vAlign w:val="center"/>
          </w:tcPr>
          <w:p w14:paraId="1843F7A5">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人员要求</w:t>
            </w:r>
          </w:p>
        </w:tc>
        <w:tc>
          <w:tcPr>
            <w:tcW w:w="5534" w:type="dxa"/>
            <w:tcMar>
              <w:top w:w="28" w:type="dxa"/>
              <w:left w:w="28" w:type="dxa"/>
              <w:bottom w:w="28" w:type="dxa"/>
              <w:right w:w="28" w:type="dxa"/>
            </w:tcMar>
            <w:vAlign w:val="center"/>
          </w:tcPr>
          <w:p w14:paraId="4DC932A2">
            <w:pPr>
              <w:pStyle w:val="35"/>
              <w:spacing w:line="240" w:lineRule="auto"/>
              <w:rPr>
                <w:rFonts w:ascii="Times New Roman" w:hAnsi="Times New Roman" w:eastAsia="宋体" w:cs="Times New Roman"/>
                <w:lang w:val="en-US"/>
              </w:rPr>
            </w:pPr>
            <w:r>
              <w:rPr>
                <w:rFonts w:hint="eastAsia" w:ascii="Times New Roman" w:hAnsi="Times New Roman" w:eastAsia="宋体" w:cs="宋体"/>
                <w:lang w:val="en-US"/>
              </w:rPr>
              <w:t>详见第二章</w:t>
            </w:r>
            <w:r>
              <w:rPr>
                <w:rFonts w:hint="eastAsia" w:ascii="Times New Roman" w:hAnsi="Times New Roman" w:eastAsia="宋体" w:cs="Times New Roman"/>
                <w:lang w:val="en-US"/>
              </w:rPr>
              <w:t>“</w:t>
            </w:r>
            <w:r>
              <w:rPr>
                <w:rFonts w:hint="eastAsia" w:ascii="Times New Roman" w:hAnsi="Times New Roman" w:eastAsia="宋体" w:cs="宋体"/>
                <w:lang w:val="en-US"/>
              </w:rPr>
              <w:t>投标人须知</w:t>
            </w:r>
            <w:r>
              <w:rPr>
                <w:rFonts w:hint="eastAsia" w:ascii="Times New Roman" w:hAnsi="Times New Roman" w:eastAsia="宋体" w:cs="Times New Roman"/>
                <w:lang w:val="en-US"/>
              </w:rPr>
              <w:t>”</w:t>
            </w:r>
            <w:r>
              <w:rPr>
                <w:rFonts w:hint="eastAsia" w:ascii="Times New Roman" w:hAnsi="Times New Roman" w:eastAsia="宋体" w:cs="宋体"/>
                <w:lang w:val="en-US"/>
              </w:rPr>
              <w:t>第</w:t>
            </w:r>
            <w:r>
              <w:rPr>
                <w:rFonts w:hint="eastAsia" w:ascii="Times New Roman" w:hAnsi="Times New Roman" w:eastAsia="宋体" w:cs="Times New Roman"/>
                <w:lang w:val="en-US"/>
              </w:rPr>
              <w:t>1.4.1</w:t>
            </w:r>
            <w:r>
              <w:rPr>
                <w:rFonts w:hint="eastAsia" w:ascii="Times New Roman" w:hAnsi="Times New Roman" w:eastAsia="宋体" w:cs="宋体"/>
                <w:lang w:val="en-US"/>
              </w:rPr>
              <w:t>项规定。</w:t>
            </w:r>
          </w:p>
        </w:tc>
      </w:tr>
      <w:tr w14:paraId="2FB0E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6" w:hRule="atLeast"/>
          <w:jc w:val="center"/>
        </w:trPr>
        <w:tc>
          <w:tcPr>
            <w:tcW w:w="605" w:type="dxa"/>
            <w:vMerge w:val="continue"/>
            <w:tcMar>
              <w:top w:w="28" w:type="dxa"/>
              <w:left w:w="28" w:type="dxa"/>
              <w:bottom w:w="28" w:type="dxa"/>
              <w:right w:w="28" w:type="dxa"/>
            </w:tcMar>
            <w:vAlign w:val="center"/>
          </w:tcPr>
          <w:p w14:paraId="66CBBBAA">
            <w:pPr>
              <w:pStyle w:val="35"/>
              <w:spacing w:line="240" w:lineRule="auto"/>
              <w:jc w:val="center"/>
              <w:rPr>
                <w:rFonts w:ascii="Times New Roman" w:hAnsi="Times New Roman" w:eastAsia="宋体" w:cs="Times New Roman"/>
                <w:lang w:val="en-US"/>
              </w:rPr>
            </w:pPr>
          </w:p>
        </w:tc>
        <w:tc>
          <w:tcPr>
            <w:tcW w:w="1125" w:type="dxa"/>
            <w:vMerge w:val="continue"/>
            <w:tcMar>
              <w:top w:w="28" w:type="dxa"/>
              <w:left w:w="28" w:type="dxa"/>
              <w:bottom w:w="28" w:type="dxa"/>
              <w:right w:w="28" w:type="dxa"/>
            </w:tcMar>
            <w:vAlign w:val="center"/>
          </w:tcPr>
          <w:p w14:paraId="320A36E1">
            <w:pPr>
              <w:pStyle w:val="35"/>
              <w:spacing w:line="240" w:lineRule="auto"/>
              <w:jc w:val="center"/>
              <w:rPr>
                <w:rFonts w:ascii="Times New Roman" w:hAnsi="Times New Roman" w:eastAsia="宋体" w:cs="Times New Roman"/>
                <w:lang w:val="en-US"/>
              </w:rPr>
            </w:pPr>
          </w:p>
        </w:tc>
        <w:tc>
          <w:tcPr>
            <w:tcW w:w="1836" w:type="dxa"/>
            <w:tcMar>
              <w:top w:w="28" w:type="dxa"/>
              <w:left w:w="28" w:type="dxa"/>
              <w:bottom w:w="28" w:type="dxa"/>
              <w:right w:w="28" w:type="dxa"/>
            </w:tcMar>
            <w:vAlign w:val="center"/>
          </w:tcPr>
          <w:p w14:paraId="756F1526">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省外企业要求</w:t>
            </w:r>
          </w:p>
        </w:tc>
        <w:tc>
          <w:tcPr>
            <w:tcW w:w="5534" w:type="dxa"/>
            <w:tcMar>
              <w:top w:w="28" w:type="dxa"/>
              <w:left w:w="28" w:type="dxa"/>
              <w:bottom w:w="28" w:type="dxa"/>
              <w:right w:w="28" w:type="dxa"/>
            </w:tcMar>
            <w:vAlign w:val="center"/>
          </w:tcPr>
          <w:p w14:paraId="5262F37C">
            <w:pPr>
              <w:pStyle w:val="35"/>
              <w:spacing w:line="240" w:lineRule="auto"/>
              <w:rPr>
                <w:rFonts w:ascii="Times New Roman" w:hAnsi="Times New Roman" w:eastAsia="宋体" w:cs="Times New Roman"/>
                <w:lang w:val="en-US"/>
              </w:rPr>
            </w:pPr>
            <w:r>
              <w:rPr>
                <w:rFonts w:hint="eastAsia" w:ascii="Times New Roman" w:hAnsi="Times New Roman" w:eastAsia="宋体" w:cs="宋体"/>
                <w:lang w:val="en-US"/>
              </w:rPr>
              <w:t>符合第二章“投标人须知前附表及投标人须知”第</w:t>
            </w:r>
            <w:r>
              <w:rPr>
                <w:rFonts w:hint="eastAsia" w:ascii="Times New Roman" w:hAnsi="Times New Roman" w:eastAsia="宋体" w:cs="Times New Roman"/>
                <w:lang w:val="en-US"/>
              </w:rPr>
              <w:t>1.4.1</w:t>
            </w:r>
            <w:r>
              <w:rPr>
                <w:rFonts w:hint="eastAsia" w:ascii="Times New Roman" w:hAnsi="Times New Roman" w:eastAsia="宋体" w:cs="宋体"/>
                <w:lang w:val="en-US"/>
              </w:rPr>
              <w:t>项规定（省外企业要求）。</w:t>
            </w:r>
          </w:p>
        </w:tc>
      </w:tr>
      <w:tr w14:paraId="64C5C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7" w:hRule="atLeast"/>
          <w:jc w:val="center"/>
        </w:trPr>
        <w:tc>
          <w:tcPr>
            <w:tcW w:w="605" w:type="dxa"/>
            <w:vMerge w:val="continue"/>
            <w:tcMar>
              <w:top w:w="28" w:type="dxa"/>
              <w:left w:w="28" w:type="dxa"/>
              <w:bottom w:w="28" w:type="dxa"/>
              <w:right w:w="28" w:type="dxa"/>
            </w:tcMar>
            <w:vAlign w:val="center"/>
          </w:tcPr>
          <w:p w14:paraId="5F9C7991">
            <w:pPr>
              <w:pStyle w:val="35"/>
              <w:spacing w:line="240" w:lineRule="auto"/>
              <w:jc w:val="center"/>
              <w:rPr>
                <w:rFonts w:ascii="Times New Roman" w:hAnsi="Times New Roman" w:eastAsia="宋体" w:cs="Times New Roman"/>
                <w:lang w:val="en-US"/>
              </w:rPr>
            </w:pPr>
          </w:p>
        </w:tc>
        <w:tc>
          <w:tcPr>
            <w:tcW w:w="1125" w:type="dxa"/>
            <w:vMerge w:val="continue"/>
            <w:tcMar>
              <w:top w:w="28" w:type="dxa"/>
              <w:left w:w="28" w:type="dxa"/>
              <w:bottom w:w="28" w:type="dxa"/>
              <w:right w:w="28" w:type="dxa"/>
            </w:tcMar>
            <w:vAlign w:val="center"/>
          </w:tcPr>
          <w:p w14:paraId="70A73EAF">
            <w:pPr>
              <w:pStyle w:val="35"/>
              <w:spacing w:line="240" w:lineRule="auto"/>
              <w:jc w:val="center"/>
              <w:rPr>
                <w:rFonts w:ascii="Times New Roman" w:hAnsi="Times New Roman" w:eastAsia="宋体" w:cs="Times New Roman"/>
                <w:lang w:val="en-US"/>
              </w:rPr>
            </w:pPr>
          </w:p>
        </w:tc>
        <w:tc>
          <w:tcPr>
            <w:tcW w:w="1836" w:type="dxa"/>
            <w:tcMar>
              <w:top w:w="28" w:type="dxa"/>
              <w:left w:w="28" w:type="dxa"/>
              <w:bottom w:w="28" w:type="dxa"/>
              <w:right w:w="28" w:type="dxa"/>
            </w:tcMar>
            <w:vAlign w:val="center"/>
          </w:tcPr>
          <w:p w14:paraId="2052C581">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联合体投标人</w:t>
            </w:r>
          </w:p>
        </w:tc>
        <w:tc>
          <w:tcPr>
            <w:tcW w:w="5534" w:type="dxa"/>
            <w:tcMar>
              <w:top w:w="28" w:type="dxa"/>
              <w:left w:w="28" w:type="dxa"/>
              <w:bottom w:w="28" w:type="dxa"/>
              <w:right w:w="28" w:type="dxa"/>
            </w:tcMar>
            <w:vAlign w:val="center"/>
          </w:tcPr>
          <w:p w14:paraId="773F867A">
            <w:pPr>
              <w:pStyle w:val="35"/>
              <w:spacing w:line="240" w:lineRule="auto"/>
              <w:rPr>
                <w:rFonts w:ascii="Times New Roman" w:hAnsi="Times New Roman" w:eastAsia="宋体" w:cs="Times New Roman"/>
                <w:lang w:val="en-US"/>
              </w:rPr>
            </w:pPr>
            <w:r>
              <w:rPr>
                <w:rFonts w:hint="eastAsia" w:ascii="Times New Roman" w:hAnsi="Times New Roman" w:eastAsia="宋体" w:cs="宋体"/>
                <w:lang w:val="en-US"/>
              </w:rPr>
              <w:t>符合第二章“投标人须知”第</w:t>
            </w:r>
            <w:r>
              <w:rPr>
                <w:rFonts w:hint="eastAsia" w:ascii="Times New Roman" w:hAnsi="Times New Roman" w:eastAsia="宋体" w:cs="Times New Roman"/>
                <w:lang w:val="en-US"/>
              </w:rPr>
              <w:t>1.4.2</w:t>
            </w:r>
            <w:r>
              <w:rPr>
                <w:rFonts w:hint="eastAsia" w:ascii="Times New Roman" w:hAnsi="Times New Roman" w:eastAsia="宋体" w:cs="宋体"/>
                <w:lang w:val="en-US"/>
              </w:rPr>
              <w:t>项规定。</w:t>
            </w:r>
          </w:p>
        </w:tc>
      </w:tr>
      <w:tr w14:paraId="40E4B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7" w:hRule="atLeast"/>
          <w:jc w:val="center"/>
        </w:trPr>
        <w:tc>
          <w:tcPr>
            <w:tcW w:w="605" w:type="dxa"/>
            <w:vMerge w:val="continue"/>
            <w:tcMar>
              <w:top w:w="28" w:type="dxa"/>
              <w:left w:w="28" w:type="dxa"/>
              <w:bottom w:w="28" w:type="dxa"/>
              <w:right w:w="28" w:type="dxa"/>
            </w:tcMar>
            <w:vAlign w:val="center"/>
          </w:tcPr>
          <w:p w14:paraId="51B336CF">
            <w:pPr>
              <w:pStyle w:val="35"/>
              <w:spacing w:line="240" w:lineRule="auto"/>
              <w:rPr>
                <w:rFonts w:hint="eastAsia"/>
              </w:rPr>
            </w:pPr>
          </w:p>
        </w:tc>
        <w:tc>
          <w:tcPr>
            <w:tcW w:w="1125" w:type="dxa"/>
            <w:vMerge w:val="continue"/>
            <w:tcMar>
              <w:top w:w="28" w:type="dxa"/>
              <w:left w:w="28" w:type="dxa"/>
              <w:bottom w:w="28" w:type="dxa"/>
              <w:right w:w="28" w:type="dxa"/>
            </w:tcMar>
            <w:vAlign w:val="center"/>
          </w:tcPr>
          <w:p w14:paraId="45A8A3B0">
            <w:pPr>
              <w:pStyle w:val="35"/>
              <w:spacing w:line="240" w:lineRule="auto"/>
              <w:rPr>
                <w:rFonts w:hint="eastAsia"/>
              </w:rPr>
            </w:pPr>
          </w:p>
        </w:tc>
        <w:tc>
          <w:tcPr>
            <w:tcW w:w="1836" w:type="dxa"/>
            <w:tcMar>
              <w:top w:w="28" w:type="dxa"/>
              <w:left w:w="28" w:type="dxa"/>
              <w:bottom w:w="28" w:type="dxa"/>
              <w:right w:w="28" w:type="dxa"/>
            </w:tcMar>
            <w:vAlign w:val="center"/>
          </w:tcPr>
          <w:p w14:paraId="2313AE57">
            <w:pPr>
              <w:pStyle w:val="35"/>
              <w:spacing w:line="240" w:lineRule="auto"/>
              <w:jc w:val="center"/>
              <w:rPr>
                <w:rFonts w:ascii="Times New Roman" w:hAnsi="Times New Roman" w:eastAsia="宋体" w:cs="宋体"/>
                <w:lang w:val="en-US"/>
              </w:rPr>
            </w:pPr>
            <w:r>
              <w:rPr>
                <w:rFonts w:hint="eastAsia" w:ascii="Times New Roman" w:hAnsi="Times New Roman" w:eastAsia="宋体" w:cs="宋体"/>
                <w:lang w:val="en-US"/>
              </w:rPr>
              <w:t>其他要求</w:t>
            </w:r>
          </w:p>
        </w:tc>
        <w:tc>
          <w:tcPr>
            <w:tcW w:w="5534" w:type="dxa"/>
            <w:tcMar>
              <w:top w:w="28" w:type="dxa"/>
              <w:left w:w="28" w:type="dxa"/>
              <w:bottom w:w="28" w:type="dxa"/>
              <w:right w:w="28" w:type="dxa"/>
            </w:tcMar>
            <w:vAlign w:val="center"/>
          </w:tcPr>
          <w:p w14:paraId="38A50459">
            <w:pPr>
              <w:pStyle w:val="35"/>
              <w:spacing w:line="240" w:lineRule="auto"/>
              <w:rPr>
                <w:rFonts w:ascii="Times New Roman" w:hAnsi="Times New Roman" w:eastAsia="宋体" w:cs="宋体"/>
                <w:lang w:val="en-US"/>
              </w:rPr>
            </w:pPr>
            <w:r>
              <w:rPr>
                <w:rFonts w:hint="eastAsia" w:ascii="Times New Roman" w:hAnsi="Times New Roman" w:eastAsia="宋体" w:cs="宋体"/>
                <w:lang w:val="en-US"/>
              </w:rPr>
              <w:t>符合第二章“投标人须知”第1.4.2项规定及招标文件规定的其他要求</w:t>
            </w:r>
          </w:p>
        </w:tc>
      </w:tr>
      <w:tr w14:paraId="09C17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7" w:hRule="atLeast"/>
          <w:jc w:val="center"/>
        </w:trPr>
        <w:tc>
          <w:tcPr>
            <w:tcW w:w="605" w:type="dxa"/>
            <w:vMerge w:val="restart"/>
            <w:tcMar>
              <w:top w:w="28" w:type="dxa"/>
              <w:left w:w="28" w:type="dxa"/>
              <w:bottom w:w="28" w:type="dxa"/>
              <w:right w:w="28" w:type="dxa"/>
            </w:tcMar>
            <w:vAlign w:val="center"/>
          </w:tcPr>
          <w:p w14:paraId="63929964">
            <w:pPr>
              <w:pStyle w:val="35"/>
              <w:spacing w:line="240" w:lineRule="auto"/>
              <w:jc w:val="center"/>
              <w:rPr>
                <w:rFonts w:ascii="Times New Roman" w:hAnsi="Times New Roman" w:eastAsia="宋体" w:cs="Times New Roman"/>
                <w:lang w:val="en-US"/>
              </w:rPr>
            </w:pPr>
            <w:r>
              <w:rPr>
                <w:rFonts w:hint="eastAsia" w:ascii="Times New Roman" w:hAnsi="Times New Roman" w:eastAsia="宋体" w:cs="Times New Roman"/>
                <w:lang w:val="en-US"/>
              </w:rPr>
              <w:t>2.1.3</w:t>
            </w:r>
          </w:p>
        </w:tc>
        <w:tc>
          <w:tcPr>
            <w:tcW w:w="1125" w:type="dxa"/>
            <w:vMerge w:val="restart"/>
            <w:tcMar>
              <w:top w:w="28" w:type="dxa"/>
              <w:left w:w="28" w:type="dxa"/>
              <w:bottom w:w="28" w:type="dxa"/>
              <w:right w:w="28" w:type="dxa"/>
            </w:tcMar>
            <w:vAlign w:val="center"/>
          </w:tcPr>
          <w:p w14:paraId="18604D74">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响应性</w:t>
            </w:r>
          </w:p>
          <w:p w14:paraId="587432AB">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评审标准</w:t>
            </w:r>
          </w:p>
        </w:tc>
        <w:tc>
          <w:tcPr>
            <w:tcW w:w="1836" w:type="dxa"/>
            <w:tcMar>
              <w:top w:w="28" w:type="dxa"/>
              <w:left w:w="28" w:type="dxa"/>
              <w:bottom w:w="28" w:type="dxa"/>
              <w:right w:w="28" w:type="dxa"/>
            </w:tcMar>
            <w:vAlign w:val="center"/>
          </w:tcPr>
          <w:p w14:paraId="39167FB7">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投标内容</w:t>
            </w:r>
          </w:p>
        </w:tc>
        <w:tc>
          <w:tcPr>
            <w:tcW w:w="5534" w:type="dxa"/>
            <w:tcMar>
              <w:top w:w="28" w:type="dxa"/>
              <w:left w:w="28" w:type="dxa"/>
              <w:bottom w:w="28" w:type="dxa"/>
              <w:right w:w="28" w:type="dxa"/>
            </w:tcMar>
            <w:vAlign w:val="center"/>
          </w:tcPr>
          <w:p w14:paraId="408DA812">
            <w:pPr>
              <w:pStyle w:val="35"/>
              <w:spacing w:line="240" w:lineRule="auto"/>
              <w:rPr>
                <w:rFonts w:ascii="Times New Roman" w:hAnsi="Times New Roman" w:eastAsia="宋体" w:cs="Times New Roman"/>
                <w:lang w:val="en-US"/>
              </w:rPr>
            </w:pPr>
            <w:r>
              <w:rPr>
                <w:rFonts w:hint="eastAsia" w:ascii="Times New Roman" w:hAnsi="Times New Roman" w:eastAsia="宋体" w:cs="宋体"/>
                <w:lang w:val="en-US"/>
              </w:rPr>
              <w:t>符合第二章</w:t>
            </w:r>
            <w:r>
              <w:rPr>
                <w:rFonts w:hint="eastAsia" w:ascii="Times New Roman" w:hAnsi="Times New Roman" w:eastAsia="宋体" w:cs="Times New Roman"/>
                <w:lang w:val="en-US"/>
              </w:rPr>
              <w:t>“</w:t>
            </w:r>
            <w:r>
              <w:rPr>
                <w:rFonts w:hint="eastAsia" w:ascii="Times New Roman" w:hAnsi="Times New Roman" w:eastAsia="宋体" w:cs="宋体"/>
                <w:lang w:val="en-US"/>
              </w:rPr>
              <w:t>投标人须知</w:t>
            </w:r>
            <w:r>
              <w:rPr>
                <w:rFonts w:hint="eastAsia" w:ascii="Times New Roman" w:hAnsi="Times New Roman" w:eastAsia="宋体" w:cs="Times New Roman"/>
                <w:lang w:val="en-US"/>
              </w:rPr>
              <w:t>”</w:t>
            </w:r>
            <w:r>
              <w:rPr>
                <w:rFonts w:hint="eastAsia" w:ascii="Times New Roman" w:hAnsi="Times New Roman" w:eastAsia="宋体" w:cs="宋体"/>
                <w:lang w:val="en-US"/>
              </w:rPr>
              <w:t>第</w:t>
            </w:r>
            <w:r>
              <w:rPr>
                <w:rFonts w:hint="eastAsia" w:ascii="Times New Roman" w:hAnsi="Times New Roman" w:eastAsia="宋体" w:cs="Times New Roman"/>
                <w:lang w:val="en-US"/>
              </w:rPr>
              <w:t>1.3.1</w:t>
            </w:r>
            <w:r>
              <w:rPr>
                <w:rFonts w:hint="eastAsia" w:ascii="Times New Roman" w:hAnsi="Times New Roman" w:eastAsia="宋体" w:cs="宋体"/>
                <w:lang w:val="en-US"/>
              </w:rPr>
              <w:t>项规定。</w:t>
            </w:r>
          </w:p>
        </w:tc>
      </w:tr>
      <w:tr w14:paraId="5A53D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4" w:hRule="atLeast"/>
          <w:jc w:val="center"/>
        </w:trPr>
        <w:tc>
          <w:tcPr>
            <w:tcW w:w="605" w:type="dxa"/>
            <w:vMerge w:val="continue"/>
            <w:tcMar>
              <w:top w:w="28" w:type="dxa"/>
              <w:left w:w="28" w:type="dxa"/>
              <w:bottom w:w="28" w:type="dxa"/>
              <w:right w:w="28" w:type="dxa"/>
            </w:tcMar>
            <w:vAlign w:val="center"/>
          </w:tcPr>
          <w:p w14:paraId="154E00FB">
            <w:pPr>
              <w:pStyle w:val="35"/>
              <w:spacing w:line="240" w:lineRule="auto"/>
              <w:jc w:val="center"/>
              <w:rPr>
                <w:rFonts w:ascii="Times New Roman" w:hAnsi="Times New Roman" w:eastAsia="宋体" w:cs="Times New Roman"/>
                <w:lang w:val="en-US"/>
              </w:rPr>
            </w:pPr>
          </w:p>
        </w:tc>
        <w:tc>
          <w:tcPr>
            <w:tcW w:w="1125" w:type="dxa"/>
            <w:vMerge w:val="continue"/>
            <w:tcMar>
              <w:top w:w="28" w:type="dxa"/>
              <w:left w:w="28" w:type="dxa"/>
              <w:bottom w:w="28" w:type="dxa"/>
              <w:right w:w="28" w:type="dxa"/>
            </w:tcMar>
            <w:vAlign w:val="center"/>
          </w:tcPr>
          <w:p w14:paraId="1319B904">
            <w:pPr>
              <w:pStyle w:val="35"/>
              <w:spacing w:line="240" w:lineRule="auto"/>
              <w:jc w:val="center"/>
              <w:rPr>
                <w:rFonts w:ascii="Times New Roman" w:hAnsi="Times New Roman" w:eastAsia="宋体" w:cs="Times New Roman"/>
                <w:lang w:val="en-US"/>
              </w:rPr>
            </w:pPr>
          </w:p>
        </w:tc>
        <w:tc>
          <w:tcPr>
            <w:tcW w:w="1836" w:type="dxa"/>
            <w:tcMar>
              <w:top w:w="28" w:type="dxa"/>
              <w:left w:w="28" w:type="dxa"/>
              <w:bottom w:w="28" w:type="dxa"/>
              <w:right w:w="28" w:type="dxa"/>
            </w:tcMar>
            <w:vAlign w:val="center"/>
          </w:tcPr>
          <w:p w14:paraId="5C741631">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工期</w:t>
            </w:r>
          </w:p>
        </w:tc>
        <w:tc>
          <w:tcPr>
            <w:tcW w:w="5534" w:type="dxa"/>
            <w:tcMar>
              <w:top w:w="28" w:type="dxa"/>
              <w:left w:w="28" w:type="dxa"/>
              <w:bottom w:w="28" w:type="dxa"/>
              <w:right w:w="28" w:type="dxa"/>
            </w:tcMar>
            <w:vAlign w:val="center"/>
          </w:tcPr>
          <w:p w14:paraId="154EF00D">
            <w:pPr>
              <w:pStyle w:val="35"/>
              <w:spacing w:line="240" w:lineRule="auto"/>
              <w:rPr>
                <w:rFonts w:ascii="Times New Roman" w:hAnsi="Times New Roman" w:eastAsia="宋体" w:cs="Times New Roman"/>
                <w:lang w:val="en-US"/>
              </w:rPr>
            </w:pPr>
            <w:r>
              <w:rPr>
                <w:rFonts w:hint="eastAsia" w:ascii="Times New Roman" w:hAnsi="Times New Roman" w:eastAsia="宋体" w:cs="宋体"/>
                <w:lang w:val="en-US"/>
              </w:rPr>
              <w:t>符合第二章</w:t>
            </w:r>
            <w:r>
              <w:rPr>
                <w:rFonts w:hint="eastAsia" w:ascii="Times New Roman" w:hAnsi="Times New Roman" w:eastAsia="宋体" w:cs="Times New Roman"/>
                <w:lang w:val="en-US"/>
              </w:rPr>
              <w:t>“</w:t>
            </w:r>
            <w:r>
              <w:rPr>
                <w:rFonts w:hint="eastAsia" w:ascii="Times New Roman" w:hAnsi="Times New Roman" w:eastAsia="宋体" w:cs="宋体"/>
                <w:lang w:val="en-US"/>
              </w:rPr>
              <w:t>投标人须知</w:t>
            </w:r>
            <w:r>
              <w:rPr>
                <w:rFonts w:hint="eastAsia" w:ascii="Times New Roman" w:hAnsi="Times New Roman" w:eastAsia="宋体" w:cs="Times New Roman"/>
                <w:lang w:val="en-US"/>
              </w:rPr>
              <w:t>”</w:t>
            </w:r>
            <w:r>
              <w:rPr>
                <w:rFonts w:hint="eastAsia" w:ascii="Times New Roman" w:hAnsi="Times New Roman" w:eastAsia="宋体" w:cs="宋体"/>
                <w:lang w:val="en-US"/>
              </w:rPr>
              <w:t>第</w:t>
            </w:r>
            <w:r>
              <w:rPr>
                <w:rFonts w:hint="eastAsia" w:ascii="Times New Roman" w:hAnsi="Times New Roman" w:eastAsia="宋体" w:cs="Times New Roman"/>
                <w:lang w:val="en-US"/>
              </w:rPr>
              <w:t>1.3.2</w:t>
            </w:r>
            <w:r>
              <w:rPr>
                <w:rFonts w:hint="eastAsia" w:ascii="Times New Roman" w:hAnsi="Times New Roman" w:eastAsia="宋体" w:cs="宋体"/>
                <w:lang w:val="en-US"/>
              </w:rPr>
              <w:t>项规定。</w:t>
            </w:r>
          </w:p>
        </w:tc>
      </w:tr>
      <w:tr w14:paraId="766C5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0" w:hRule="atLeast"/>
          <w:jc w:val="center"/>
        </w:trPr>
        <w:tc>
          <w:tcPr>
            <w:tcW w:w="605" w:type="dxa"/>
            <w:vMerge w:val="continue"/>
            <w:tcMar>
              <w:top w:w="28" w:type="dxa"/>
              <w:left w:w="28" w:type="dxa"/>
              <w:bottom w:w="28" w:type="dxa"/>
              <w:right w:w="28" w:type="dxa"/>
            </w:tcMar>
            <w:vAlign w:val="center"/>
          </w:tcPr>
          <w:p w14:paraId="0273EBB9">
            <w:pPr>
              <w:pStyle w:val="35"/>
              <w:spacing w:line="240" w:lineRule="auto"/>
              <w:jc w:val="center"/>
              <w:rPr>
                <w:rFonts w:ascii="Times New Roman" w:hAnsi="Times New Roman" w:eastAsia="宋体" w:cs="Times New Roman"/>
                <w:lang w:val="en-US"/>
              </w:rPr>
            </w:pPr>
          </w:p>
        </w:tc>
        <w:tc>
          <w:tcPr>
            <w:tcW w:w="1125" w:type="dxa"/>
            <w:vMerge w:val="continue"/>
            <w:tcMar>
              <w:top w:w="28" w:type="dxa"/>
              <w:left w:w="28" w:type="dxa"/>
              <w:bottom w:w="28" w:type="dxa"/>
              <w:right w:w="28" w:type="dxa"/>
            </w:tcMar>
            <w:vAlign w:val="center"/>
          </w:tcPr>
          <w:p w14:paraId="47F97E2F">
            <w:pPr>
              <w:pStyle w:val="35"/>
              <w:spacing w:line="240" w:lineRule="auto"/>
              <w:jc w:val="center"/>
              <w:rPr>
                <w:rFonts w:ascii="Times New Roman" w:hAnsi="Times New Roman" w:eastAsia="宋体" w:cs="Times New Roman"/>
                <w:lang w:val="en-US"/>
              </w:rPr>
            </w:pPr>
          </w:p>
        </w:tc>
        <w:tc>
          <w:tcPr>
            <w:tcW w:w="1836" w:type="dxa"/>
            <w:tcMar>
              <w:top w:w="28" w:type="dxa"/>
              <w:left w:w="28" w:type="dxa"/>
              <w:bottom w:w="28" w:type="dxa"/>
              <w:right w:w="28" w:type="dxa"/>
            </w:tcMar>
            <w:vAlign w:val="center"/>
          </w:tcPr>
          <w:p w14:paraId="50BBB3C9">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工程质量</w:t>
            </w:r>
          </w:p>
        </w:tc>
        <w:tc>
          <w:tcPr>
            <w:tcW w:w="5534" w:type="dxa"/>
            <w:tcMar>
              <w:top w:w="28" w:type="dxa"/>
              <w:left w:w="28" w:type="dxa"/>
              <w:bottom w:w="28" w:type="dxa"/>
              <w:right w:w="28" w:type="dxa"/>
            </w:tcMar>
            <w:vAlign w:val="center"/>
          </w:tcPr>
          <w:p w14:paraId="2774765A">
            <w:pPr>
              <w:pStyle w:val="35"/>
              <w:spacing w:line="240" w:lineRule="auto"/>
              <w:rPr>
                <w:rFonts w:ascii="Times New Roman" w:hAnsi="Times New Roman" w:eastAsia="宋体" w:cs="Times New Roman"/>
                <w:lang w:val="en-US"/>
              </w:rPr>
            </w:pPr>
            <w:r>
              <w:rPr>
                <w:rFonts w:hint="eastAsia" w:ascii="Times New Roman" w:hAnsi="Times New Roman" w:eastAsia="宋体" w:cs="宋体"/>
                <w:lang w:val="en-US"/>
              </w:rPr>
              <w:t>符合第二章</w:t>
            </w:r>
            <w:r>
              <w:rPr>
                <w:rFonts w:hint="eastAsia" w:ascii="Times New Roman" w:hAnsi="Times New Roman" w:eastAsia="宋体" w:cs="Times New Roman"/>
                <w:lang w:val="en-US"/>
              </w:rPr>
              <w:t>“</w:t>
            </w:r>
            <w:r>
              <w:rPr>
                <w:rFonts w:hint="eastAsia" w:ascii="Times New Roman" w:hAnsi="Times New Roman" w:eastAsia="宋体" w:cs="宋体"/>
                <w:lang w:val="en-US"/>
              </w:rPr>
              <w:t>投标人须知</w:t>
            </w:r>
            <w:r>
              <w:rPr>
                <w:rFonts w:hint="eastAsia" w:ascii="Times New Roman" w:hAnsi="Times New Roman" w:eastAsia="宋体" w:cs="Times New Roman"/>
                <w:lang w:val="en-US"/>
              </w:rPr>
              <w:t>”</w:t>
            </w:r>
            <w:r>
              <w:rPr>
                <w:rFonts w:hint="eastAsia" w:ascii="Times New Roman" w:hAnsi="Times New Roman" w:eastAsia="宋体" w:cs="宋体"/>
                <w:lang w:val="en-US"/>
              </w:rPr>
              <w:t>第</w:t>
            </w:r>
            <w:r>
              <w:rPr>
                <w:rFonts w:hint="eastAsia" w:ascii="Times New Roman" w:hAnsi="Times New Roman" w:eastAsia="宋体" w:cs="Times New Roman"/>
                <w:lang w:val="en-US"/>
              </w:rPr>
              <w:t>1.3.3</w:t>
            </w:r>
            <w:r>
              <w:rPr>
                <w:rFonts w:hint="eastAsia" w:ascii="Times New Roman" w:hAnsi="Times New Roman" w:eastAsia="宋体" w:cs="宋体"/>
                <w:lang w:val="en-US"/>
              </w:rPr>
              <w:t>项规定。</w:t>
            </w:r>
          </w:p>
        </w:tc>
      </w:tr>
      <w:tr w14:paraId="6526B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9" w:hRule="atLeast"/>
          <w:jc w:val="center"/>
        </w:trPr>
        <w:tc>
          <w:tcPr>
            <w:tcW w:w="605" w:type="dxa"/>
            <w:vMerge w:val="continue"/>
            <w:tcMar>
              <w:top w:w="28" w:type="dxa"/>
              <w:left w:w="28" w:type="dxa"/>
              <w:bottom w:w="28" w:type="dxa"/>
              <w:right w:w="28" w:type="dxa"/>
            </w:tcMar>
            <w:vAlign w:val="center"/>
          </w:tcPr>
          <w:p w14:paraId="753814AF">
            <w:pPr>
              <w:pStyle w:val="35"/>
              <w:spacing w:line="240" w:lineRule="auto"/>
              <w:jc w:val="center"/>
              <w:rPr>
                <w:rFonts w:ascii="Times New Roman" w:hAnsi="Times New Roman" w:eastAsia="宋体" w:cs="Times New Roman"/>
                <w:lang w:val="en-US"/>
              </w:rPr>
            </w:pPr>
          </w:p>
        </w:tc>
        <w:tc>
          <w:tcPr>
            <w:tcW w:w="1125" w:type="dxa"/>
            <w:vMerge w:val="continue"/>
            <w:tcMar>
              <w:top w:w="28" w:type="dxa"/>
              <w:left w:w="28" w:type="dxa"/>
              <w:bottom w:w="28" w:type="dxa"/>
              <w:right w:w="28" w:type="dxa"/>
            </w:tcMar>
            <w:vAlign w:val="center"/>
          </w:tcPr>
          <w:p w14:paraId="249C5B14">
            <w:pPr>
              <w:pStyle w:val="35"/>
              <w:spacing w:line="240" w:lineRule="auto"/>
              <w:jc w:val="center"/>
              <w:rPr>
                <w:rFonts w:ascii="Times New Roman" w:hAnsi="Times New Roman" w:eastAsia="宋体" w:cs="Times New Roman"/>
                <w:lang w:val="en-US"/>
              </w:rPr>
            </w:pPr>
          </w:p>
        </w:tc>
        <w:tc>
          <w:tcPr>
            <w:tcW w:w="1836" w:type="dxa"/>
            <w:tcMar>
              <w:top w:w="28" w:type="dxa"/>
              <w:left w:w="28" w:type="dxa"/>
              <w:bottom w:w="28" w:type="dxa"/>
              <w:right w:w="28" w:type="dxa"/>
            </w:tcMar>
            <w:vAlign w:val="center"/>
          </w:tcPr>
          <w:p w14:paraId="2706EAB9">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投标有效期</w:t>
            </w:r>
          </w:p>
        </w:tc>
        <w:tc>
          <w:tcPr>
            <w:tcW w:w="5534" w:type="dxa"/>
            <w:tcMar>
              <w:top w:w="28" w:type="dxa"/>
              <w:left w:w="28" w:type="dxa"/>
              <w:bottom w:w="28" w:type="dxa"/>
              <w:right w:w="28" w:type="dxa"/>
            </w:tcMar>
            <w:vAlign w:val="center"/>
          </w:tcPr>
          <w:p w14:paraId="16351F60">
            <w:pPr>
              <w:pStyle w:val="35"/>
              <w:spacing w:line="240" w:lineRule="auto"/>
              <w:rPr>
                <w:rFonts w:ascii="Times New Roman" w:hAnsi="Times New Roman" w:eastAsia="宋体" w:cs="Times New Roman"/>
                <w:lang w:val="en-US"/>
              </w:rPr>
            </w:pPr>
            <w:r>
              <w:rPr>
                <w:rFonts w:hint="eastAsia" w:ascii="Times New Roman" w:hAnsi="Times New Roman" w:eastAsia="宋体" w:cs="宋体"/>
                <w:lang w:val="en-US"/>
              </w:rPr>
              <w:t>符合第二章</w:t>
            </w:r>
            <w:r>
              <w:rPr>
                <w:rFonts w:hint="eastAsia" w:ascii="Times New Roman" w:hAnsi="Times New Roman" w:eastAsia="宋体" w:cs="Times New Roman"/>
                <w:lang w:val="en-US"/>
              </w:rPr>
              <w:t>“</w:t>
            </w:r>
            <w:r>
              <w:rPr>
                <w:rFonts w:hint="eastAsia" w:ascii="Times New Roman" w:hAnsi="Times New Roman" w:eastAsia="宋体" w:cs="宋体"/>
                <w:lang w:val="en-US"/>
              </w:rPr>
              <w:t>投标人须知</w:t>
            </w:r>
            <w:r>
              <w:rPr>
                <w:rFonts w:hint="eastAsia" w:ascii="Times New Roman" w:hAnsi="Times New Roman" w:eastAsia="宋体" w:cs="Times New Roman"/>
                <w:lang w:val="en-US"/>
              </w:rPr>
              <w:t>”</w:t>
            </w:r>
            <w:r>
              <w:rPr>
                <w:rFonts w:hint="eastAsia" w:ascii="Times New Roman" w:hAnsi="Times New Roman" w:eastAsia="宋体" w:cs="宋体"/>
                <w:lang w:val="en-US"/>
              </w:rPr>
              <w:t>第</w:t>
            </w:r>
            <w:r>
              <w:rPr>
                <w:rFonts w:hint="eastAsia" w:ascii="Times New Roman" w:hAnsi="Times New Roman" w:eastAsia="宋体" w:cs="Times New Roman"/>
                <w:lang w:val="en-US"/>
              </w:rPr>
              <w:t>3.3.3</w:t>
            </w:r>
            <w:r>
              <w:rPr>
                <w:rFonts w:hint="eastAsia" w:ascii="Times New Roman" w:hAnsi="Times New Roman" w:eastAsia="宋体" w:cs="宋体"/>
                <w:lang w:val="en-US"/>
              </w:rPr>
              <w:t>项规定。</w:t>
            </w:r>
          </w:p>
        </w:tc>
      </w:tr>
      <w:tr w14:paraId="25560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jc w:val="center"/>
        </w:trPr>
        <w:tc>
          <w:tcPr>
            <w:tcW w:w="605" w:type="dxa"/>
            <w:vMerge w:val="continue"/>
            <w:tcMar>
              <w:top w:w="28" w:type="dxa"/>
              <w:left w:w="28" w:type="dxa"/>
              <w:bottom w:w="28" w:type="dxa"/>
              <w:right w:w="28" w:type="dxa"/>
            </w:tcMar>
            <w:vAlign w:val="center"/>
          </w:tcPr>
          <w:p w14:paraId="65886AE5">
            <w:pPr>
              <w:pStyle w:val="35"/>
              <w:spacing w:line="240" w:lineRule="auto"/>
              <w:jc w:val="center"/>
              <w:rPr>
                <w:rFonts w:ascii="Times New Roman" w:hAnsi="Times New Roman" w:eastAsia="宋体" w:cs="Times New Roman"/>
                <w:lang w:val="en-US"/>
              </w:rPr>
            </w:pPr>
          </w:p>
        </w:tc>
        <w:tc>
          <w:tcPr>
            <w:tcW w:w="1125" w:type="dxa"/>
            <w:vMerge w:val="continue"/>
            <w:tcMar>
              <w:top w:w="28" w:type="dxa"/>
              <w:left w:w="28" w:type="dxa"/>
              <w:bottom w:w="28" w:type="dxa"/>
              <w:right w:w="28" w:type="dxa"/>
            </w:tcMar>
            <w:vAlign w:val="center"/>
          </w:tcPr>
          <w:p w14:paraId="264ED3FF">
            <w:pPr>
              <w:pStyle w:val="35"/>
              <w:spacing w:line="240" w:lineRule="auto"/>
              <w:jc w:val="center"/>
              <w:rPr>
                <w:rFonts w:ascii="Times New Roman" w:hAnsi="Times New Roman" w:eastAsia="宋体" w:cs="Times New Roman"/>
                <w:lang w:val="en-US"/>
              </w:rPr>
            </w:pPr>
          </w:p>
        </w:tc>
        <w:tc>
          <w:tcPr>
            <w:tcW w:w="1836" w:type="dxa"/>
            <w:tcMar>
              <w:top w:w="28" w:type="dxa"/>
              <w:left w:w="28" w:type="dxa"/>
              <w:bottom w:w="28" w:type="dxa"/>
              <w:right w:w="28" w:type="dxa"/>
            </w:tcMar>
            <w:vAlign w:val="center"/>
          </w:tcPr>
          <w:p w14:paraId="6874F6D0">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投标保证金</w:t>
            </w:r>
          </w:p>
        </w:tc>
        <w:tc>
          <w:tcPr>
            <w:tcW w:w="5534" w:type="dxa"/>
            <w:tcMar>
              <w:top w:w="28" w:type="dxa"/>
              <w:left w:w="28" w:type="dxa"/>
              <w:bottom w:w="28" w:type="dxa"/>
              <w:right w:w="28" w:type="dxa"/>
            </w:tcMar>
            <w:vAlign w:val="center"/>
          </w:tcPr>
          <w:p w14:paraId="33A6E46A">
            <w:pPr>
              <w:pStyle w:val="35"/>
              <w:spacing w:line="240" w:lineRule="auto"/>
              <w:rPr>
                <w:rFonts w:ascii="Times New Roman" w:hAnsi="Times New Roman" w:eastAsia="宋体" w:cs="Times New Roman"/>
                <w:lang w:val="en-US"/>
              </w:rPr>
            </w:pPr>
            <w:r>
              <w:rPr>
                <w:rFonts w:hint="eastAsia" w:ascii="Times New Roman" w:hAnsi="Times New Roman" w:eastAsia="宋体" w:cs="宋体"/>
                <w:lang w:val="en-US"/>
              </w:rPr>
              <w:t>符合第二章</w:t>
            </w:r>
            <w:r>
              <w:rPr>
                <w:rFonts w:hint="eastAsia" w:ascii="Times New Roman" w:hAnsi="Times New Roman" w:eastAsia="宋体" w:cs="Times New Roman"/>
                <w:lang w:val="en-US"/>
              </w:rPr>
              <w:t>“</w:t>
            </w:r>
            <w:r>
              <w:rPr>
                <w:rFonts w:hint="eastAsia" w:ascii="Times New Roman" w:hAnsi="Times New Roman" w:eastAsia="宋体" w:cs="宋体"/>
                <w:lang w:val="en-US"/>
              </w:rPr>
              <w:t>投标人须知</w:t>
            </w:r>
            <w:r>
              <w:rPr>
                <w:rFonts w:hint="eastAsia" w:ascii="Times New Roman" w:hAnsi="Times New Roman" w:eastAsia="宋体" w:cs="Times New Roman"/>
                <w:lang w:val="en-US"/>
              </w:rPr>
              <w:t>”</w:t>
            </w:r>
            <w:r>
              <w:rPr>
                <w:rFonts w:hint="eastAsia" w:ascii="Times New Roman" w:hAnsi="Times New Roman" w:eastAsia="宋体" w:cs="宋体"/>
                <w:lang w:val="en-US"/>
              </w:rPr>
              <w:t>第</w:t>
            </w:r>
            <w:r>
              <w:rPr>
                <w:rFonts w:hint="eastAsia" w:ascii="Times New Roman" w:hAnsi="Times New Roman" w:eastAsia="宋体" w:cs="Times New Roman"/>
                <w:lang w:val="en-US"/>
              </w:rPr>
              <w:t>3.4.1</w:t>
            </w:r>
            <w:r>
              <w:rPr>
                <w:rFonts w:hint="eastAsia" w:ascii="Times New Roman" w:hAnsi="Times New Roman" w:eastAsia="宋体" w:cs="宋体"/>
                <w:lang w:val="en-US"/>
              </w:rPr>
              <w:t>项规定。</w:t>
            </w:r>
          </w:p>
        </w:tc>
      </w:tr>
      <w:tr w14:paraId="1405B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jc w:val="center"/>
        </w:trPr>
        <w:tc>
          <w:tcPr>
            <w:tcW w:w="605" w:type="dxa"/>
            <w:vMerge w:val="continue"/>
            <w:tcMar>
              <w:top w:w="28" w:type="dxa"/>
              <w:left w:w="28" w:type="dxa"/>
              <w:bottom w:w="28" w:type="dxa"/>
              <w:right w:w="28" w:type="dxa"/>
            </w:tcMar>
            <w:vAlign w:val="center"/>
          </w:tcPr>
          <w:p w14:paraId="0D5AD82B">
            <w:pPr>
              <w:pStyle w:val="35"/>
              <w:spacing w:line="240" w:lineRule="auto"/>
              <w:jc w:val="center"/>
              <w:rPr>
                <w:rFonts w:ascii="Times New Roman" w:hAnsi="Times New Roman" w:eastAsia="宋体" w:cs="Times New Roman"/>
                <w:lang w:val="en-US"/>
              </w:rPr>
            </w:pPr>
          </w:p>
        </w:tc>
        <w:tc>
          <w:tcPr>
            <w:tcW w:w="1125" w:type="dxa"/>
            <w:vMerge w:val="continue"/>
            <w:tcMar>
              <w:top w:w="28" w:type="dxa"/>
              <w:left w:w="28" w:type="dxa"/>
              <w:bottom w:w="28" w:type="dxa"/>
              <w:right w:w="28" w:type="dxa"/>
            </w:tcMar>
            <w:vAlign w:val="center"/>
          </w:tcPr>
          <w:p w14:paraId="6C6D79C2">
            <w:pPr>
              <w:pStyle w:val="35"/>
              <w:spacing w:line="240" w:lineRule="auto"/>
              <w:jc w:val="center"/>
              <w:rPr>
                <w:rFonts w:ascii="Times New Roman" w:hAnsi="Times New Roman" w:eastAsia="宋体" w:cs="Times New Roman"/>
                <w:lang w:val="en-US"/>
              </w:rPr>
            </w:pPr>
          </w:p>
        </w:tc>
        <w:tc>
          <w:tcPr>
            <w:tcW w:w="1836" w:type="dxa"/>
            <w:tcMar>
              <w:top w:w="28" w:type="dxa"/>
              <w:left w:w="28" w:type="dxa"/>
              <w:bottom w:w="28" w:type="dxa"/>
              <w:right w:w="28" w:type="dxa"/>
            </w:tcMar>
            <w:vAlign w:val="center"/>
          </w:tcPr>
          <w:p w14:paraId="18D78DD2">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权利义务</w:t>
            </w:r>
          </w:p>
        </w:tc>
        <w:tc>
          <w:tcPr>
            <w:tcW w:w="5534" w:type="dxa"/>
            <w:tcMar>
              <w:top w:w="28" w:type="dxa"/>
              <w:left w:w="28" w:type="dxa"/>
              <w:bottom w:w="28" w:type="dxa"/>
              <w:right w:w="28" w:type="dxa"/>
            </w:tcMar>
            <w:vAlign w:val="center"/>
          </w:tcPr>
          <w:p w14:paraId="6985F18E">
            <w:pPr>
              <w:pStyle w:val="35"/>
              <w:spacing w:line="240" w:lineRule="auto"/>
              <w:rPr>
                <w:rFonts w:ascii="Times New Roman" w:hAnsi="Times New Roman" w:eastAsia="宋体" w:cs="Times New Roman"/>
                <w:lang w:val="en-US"/>
              </w:rPr>
            </w:pPr>
            <w:r>
              <w:rPr>
                <w:rFonts w:hint="eastAsia" w:ascii="Times New Roman" w:hAnsi="Times New Roman" w:eastAsia="宋体" w:cs="宋体"/>
                <w:lang w:val="en-US"/>
              </w:rPr>
              <w:t>符合第四章</w:t>
            </w:r>
            <w:r>
              <w:rPr>
                <w:rFonts w:hint="eastAsia" w:ascii="Times New Roman" w:hAnsi="Times New Roman" w:eastAsia="宋体" w:cs="Times New Roman"/>
                <w:lang w:val="en-US"/>
              </w:rPr>
              <w:t>“</w:t>
            </w:r>
            <w:r>
              <w:rPr>
                <w:rFonts w:hint="eastAsia" w:ascii="Times New Roman" w:hAnsi="Times New Roman" w:eastAsia="宋体" w:cs="宋体"/>
                <w:lang w:val="en-US"/>
              </w:rPr>
              <w:t>合同条款及格式</w:t>
            </w:r>
            <w:r>
              <w:rPr>
                <w:rFonts w:hint="eastAsia" w:ascii="Times New Roman" w:hAnsi="Times New Roman" w:eastAsia="宋体" w:cs="Times New Roman"/>
                <w:lang w:val="en-US"/>
              </w:rPr>
              <w:t>”</w:t>
            </w:r>
            <w:r>
              <w:rPr>
                <w:rFonts w:hint="eastAsia" w:ascii="Times New Roman" w:hAnsi="Times New Roman" w:eastAsia="宋体" w:cs="宋体"/>
                <w:lang w:val="en-US"/>
              </w:rPr>
              <w:t>规定。</w:t>
            </w:r>
          </w:p>
        </w:tc>
      </w:tr>
      <w:tr w14:paraId="7363D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0" w:hRule="atLeast"/>
          <w:jc w:val="center"/>
        </w:trPr>
        <w:tc>
          <w:tcPr>
            <w:tcW w:w="605" w:type="dxa"/>
            <w:vMerge w:val="continue"/>
            <w:tcMar>
              <w:top w:w="28" w:type="dxa"/>
              <w:left w:w="28" w:type="dxa"/>
              <w:bottom w:w="28" w:type="dxa"/>
              <w:right w:w="28" w:type="dxa"/>
            </w:tcMar>
            <w:vAlign w:val="center"/>
          </w:tcPr>
          <w:p w14:paraId="751591BD">
            <w:pPr>
              <w:pStyle w:val="35"/>
              <w:spacing w:line="240" w:lineRule="auto"/>
              <w:jc w:val="center"/>
              <w:rPr>
                <w:rFonts w:ascii="Times New Roman" w:hAnsi="Times New Roman" w:eastAsia="宋体" w:cs="Times New Roman"/>
                <w:lang w:val="en-US"/>
              </w:rPr>
            </w:pPr>
          </w:p>
        </w:tc>
        <w:tc>
          <w:tcPr>
            <w:tcW w:w="1125" w:type="dxa"/>
            <w:vMerge w:val="continue"/>
            <w:tcMar>
              <w:top w:w="28" w:type="dxa"/>
              <w:left w:w="28" w:type="dxa"/>
              <w:bottom w:w="28" w:type="dxa"/>
              <w:right w:w="28" w:type="dxa"/>
            </w:tcMar>
            <w:vAlign w:val="center"/>
          </w:tcPr>
          <w:p w14:paraId="2C3CAD93">
            <w:pPr>
              <w:pStyle w:val="35"/>
              <w:spacing w:line="240" w:lineRule="auto"/>
              <w:jc w:val="center"/>
              <w:rPr>
                <w:rFonts w:ascii="Times New Roman" w:hAnsi="Times New Roman" w:eastAsia="宋体" w:cs="Times New Roman"/>
                <w:lang w:val="en-US"/>
              </w:rPr>
            </w:pPr>
          </w:p>
        </w:tc>
        <w:tc>
          <w:tcPr>
            <w:tcW w:w="1836" w:type="dxa"/>
            <w:tcMar>
              <w:top w:w="28" w:type="dxa"/>
              <w:left w:w="28" w:type="dxa"/>
              <w:bottom w:w="28" w:type="dxa"/>
              <w:right w:w="28" w:type="dxa"/>
            </w:tcMar>
            <w:vAlign w:val="center"/>
          </w:tcPr>
          <w:p w14:paraId="3F50BB0D">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lang w:val="en-US"/>
              </w:rPr>
              <w:t>投标报价</w:t>
            </w:r>
          </w:p>
        </w:tc>
        <w:tc>
          <w:tcPr>
            <w:tcW w:w="5534" w:type="dxa"/>
            <w:tcMar>
              <w:top w:w="28" w:type="dxa"/>
              <w:left w:w="28" w:type="dxa"/>
              <w:bottom w:w="28" w:type="dxa"/>
              <w:right w:w="28" w:type="dxa"/>
            </w:tcMar>
            <w:vAlign w:val="center"/>
          </w:tcPr>
          <w:p w14:paraId="51644008">
            <w:pPr>
              <w:pStyle w:val="35"/>
              <w:spacing w:line="240" w:lineRule="auto"/>
              <w:rPr>
                <w:rFonts w:ascii="Times New Roman" w:hAnsi="Times New Roman" w:eastAsia="宋体" w:cs="Times New Roman"/>
                <w:lang w:val="en-US"/>
              </w:rPr>
            </w:pPr>
            <w:r>
              <w:rPr>
                <w:rFonts w:hint="eastAsia" w:ascii="Times New Roman" w:hAnsi="Times New Roman" w:eastAsia="宋体" w:cs="宋体"/>
                <w:lang w:val="en-US"/>
              </w:rPr>
              <w:t>符合招标文件规定。</w:t>
            </w:r>
          </w:p>
        </w:tc>
      </w:tr>
      <w:tr w14:paraId="31765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0" w:hRule="atLeast"/>
          <w:jc w:val="center"/>
        </w:trPr>
        <w:tc>
          <w:tcPr>
            <w:tcW w:w="605" w:type="dxa"/>
            <w:vMerge w:val="continue"/>
            <w:tcMar>
              <w:top w:w="28" w:type="dxa"/>
              <w:left w:w="28" w:type="dxa"/>
              <w:bottom w:w="28" w:type="dxa"/>
              <w:right w:w="28" w:type="dxa"/>
            </w:tcMar>
            <w:vAlign w:val="center"/>
          </w:tcPr>
          <w:p w14:paraId="7444056E">
            <w:pPr>
              <w:pStyle w:val="35"/>
              <w:spacing w:line="240" w:lineRule="auto"/>
              <w:rPr>
                <w:rFonts w:hint="eastAsia"/>
              </w:rPr>
            </w:pPr>
          </w:p>
        </w:tc>
        <w:tc>
          <w:tcPr>
            <w:tcW w:w="1125" w:type="dxa"/>
            <w:vMerge w:val="continue"/>
            <w:tcMar>
              <w:top w:w="28" w:type="dxa"/>
              <w:left w:w="28" w:type="dxa"/>
              <w:bottom w:w="28" w:type="dxa"/>
              <w:right w:w="28" w:type="dxa"/>
            </w:tcMar>
            <w:vAlign w:val="center"/>
          </w:tcPr>
          <w:p w14:paraId="33034CAD">
            <w:pPr>
              <w:pStyle w:val="35"/>
              <w:spacing w:line="240" w:lineRule="auto"/>
              <w:rPr>
                <w:rFonts w:hint="eastAsia"/>
              </w:rPr>
            </w:pPr>
          </w:p>
        </w:tc>
        <w:tc>
          <w:tcPr>
            <w:tcW w:w="1836" w:type="dxa"/>
            <w:tcMar>
              <w:top w:w="28" w:type="dxa"/>
              <w:left w:w="28" w:type="dxa"/>
              <w:bottom w:w="28" w:type="dxa"/>
              <w:right w:w="28" w:type="dxa"/>
            </w:tcMar>
            <w:vAlign w:val="center"/>
          </w:tcPr>
          <w:p w14:paraId="2E409DC0">
            <w:pPr>
              <w:pStyle w:val="35"/>
              <w:spacing w:line="240" w:lineRule="auto"/>
              <w:jc w:val="center"/>
              <w:rPr>
                <w:rFonts w:ascii="Times New Roman" w:hAnsi="Times New Roman" w:eastAsia="宋体" w:cs="宋体"/>
                <w:lang w:val="en-US"/>
              </w:rPr>
            </w:pPr>
            <w:r>
              <w:rPr>
                <w:rFonts w:hint="eastAsia" w:ascii="Times New Roman" w:hAnsi="Times New Roman" w:eastAsia="宋体" w:cs="宋体"/>
                <w:lang w:val="en-US"/>
              </w:rPr>
              <w:t>技术标准和要求</w:t>
            </w:r>
          </w:p>
        </w:tc>
        <w:tc>
          <w:tcPr>
            <w:tcW w:w="5534" w:type="dxa"/>
            <w:tcMar>
              <w:top w:w="28" w:type="dxa"/>
              <w:left w:w="28" w:type="dxa"/>
              <w:bottom w:w="28" w:type="dxa"/>
              <w:right w:w="28" w:type="dxa"/>
            </w:tcMar>
            <w:vAlign w:val="center"/>
          </w:tcPr>
          <w:p w14:paraId="3A819B53">
            <w:pPr>
              <w:pStyle w:val="35"/>
              <w:spacing w:line="240" w:lineRule="auto"/>
              <w:rPr>
                <w:rFonts w:ascii="Times New Roman" w:hAnsi="Times New Roman" w:eastAsia="宋体" w:cs="宋体"/>
                <w:lang w:val="en-US"/>
              </w:rPr>
            </w:pPr>
            <w:r>
              <w:rPr>
                <w:rFonts w:hint="eastAsia" w:ascii="Times New Roman" w:hAnsi="Times New Roman" w:eastAsia="宋体" w:cs="宋体"/>
                <w:lang w:val="en-US"/>
              </w:rPr>
              <w:t>符合国家有关“技术标准和要求”规定</w:t>
            </w:r>
          </w:p>
        </w:tc>
      </w:tr>
      <w:tr w14:paraId="50AC5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0" w:hRule="atLeast"/>
          <w:jc w:val="center"/>
        </w:trPr>
        <w:tc>
          <w:tcPr>
            <w:tcW w:w="605" w:type="dxa"/>
            <w:vMerge w:val="continue"/>
            <w:tcMar>
              <w:top w:w="28" w:type="dxa"/>
              <w:left w:w="28" w:type="dxa"/>
              <w:bottom w:w="28" w:type="dxa"/>
              <w:right w:w="28" w:type="dxa"/>
            </w:tcMar>
            <w:vAlign w:val="center"/>
          </w:tcPr>
          <w:p w14:paraId="5E791C4D">
            <w:pPr>
              <w:pStyle w:val="35"/>
              <w:spacing w:line="240" w:lineRule="auto"/>
              <w:rPr>
                <w:rFonts w:hint="eastAsia"/>
              </w:rPr>
            </w:pPr>
          </w:p>
        </w:tc>
        <w:tc>
          <w:tcPr>
            <w:tcW w:w="1125" w:type="dxa"/>
            <w:vMerge w:val="continue"/>
            <w:tcMar>
              <w:top w:w="28" w:type="dxa"/>
              <w:left w:w="28" w:type="dxa"/>
              <w:bottom w:w="28" w:type="dxa"/>
              <w:right w:w="28" w:type="dxa"/>
            </w:tcMar>
            <w:vAlign w:val="center"/>
          </w:tcPr>
          <w:p w14:paraId="2A4EFEB9">
            <w:pPr>
              <w:pStyle w:val="35"/>
              <w:spacing w:line="240" w:lineRule="auto"/>
              <w:rPr>
                <w:rFonts w:hint="eastAsia"/>
              </w:rPr>
            </w:pPr>
          </w:p>
        </w:tc>
        <w:tc>
          <w:tcPr>
            <w:tcW w:w="1836" w:type="dxa"/>
            <w:tcMar>
              <w:top w:w="28" w:type="dxa"/>
              <w:left w:w="28" w:type="dxa"/>
              <w:bottom w:w="28" w:type="dxa"/>
              <w:right w:w="28" w:type="dxa"/>
            </w:tcMar>
            <w:vAlign w:val="center"/>
          </w:tcPr>
          <w:p w14:paraId="6998C610">
            <w:pPr>
              <w:pStyle w:val="35"/>
              <w:spacing w:line="240" w:lineRule="auto"/>
              <w:jc w:val="center"/>
              <w:rPr>
                <w:rFonts w:ascii="Times New Roman" w:hAnsi="Times New Roman" w:eastAsia="宋体" w:cs="宋体"/>
                <w:lang w:val="en-US"/>
              </w:rPr>
            </w:pPr>
            <w:r>
              <w:rPr>
                <w:rFonts w:hint="eastAsia" w:ascii="Times New Roman" w:hAnsi="Times New Roman" w:eastAsia="宋体" w:cs="宋体"/>
                <w:lang w:val="en-US"/>
              </w:rPr>
              <w:t>其他实质性要求</w:t>
            </w:r>
          </w:p>
        </w:tc>
        <w:tc>
          <w:tcPr>
            <w:tcW w:w="5534" w:type="dxa"/>
            <w:tcMar>
              <w:top w:w="28" w:type="dxa"/>
              <w:left w:w="28" w:type="dxa"/>
              <w:bottom w:w="28" w:type="dxa"/>
              <w:right w:w="28" w:type="dxa"/>
            </w:tcMar>
            <w:vAlign w:val="center"/>
          </w:tcPr>
          <w:p w14:paraId="6C2CFF06">
            <w:pPr>
              <w:pStyle w:val="35"/>
              <w:spacing w:line="240" w:lineRule="auto"/>
              <w:rPr>
                <w:rFonts w:ascii="Times New Roman" w:hAnsi="Times New Roman" w:eastAsia="宋体" w:cs="宋体"/>
                <w:lang w:val="en-US"/>
              </w:rPr>
            </w:pPr>
            <w:r>
              <w:rPr>
                <w:rFonts w:hint="eastAsia" w:ascii="Times New Roman" w:hAnsi="Times New Roman" w:eastAsia="宋体" w:cs="宋体"/>
                <w:lang w:val="en-US"/>
              </w:rPr>
              <w:t>符合招标文件中规定的其他实质性要求</w:t>
            </w:r>
          </w:p>
        </w:tc>
      </w:tr>
      <w:tr w14:paraId="3797B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4" w:hRule="atLeast"/>
          <w:jc w:val="center"/>
        </w:trPr>
        <w:tc>
          <w:tcPr>
            <w:tcW w:w="605" w:type="dxa"/>
            <w:vMerge w:val="continue"/>
            <w:tcMar>
              <w:top w:w="28" w:type="dxa"/>
              <w:left w:w="28" w:type="dxa"/>
              <w:bottom w:w="28" w:type="dxa"/>
              <w:right w:w="28" w:type="dxa"/>
            </w:tcMar>
            <w:vAlign w:val="center"/>
          </w:tcPr>
          <w:p w14:paraId="49E74749">
            <w:pPr>
              <w:pStyle w:val="35"/>
              <w:spacing w:line="240" w:lineRule="auto"/>
              <w:rPr>
                <w:rFonts w:hint="eastAsia"/>
              </w:rPr>
            </w:pPr>
          </w:p>
        </w:tc>
        <w:tc>
          <w:tcPr>
            <w:tcW w:w="1125" w:type="dxa"/>
            <w:vMerge w:val="continue"/>
            <w:tcMar>
              <w:top w:w="28" w:type="dxa"/>
              <w:left w:w="28" w:type="dxa"/>
              <w:bottom w:w="28" w:type="dxa"/>
              <w:right w:w="28" w:type="dxa"/>
            </w:tcMar>
            <w:vAlign w:val="center"/>
          </w:tcPr>
          <w:p w14:paraId="74DA1A3F">
            <w:pPr>
              <w:pStyle w:val="35"/>
              <w:spacing w:line="240" w:lineRule="auto"/>
              <w:rPr>
                <w:rFonts w:hint="eastAsia"/>
              </w:rPr>
            </w:pPr>
          </w:p>
        </w:tc>
        <w:tc>
          <w:tcPr>
            <w:tcW w:w="1836" w:type="dxa"/>
            <w:tcMar>
              <w:top w:w="28" w:type="dxa"/>
              <w:left w:w="28" w:type="dxa"/>
              <w:bottom w:w="28" w:type="dxa"/>
              <w:right w:w="28" w:type="dxa"/>
            </w:tcMar>
            <w:vAlign w:val="center"/>
          </w:tcPr>
          <w:p w14:paraId="267C20C9">
            <w:pPr>
              <w:pStyle w:val="35"/>
              <w:spacing w:line="240" w:lineRule="auto"/>
              <w:jc w:val="center"/>
              <w:rPr>
                <w:rFonts w:ascii="Times New Roman" w:hAnsi="Times New Roman" w:eastAsia="宋体" w:cs="宋体"/>
                <w:lang w:val="en-US"/>
              </w:rPr>
            </w:pPr>
            <w:r>
              <w:rPr>
                <w:rFonts w:hint="eastAsia" w:ascii="Times New Roman" w:hAnsi="Times New Roman" w:eastAsia="宋体" w:cs="宋体"/>
                <w:lang w:val="en-US"/>
              </w:rPr>
              <w:t>否决投标条件</w:t>
            </w:r>
          </w:p>
        </w:tc>
        <w:tc>
          <w:tcPr>
            <w:tcW w:w="5534" w:type="dxa"/>
            <w:tcMar>
              <w:top w:w="28" w:type="dxa"/>
              <w:left w:w="28" w:type="dxa"/>
              <w:bottom w:w="28" w:type="dxa"/>
              <w:right w:w="28" w:type="dxa"/>
            </w:tcMar>
            <w:vAlign w:val="center"/>
          </w:tcPr>
          <w:p w14:paraId="2FB94ADE">
            <w:pPr>
              <w:pStyle w:val="35"/>
              <w:spacing w:line="240" w:lineRule="auto"/>
              <w:rPr>
                <w:rFonts w:ascii="Times New Roman" w:hAnsi="Times New Roman" w:eastAsia="宋体" w:cs="宋体"/>
                <w:lang w:val="en-US"/>
              </w:rPr>
            </w:pPr>
            <w:r>
              <w:rPr>
                <w:rFonts w:hint="eastAsia" w:ascii="Times New Roman" w:hAnsi="Times New Roman" w:eastAsia="宋体" w:cs="宋体"/>
                <w:lang w:val="en-US"/>
              </w:rPr>
              <w:t>存在第三章“评标方法”附件B的规定内容</w:t>
            </w:r>
          </w:p>
        </w:tc>
      </w:tr>
      <w:tr w14:paraId="476C7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jc w:val="center"/>
        </w:trPr>
        <w:tc>
          <w:tcPr>
            <w:tcW w:w="605" w:type="dxa"/>
            <w:tcMar>
              <w:top w:w="28" w:type="dxa"/>
              <w:left w:w="28" w:type="dxa"/>
              <w:bottom w:w="28" w:type="dxa"/>
              <w:right w:w="28" w:type="dxa"/>
            </w:tcMar>
            <w:vAlign w:val="center"/>
          </w:tcPr>
          <w:p w14:paraId="129D52EA">
            <w:pPr>
              <w:pStyle w:val="35"/>
              <w:spacing w:line="240" w:lineRule="auto"/>
              <w:jc w:val="center"/>
              <w:rPr>
                <w:rFonts w:ascii="Times New Roman" w:hAnsi="Times New Roman" w:eastAsia="宋体" w:cs="Times New Roman"/>
                <w:lang w:val="en-US"/>
              </w:rPr>
            </w:pPr>
            <w:r>
              <w:rPr>
                <w:rFonts w:hint="eastAsia" w:ascii="Times New Roman" w:hAnsi="Times New Roman" w:eastAsia="宋体" w:cs="Times New Roman"/>
                <w:b/>
                <w:bCs/>
                <w:lang w:val="en-US"/>
              </w:rPr>
              <w:t>2.2</w:t>
            </w:r>
          </w:p>
        </w:tc>
        <w:tc>
          <w:tcPr>
            <w:tcW w:w="1125" w:type="dxa"/>
            <w:tcMar>
              <w:top w:w="28" w:type="dxa"/>
              <w:left w:w="28" w:type="dxa"/>
              <w:bottom w:w="28" w:type="dxa"/>
              <w:right w:w="28" w:type="dxa"/>
            </w:tcMar>
            <w:vAlign w:val="center"/>
          </w:tcPr>
          <w:p w14:paraId="739B0D80">
            <w:pPr>
              <w:pStyle w:val="35"/>
              <w:spacing w:line="240" w:lineRule="auto"/>
              <w:jc w:val="center"/>
              <w:rPr>
                <w:rFonts w:ascii="Times New Roman" w:hAnsi="Times New Roman" w:eastAsia="宋体" w:cs="Times New Roman"/>
                <w:lang w:val="en-US"/>
              </w:rPr>
            </w:pPr>
            <w:r>
              <w:rPr>
                <w:rFonts w:hint="eastAsia" w:ascii="Times New Roman" w:hAnsi="Times New Roman" w:eastAsia="宋体" w:cs="宋体"/>
                <w:b/>
                <w:bCs/>
                <w:lang w:val="en-US"/>
              </w:rPr>
              <w:t>详细评审</w:t>
            </w:r>
          </w:p>
        </w:tc>
        <w:tc>
          <w:tcPr>
            <w:tcW w:w="1836" w:type="dxa"/>
            <w:tcMar>
              <w:top w:w="28" w:type="dxa"/>
              <w:left w:w="28" w:type="dxa"/>
              <w:bottom w:w="28" w:type="dxa"/>
              <w:right w:w="28" w:type="dxa"/>
            </w:tcMar>
            <w:vAlign w:val="center"/>
          </w:tcPr>
          <w:p w14:paraId="5399734B">
            <w:pPr>
              <w:pStyle w:val="35"/>
              <w:spacing w:line="240" w:lineRule="auto"/>
              <w:rPr>
                <w:rFonts w:ascii="Times New Roman" w:hAnsi="Times New Roman" w:eastAsia="宋体" w:cs="Times New Roman"/>
                <w:lang w:val="en-US"/>
              </w:rPr>
            </w:pPr>
            <w:r>
              <w:rPr>
                <w:rFonts w:hint="eastAsia" w:ascii="Times New Roman" w:hAnsi="Times New Roman" w:eastAsia="宋体" w:cs="宋体"/>
                <w:lang w:val="en-US"/>
              </w:rPr>
              <w:t>评审办法说明</w:t>
            </w:r>
          </w:p>
        </w:tc>
        <w:tc>
          <w:tcPr>
            <w:tcW w:w="5534" w:type="dxa"/>
            <w:tcMar>
              <w:top w:w="28" w:type="dxa"/>
              <w:left w:w="28" w:type="dxa"/>
              <w:bottom w:w="28" w:type="dxa"/>
              <w:right w:w="28" w:type="dxa"/>
            </w:tcMar>
            <w:vAlign w:val="center"/>
          </w:tcPr>
          <w:p w14:paraId="28F7D655">
            <w:pPr>
              <w:pStyle w:val="35"/>
              <w:spacing w:line="240" w:lineRule="auto"/>
              <w:rPr>
                <w:rFonts w:ascii="Times New Roman" w:hAnsi="Times New Roman" w:eastAsia="宋体" w:cs="Times New Roman"/>
                <w:lang w:val="en-US"/>
              </w:rPr>
            </w:pPr>
            <w:r>
              <w:rPr>
                <w:rFonts w:hint="eastAsia" w:ascii="Times New Roman" w:hAnsi="Times New Roman" w:eastAsia="宋体" w:cs="宋体"/>
                <w:lang w:val="en-US"/>
              </w:rPr>
              <w:t>本项目详细评审办法采用综合评估法。第一阶段评标委员会对通过初步评审的投标文件进行详细评审。第二阶段评标委员会按最后得分由高到低推荐三家中标候选人。若投标人最后得分相同时，推荐中标候选人的顺序按商务部分得分由高到低的顺序推荐中标候选人，若商务部分得分也相同时，则不记名投票确定。</w:t>
            </w:r>
          </w:p>
        </w:tc>
      </w:tr>
    </w:tbl>
    <w:p w14:paraId="62898EFE">
      <w:pPr>
        <w:widowControl/>
        <w:jc w:val="left"/>
        <w:rPr>
          <w:rFonts w:cs="Times New Roman"/>
          <w:kern w:val="0"/>
          <w:sz w:val="24"/>
          <w:szCs w:val="24"/>
        </w:rPr>
        <w:sectPr>
          <w:footerReference r:id="rId5" w:type="default"/>
          <w:pgSz w:w="11905" w:h="16838"/>
          <w:pgMar w:top="1417" w:right="1417" w:bottom="1304" w:left="1417" w:header="850" w:footer="992" w:gutter="0"/>
          <w:cols w:space="0" w:num="1"/>
          <w:docGrid w:type="lines" w:linePitch="314" w:charSpace="0"/>
        </w:sectPr>
      </w:pPr>
    </w:p>
    <w:tbl>
      <w:tblPr>
        <w:tblStyle w:val="25"/>
        <w:tblW w:w="9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7"/>
        <w:gridCol w:w="1113"/>
        <w:gridCol w:w="1836"/>
        <w:gridCol w:w="5534"/>
      </w:tblGrid>
      <w:tr w14:paraId="0DCEB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jc w:val="center"/>
        </w:trPr>
        <w:tc>
          <w:tcPr>
            <w:tcW w:w="617" w:type="dxa"/>
            <w:tcMar>
              <w:top w:w="28" w:type="dxa"/>
              <w:left w:w="28" w:type="dxa"/>
              <w:bottom w:w="28" w:type="dxa"/>
              <w:right w:w="28" w:type="dxa"/>
            </w:tcMar>
            <w:vAlign w:val="center"/>
          </w:tcPr>
          <w:p w14:paraId="50DF028C">
            <w:pPr>
              <w:pStyle w:val="35"/>
              <w:snapToGrid w:val="0"/>
              <w:spacing w:line="360" w:lineRule="auto"/>
              <w:jc w:val="center"/>
              <w:rPr>
                <w:rFonts w:ascii="Times New Roman" w:hAnsi="Times New Roman" w:eastAsia="宋体" w:cs="Times New Roman"/>
                <w:b/>
                <w:bCs/>
                <w:lang w:val="en-US"/>
              </w:rPr>
            </w:pPr>
            <w:r>
              <w:rPr>
                <w:rFonts w:hint="eastAsia" w:ascii="Times New Roman" w:hAnsi="Times New Roman" w:eastAsia="宋体" w:cs="宋体"/>
                <w:b/>
                <w:bCs/>
                <w:lang w:val="en-US"/>
              </w:rPr>
              <w:t>条款号</w:t>
            </w:r>
          </w:p>
        </w:tc>
        <w:tc>
          <w:tcPr>
            <w:tcW w:w="1113" w:type="dxa"/>
            <w:tcMar>
              <w:top w:w="28" w:type="dxa"/>
              <w:left w:w="28" w:type="dxa"/>
              <w:bottom w:w="28" w:type="dxa"/>
              <w:right w:w="28" w:type="dxa"/>
            </w:tcMar>
            <w:vAlign w:val="center"/>
          </w:tcPr>
          <w:p w14:paraId="07F9A20A">
            <w:pPr>
              <w:pStyle w:val="35"/>
              <w:snapToGrid w:val="0"/>
              <w:spacing w:line="360" w:lineRule="auto"/>
              <w:jc w:val="center"/>
              <w:rPr>
                <w:rFonts w:ascii="Times New Roman" w:hAnsi="Times New Roman" w:eastAsia="宋体" w:cs="Times New Roman"/>
                <w:b/>
                <w:bCs/>
                <w:lang w:val="en-US"/>
              </w:rPr>
            </w:pPr>
            <w:r>
              <w:rPr>
                <w:rFonts w:hint="eastAsia" w:ascii="Times New Roman" w:hAnsi="Times New Roman" w:eastAsia="宋体" w:cs="宋体"/>
                <w:b/>
                <w:bCs/>
                <w:lang w:val="en-US"/>
              </w:rPr>
              <w:t>评审条款</w:t>
            </w:r>
          </w:p>
        </w:tc>
        <w:tc>
          <w:tcPr>
            <w:tcW w:w="1836" w:type="dxa"/>
            <w:tcMar>
              <w:top w:w="28" w:type="dxa"/>
              <w:left w:w="28" w:type="dxa"/>
              <w:bottom w:w="28" w:type="dxa"/>
              <w:right w:w="28" w:type="dxa"/>
            </w:tcMar>
            <w:vAlign w:val="center"/>
          </w:tcPr>
          <w:p w14:paraId="544C371E">
            <w:pPr>
              <w:pStyle w:val="35"/>
              <w:snapToGrid w:val="0"/>
              <w:spacing w:line="360" w:lineRule="auto"/>
              <w:jc w:val="center"/>
              <w:rPr>
                <w:rFonts w:ascii="Times New Roman" w:hAnsi="Times New Roman" w:eastAsia="宋体" w:cs="Times New Roman"/>
                <w:b/>
                <w:bCs/>
                <w:lang w:val="en-US"/>
              </w:rPr>
            </w:pPr>
            <w:r>
              <w:rPr>
                <w:rFonts w:hint="eastAsia" w:ascii="Times New Roman" w:hAnsi="Times New Roman" w:eastAsia="宋体" w:cs="宋体"/>
                <w:b/>
                <w:bCs/>
                <w:lang w:val="en-US"/>
              </w:rPr>
              <w:t>评审因素</w:t>
            </w:r>
          </w:p>
        </w:tc>
        <w:tc>
          <w:tcPr>
            <w:tcW w:w="5534" w:type="dxa"/>
            <w:tcMar>
              <w:top w:w="28" w:type="dxa"/>
              <w:left w:w="28" w:type="dxa"/>
              <w:bottom w:w="28" w:type="dxa"/>
              <w:right w:w="28" w:type="dxa"/>
            </w:tcMar>
            <w:vAlign w:val="center"/>
          </w:tcPr>
          <w:p w14:paraId="568B7C39">
            <w:pPr>
              <w:pStyle w:val="35"/>
              <w:snapToGrid w:val="0"/>
              <w:spacing w:line="360" w:lineRule="auto"/>
              <w:ind w:firstLine="2168" w:firstLineChars="1200"/>
              <w:rPr>
                <w:rFonts w:ascii="Times New Roman" w:hAnsi="Times New Roman" w:eastAsia="宋体" w:cs="Times New Roman"/>
                <w:b/>
                <w:bCs/>
                <w:lang w:val="en-US"/>
              </w:rPr>
            </w:pPr>
            <w:r>
              <w:rPr>
                <w:rFonts w:hint="eastAsia" w:ascii="Times New Roman" w:hAnsi="Times New Roman" w:eastAsia="宋体" w:cs="宋体"/>
                <w:b/>
                <w:bCs/>
                <w:lang w:val="en-US"/>
              </w:rPr>
              <w:t>评审标准</w:t>
            </w:r>
          </w:p>
        </w:tc>
      </w:tr>
      <w:tr w14:paraId="7BABE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1" w:hRule="atLeast"/>
          <w:jc w:val="center"/>
        </w:trPr>
        <w:tc>
          <w:tcPr>
            <w:tcW w:w="617" w:type="dxa"/>
            <w:vMerge w:val="restart"/>
            <w:tcMar>
              <w:top w:w="28" w:type="dxa"/>
              <w:left w:w="28" w:type="dxa"/>
              <w:bottom w:w="28" w:type="dxa"/>
              <w:right w:w="28" w:type="dxa"/>
            </w:tcMar>
            <w:vAlign w:val="center"/>
          </w:tcPr>
          <w:p w14:paraId="45F86617">
            <w:pPr>
              <w:pStyle w:val="35"/>
              <w:snapToGrid w:val="0"/>
              <w:spacing w:line="360" w:lineRule="auto"/>
              <w:jc w:val="center"/>
              <w:rPr>
                <w:rFonts w:ascii="Times New Roman" w:hAnsi="Times New Roman" w:eastAsia="宋体" w:cs="Times New Roman"/>
                <w:lang w:val="en-US"/>
              </w:rPr>
            </w:pPr>
            <w:r>
              <w:rPr>
                <w:rFonts w:hint="eastAsia" w:ascii="Times New Roman" w:hAnsi="Times New Roman" w:eastAsia="宋体" w:cs="Times New Roman"/>
                <w:lang w:val="en-US"/>
              </w:rPr>
              <w:t>2.2.1</w:t>
            </w:r>
          </w:p>
        </w:tc>
        <w:tc>
          <w:tcPr>
            <w:tcW w:w="1113" w:type="dxa"/>
            <w:vMerge w:val="restart"/>
            <w:tcMar>
              <w:top w:w="28" w:type="dxa"/>
              <w:left w:w="28" w:type="dxa"/>
              <w:bottom w:w="28" w:type="dxa"/>
              <w:right w:w="28" w:type="dxa"/>
            </w:tcMar>
            <w:vAlign w:val="center"/>
          </w:tcPr>
          <w:p w14:paraId="4F703815">
            <w:pPr>
              <w:pStyle w:val="35"/>
              <w:snapToGrid w:val="0"/>
              <w:spacing w:line="360" w:lineRule="auto"/>
              <w:jc w:val="center"/>
              <w:rPr>
                <w:rFonts w:ascii="Times New Roman" w:hAnsi="Times New Roman" w:eastAsia="宋体" w:cs="Times New Roman"/>
                <w:lang w:val="en-US"/>
              </w:rPr>
            </w:pPr>
            <w:r>
              <w:rPr>
                <w:rFonts w:hint="eastAsia" w:ascii="Times New Roman" w:hAnsi="Times New Roman" w:eastAsia="宋体" w:cs="宋体"/>
                <w:lang w:val="en-US"/>
              </w:rPr>
              <w:t>商务部分</w:t>
            </w:r>
          </w:p>
          <w:p w14:paraId="53CDBD83">
            <w:pPr>
              <w:pStyle w:val="35"/>
              <w:snapToGrid w:val="0"/>
              <w:spacing w:line="360" w:lineRule="auto"/>
              <w:jc w:val="center"/>
              <w:rPr>
                <w:rFonts w:ascii="Times New Roman" w:hAnsi="Times New Roman" w:eastAsia="宋体" w:cs="Times New Roman"/>
                <w:lang w:val="en-US"/>
              </w:rPr>
            </w:pPr>
            <w:r>
              <w:rPr>
                <w:rFonts w:hint="eastAsia" w:ascii="Times New Roman" w:hAnsi="Times New Roman" w:eastAsia="宋体" w:cs="宋体"/>
                <w:lang w:val="en-US"/>
              </w:rPr>
              <w:t>评审标准</w:t>
            </w:r>
          </w:p>
          <w:p w14:paraId="04D03551">
            <w:pPr>
              <w:pStyle w:val="35"/>
              <w:snapToGrid w:val="0"/>
              <w:spacing w:line="360" w:lineRule="auto"/>
              <w:jc w:val="center"/>
              <w:rPr>
                <w:rFonts w:ascii="Times New Roman" w:hAnsi="Times New Roman" w:eastAsia="宋体" w:cs="Times New Roman"/>
                <w:lang w:val="en-US"/>
              </w:rPr>
            </w:pPr>
            <w:r>
              <w:rPr>
                <w:rFonts w:hint="eastAsia" w:ascii="Times New Roman" w:hAnsi="Times New Roman" w:eastAsia="宋体" w:cs="宋体"/>
                <w:lang w:val="en-US"/>
              </w:rPr>
              <w:t>（满分</w:t>
            </w:r>
            <w:r>
              <w:rPr>
                <w:rFonts w:hint="eastAsia" w:ascii="Times New Roman" w:hAnsi="Times New Roman" w:eastAsia="宋体" w:cs="Times New Roman"/>
                <w:lang w:val="en-US"/>
              </w:rPr>
              <w:t>20</w:t>
            </w:r>
            <w:r>
              <w:rPr>
                <w:rFonts w:hint="eastAsia" w:ascii="Times New Roman" w:hAnsi="Times New Roman" w:eastAsia="宋体" w:cs="宋体"/>
                <w:lang w:val="en-US"/>
              </w:rPr>
              <w:t>分）</w:t>
            </w:r>
          </w:p>
        </w:tc>
        <w:tc>
          <w:tcPr>
            <w:tcW w:w="1836" w:type="dxa"/>
            <w:tcMar>
              <w:top w:w="28" w:type="dxa"/>
              <w:left w:w="28" w:type="dxa"/>
              <w:bottom w:w="28" w:type="dxa"/>
              <w:right w:w="28" w:type="dxa"/>
            </w:tcMar>
            <w:vAlign w:val="center"/>
          </w:tcPr>
          <w:p w14:paraId="48D2FEAA">
            <w:pPr>
              <w:pStyle w:val="35"/>
              <w:snapToGrid w:val="0"/>
              <w:spacing w:line="360" w:lineRule="auto"/>
              <w:jc w:val="center"/>
              <w:rPr>
                <w:rFonts w:ascii="Times New Roman" w:hAnsi="Times New Roman" w:eastAsia="宋体" w:cs="宋体"/>
                <w:lang w:val="en-US"/>
              </w:rPr>
            </w:pPr>
            <w:r>
              <w:rPr>
                <w:rFonts w:hint="eastAsia" w:ascii="宋体" w:eastAsia="宋体" w:cs="宋体"/>
                <w:lang w:val="en-US"/>
              </w:rPr>
              <w:t>工程设计费投标报价评审</w:t>
            </w:r>
          </w:p>
        </w:tc>
        <w:tc>
          <w:tcPr>
            <w:tcW w:w="5534" w:type="dxa"/>
            <w:tcMar>
              <w:top w:w="28" w:type="dxa"/>
              <w:left w:w="28" w:type="dxa"/>
              <w:bottom w:w="28" w:type="dxa"/>
              <w:right w:w="28" w:type="dxa"/>
            </w:tcMar>
            <w:vAlign w:val="center"/>
          </w:tcPr>
          <w:p w14:paraId="7E12E944">
            <w:pPr>
              <w:pStyle w:val="35"/>
              <w:snapToGrid w:val="0"/>
              <w:spacing w:line="360" w:lineRule="auto"/>
              <w:jc w:val="both"/>
              <w:rPr>
                <w:rFonts w:ascii="Times New Roman" w:hAnsi="Times New Roman" w:eastAsia="宋体" w:cs="宋体"/>
                <w:lang w:val="en-US"/>
              </w:rPr>
            </w:pPr>
            <w:r>
              <w:rPr>
                <w:rFonts w:hint="eastAsia" w:ascii="Times New Roman" w:hAnsi="Times New Roman" w:eastAsia="宋体" w:cs="宋体"/>
                <w:lang w:val="en-US"/>
              </w:rPr>
              <w:t>满分5分。</w:t>
            </w:r>
          </w:p>
        </w:tc>
      </w:tr>
      <w:tr w14:paraId="6D68A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1" w:hRule="atLeast"/>
          <w:jc w:val="center"/>
        </w:trPr>
        <w:tc>
          <w:tcPr>
            <w:tcW w:w="617" w:type="dxa"/>
            <w:vMerge w:val="continue"/>
            <w:tcMar>
              <w:top w:w="28" w:type="dxa"/>
              <w:left w:w="28" w:type="dxa"/>
              <w:bottom w:w="28" w:type="dxa"/>
              <w:right w:w="28" w:type="dxa"/>
            </w:tcMar>
            <w:vAlign w:val="center"/>
          </w:tcPr>
          <w:p w14:paraId="71B39837">
            <w:pPr>
              <w:pStyle w:val="35"/>
              <w:snapToGrid w:val="0"/>
              <w:spacing w:line="360" w:lineRule="auto"/>
              <w:jc w:val="center"/>
              <w:rPr>
                <w:rFonts w:ascii="Times New Roman" w:hAnsi="Times New Roman" w:eastAsia="宋体" w:cs="Times New Roman"/>
                <w:lang w:val="en-US"/>
              </w:rPr>
            </w:pPr>
          </w:p>
        </w:tc>
        <w:tc>
          <w:tcPr>
            <w:tcW w:w="1113" w:type="dxa"/>
            <w:vMerge w:val="continue"/>
            <w:tcMar>
              <w:top w:w="28" w:type="dxa"/>
              <w:left w:w="28" w:type="dxa"/>
              <w:bottom w:w="28" w:type="dxa"/>
              <w:right w:w="28" w:type="dxa"/>
            </w:tcMar>
            <w:vAlign w:val="center"/>
          </w:tcPr>
          <w:p w14:paraId="64506FF2">
            <w:pPr>
              <w:pStyle w:val="35"/>
              <w:snapToGrid w:val="0"/>
              <w:spacing w:line="360" w:lineRule="auto"/>
              <w:jc w:val="center"/>
              <w:rPr>
                <w:rFonts w:ascii="Times New Roman" w:hAnsi="Times New Roman" w:eastAsia="宋体" w:cs="Times New Roman"/>
                <w:lang w:val="en-US"/>
              </w:rPr>
            </w:pPr>
          </w:p>
        </w:tc>
        <w:tc>
          <w:tcPr>
            <w:tcW w:w="1836" w:type="dxa"/>
            <w:tcMar>
              <w:top w:w="28" w:type="dxa"/>
              <w:left w:w="28" w:type="dxa"/>
              <w:bottom w:w="28" w:type="dxa"/>
              <w:right w:w="28" w:type="dxa"/>
            </w:tcMar>
            <w:vAlign w:val="center"/>
          </w:tcPr>
          <w:p w14:paraId="6CE663FB">
            <w:pPr>
              <w:pStyle w:val="35"/>
              <w:snapToGrid w:val="0"/>
              <w:spacing w:line="360" w:lineRule="auto"/>
              <w:jc w:val="center"/>
              <w:rPr>
                <w:rFonts w:ascii="Times New Roman" w:hAnsi="Times New Roman" w:eastAsia="宋体" w:cs="Times New Roman"/>
                <w:lang w:val="en-US"/>
              </w:rPr>
            </w:pPr>
            <w:r>
              <w:rPr>
                <w:rFonts w:hint="eastAsia" w:ascii="Times New Roman" w:hAnsi="Times New Roman" w:eastAsia="宋体" w:cs="宋体"/>
                <w:lang w:val="en-US"/>
              </w:rPr>
              <w:t>建安工程费投标报价评审</w:t>
            </w:r>
          </w:p>
        </w:tc>
        <w:tc>
          <w:tcPr>
            <w:tcW w:w="5534" w:type="dxa"/>
            <w:tcMar>
              <w:top w:w="28" w:type="dxa"/>
              <w:left w:w="28" w:type="dxa"/>
              <w:bottom w:w="28" w:type="dxa"/>
              <w:right w:w="28" w:type="dxa"/>
            </w:tcMar>
            <w:vAlign w:val="center"/>
          </w:tcPr>
          <w:p w14:paraId="29BC56E0">
            <w:pPr>
              <w:pStyle w:val="35"/>
              <w:snapToGrid w:val="0"/>
              <w:spacing w:line="360" w:lineRule="auto"/>
              <w:jc w:val="both"/>
              <w:rPr>
                <w:rFonts w:ascii="Times New Roman" w:hAnsi="Times New Roman" w:eastAsia="宋体" w:cs="宋体"/>
                <w:lang w:val="en-US"/>
              </w:rPr>
            </w:pPr>
            <w:r>
              <w:rPr>
                <w:rFonts w:hint="eastAsia" w:ascii="Times New Roman" w:hAnsi="Times New Roman" w:eastAsia="宋体" w:cs="宋体"/>
                <w:lang w:val="en-US"/>
              </w:rPr>
              <w:t xml:space="preserve">满分15分。 </w:t>
            </w:r>
          </w:p>
        </w:tc>
      </w:tr>
      <w:tr w14:paraId="2F358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3" w:hRule="atLeast"/>
          <w:jc w:val="center"/>
        </w:trPr>
        <w:tc>
          <w:tcPr>
            <w:tcW w:w="617" w:type="dxa"/>
            <w:vMerge w:val="restart"/>
            <w:tcMar>
              <w:top w:w="28" w:type="dxa"/>
              <w:left w:w="28" w:type="dxa"/>
              <w:bottom w:w="28" w:type="dxa"/>
              <w:right w:w="28" w:type="dxa"/>
            </w:tcMar>
            <w:vAlign w:val="center"/>
          </w:tcPr>
          <w:p w14:paraId="4D1EB08B">
            <w:pPr>
              <w:pStyle w:val="35"/>
              <w:snapToGrid w:val="0"/>
              <w:spacing w:line="360" w:lineRule="auto"/>
              <w:jc w:val="center"/>
              <w:rPr>
                <w:rFonts w:ascii="Times New Roman" w:hAnsi="Times New Roman" w:eastAsia="宋体" w:cs="Times New Roman"/>
                <w:lang w:val="en-US"/>
              </w:rPr>
            </w:pPr>
            <w:r>
              <w:rPr>
                <w:rFonts w:hint="eastAsia" w:ascii="Times New Roman" w:hAnsi="Times New Roman" w:eastAsia="宋体" w:cs="Times New Roman"/>
                <w:lang w:val="en-US"/>
              </w:rPr>
              <w:t>2.2.2</w:t>
            </w:r>
          </w:p>
        </w:tc>
        <w:tc>
          <w:tcPr>
            <w:tcW w:w="1113" w:type="dxa"/>
            <w:vMerge w:val="restart"/>
            <w:tcMar>
              <w:top w:w="28" w:type="dxa"/>
              <w:left w:w="28" w:type="dxa"/>
              <w:bottom w:w="28" w:type="dxa"/>
              <w:right w:w="28" w:type="dxa"/>
            </w:tcMar>
            <w:vAlign w:val="center"/>
          </w:tcPr>
          <w:p w14:paraId="76F3770E">
            <w:pPr>
              <w:pStyle w:val="35"/>
              <w:snapToGrid w:val="0"/>
              <w:spacing w:line="360" w:lineRule="auto"/>
              <w:jc w:val="center"/>
              <w:rPr>
                <w:rFonts w:ascii="Times New Roman" w:hAnsi="Times New Roman" w:eastAsia="宋体" w:cs="Times New Roman"/>
                <w:lang w:val="en-US"/>
              </w:rPr>
            </w:pPr>
            <w:r>
              <w:rPr>
                <w:rFonts w:hint="eastAsia" w:ascii="Times New Roman" w:hAnsi="Times New Roman" w:eastAsia="宋体" w:cs="宋体"/>
                <w:lang w:val="en-US"/>
              </w:rPr>
              <w:t>技术部分</w:t>
            </w:r>
          </w:p>
          <w:p w14:paraId="4D5C8B9C">
            <w:pPr>
              <w:pStyle w:val="35"/>
              <w:snapToGrid w:val="0"/>
              <w:spacing w:line="360" w:lineRule="auto"/>
              <w:jc w:val="center"/>
              <w:rPr>
                <w:rFonts w:ascii="Times New Roman" w:hAnsi="Times New Roman" w:eastAsia="宋体" w:cs="Times New Roman"/>
                <w:lang w:val="en-US"/>
              </w:rPr>
            </w:pPr>
            <w:r>
              <w:rPr>
                <w:rFonts w:hint="eastAsia" w:ascii="Times New Roman" w:hAnsi="Times New Roman" w:eastAsia="宋体" w:cs="宋体"/>
                <w:lang w:val="en-US"/>
              </w:rPr>
              <w:t>评审标准</w:t>
            </w:r>
          </w:p>
          <w:p w14:paraId="604A40C2">
            <w:pPr>
              <w:pStyle w:val="35"/>
              <w:snapToGrid w:val="0"/>
              <w:spacing w:line="360" w:lineRule="auto"/>
              <w:jc w:val="center"/>
              <w:rPr>
                <w:rFonts w:ascii="Times New Roman" w:hAnsi="Times New Roman" w:eastAsia="宋体" w:cs="Times New Roman"/>
                <w:lang w:val="en-US"/>
              </w:rPr>
            </w:pPr>
            <w:r>
              <w:rPr>
                <w:rFonts w:hint="eastAsia" w:ascii="Times New Roman" w:hAnsi="Times New Roman" w:eastAsia="宋体" w:cs="宋体"/>
                <w:lang w:val="en-US"/>
              </w:rPr>
              <w:t>（满分80分）</w:t>
            </w:r>
          </w:p>
        </w:tc>
        <w:tc>
          <w:tcPr>
            <w:tcW w:w="1836" w:type="dxa"/>
            <w:tcMar>
              <w:top w:w="28" w:type="dxa"/>
              <w:left w:w="28" w:type="dxa"/>
              <w:bottom w:w="28" w:type="dxa"/>
              <w:right w:w="28" w:type="dxa"/>
            </w:tcMar>
            <w:vAlign w:val="center"/>
          </w:tcPr>
          <w:p w14:paraId="0B107CD5">
            <w:pPr>
              <w:pStyle w:val="35"/>
              <w:snapToGrid w:val="0"/>
              <w:spacing w:line="360" w:lineRule="auto"/>
              <w:jc w:val="center"/>
              <w:rPr>
                <w:rFonts w:hint="eastAsia" w:ascii="宋体" w:eastAsia="宋体" w:cs="宋体"/>
                <w:lang w:val="en-US"/>
              </w:rPr>
            </w:pPr>
            <w:r>
              <w:rPr>
                <w:rFonts w:hint="eastAsia" w:ascii="宋体" w:eastAsia="宋体" w:cs="宋体"/>
                <w:lang w:val="en-US"/>
              </w:rPr>
              <w:t>总承包方案</w:t>
            </w:r>
          </w:p>
        </w:tc>
        <w:tc>
          <w:tcPr>
            <w:tcW w:w="5534" w:type="dxa"/>
            <w:tcMar>
              <w:top w:w="28" w:type="dxa"/>
              <w:left w:w="28" w:type="dxa"/>
              <w:bottom w:w="28" w:type="dxa"/>
              <w:right w:w="28" w:type="dxa"/>
            </w:tcMar>
            <w:vAlign w:val="center"/>
          </w:tcPr>
          <w:p w14:paraId="1F827995">
            <w:pPr>
              <w:pStyle w:val="35"/>
              <w:snapToGrid w:val="0"/>
              <w:spacing w:line="360" w:lineRule="auto"/>
              <w:rPr>
                <w:rFonts w:hint="eastAsia" w:ascii="宋体" w:eastAsia="宋体" w:cs="宋体"/>
                <w:lang w:val="en-US"/>
              </w:rPr>
            </w:pPr>
            <w:r>
              <w:rPr>
                <w:rFonts w:hint="eastAsia" w:ascii="宋体" w:eastAsia="宋体" w:cs="宋体"/>
                <w:lang w:val="en-US"/>
              </w:rPr>
              <w:t>满分15分。</w:t>
            </w:r>
          </w:p>
        </w:tc>
      </w:tr>
      <w:tr w14:paraId="042FA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2" w:hRule="atLeast"/>
          <w:jc w:val="center"/>
        </w:trPr>
        <w:tc>
          <w:tcPr>
            <w:tcW w:w="617" w:type="dxa"/>
            <w:vMerge w:val="continue"/>
            <w:tcMar>
              <w:top w:w="28" w:type="dxa"/>
              <w:left w:w="28" w:type="dxa"/>
              <w:bottom w:w="28" w:type="dxa"/>
              <w:right w:w="28" w:type="dxa"/>
            </w:tcMar>
            <w:vAlign w:val="center"/>
          </w:tcPr>
          <w:p w14:paraId="243629FD">
            <w:pPr>
              <w:pStyle w:val="35"/>
              <w:snapToGrid w:val="0"/>
              <w:spacing w:line="360" w:lineRule="auto"/>
              <w:jc w:val="center"/>
              <w:rPr>
                <w:rFonts w:ascii="Times New Roman" w:hAnsi="Times New Roman" w:eastAsia="宋体" w:cs="Times New Roman"/>
                <w:lang w:val="en-US"/>
              </w:rPr>
            </w:pPr>
          </w:p>
        </w:tc>
        <w:tc>
          <w:tcPr>
            <w:tcW w:w="1113" w:type="dxa"/>
            <w:vMerge w:val="continue"/>
            <w:tcMar>
              <w:top w:w="28" w:type="dxa"/>
              <w:left w:w="28" w:type="dxa"/>
              <w:bottom w:w="28" w:type="dxa"/>
              <w:right w:w="28" w:type="dxa"/>
            </w:tcMar>
            <w:vAlign w:val="center"/>
          </w:tcPr>
          <w:p w14:paraId="4BE272A2">
            <w:pPr>
              <w:pStyle w:val="35"/>
              <w:snapToGrid w:val="0"/>
              <w:spacing w:line="360" w:lineRule="auto"/>
              <w:rPr>
                <w:rFonts w:ascii="Times New Roman" w:hAnsi="Times New Roman" w:cs="Times New Roman"/>
                <w:lang w:val="en-US"/>
              </w:rPr>
            </w:pPr>
          </w:p>
        </w:tc>
        <w:tc>
          <w:tcPr>
            <w:tcW w:w="1836" w:type="dxa"/>
            <w:tcMar>
              <w:top w:w="28" w:type="dxa"/>
              <w:left w:w="28" w:type="dxa"/>
              <w:bottom w:w="28" w:type="dxa"/>
              <w:right w:w="28" w:type="dxa"/>
            </w:tcMar>
            <w:vAlign w:val="center"/>
          </w:tcPr>
          <w:p w14:paraId="4A2CD7EC">
            <w:pPr>
              <w:pStyle w:val="35"/>
              <w:snapToGrid w:val="0"/>
              <w:spacing w:line="360" w:lineRule="auto"/>
              <w:jc w:val="center"/>
              <w:rPr>
                <w:rFonts w:hint="eastAsia" w:ascii="宋体" w:eastAsia="宋体" w:cs="宋体"/>
                <w:lang w:val="en-US"/>
              </w:rPr>
            </w:pPr>
            <w:r>
              <w:rPr>
                <w:rFonts w:hint="eastAsia" w:ascii="宋体" w:eastAsia="宋体" w:cs="宋体"/>
                <w:lang w:val="en-US"/>
              </w:rPr>
              <w:t>设计工作方案</w:t>
            </w:r>
          </w:p>
        </w:tc>
        <w:tc>
          <w:tcPr>
            <w:tcW w:w="5534" w:type="dxa"/>
            <w:tcMar>
              <w:top w:w="28" w:type="dxa"/>
              <w:left w:w="28" w:type="dxa"/>
              <w:bottom w:w="28" w:type="dxa"/>
              <w:right w:w="28" w:type="dxa"/>
            </w:tcMar>
            <w:vAlign w:val="center"/>
          </w:tcPr>
          <w:p w14:paraId="5D734BBB">
            <w:pPr>
              <w:pStyle w:val="35"/>
              <w:snapToGrid w:val="0"/>
              <w:spacing w:line="360" w:lineRule="auto"/>
              <w:rPr>
                <w:rFonts w:hint="eastAsia" w:ascii="宋体" w:eastAsia="宋体" w:cs="宋体"/>
                <w:lang w:val="en-US"/>
              </w:rPr>
            </w:pPr>
            <w:r>
              <w:rPr>
                <w:rFonts w:hint="eastAsia" w:ascii="宋体" w:eastAsia="宋体" w:cs="宋体"/>
                <w:lang w:val="en-US"/>
              </w:rPr>
              <w:t>设计工作大纲：满分15分</w:t>
            </w:r>
          </w:p>
          <w:p w14:paraId="014E7628">
            <w:pPr>
              <w:pStyle w:val="35"/>
              <w:snapToGrid w:val="0"/>
              <w:spacing w:line="360" w:lineRule="auto"/>
              <w:rPr>
                <w:rFonts w:hint="eastAsia" w:ascii="宋体" w:eastAsia="宋体" w:cs="宋体"/>
                <w:lang w:val="en-US"/>
              </w:rPr>
            </w:pPr>
            <w:r>
              <w:rPr>
                <w:rFonts w:hint="eastAsia" w:ascii="宋体" w:eastAsia="宋体" w:cs="宋体"/>
                <w:lang w:val="en-US"/>
              </w:rPr>
              <w:t>造价控制方案评审：满分5分</w:t>
            </w:r>
          </w:p>
          <w:p w14:paraId="685FBA1C">
            <w:pPr>
              <w:pStyle w:val="35"/>
              <w:snapToGrid w:val="0"/>
              <w:spacing w:line="360" w:lineRule="auto"/>
              <w:rPr>
                <w:rFonts w:hint="eastAsia" w:ascii="宋体" w:eastAsia="宋体" w:cs="宋体"/>
                <w:lang w:val="en-US"/>
              </w:rPr>
            </w:pPr>
            <w:r>
              <w:rPr>
                <w:rFonts w:hint="eastAsia" w:ascii="宋体" w:eastAsia="宋体" w:cs="宋体"/>
                <w:lang w:val="en-US"/>
              </w:rPr>
              <w:t>设计项目组织机构及主要人员安排：满分5分</w:t>
            </w:r>
          </w:p>
        </w:tc>
      </w:tr>
      <w:tr w14:paraId="35A3F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jc w:val="center"/>
        </w:trPr>
        <w:tc>
          <w:tcPr>
            <w:tcW w:w="617" w:type="dxa"/>
            <w:vMerge w:val="continue"/>
            <w:tcMar>
              <w:top w:w="28" w:type="dxa"/>
              <w:left w:w="28" w:type="dxa"/>
              <w:bottom w:w="28" w:type="dxa"/>
              <w:right w:w="28" w:type="dxa"/>
            </w:tcMar>
            <w:vAlign w:val="center"/>
          </w:tcPr>
          <w:p w14:paraId="0645A5FB">
            <w:pPr>
              <w:pStyle w:val="35"/>
              <w:snapToGrid w:val="0"/>
              <w:spacing w:line="360" w:lineRule="auto"/>
              <w:jc w:val="center"/>
              <w:rPr>
                <w:rFonts w:ascii="Times New Roman" w:hAnsi="Times New Roman" w:eastAsia="宋体" w:cs="Times New Roman"/>
                <w:lang w:val="en-US"/>
              </w:rPr>
            </w:pPr>
          </w:p>
        </w:tc>
        <w:tc>
          <w:tcPr>
            <w:tcW w:w="1113" w:type="dxa"/>
            <w:vMerge w:val="continue"/>
            <w:tcMar>
              <w:top w:w="28" w:type="dxa"/>
              <w:left w:w="28" w:type="dxa"/>
              <w:bottom w:w="28" w:type="dxa"/>
              <w:right w:w="28" w:type="dxa"/>
            </w:tcMar>
            <w:vAlign w:val="center"/>
          </w:tcPr>
          <w:p w14:paraId="50AA23AA">
            <w:pPr>
              <w:pStyle w:val="35"/>
              <w:snapToGrid w:val="0"/>
              <w:spacing w:line="360" w:lineRule="auto"/>
              <w:rPr>
                <w:rFonts w:ascii="Times New Roman" w:hAnsi="Times New Roman" w:cs="Times New Roman"/>
                <w:lang w:val="en-US"/>
              </w:rPr>
            </w:pPr>
          </w:p>
        </w:tc>
        <w:tc>
          <w:tcPr>
            <w:tcW w:w="1836" w:type="dxa"/>
            <w:tcMar>
              <w:top w:w="28" w:type="dxa"/>
              <w:left w:w="28" w:type="dxa"/>
              <w:bottom w:w="28" w:type="dxa"/>
              <w:right w:w="28" w:type="dxa"/>
            </w:tcMar>
            <w:vAlign w:val="center"/>
          </w:tcPr>
          <w:p w14:paraId="6C05B92B">
            <w:pPr>
              <w:pStyle w:val="35"/>
              <w:snapToGrid w:val="0"/>
              <w:spacing w:line="360" w:lineRule="auto"/>
              <w:jc w:val="center"/>
              <w:rPr>
                <w:rFonts w:hint="eastAsia" w:ascii="宋体" w:eastAsia="宋体" w:cs="宋体"/>
                <w:lang w:val="en-US"/>
              </w:rPr>
            </w:pPr>
            <w:r>
              <w:rPr>
                <w:rFonts w:hint="eastAsia" w:ascii="宋体" w:eastAsia="宋体" w:cs="宋体"/>
                <w:lang w:val="en-US"/>
              </w:rPr>
              <w:t>施工方案</w:t>
            </w:r>
          </w:p>
        </w:tc>
        <w:tc>
          <w:tcPr>
            <w:tcW w:w="5534" w:type="dxa"/>
            <w:tcMar>
              <w:top w:w="28" w:type="dxa"/>
              <w:left w:w="28" w:type="dxa"/>
              <w:bottom w:w="28" w:type="dxa"/>
              <w:right w:w="28" w:type="dxa"/>
            </w:tcMar>
            <w:vAlign w:val="center"/>
          </w:tcPr>
          <w:p w14:paraId="464B6DD1">
            <w:pPr>
              <w:pStyle w:val="35"/>
              <w:snapToGrid w:val="0"/>
              <w:spacing w:line="360" w:lineRule="auto"/>
              <w:rPr>
                <w:rFonts w:hint="eastAsia" w:ascii="宋体" w:eastAsia="宋体" w:cs="宋体"/>
                <w:lang w:val="en-US"/>
              </w:rPr>
            </w:pPr>
            <w:r>
              <w:rPr>
                <w:rFonts w:ascii="宋体" w:eastAsia="宋体" w:cs="宋体"/>
                <w:lang w:val="en-US"/>
              </w:rPr>
              <w:t>施工方案评审：满分20分</w:t>
            </w:r>
          </w:p>
          <w:p w14:paraId="4181B845">
            <w:pPr>
              <w:pStyle w:val="35"/>
              <w:snapToGrid w:val="0"/>
              <w:spacing w:line="360" w:lineRule="auto"/>
              <w:rPr>
                <w:rFonts w:hint="eastAsia" w:ascii="宋体" w:eastAsia="宋体" w:cs="宋体"/>
                <w:lang w:val="en-US"/>
              </w:rPr>
            </w:pPr>
            <w:r>
              <w:rPr>
                <w:rFonts w:ascii="宋体" w:eastAsia="宋体" w:cs="宋体"/>
                <w:lang w:val="en-US"/>
              </w:rPr>
              <w:t>安全文明施工承诺及保证措施：满分</w:t>
            </w:r>
            <w:r>
              <w:rPr>
                <w:rFonts w:hint="eastAsia" w:ascii="宋体" w:eastAsia="宋体" w:cs="宋体"/>
                <w:lang w:val="en-US"/>
              </w:rPr>
              <w:t>5</w:t>
            </w:r>
            <w:r>
              <w:rPr>
                <w:rFonts w:ascii="宋体" w:eastAsia="宋体" w:cs="宋体"/>
                <w:lang w:val="en-US"/>
              </w:rPr>
              <w:t>分</w:t>
            </w:r>
          </w:p>
          <w:p w14:paraId="197C66B5">
            <w:pPr>
              <w:pStyle w:val="35"/>
              <w:snapToGrid w:val="0"/>
              <w:spacing w:line="360" w:lineRule="auto"/>
              <w:rPr>
                <w:rFonts w:hint="eastAsia" w:ascii="宋体" w:eastAsia="宋体" w:cs="宋体"/>
                <w:lang w:val="en-US"/>
              </w:rPr>
            </w:pPr>
            <w:r>
              <w:rPr>
                <w:rFonts w:ascii="宋体" w:eastAsia="宋体" w:cs="宋体"/>
                <w:lang w:val="en-US"/>
              </w:rPr>
              <w:t>施工机械投入：满分5 分</w:t>
            </w:r>
          </w:p>
          <w:p w14:paraId="51DCB97B">
            <w:pPr>
              <w:pStyle w:val="35"/>
              <w:snapToGrid w:val="0"/>
              <w:spacing w:line="360" w:lineRule="auto"/>
              <w:rPr>
                <w:rFonts w:hint="eastAsia" w:ascii="宋体" w:eastAsia="宋体" w:cs="宋体"/>
                <w:lang w:val="en-US"/>
              </w:rPr>
            </w:pPr>
            <w:r>
              <w:rPr>
                <w:rFonts w:ascii="宋体" w:eastAsia="宋体" w:cs="宋体"/>
                <w:lang w:val="en-US"/>
              </w:rPr>
              <w:t>施工现场专业（管理）人员配置：满分5 分</w:t>
            </w:r>
          </w:p>
          <w:p w14:paraId="7D3BBBD7">
            <w:pPr>
              <w:pStyle w:val="35"/>
              <w:snapToGrid w:val="0"/>
              <w:spacing w:line="360" w:lineRule="auto"/>
              <w:rPr>
                <w:rFonts w:hint="eastAsia" w:ascii="宋体" w:eastAsia="宋体" w:cs="宋体"/>
                <w:lang w:val="en-US"/>
              </w:rPr>
            </w:pPr>
            <w:r>
              <w:rPr>
                <w:rFonts w:ascii="宋体" w:eastAsia="宋体" w:cs="宋体"/>
                <w:lang w:val="en-US"/>
              </w:rPr>
              <w:t>工期保证体系及保证措施：满分3分</w:t>
            </w:r>
          </w:p>
          <w:p w14:paraId="3C126832">
            <w:pPr>
              <w:pStyle w:val="35"/>
              <w:snapToGrid w:val="0"/>
              <w:spacing w:line="360" w:lineRule="auto"/>
              <w:rPr>
                <w:rFonts w:hint="eastAsia" w:ascii="宋体" w:eastAsia="宋体" w:cs="宋体"/>
                <w:lang w:val="en-US"/>
              </w:rPr>
            </w:pPr>
            <w:r>
              <w:rPr>
                <w:rFonts w:ascii="宋体" w:eastAsia="宋体" w:cs="宋体"/>
                <w:lang w:val="en-US"/>
              </w:rPr>
              <w:t>项目风险预测与防范，事故应急预案：满分2分</w:t>
            </w:r>
          </w:p>
        </w:tc>
      </w:tr>
      <w:tr w14:paraId="09BFD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4" w:hRule="atLeast"/>
          <w:jc w:val="center"/>
        </w:trPr>
        <w:tc>
          <w:tcPr>
            <w:tcW w:w="617" w:type="dxa"/>
            <w:tcMar>
              <w:top w:w="28" w:type="dxa"/>
              <w:left w:w="28" w:type="dxa"/>
              <w:bottom w:w="28" w:type="dxa"/>
              <w:right w:w="28" w:type="dxa"/>
            </w:tcMar>
            <w:vAlign w:val="center"/>
          </w:tcPr>
          <w:p w14:paraId="2B03DC9F">
            <w:pPr>
              <w:pStyle w:val="35"/>
              <w:snapToGrid w:val="0"/>
              <w:spacing w:line="360" w:lineRule="auto"/>
              <w:jc w:val="center"/>
              <w:rPr>
                <w:rFonts w:ascii="Times New Roman" w:hAnsi="Times New Roman" w:eastAsia="宋体" w:cs="Times New Roman"/>
                <w:lang w:val="en-US"/>
              </w:rPr>
            </w:pPr>
            <w:r>
              <w:rPr>
                <w:rFonts w:hint="eastAsia" w:ascii="Times New Roman" w:hAnsi="Times New Roman" w:eastAsia="宋体" w:cs="Times New Roman"/>
                <w:lang w:val="en-US"/>
              </w:rPr>
              <w:t>2.2.3</w:t>
            </w:r>
          </w:p>
        </w:tc>
        <w:tc>
          <w:tcPr>
            <w:tcW w:w="1113" w:type="dxa"/>
            <w:tcMar>
              <w:top w:w="28" w:type="dxa"/>
              <w:left w:w="28" w:type="dxa"/>
              <w:bottom w:w="28" w:type="dxa"/>
              <w:right w:w="28" w:type="dxa"/>
            </w:tcMar>
            <w:vAlign w:val="center"/>
          </w:tcPr>
          <w:p w14:paraId="5FF4BDB6">
            <w:pPr>
              <w:snapToGrid w:val="0"/>
              <w:spacing w:line="360" w:lineRule="auto"/>
              <w:jc w:val="center"/>
              <w:rPr>
                <w:rFonts w:cs="Times New Roman"/>
                <w:kern w:val="0"/>
                <w:sz w:val="18"/>
                <w:szCs w:val="18"/>
              </w:rPr>
            </w:pPr>
            <w:r>
              <w:rPr>
                <w:rFonts w:hint="eastAsia" w:cs="宋体"/>
                <w:kern w:val="0"/>
                <w:sz w:val="18"/>
                <w:szCs w:val="18"/>
              </w:rPr>
              <w:t>最终得分</w:t>
            </w:r>
          </w:p>
        </w:tc>
        <w:tc>
          <w:tcPr>
            <w:tcW w:w="1836" w:type="dxa"/>
            <w:tcMar>
              <w:top w:w="28" w:type="dxa"/>
              <w:left w:w="28" w:type="dxa"/>
              <w:bottom w:w="28" w:type="dxa"/>
              <w:right w:w="28" w:type="dxa"/>
            </w:tcMar>
            <w:vAlign w:val="center"/>
          </w:tcPr>
          <w:p w14:paraId="441D4D4A">
            <w:pPr>
              <w:snapToGrid w:val="0"/>
              <w:spacing w:line="360" w:lineRule="auto"/>
              <w:jc w:val="center"/>
              <w:rPr>
                <w:rFonts w:cs="Times New Roman"/>
                <w:kern w:val="0"/>
                <w:sz w:val="18"/>
                <w:szCs w:val="18"/>
              </w:rPr>
            </w:pPr>
            <w:r>
              <w:rPr>
                <w:rFonts w:hint="eastAsia" w:cs="宋体"/>
                <w:kern w:val="0"/>
                <w:sz w:val="18"/>
                <w:szCs w:val="18"/>
              </w:rPr>
              <w:t>投标人最终得分计算</w:t>
            </w:r>
          </w:p>
        </w:tc>
        <w:tc>
          <w:tcPr>
            <w:tcW w:w="5534" w:type="dxa"/>
            <w:tcMar>
              <w:top w:w="28" w:type="dxa"/>
              <w:left w:w="28" w:type="dxa"/>
              <w:bottom w:w="28" w:type="dxa"/>
              <w:right w:w="28" w:type="dxa"/>
            </w:tcMar>
            <w:vAlign w:val="center"/>
          </w:tcPr>
          <w:p w14:paraId="5EF277D1">
            <w:pPr>
              <w:snapToGrid w:val="0"/>
              <w:spacing w:line="360" w:lineRule="auto"/>
              <w:rPr>
                <w:rFonts w:cs="Times New Roman"/>
                <w:kern w:val="0"/>
                <w:sz w:val="18"/>
                <w:szCs w:val="18"/>
              </w:rPr>
            </w:pPr>
            <w:r>
              <w:rPr>
                <w:rFonts w:hint="eastAsia" w:cs="宋体"/>
                <w:kern w:val="0"/>
                <w:sz w:val="18"/>
                <w:szCs w:val="18"/>
              </w:rPr>
              <w:t>最终得分＝商务部分评审评分＋技术部分评审评分。</w:t>
            </w:r>
          </w:p>
        </w:tc>
      </w:tr>
      <w:tr w14:paraId="7F3FE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jc w:val="center"/>
        </w:trPr>
        <w:tc>
          <w:tcPr>
            <w:tcW w:w="617" w:type="dxa"/>
            <w:tcMar>
              <w:top w:w="28" w:type="dxa"/>
              <w:left w:w="28" w:type="dxa"/>
              <w:bottom w:w="28" w:type="dxa"/>
              <w:right w:w="28" w:type="dxa"/>
            </w:tcMar>
            <w:vAlign w:val="center"/>
          </w:tcPr>
          <w:p w14:paraId="129C6AF4">
            <w:pPr>
              <w:snapToGrid w:val="0"/>
              <w:spacing w:line="360" w:lineRule="auto"/>
              <w:jc w:val="center"/>
              <w:rPr>
                <w:kern w:val="0"/>
                <w:sz w:val="18"/>
                <w:szCs w:val="18"/>
              </w:rPr>
            </w:pPr>
            <w:r>
              <w:rPr>
                <w:rFonts w:hint="eastAsia"/>
                <w:kern w:val="0"/>
                <w:sz w:val="18"/>
                <w:szCs w:val="18"/>
              </w:rPr>
              <w:t>3</w:t>
            </w:r>
          </w:p>
        </w:tc>
        <w:tc>
          <w:tcPr>
            <w:tcW w:w="2949" w:type="dxa"/>
            <w:gridSpan w:val="2"/>
            <w:tcMar>
              <w:top w:w="28" w:type="dxa"/>
              <w:left w:w="28" w:type="dxa"/>
              <w:bottom w:w="28" w:type="dxa"/>
              <w:right w:w="28" w:type="dxa"/>
            </w:tcMar>
            <w:vAlign w:val="center"/>
          </w:tcPr>
          <w:p w14:paraId="0B3ED593">
            <w:pPr>
              <w:snapToGrid w:val="0"/>
              <w:spacing w:line="360" w:lineRule="auto"/>
              <w:jc w:val="center"/>
              <w:rPr>
                <w:rFonts w:cs="Times New Roman"/>
                <w:kern w:val="0"/>
                <w:sz w:val="18"/>
                <w:szCs w:val="18"/>
              </w:rPr>
            </w:pPr>
            <w:r>
              <w:rPr>
                <w:rFonts w:hint="eastAsia" w:cs="宋体"/>
                <w:kern w:val="0"/>
                <w:sz w:val="18"/>
                <w:szCs w:val="18"/>
              </w:rPr>
              <w:t>评标程序</w:t>
            </w:r>
          </w:p>
        </w:tc>
        <w:tc>
          <w:tcPr>
            <w:tcW w:w="5534" w:type="dxa"/>
            <w:tcMar>
              <w:top w:w="28" w:type="dxa"/>
              <w:left w:w="28" w:type="dxa"/>
              <w:bottom w:w="28" w:type="dxa"/>
              <w:right w:w="28" w:type="dxa"/>
            </w:tcMar>
            <w:vAlign w:val="center"/>
          </w:tcPr>
          <w:p w14:paraId="054C2EE3">
            <w:pPr>
              <w:snapToGrid w:val="0"/>
              <w:spacing w:line="360" w:lineRule="auto"/>
              <w:rPr>
                <w:rFonts w:cs="Times New Roman"/>
                <w:kern w:val="0"/>
                <w:sz w:val="18"/>
                <w:szCs w:val="18"/>
              </w:rPr>
            </w:pPr>
            <w:r>
              <w:rPr>
                <w:rFonts w:hint="eastAsia" w:cs="宋体"/>
                <w:kern w:val="0"/>
                <w:sz w:val="18"/>
                <w:szCs w:val="18"/>
              </w:rPr>
              <w:t>详见本章附件</w:t>
            </w:r>
            <w:r>
              <w:rPr>
                <w:rFonts w:hint="eastAsia"/>
                <w:kern w:val="0"/>
                <w:sz w:val="18"/>
                <w:szCs w:val="18"/>
              </w:rPr>
              <w:t>A</w:t>
            </w:r>
            <w:r>
              <w:rPr>
                <w:rFonts w:hint="eastAsia" w:cs="宋体"/>
                <w:kern w:val="0"/>
                <w:sz w:val="18"/>
                <w:szCs w:val="18"/>
              </w:rPr>
              <w:t>：评标详细程序。</w:t>
            </w:r>
          </w:p>
        </w:tc>
      </w:tr>
      <w:tr w14:paraId="7A6E1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atLeast"/>
          <w:jc w:val="center"/>
        </w:trPr>
        <w:tc>
          <w:tcPr>
            <w:tcW w:w="617" w:type="dxa"/>
            <w:tcMar>
              <w:top w:w="28" w:type="dxa"/>
              <w:left w:w="28" w:type="dxa"/>
              <w:bottom w:w="28" w:type="dxa"/>
              <w:right w:w="28" w:type="dxa"/>
            </w:tcMar>
            <w:vAlign w:val="center"/>
          </w:tcPr>
          <w:p w14:paraId="456688F8">
            <w:pPr>
              <w:snapToGrid w:val="0"/>
              <w:spacing w:line="360" w:lineRule="auto"/>
              <w:jc w:val="center"/>
              <w:rPr>
                <w:kern w:val="0"/>
                <w:sz w:val="18"/>
                <w:szCs w:val="18"/>
              </w:rPr>
            </w:pPr>
            <w:r>
              <w:rPr>
                <w:rFonts w:hint="eastAsia"/>
                <w:kern w:val="0"/>
                <w:sz w:val="18"/>
                <w:szCs w:val="18"/>
              </w:rPr>
              <w:t>3.1.2</w:t>
            </w:r>
          </w:p>
        </w:tc>
        <w:tc>
          <w:tcPr>
            <w:tcW w:w="2949" w:type="dxa"/>
            <w:gridSpan w:val="2"/>
            <w:tcMar>
              <w:top w:w="28" w:type="dxa"/>
              <w:left w:w="28" w:type="dxa"/>
              <w:bottom w:w="28" w:type="dxa"/>
              <w:right w:w="28" w:type="dxa"/>
            </w:tcMar>
            <w:vAlign w:val="center"/>
          </w:tcPr>
          <w:p w14:paraId="6FCE3179">
            <w:pPr>
              <w:snapToGrid w:val="0"/>
              <w:spacing w:line="360" w:lineRule="auto"/>
              <w:jc w:val="center"/>
              <w:rPr>
                <w:rFonts w:cs="Times New Roman"/>
                <w:kern w:val="0"/>
                <w:sz w:val="18"/>
                <w:szCs w:val="18"/>
              </w:rPr>
            </w:pPr>
            <w:r>
              <w:rPr>
                <w:rFonts w:hint="eastAsia" w:cs="宋体"/>
                <w:kern w:val="0"/>
                <w:sz w:val="18"/>
                <w:szCs w:val="18"/>
              </w:rPr>
              <w:t>投标被否决条件</w:t>
            </w:r>
          </w:p>
        </w:tc>
        <w:tc>
          <w:tcPr>
            <w:tcW w:w="5534" w:type="dxa"/>
            <w:tcMar>
              <w:top w:w="28" w:type="dxa"/>
              <w:left w:w="28" w:type="dxa"/>
              <w:bottom w:w="28" w:type="dxa"/>
              <w:right w:w="28" w:type="dxa"/>
            </w:tcMar>
            <w:vAlign w:val="center"/>
          </w:tcPr>
          <w:p w14:paraId="561D7254">
            <w:pPr>
              <w:snapToGrid w:val="0"/>
              <w:spacing w:line="360" w:lineRule="auto"/>
              <w:rPr>
                <w:rFonts w:cs="Times New Roman"/>
                <w:kern w:val="0"/>
                <w:sz w:val="18"/>
                <w:szCs w:val="18"/>
              </w:rPr>
            </w:pPr>
            <w:r>
              <w:rPr>
                <w:rFonts w:hint="eastAsia" w:cs="宋体"/>
                <w:kern w:val="0"/>
                <w:sz w:val="18"/>
                <w:szCs w:val="18"/>
              </w:rPr>
              <w:t>详见本章附件</w:t>
            </w:r>
            <w:r>
              <w:rPr>
                <w:rFonts w:hint="eastAsia"/>
                <w:kern w:val="0"/>
                <w:sz w:val="18"/>
                <w:szCs w:val="18"/>
              </w:rPr>
              <w:t>B</w:t>
            </w:r>
            <w:r>
              <w:rPr>
                <w:rFonts w:hint="eastAsia" w:cs="宋体"/>
                <w:kern w:val="0"/>
                <w:sz w:val="18"/>
                <w:szCs w:val="18"/>
              </w:rPr>
              <w:t>：投标被否决条件。</w:t>
            </w:r>
          </w:p>
        </w:tc>
      </w:tr>
    </w:tbl>
    <w:p w14:paraId="26A690A5">
      <w:pPr>
        <w:widowControl/>
        <w:jc w:val="left"/>
        <w:rPr>
          <w:rFonts w:cs="Times New Roman"/>
          <w:kern w:val="0"/>
          <w:sz w:val="24"/>
          <w:szCs w:val="24"/>
        </w:rPr>
        <w:sectPr>
          <w:pgSz w:w="11905" w:h="16838"/>
          <w:pgMar w:top="1417" w:right="1417" w:bottom="1304" w:left="1417" w:header="850" w:footer="992" w:gutter="0"/>
          <w:cols w:space="0" w:num="1"/>
          <w:docGrid w:type="lines" w:linePitch="314" w:charSpace="0"/>
        </w:sectPr>
      </w:pPr>
    </w:p>
    <w:p w14:paraId="28CB70D5">
      <w:pPr>
        <w:pStyle w:val="3"/>
        <w:keepLines w:val="0"/>
        <w:widowControl/>
        <w:spacing w:before="0" w:after="0" w:line="360" w:lineRule="auto"/>
        <w:ind w:left="479" w:hanging="479" w:hangingChars="199"/>
        <w:rPr>
          <w:rFonts w:cs="Times New Roman"/>
        </w:rPr>
      </w:pPr>
      <w:bookmarkStart w:id="687" w:name="_Toc100497941"/>
      <w:bookmarkEnd w:id="687"/>
      <w:bookmarkStart w:id="688" w:name="_Toc23053"/>
      <w:bookmarkEnd w:id="688"/>
      <w:r>
        <w:rPr>
          <w:rFonts w:hint="eastAsia" w:ascii="Times New Roman" w:hAnsi="Times New Roman" w:cs="宋体"/>
          <w:kern w:val="0"/>
          <w:sz w:val="24"/>
          <w:szCs w:val="24"/>
        </w:rPr>
        <w:t>二、评标办法正文</w:t>
      </w:r>
    </w:p>
    <w:p w14:paraId="050D93FD">
      <w:pPr>
        <w:pStyle w:val="4"/>
        <w:spacing w:before="0" w:after="0"/>
        <w:ind w:firstLine="422" w:firstLineChars="201"/>
        <w:rPr>
          <w:rFonts w:ascii="Times New Roman" w:hAnsi="Times New Roman"/>
          <w:sz w:val="21"/>
          <w:szCs w:val="21"/>
        </w:rPr>
      </w:pPr>
      <w:bookmarkStart w:id="689" w:name="_Toc184635089"/>
      <w:bookmarkEnd w:id="689"/>
      <w:bookmarkStart w:id="690" w:name="_Toc435016851"/>
      <w:bookmarkEnd w:id="690"/>
      <w:bookmarkStart w:id="691" w:name="_Toc100497942"/>
      <w:bookmarkEnd w:id="691"/>
      <w:bookmarkStart w:id="692" w:name="_Toc395965057"/>
      <w:bookmarkEnd w:id="692"/>
      <w:bookmarkStart w:id="693" w:name="_Toc32257"/>
      <w:bookmarkEnd w:id="693"/>
      <w:bookmarkStart w:id="694" w:name="_Toc27588"/>
      <w:bookmarkStart w:id="695" w:name="_Toc395965060"/>
      <w:bookmarkStart w:id="696" w:name="_Toc435016854"/>
      <w:r>
        <w:rPr>
          <w:rFonts w:hint="eastAsia" w:ascii="Times New Roman" w:hAnsi="Times New Roman"/>
          <w:sz w:val="21"/>
          <w:szCs w:val="21"/>
        </w:rPr>
        <w:t>1.</w:t>
      </w:r>
      <w:r>
        <w:rPr>
          <w:rFonts w:ascii="Times New Roman" w:hAnsi="Times New Roman"/>
          <w:sz w:val="21"/>
          <w:szCs w:val="21"/>
        </w:rPr>
        <w:t>评标方法</w:t>
      </w:r>
    </w:p>
    <w:p w14:paraId="79A57DD1">
      <w:pPr>
        <w:spacing w:line="360" w:lineRule="auto"/>
        <w:ind w:firstLine="424" w:firstLineChars="202"/>
      </w:pPr>
      <w:r>
        <w:t>1.1 评标、定标办法根据《中华人民共和国招标投标法</w:t>
      </w:r>
      <w:r>
        <w:rPr>
          <w:rFonts w:hint="eastAsia"/>
        </w:rPr>
        <w:t>》《</w:t>
      </w:r>
      <w:r>
        <w:t>中华人民共和国招标投标法实施条例》</w:t>
      </w:r>
      <w:r>
        <w:rPr>
          <w:rFonts w:hint="eastAsia"/>
        </w:rPr>
        <w:t>等</w:t>
      </w:r>
      <w:r>
        <w:t>有关法律规定，结合本项目实际情况制定。</w:t>
      </w:r>
    </w:p>
    <w:p w14:paraId="2A806978">
      <w:pPr>
        <w:spacing w:line="360" w:lineRule="auto"/>
        <w:ind w:firstLine="424" w:firstLineChars="202"/>
      </w:pPr>
      <w:r>
        <w:t>1.2 本办法是评标委员会确定工程中标候选人的依据，在评标过程中应充分体现公平、公正、科学合理的原则。任何单位或个人不得干预</w:t>
      </w:r>
      <w:r>
        <w:rPr>
          <w:rFonts w:hint="eastAsia"/>
          <w:lang w:eastAsia="zh-CN"/>
        </w:rPr>
        <w:t>或</w:t>
      </w:r>
      <w:r>
        <w:t>影响评标过程和结果。</w:t>
      </w:r>
    </w:p>
    <w:p w14:paraId="2769CA8B">
      <w:pPr>
        <w:spacing w:line="360" w:lineRule="auto"/>
        <w:ind w:firstLine="424" w:firstLineChars="202"/>
      </w:pPr>
      <w:r>
        <w:t>1.3 评标委员会成员应本着实事求是的精神，坚持公平、公正、科学、合法、保密的原则，不得带有任何偏见，高效率、高质量地做好评标工作，应遵守以下要求：</w:t>
      </w:r>
    </w:p>
    <w:p w14:paraId="3865D477">
      <w:pPr>
        <w:spacing w:line="360" w:lineRule="auto"/>
        <w:ind w:firstLine="424" w:firstLineChars="202"/>
      </w:pPr>
      <w:r>
        <w:t>1.3.1 认真阅读招标文件，认真审查投标人所报的投标文件，坚持公正合理、详细、不错、不漏、不偏不倚。</w:t>
      </w:r>
    </w:p>
    <w:p w14:paraId="73D4811E">
      <w:pPr>
        <w:spacing w:line="360" w:lineRule="auto"/>
        <w:ind w:firstLine="424" w:firstLineChars="202"/>
        <w:outlineLvl w:val="3"/>
      </w:pPr>
      <w:r>
        <w:t>1.3.2 对所有投标人的投标评估，都采用相同的程序和标准。</w:t>
      </w:r>
    </w:p>
    <w:p w14:paraId="48DA0CF3">
      <w:pPr>
        <w:spacing w:line="360" w:lineRule="auto"/>
        <w:ind w:firstLine="424" w:firstLineChars="202"/>
      </w:pPr>
      <w:r>
        <w:t>1.3.3 评标严格按招标文件的要求和条件进行。评标仅对投标人的投标文件进行评审，投标文件以外的资料、信息不应作为评标的依据。</w:t>
      </w:r>
    </w:p>
    <w:p w14:paraId="2EC37648">
      <w:pPr>
        <w:spacing w:line="360" w:lineRule="auto"/>
        <w:ind w:firstLine="424" w:firstLineChars="202"/>
      </w:pPr>
      <w:r>
        <w:t>1.3.4 全面分析审查、澄清、评价和比较投标文件。</w:t>
      </w:r>
    </w:p>
    <w:p w14:paraId="3F748FDD">
      <w:pPr>
        <w:spacing w:line="360" w:lineRule="auto"/>
        <w:ind w:firstLine="424" w:firstLineChars="202"/>
      </w:pPr>
      <w:r>
        <w:t>1.3.5 严格遵照招标文件的内容，对投标文件内容进行评审。</w:t>
      </w:r>
    </w:p>
    <w:p w14:paraId="0217A571">
      <w:pPr>
        <w:spacing w:line="360" w:lineRule="auto"/>
        <w:ind w:firstLine="424" w:firstLineChars="202"/>
      </w:pPr>
      <w:r>
        <w:t>1.3.6 积极发表意见，发现问题及时汇报，并做好评标书面记录。</w:t>
      </w:r>
    </w:p>
    <w:p w14:paraId="6FBDB9C9">
      <w:pPr>
        <w:spacing w:line="360" w:lineRule="auto"/>
        <w:ind w:firstLine="424" w:firstLineChars="202"/>
        <w:outlineLvl w:val="4"/>
      </w:pPr>
      <w:r>
        <w:t>1.4 评标过程的保密</w:t>
      </w:r>
    </w:p>
    <w:p w14:paraId="2F99B509">
      <w:pPr>
        <w:spacing w:line="360" w:lineRule="auto"/>
        <w:ind w:firstLine="424" w:firstLineChars="202"/>
      </w:pPr>
      <w:r>
        <w:t>1.4.1 开标后，直至授予中标人合同为止，凡属于对投标文件的审查、澄清、评价和比较的有关资料以及中标</w:t>
      </w:r>
      <w:r>
        <w:rPr>
          <w:rFonts w:hint="eastAsia"/>
        </w:rPr>
        <w:t>候选人</w:t>
      </w:r>
      <w:r>
        <w:t>的推荐情况，与评标有关的其他任何情况均严格保密。</w:t>
      </w:r>
    </w:p>
    <w:p w14:paraId="35A17348">
      <w:pPr>
        <w:spacing w:line="360" w:lineRule="auto"/>
        <w:ind w:firstLine="424" w:firstLineChars="202"/>
      </w:pPr>
      <w:r>
        <w:t>1.4.2 在投标文件的评审和比较、中标候选人推荐以及授予合同的过程中，投标人向招标人和评标委员会施加影响的任何行为，都将会导致其投标被拒绝。</w:t>
      </w:r>
    </w:p>
    <w:p w14:paraId="5F96B5B6">
      <w:pPr>
        <w:spacing w:line="360" w:lineRule="auto"/>
        <w:ind w:firstLine="424" w:firstLineChars="202"/>
      </w:pPr>
      <w:r>
        <w:t>1.4.3 中标人确定后，招标人不对未中标人就评标过程以及未能中标原因作出任何解释。未中标人不得向评标委员会组成人员或其他有关人员索问评标过程的情况和资料。</w:t>
      </w:r>
    </w:p>
    <w:p w14:paraId="7BB66FFA">
      <w:pPr>
        <w:spacing w:line="360" w:lineRule="auto"/>
        <w:ind w:firstLine="424" w:firstLineChars="202"/>
      </w:pPr>
      <w:r>
        <w:t>1.5 招标人或招标人代理机构应对评标过程进行书面记录，书面记录应如实地反映评标的全过程，特别是评标专家提出的各种意见和建议，并作为重要的应保密的资料存档，复印件作为书面报告的组成部分交招标管理部门备案。</w:t>
      </w:r>
    </w:p>
    <w:p w14:paraId="7740C17B">
      <w:pPr>
        <w:spacing w:line="360" w:lineRule="auto"/>
        <w:ind w:firstLine="424" w:firstLineChars="202"/>
      </w:pPr>
      <w:r>
        <w:t>1.6 评标过程中如遇特殊问题，由评标委员会根据有关</w:t>
      </w:r>
      <w:r>
        <w:rPr>
          <w:rFonts w:hint="eastAsia"/>
        </w:rPr>
        <w:t>法律法规</w:t>
      </w:r>
      <w:r>
        <w:t>研究决定。</w:t>
      </w:r>
    </w:p>
    <w:p w14:paraId="79F2CAFA">
      <w:pPr>
        <w:pStyle w:val="4"/>
        <w:spacing w:before="0" w:after="0"/>
        <w:ind w:firstLine="422" w:firstLineChars="201"/>
        <w:rPr>
          <w:rFonts w:ascii="Times New Roman" w:hAnsi="Times New Roman"/>
          <w:sz w:val="21"/>
          <w:szCs w:val="21"/>
        </w:rPr>
      </w:pPr>
      <w:bookmarkStart w:id="697" w:name="_Toc395965058"/>
      <w:bookmarkEnd w:id="697"/>
      <w:bookmarkStart w:id="698" w:name="_Toc22942"/>
      <w:bookmarkEnd w:id="698"/>
      <w:bookmarkStart w:id="699" w:name="_Toc100497943"/>
      <w:bookmarkEnd w:id="699"/>
      <w:bookmarkStart w:id="700" w:name="_Toc435016852"/>
      <w:bookmarkEnd w:id="700"/>
      <w:bookmarkStart w:id="701" w:name="_Toc184635090"/>
      <w:bookmarkEnd w:id="701"/>
      <w:r>
        <w:rPr>
          <w:rFonts w:hint="eastAsia" w:ascii="Times New Roman" w:hAnsi="Times New Roman"/>
          <w:sz w:val="21"/>
          <w:szCs w:val="21"/>
        </w:rPr>
        <w:t>2.</w:t>
      </w:r>
      <w:r>
        <w:rPr>
          <w:rFonts w:ascii="Times New Roman" w:hAnsi="Times New Roman"/>
          <w:sz w:val="21"/>
          <w:szCs w:val="21"/>
        </w:rPr>
        <w:t>评审标准</w:t>
      </w:r>
    </w:p>
    <w:p w14:paraId="44B11471">
      <w:pPr>
        <w:pStyle w:val="4"/>
        <w:spacing w:before="0" w:after="0"/>
        <w:ind w:firstLine="422" w:firstLineChars="201"/>
        <w:rPr>
          <w:rFonts w:ascii="Times New Roman" w:hAnsi="Times New Roman" w:eastAsia="宋体"/>
          <w:sz w:val="21"/>
          <w:szCs w:val="21"/>
        </w:rPr>
      </w:pPr>
      <w:bookmarkStart w:id="702" w:name="_Toc28504"/>
      <w:bookmarkEnd w:id="702"/>
      <w:bookmarkStart w:id="703" w:name="_Toc395965059"/>
      <w:bookmarkEnd w:id="703"/>
      <w:bookmarkStart w:id="704" w:name="_Toc99765298"/>
      <w:bookmarkEnd w:id="704"/>
      <w:bookmarkStart w:id="705" w:name="_Toc435016853"/>
      <w:bookmarkEnd w:id="705"/>
      <w:bookmarkStart w:id="706" w:name="_Toc13899"/>
      <w:bookmarkEnd w:id="706"/>
      <w:bookmarkStart w:id="707" w:name="_Toc100497944"/>
      <w:bookmarkEnd w:id="707"/>
      <w:r>
        <w:rPr>
          <w:rFonts w:ascii="Times New Roman" w:hAnsi="Times New Roman" w:eastAsia="宋体"/>
          <w:sz w:val="21"/>
          <w:szCs w:val="21"/>
        </w:rPr>
        <w:t>2.1 初步评审标准</w:t>
      </w:r>
    </w:p>
    <w:p w14:paraId="7F43D6C3">
      <w:pPr>
        <w:spacing w:line="360" w:lineRule="auto"/>
        <w:ind w:firstLine="424" w:firstLineChars="202"/>
      </w:pPr>
      <w:bookmarkStart w:id="708" w:name="_Toc302769238"/>
      <w:bookmarkEnd w:id="708"/>
      <w:r>
        <w:t>2.1.1 形式评审标准：见评标办法前附表。</w:t>
      </w:r>
    </w:p>
    <w:p w14:paraId="61614AEE">
      <w:pPr>
        <w:spacing w:line="360" w:lineRule="auto"/>
        <w:ind w:firstLine="424" w:firstLineChars="202"/>
      </w:pPr>
      <w:bookmarkStart w:id="709" w:name="_Toc302769239"/>
      <w:bookmarkEnd w:id="709"/>
      <w:r>
        <w:t>2.1.2 资格评审标准：见评标办法前附表。</w:t>
      </w:r>
    </w:p>
    <w:p w14:paraId="327D9819">
      <w:pPr>
        <w:spacing w:line="360" w:lineRule="auto"/>
        <w:ind w:firstLine="424" w:firstLineChars="202"/>
      </w:pPr>
      <w:r>
        <w:t xml:space="preserve">2.1.3 </w:t>
      </w:r>
      <w:r>
        <w:rPr>
          <w:rFonts w:hint="eastAsia"/>
        </w:rPr>
        <w:t>响应性</w:t>
      </w:r>
      <w:r>
        <w:t>评审标准：见评标办法前附表</w:t>
      </w:r>
    </w:p>
    <w:bookmarkEnd w:id="694"/>
    <w:bookmarkEnd w:id="695"/>
    <w:bookmarkEnd w:id="696"/>
    <w:p w14:paraId="4C56D231">
      <w:pPr>
        <w:pStyle w:val="4"/>
        <w:spacing w:before="0" w:after="0"/>
        <w:ind w:firstLine="422" w:firstLineChars="201"/>
        <w:rPr>
          <w:rFonts w:ascii="Times New Roman" w:hAnsi="Times New Roman" w:eastAsia="宋体" w:cs="Times New Roman"/>
          <w:sz w:val="21"/>
          <w:szCs w:val="21"/>
        </w:rPr>
      </w:pPr>
      <w:bookmarkStart w:id="710" w:name="_Toc16355"/>
      <w:bookmarkEnd w:id="710"/>
      <w:bookmarkStart w:id="711" w:name="_Toc21102"/>
      <w:bookmarkEnd w:id="711"/>
      <w:r>
        <w:rPr>
          <w:rFonts w:ascii="Times New Roman" w:hAnsi="Times New Roman" w:eastAsia="宋体" w:cs="Times New Roman"/>
          <w:sz w:val="21"/>
          <w:szCs w:val="21"/>
        </w:rPr>
        <w:t xml:space="preserve">2.2 </w:t>
      </w:r>
      <w:r>
        <w:rPr>
          <w:rFonts w:hint="eastAsia" w:ascii="Times New Roman" w:hAnsi="Times New Roman" w:eastAsia="宋体" w:cs="宋体"/>
          <w:sz w:val="21"/>
          <w:szCs w:val="21"/>
        </w:rPr>
        <w:t>详细评审</w:t>
      </w:r>
    </w:p>
    <w:p w14:paraId="52FC13C9">
      <w:pPr>
        <w:snapToGrid w:val="0"/>
        <w:spacing w:line="360" w:lineRule="auto"/>
        <w:ind w:firstLine="426" w:firstLineChars="202"/>
        <w:outlineLvl w:val="4"/>
        <w:rPr>
          <w:rFonts w:cs="Times New Roman"/>
          <w:b/>
          <w:bCs/>
        </w:rPr>
      </w:pPr>
      <w:bookmarkStart w:id="712" w:name="_Toc45896682"/>
      <w:bookmarkEnd w:id="712"/>
      <w:bookmarkStart w:id="713" w:name="_Toc8781"/>
      <w:bookmarkEnd w:id="713"/>
      <w:bookmarkStart w:id="714" w:name="_Toc45896979"/>
      <w:bookmarkEnd w:id="714"/>
      <w:bookmarkStart w:id="715" w:name="_Toc532397657"/>
      <w:bookmarkEnd w:id="715"/>
      <w:r>
        <w:rPr>
          <w:b/>
          <w:bCs/>
        </w:rPr>
        <w:t xml:space="preserve">2.2.1 </w:t>
      </w:r>
      <w:r>
        <w:rPr>
          <w:rFonts w:hint="eastAsia" w:cs="宋体"/>
          <w:b/>
          <w:bCs/>
        </w:rPr>
        <w:t>商务部分评审标准（满分</w:t>
      </w:r>
      <w:r>
        <w:rPr>
          <w:rFonts w:hint="eastAsia"/>
          <w:b/>
          <w:bCs/>
        </w:rPr>
        <w:t>20</w:t>
      </w:r>
      <w:r>
        <w:rPr>
          <w:rFonts w:hint="eastAsia" w:cs="宋体"/>
          <w:b/>
          <w:bCs/>
        </w:rPr>
        <w:t>分）</w:t>
      </w:r>
    </w:p>
    <w:p w14:paraId="2A44F8A5">
      <w:pPr>
        <w:snapToGrid w:val="0"/>
        <w:spacing w:line="360" w:lineRule="auto"/>
        <w:ind w:firstLine="426" w:firstLineChars="202"/>
        <w:outlineLvl w:val="5"/>
        <w:rPr>
          <w:rFonts w:cs="Times New Roman"/>
          <w:b/>
          <w:bCs/>
        </w:rPr>
      </w:pPr>
      <w:bookmarkStart w:id="716" w:name="_Toc45896683"/>
      <w:bookmarkEnd w:id="716"/>
      <w:bookmarkStart w:id="717" w:name="_Toc24359"/>
      <w:bookmarkEnd w:id="717"/>
      <w:bookmarkStart w:id="718" w:name="_Toc532397658"/>
      <w:bookmarkEnd w:id="718"/>
      <w:bookmarkStart w:id="719" w:name="_Toc499666615"/>
      <w:bookmarkEnd w:id="719"/>
      <w:bookmarkStart w:id="720" w:name="_Toc45896980"/>
      <w:bookmarkEnd w:id="720"/>
      <w:r>
        <w:rPr>
          <w:rFonts w:hint="eastAsia" w:cs="宋体"/>
          <w:b/>
          <w:bCs/>
        </w:rPr>
        <w:t>（一）平均价计算公式</w:t>
      </w:r>
    </w:p>
    <w:p w14:paraId="24624314">
      <w:pPr>
        <w:adjustRightInd w:val="0"/>
        <w:snapToGrid w:val="0"/>
        <w:spacing w:line="360" w:lineRule="auto"/>
        <w:ind w:firstLine="420" w:firstLineChars="200"/>
        <w:jc w:val="left"/>
        <w:rPr>
          <w:rFonts w:ascii="宋体" w:cs="Times New Roman"/>
          <w:kern w:val="0"/>
        </w:rPr>
      </w:pPr>
      <w:bookmarkStart w:id="721" w:name="_Toc499666616"/>
      <w:bookmarkStart w:id="722" w:name="_Toc532397659"/>
      <w:r>
        <w:rPr>
          <w:rFonts w:hint="eastAsia" w:ascii="宋体" w:hAnsi="宋体" w:cs="宋体"/>
          <w:kern w:val="0"/>
        </w:rPr>
        <w:t>采用有效报价的平均数确定评标基准价（适用于招标人不提供标底的）：</w:t>
      </w:r>
    </w:p>
    <w:p w14:paraId="4F7411B8">
      <w:pPr>
        <w:adjustRightInd w:val="0"/>
        <w:snapToGrid w:val="0"/>
        <w:spacing w:line="360" w:lineRule="auto"/>
        <w:ind w:firstLine="840" w:firstLineChars="400"/>
        <w:jc w:val="left"/>
        <w:rPr>
          <w:rFonts w:ascii="宋体" w:cs="Times New Roman"/>
          <w:kern w:val="0"/>
        </w:rPr>
      </w:pPr>
      <w:r>
        <w:rPr>
          <w:rFonts w:hint="eastAsia" w:ascii="宋体" w:hAnsi="宋体" w:cs="宋体"/>
          <w:kern w:val="0"/>
        </w:rPr>
        <w:drawing>
          <wp:inline distT="0" distB="0" distL="0" distR="0">
            <wp:extent cx="2880360" cy="868680"/>
            <wp:effectExtent l="0" t="0" r="0" b="0"/>
            <wp:docPr id="2" name="_x0000_i1025"/>
            <wp:cNvGraphicFramePr/>
            <a:graphic xmlns:a="http://schemas.openxmlformats.org/drawingml/2006/main">
              <a:graphicData uri="http://schemas.openxmlformats.org/drawingml/2006/picture">
                <pic:pic xmlns:pic="http://schemas.openxmlformats.org/drawingml/2006/picture">
                  <pic:nvPicPr>
                    <pic:cNvPr id="2" name="_x0000_i1025"/>
                    <pic:cNvPicPr/>
                  </pic:nvPicPr>
                  <pic:blipFill>
                    <a:blip r:embed="rId11"/>
                    <a:stretch>
                      <a:fillRect/>
                    </a:stretch>
                  </pic:blipFill>
                  <pic:spPr>
                    <a:xfrm>
                      <a:off x="0" y="0"/>
                      <a:ext cx="2880360" cy="868680"/>
                    </a:xfrm>
                    <a:prstGeom prst="rect">
                      <a:avLst/>
                    </a:prstGeom>
                  </pic:spPr>
                </pic:pic>
              </a:graphicData>
            </a:graphic>
          </wp:inline>
        </w:drawing>
      </w:r>
    </w:p>
    <w:p w14:paraId="4D316998">
      <w:pPr>
        <w:adjustRightInd w:val="0"/>
        <w:snapToGrid w:val="0"/>
        <w:spacing w:line="360" w:lineRule="auto"/>
        <w:ind w:firstLine="420" w:firstLineChars="200"/>
        <w:jc w:val="left"/>
        <w:rPr>
          <w:rFonts w:ascii="宋体" w:cs="Times New Roman"/>
          <w:kern w:val="0"/>
        </w:rPr>
      </w:pPr>
      <w:r>
        <w:rPr>
          <w:rFonts w:hint="eastAsia" w:ascii="宋体" w:hAnsi="宋体" w:cs="宋体"/>
          <w:kern w:val="0"/>
        </w:rPr>
        <w:t>式中</w:t>
      </w:r>
      <w:r>
        <w:rPr>
          <w:rFonts w:ascii="宋体" w:hAnsi="宋体" w:cs="宋体"/>
          <w:kern w:val="0"/>
        </w:rPr>
        <w:t xml:space="preserve">  S——</w:t>
      </w:r>
      <w:r>
        <w:rPr>
          <w:rFonts w:hint="eastAsia" w:ascii="宋体" w:hAnsi="宋体" w:cs="宋体"/>
          <w:kern w:val="0"/>
        </w:rPr>
        <w:t>评标基准价；</w:t>
      </w:r>
    </w:p>
    <w:p w14:paraId="502CAC87">
      <w:pPr>
        <w:adjustRightInd w:val="0"/>
        <w:snapToGrid w:val="0"/>
        <w:spacing w:line="360" w:lineRule="auto"/>
        <w:ind w:firstLine="1050" w:firstLineChars="500"/>
        <w:jc w:val="left"/>
        <w:rPr>
          <w:rFonts w:ascii="宋体" w:cs="Times New Roman"/>
          <w:kern w:val="0"/>
        </w:rPr>
      </w:pPr>
      <w:r>
        <w:rPr>
          <w:rFonts w:ascii="宋体" w:hAnsi="宋体" w:cs="宋体"/>
          <w:kern w:val="0"/>
        </w:rPr>
        <w:t>a</w:t>
      </w:r>
      <w:r>
        <w:rPr>
          <w:rFonts w:ascii="宋体" w:hAnsi="宋体" w:cs="宋体"/>
          <w:kern w:val="0"/>
          <w:vertAlign w:val="subscript"/>
        </w:rPr>
        <w:t>i</w:t>
      </w:r>
      <w:r>
        <w:rPr>
          <w:rFonts w:ascii="宋体" w:hAnsi="宋体" w:cs="宋体"/>
          <w:kern w:val="0"/>
        </w:rPr>
        <w:t>——</w:t>
      </w:r>
      <w:r>
        <w:rPr>
          <w:rFonts w:hint="eastAsia" w:ascii="宋体" w:hAnsi="宋体" w:cs="宋体"/>
          <w:kern w:val="0"/>
        </w:rPr>
        <w:t>投标人的有效报价（</w:t>
      </w:r>
      <w:r>
        <w:rPr>
          <w:rFonts w:ascii="宋体" w:hAnsi="宋体" w:cs="宋体"/>
          <w:kern w:val="0"/>
        </w:rPr>
        <w:t>i</w:t>
      </w:r>
      <w:r>
        <w:rPr>
          <w:rFonts w:hint="eastAsia" w:ascii="宋体" w:hAnsi="宋体" w:cs="宋体"/>
          <w:kern w:val="0"/>
        </w:rPr>
        <w:t>＝</w:t>
      </w:r>
      <w:r>
        <w:rPr>
          <w:rFonts w:ascii="宋体" w:hAnsi="宋体" w:cs="宋体"/>
          <w:kern w:val="0"/>
        </w:rPr>
        <w:t>1</w:t>
      </w:r>
      <w:r>
        <w:rPr>
          <w:rFonts w:hint="eastAsia" w:ascii="宋体" w:hAnsi="宋体" w:cs="宋体"/>
          <w:kern w:val="0"/>
        </w:rPr>
        <w:t>，</w:t>
      </w:r>
      <w:r>
        <w:rPr>
          <w:rFonts w:ascii="宋体" w:hAnsi="宋体" w:cs="宋体"/>
          <w:kern w:val="0"/>
        </w:rPr>
        <w:t>2</w:t>
      </w:r>
      <w:r>
        <w:rPr>
          <w:rFonts w:hint="eastAsia" w:ascii="宋体" w:hAnsi="宋体" w:cs="宋体"/>
          <w:kern w:val="0"/>
        </w:rPr>
        <w:t>，</w:t>
      </w:r>
      <w:r>
        <w:rPr>
          <w:rFonts w:ascii="宋体" w:hAnsi="宋体" w:cs="宋体"/>
          <w:kern w:val="0"/>
        </w:rPr>
        <w:t>n</w:t>
      </w:r>
      <w:r>
        <w:rPr>
          <w:rFonts w:hint="eastAsia" w:ascii="宋体" w:hAnsi="宋体" w:cs="宋体"/>
          <w:kern w:val="0"/>
        </w:rPr>
        <w:t>），有效报价约定见评标办法前附表；</w:t>
      </w:r>
    </w:p>
    <w:p w14:paraId="7F63D118">
      <w:pPr>
        <w:adjustRightInd w:val="0"/>
        <w:snapToGrid w:val="0"/>
        <w:spacing w:line="360" w:lineRule="auto"/>
        <w:ind w:firstLine="1050" w:firstLineChars="500"/>
        <w:jc w:val="left"/>
        <w:rPr>
          <w:rFonts w:ascii="宋体" w:cs="Times New Roman"/>
          <w:kern w:val="0"/>
        </w:rPr>
      </w:pPr>
      <w:r>
        <w:rPr>
          <w:rFonts w:ascii="宋体" w:hAnsi="宋体" w:cs="宋体"/>
          <w:kern w:val="0"/>
        </w:rPr>
        <w:t>n——</w:t>
      </w:r>
      <w:r>
        <w:rPr>
          <w:rFonts w:hint="eastAsia" w:ascii="宋体" w:hAnsi="宋体" w:cs="宋体"/>
          <w:kern w:val="0"/>
        </w:rPr>
        <w:t>有效报价的投标人个数；</w:t>
      </w:r>
    </w:p>
    <w:p w14:paraId="2F5AE662">
      <w:pPr>
        <w:adjustRightInd w:val="0"/>
        <w:snapToGrid w:val="0"/>
        <w:spacing w:line="360" w:lineRule="auto"/>
        <w:ind w:firstLine="1050" w:firstLineChars="500"/>
        <w:jc w:val="left"/>
        <w:rPr>
          <w:rFonts w:ascii="宋体" w:cs="Times New Roman"/>
          <w:kern w:val="0"/>
        </w:rPr>
      </w:pPr>
      <w:r>
        <w:rPr>
          <w:rFonts w:ascii="宋体" w:hAnsi="宋体" w:cs="宋体"/>
          <w:kern w:val="0"/>
        </w:rPr>
        <w:t>M——</w:t>
      </w:r>
      <w:r>
        <w:rPr>
          <w:rFonts w:hint="eastAsia" w:ascii="宋体" w:hAnsi="宋体" w:cs="宋体"/>
          <w:kern w:val="0"/>
        </w:rPr>
        <w:t>最高的投标人有效报价；</w:t>
      </w:r>
    </w:p>
    <w:p w14:paraId="571D191C">
      <w:pPr>
        <w:adjustRightInd w:val="0"/>
        <w:snapToGrid w:val="0"/>
        <w:spacing w:line="360" w:lineRule="auto"/>
        <w:ind w:firstLine="1050" w:firstLineChars="500"/>
        <w:jc w:val="left"/>
        <w:rPr>
          <w:rFonts w:ascii="宋体" w:cs="Times New Roman"/>
          <w:kern w:val="0"/>
        </w:rPr>
      </w:pPr>
      <w:r>
        <w:rPr>
          <w:rFonts w:ascii="宋体" w:hAnsi="宋体" w:cs="宋体"/>
          <w:kern w:val="0"/>
        </w:rPr>
        <w:t>N——</w:t>
      </w:r>
      <w:r>
        <w:rPr>
          <w:rFonts w:hint="eastAsia" w:ascii="宋体" w:hAnsi="宋体" w:cs="宋体"/>
          <w:kern w:val="0"/>
        </w:rPr>
        <w:t>最低的投标人有效报价。</w:t>
      </w:r>
    </w:p>
    <w:bookmarkEnd w:id="721"/>
    <w:bookmarkEnd w:id="722"/>
    <w:p w14:paraId="670B6A9A">
      <w:pPr>
        <w:snapToGrid w:val="0"/>
        <w:spacing w:line="360" w:lineRule="auto"/>
        <w:ind w:firstLine="424" w:firstLineChars="202"/>
        <w:outlineLvl w:val="5"/>
      </w:pPr>
      <w:bookmarkStart w:id="723" w:name="_Toc45896981"/>
      <w:bookmarkEnd w:id="723"/>
      <w:bookmarkStart w:id="724" w:name="_Toc21031"/>
      <w:bookmarkEnd w:id="724"/>
      <w:bookmarkStart w:id="725" w:name="_Toc45896684"/>
      <w:bookmarkEnd w:id="725"/>
      <w:r>
        <w:rPr>
          <w:rFonts w:hint="eastAsia" w:ascii="宋体" w:hAnsi="宋体" w:cs="宋体"/>
        </w:rPr>
        <w:t>（二）工程设计费投标报价评审（满分5分）</w:t>
      </w:r>
    </w:p>
    <w:p w14:paraId="1A6D9E98">
      <w:pPr>
        <w:snapToGrid w:val="0"/>
        <w:spacing w:line="360" w:lineRule="auto"/>
        <w:ind w:firstLine="424" w:firstLineChars="202"/>
        <w:rPr>
          <w:rFonts w:cs="宋体"/>
        </w:rPr>
      </w:pPr>
      <w:bookmarkStart w:id="726" w:name="_Toc532397660"/>
      <w:bookmarkStart w:id="727" w:name="_Toc499666617"/>
      <w:bookmarkStart w:id="728" w:name="_Toc45896983"/>
      <w:bookmarkStart w:id="729" w:name="_Toc45896686"/>
      <w:bookmarkStart w:id="730" w:name="_Toc23469"/>
      <w:r>
        <w:rPr>
          <w:rFonts w:hint="eastAsia" w:cs="宋体"/>
        </w:rPr>
        <w:t>设计费投标报价得分：投标报价与评标基准价相等得满分5分，投标报价与评标基准价相比（投标报价－评标基准价）/评标基准价，每上浮1％扣0.01分；每下浮1%扣0.01分，保留小数点后两位。</w:t>
      </w:r>
    </w:p>
    <w:p w14:paraId="42B8A533">
      <w:pPr>
        <w:snapToGrid w:val="0"/>
        <w:spacing w:line="360" w:lineRule="auto"/>
        <w:ind w:firstLine="426" w:firstLineChars="202"/>
        <w:rPr>
          <w:rFonts w:cs="宋体"/>
          <w:b/>
          <w:bCs/>
        </w:rPr>
      </w:pPr>
      <w:r>
        <w:rPr>
          <w:rFonts w:hint="eastAsia" w:cs="宋体"/>
          <w:b/>
          <w:bCs/>
        </w:rPr>
        <w:t>设计费投标报价得分计算公式：</w:t>
      </w:r>
    </w:p>
    <w:p w14:paraId="6D732E7A">
      <w:pPr>
        <w:snapToGrid w:val="0"/>
        <w:spacing w:line="360" w:lineRule="auto"/>
        <w:ind w:firstLine="424" w:firstLineChars="202"/>
        <w:rPr>
          <w:rFonts w:cs="宋体"/>
        </w:rPr>
      </w:pPr>
      <w:r>
        <w:rPr>
          <w:rFonts w:hint="eastAsia" w:cs="宋体"/>
        </w:rPr>
        <w:t>设计费投标报价得分=5-|（投标报价－评标基准价）÷评标基准价×0.01×100|，分数扣完为止。</w:t>
      </w:r>
    </w:p>
    <w:bookmarkEnd w:id="726"/>
    <w:bookmarkEnd w:id="727"/>
    <w:bookmarkEnd w:id="728"/>
    <w:bookmarkEnd w:id="729"/>
    <w:bookmarkEnd w:id="730"/>
    <w:p w14:paraId="3C9C7E6E">
      <w:pPr>
        <w:snapToGrid w:val="0"/>
        <w:spacing w:line="360" w:lineRule="auto"/>
        <w:ind w:firstLine="424" w:firstLineChars="202"/>
        <w:outlineLvl w:val="5"/>
        <w:rPr>
          <w:rFonts w:cs="Times New Roman"/>
        </w:rPr>
      </w:pPr>
      <w:r>
        <w:rPr>
          <w:rFonts w:hint="eastAsia" w:cs="宋体"/>
        </w:rPr>
        <w:t>（三）建安工程费下浮率投标报价评审（满分</w:t>
      </w:r>
      <w:r>
        <w:rPr>
          <w:rFonts w:hint="eastAsia" w:cs="Times New Roman"/>
        </w:rPr>
        <w:t>15</w:t>
      </w:r>
      <w:r>
        <w:rPr>
          <w:rFonts w:hint="eastAsia" w:cs="宋体"/>
        </w:rPr>
        <w:t>分）</w:t>
      </w:r>
    </w:p>
    <w:p w14:paraId="7D37D101">
      <w:pPr>
        <w:snapToGrid w:val="0"/>
        <w:spacing w:line="360" w:lineRule="auto"/>
        <w:ind w:firstLine="424" w:firstLineChars="202"/>
        <w:rPr>
          <w:rFonts w:cs="宋体"/>
        </w:rPr>
      </w:pPr>
      <w:bookmarkStart w:id="731" w:name="_Toc45896984"/>
      <w:bookmarkEnd w:id="731"/>
      <w:bookmarkStart w:id="732" w:name="_Toc45896687"/>
      <w:bookmarkEnd w:id="732"/>
      <w:r>
        <w:rPr>
          <w:rFonts w:hint="eastAsia" w:cs="宋体"/>
        </w:rPr>
        <w:t>工程施工费下浮率投标报价得分：投标报价与评标基准价相等时得满分15分；投标报价与评标基准价每相差1%（差值的绝对值）扣0.20分。</w:t>
      </w:r>
    </w:p>
    <w:p w14:paraId="4E171CA9">
      <w:pPr>
        <w:snapToGrid w:val="0"/>
        <w:spacing w:line="360" w:lineRule="auto"/>
        <w:ind w:firstLine="426" w:firstLineChars="202"/>
        <w:rPr>
          <w:rFonts w:cs="宋体"/>
          <w:b/>
          <w:bCs/>
        </w:rPr>
      </w:pPr>
      <w:r>
        <w:rPr>
          <w:rFonts w:hint="eastAsia" w:cs="宋体"/>
          <w:b/>
          <w:bCs/>
        </w:rPr>
        <w:t>工程施工费下浮率投标报价得分计算公式：</w:t>
      </w:r>
    </w:p>
    <w:p w14:paraId="4F07CE6C">
      <w:pPr>
        <w:snapToGrid w:val="0"/>
        <w:spacing w:line="360" w:lineRule="auto"/>
        <w:ind w:firstLine="424" w:firstLineChars="202"/>
        <w:rPr>
          <w:b/>
          <w:bCs/>
        </w:rPr>
      </w:pPr>
      <w:r>
        <w:rPr>
          <w:rFonts w:hint="eastAsia" w:cs="宋体"/>
        </w:rPr>
        <w:t>工程施工费下浮率投标报价得分=15-|（投标报价－评标基准价）×0.20×100|，分数扣完为止。</w:t>
      </w:r>
      <w:r>
        <w:rPr>
          <w:b/>
          <w:bCs/>
        </w:rPr>
        <w:br w:type="page"/>
      </w:r>
    </w:p>
    <w:p w14:paraId="68DD2A70">
      <w:pPr>
        <w:spacing w:line="360" w:lineRule="auto"/>
        <w:ind w:firstLine="527" w:firstLineChars="250"/>
        <w:outlineLvl w:val="4"/>
        <w:rPr>
          <w:rFonts w:cs="Times New Roman"/>
          <w:b/>
          <w:bCs/>
        </w:rPr>
      </w:pPr>
      <w:r>
        <w:rPr>
          <w:b/>
          <w:bCs/>
        </w:rPr>
        <w:t xml:space="preserve">2.2.2 </w:t>
      </w:r>
      <w:r>
        <w:rPr>
          <w:rFonts w:hint="eastAsia" w:cs="宋体"/>
          <w:b/>
          <w:bCs/>
        </w:rPr>
        <w:t>技术部分评审标准（满分</w:t>
      </w:r>
      <w:r>
        <w:rPr>
          <w:rFonts w:hint="eastAsia"/>
          <w:b/>
          <w:bCs/>
        </w:rPr>
        <w:t>80</w:t>
      </w:r>
      <w:r>
        <w:rPr>
          <w:rFonts w:hint="eastAsia" w:cs="宋体"/>
          <w:b/>
          <w:bCs/>
        </w:rPr>
        <w:t>分）</w:t>
      </w:r>
    </w:p>
    <w:tbl>
      <w:tblPr>
        <w:tblStyle w:val="25"/>
        <w:tblW w:w="94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6"/>
        <w:gridCol w:w="1363"/>
        <w:gridCol w:w="6642"/>
      </w:tblGrid>
      <w:tr w14:paraId="165A2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1486" w:type="dxa"/>
            <w:tcMar>
              <w:top w:w="28" w:type="dxa"/>
              <w:left w:w="28" w:type="dxa"/>
              <w:bottom w:w="28" w:type="dxa"/>
              <w:right w:w="28" w:type="dxa"/>
            </w:tcMar>
            <w:vAlign w:val="center"/>
          </w:tcPr>
          <w:p w14:paraId="270F6560">
            <w:pPr>
              <w:snapToGrid w:val="0"/>
              <w:spacing w:line="360" w:lineRule="auto"/>
              <w:ind w:firstLine="365"/>
              <w:jc w:val="center"/>
              <w:rPr>
                <w:rFonts w:hint="eastAsia" w:ascii="宋体" w:hAnsi="宋体" w:cs="宋体"/>
                <w:kern w:val="0"/>
              </w:rPr>
            </w:pPr>
            <w:r>
              <w:rPr>
                <w:rFonts w:hint="eastAsia" w:ascii="宋体" w:hAnsi="宋体" w:cs="宋体"/>
                <w:kern w:val="0"/>
              </w:rPr>
              <w:t>评分因素</w:t>
            </w:r>
          </w:p>
        </w:tc>
        <w:tc>
          <w:tcPr>
            <w:tcW w:w="8005" w:type="dxa"/>
            <w:gridSpan w:val="2"/>
            <w:tcMar>
              <w:top w:w="28" w:type="dxa"/>
              <w:left w:w="28" w:type="dxa"/>
              <w:bottom w:w="28" w:type="dxa"/>
              <w:right w:w="28" w:type="dxa"/>
            </w:tcMar>
            <w:vAlign w:val="center"/>
          </w:tcPr>
          <w:p w14:paraId="0F5E25F6">
            <w:pPr>
              <w:snapToGrid w:val="0"/>
              <w:spacing w:line="360" w:lineRule="auto"/>
              <w:ind w:firstLine="424" w:firstLineChars="202"/>
              <w:jc w:val="center"/>
              <w:rPr>
                <w:rFonts w:hint="eastAsia" w:ascii="宋体" w:hAnsi="宋体" w:cs="宋体"/>
                <w:kern w:val="0"/>
              </w:rPr>
            </w:pPr>
            <w:r>
              <w:rPr>
                <w:rFonts w:hint="eastAsia" w:ascii="宋体" w:hAnsi="宋体" w:cs="宋体"/>
                <w:kern w:val="0"/>
              </w:rPr>
              <w:t>评分标准</w:t>
            </w:r>
          </w:p>
        </w:tc>
      </w:tr>
      <w:tr w14:paraId="276C2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8" w:hRule="atLeast"/>
          <w:tblHeader/>
          <w:jc w:val="center"/>
        </w:trPr>
        <w:tc>
          <w:tcPr>
            <w:tcW w:w="1486" w:type="dxa"/>
            <w:tcMar>
              <w:top w:w="28" w:type="dxa"/>
              <w:left w:w="28" w:type="dxa"/>
              <w:bottom w:w="28" w:type="dxa"/>
              <w:right w:w="28" w:type="dxa"/>
            </w:tcMar>
            <w:vAlign w:val="center"/>
          </w:tcPr>
          <w:p w14:paraId="100E6E9C">
            <w:pPr>
              <w:snapToGrid w:val="0"/>
              <w:spacing w:line="360" w:lineRule="auto"/>
              <w:rPr>
                <w:rFonts w:hint="eastAsia" w:ascii="宋体" w:hAnsi="宋体" w:cs="宋体"/>
                <w:kern w:val="0"/>
              </w:rPr>
            </w:pPr>
            <w:r>
              <w:rPr>
                <w:rFonts w:hint="eastAsia" w:ascii="宋体" w:hAnsi="宋体" w:cs="宋体"/>
              </w:rPr>
              <w:t>总承包管理方案（15分）</w:t>
            </w:r>
          </w:p>
        </w:tc>
        <w:tc>
          <w:tcPr>
            <w:tcW w:w="1363" w:type="dxa"/>
            <w:tcMar>
              <w:top w:w="28" w:type="dxa"/>
              <w:left w:w="28" w:type="dxa"/>
              <w:bottom w:w="28" w:type="dxa"/>
              <w:right w:w="28" w:type="dxa"/>
            </w:tcMar>
            <w:vAlign w:val="center"/>
          </w:tcPr>
          <w:p w14:paraId="0904C06B">
            <w:pPr>
              <w:snapToGrid w:val="0"/>
              <w:spacing w:line="360" w:lineRule="auto"/>
              <w:jc w:val="center"/>
              <w:rPr>
                <w:rFonts w:hint="eastAsia" w:ascii="宋体" w:hAnsi="宋体" w:cs="宋体"/>
                <w:kern w:val="0"/>
              </w:rPr>
            </w:pPr>
            <w:r>
              <w:rPr>
                <w:rFonts w:hint="eastAsia" w:ascii="宋体" w:hAnsi="宋体" w:cs="宋体"/>
              </w:rPr>
              <w:t>总承包管理方案评审（15分）</w:t>
            </w:r>
          </w:p>
        </w:tc>
        <w:tc>
          <w:tcPr>
            <w:tcW w:w="6642" w:type="dxa"/>
            <w:tcMar>
              <w:top w:w="28" w:type="dxa"/>
              <w:left w:w="28" w:type="dxa"/>
              <w:bottom w:w="28" w:type="dxa"/>
              <w:right w:w="28" w:type="dxa"/>
            </w:tcMar>
            <w:vAlign w:val="center"/>
          </w:tcPr>
          <w:p w14:paraId="317E000E">
            <w:pPr>
              <w:pStyle w:val="8"/>
              <w:snapToGrid w:val="0"/>
              <w:spacing w:after="0" w:line="360" w:lineRule="auto"/>
              <w:jc w:val="left"/>
              <w:rPr>
                <w:rFonts w:hint="eastAsia" w:ascii="宋体" w:hAnsi="宋体" w:cs="宋体"/>
                <w:sz w:val="21"/>
                <w:szCs w:val="21"/>
              </w:rPr>
            </w:pPr>
            <w:r>
              <w:rPr>
                <w:rFonts w:hint="eastAsia" w:ascii="宋体" w:hAnsi="宋体" w:cs="宋体"/>
                <w:sz w:val="21"/>
                <w:szCs w:val="21"/>
              </w:rPr>
              <w:t>根据投标人投标文件中项目投资管理控制、项目组织设计管理控制、项目设计管理控制、项目进度管理控制、项目质量管理控制等内容进行评审：</w:t>
            </w:r>
          </w:p>
          <w:p w14:paraId="5E199CEA">
            <w:pPr>
              <w:pStyle w:val="8"/>
              <w:snapToGrid w:val="0"/>
              <w:spacing w:after="0" w:line="360" w:lineRule="auto"/>
              <w:jc w:val="left"/>
              <w:rPr>
                <w:rFonts w:hint="eastAsia" w:ascii="宋体" w:hAnsi="宋体" w:cs="宋体"/>
                <w:sz w:val="21"/>
                <w:szCs w:val="21"/>
              </w:rPr>
            </w:pPr>
            <w:r>
              <w:rPr>
                <w:rFonts w:hint="eastAsia" w:ascii="宋体" w:hAnsi="宋体" w:cs="宋体"/>
                <w:sz w:val="21"/>
                <w:szCs w:val="21"/>
              </w:rPr>
              <w:t>（1）以上管理计划详尽、目标明确，系统性强且具有较强的针对性，有好的控制措施，实施性强，组织机构明确等的得11～15分；</w:t>
            </w:r>
          </w:p>
          <w:p w14:paraId="7F55E30A">
            <w:pPr>
              <w:pStyle w:val="8"/>
              <w:snapToGrid w:val="0"/>
              <w:spacing w:after="0" w:line="360" w:lineRule="auto"/>
              <w:jc w:val="left"/>
              <w:rPr>
                <w:rFonts w:hint="eastAsia" w:ascii="宋体" w:hAnsi="宋体" w:cs="宋体"/>
                <w:sz w:val="21"/>
                <w:szCs w:val="21"/>
              </w:rPr>
            </w:pPr>
            <w:r>
              <w:rPr>
                <w:rFonts w:hint="eastAsia" w:ascii="宋体" w:hAnsi="宋体" w:cs="宋体"/>
                <w:sz w:val="21"/>
                <w:szCs w:val="21"/>
              </w:rPr>
              <w:t>（2）以上管理计划齐全、目标基本明确，系统性较强且具有针对性，具有较好的控制措施，实施性较强，组织机构基本明确等的得4～10分；</w:t>
            </w:r>
          </w:p>
          <w:p w14:paraId="274FBBB5">
            <w:pPr>
              <w:pStyle w:val="8"/>
              <w:snapToGrid w:val="0"/>
              <w:spacing w:after="0" w:line="360" w:lineRule="auto"/>
              <w:jc w:val="left"/>
              <w:rPr>
                <w:rFonts w:hint="eastAsia" w:ascii="宋体" w:hAnsi="宋体" w:cs="宋体"/>
                <w:sz w:val="21"/>
                <w:szCs w:val="21"/>
              </w:rPr>
            </w:pPr>
            <w:r>
              <w:rPr>
                <w:rFonts w:hint="eastAsia" w:ascii="宋体" w:hAnsi="宋体" w:cs="宋体"/>
                <w:sz w:val="21"/>
                <w:szCs w:val="21"/>
              </w:rPr>
              <w:t>（3）以上管理计划齐全但有部分不足、目标基本明确，系统性一般、针对性一般，控制措施有部分缺陷，实施性一般，组织机构基本明确等的得1～3分。</w:t>
            </w:r>
          </w:p>
          <w:p w14:paraId="4B121B7D">
            <w:pPr>
              <w:pStyle w:val="8"/>
              <w:snapToGrid w:val="0"/>
              <w:spacing w:after="0" w:line="360" w:lineRule="auto"/>
              <w:jc w:val="left"/>
              <w:rPr>
                <w:rFonts w:hint="eastAsia" w:ascii="宋体" w:hAnsi="宋体" w:cs="宋体"/>
                <w:sz w:val="21"/>
                <w:szCs w:val="21"/>
              </w:rPr>
            </w:pPr>
            <w:r>
              <w:rPr>
                <w:rFonts w:hint="eastAsia" w:ascii="宋体" w:hAnsi="宋体" w:cs="宋体"/>
                <w:sz w:val="21"/>
                <w:szCs w:val="21"/>
              </w:rPr>
              <w:t>（4）以上管理计划不足、目标不明确等的得0分。</w:t>
            </w:r>
          </w:p>
        </w:tc>
      </w:tr>
      <w:tr w14:paraId="60923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5" w:hRule="atLeast"/>
          <w:tblHeader/>
          <w:jc w:val="center"/>
        </w:trPr>
        <w:tc>
          <w:tcPr>
            <w:tcW w:w="1486" w:type="dxa"/>
            <w:vMerge w:val="restart"/>
            <w:tcMar>
              <w:top w:w="28" w:type="dxa"/>
              <w:left w:w="28" w:type="dxa"/>
              <w:bottom w:w="28" w:type="dxa"/>
              <w:right w:w="28" w:type="dxa"/>
            </w:tcMar>
            <w:vAlign w:val="center"/>
          </w:tcPr>
          <w:p w14:paraId="503ABC94">
            <w:pPr>
              <w:snapToGrid w:val="0"/>
              <w:spacing w:line="360" w:lineRule="auto"/>
              <w:jc w:val="center"/>
              <w:rPr>
                <w:rFonts w:hint="eastAsia" w:ascii="宋体" w:hAnsi="宋体" w:cs="宋体"/>
              </w:rPr>
            </w:pPr>
            <w:r>
              <w:rPr>
                <w:rFonts w:hint="eastAsia" w:ascii="宋体" w:hAnsi="宋体" w:cs="宋体"/>
              </w:rPr>
              <w:t>设计工作方案</w:t>
            </w:r>
          </w:p>
          <w:p w14:paraId="1930FFBF">
            <w:pPr>
              <w:snapToGrid w:val="0"/>
              <w:spacing w:line="360" w:lineRule="auto"/>
              <w:rPr>
                <w:rFonts w:hint="eastAsia" w:ascii="宋体" w:hAnsi="宋体" w:cs="宋体"/>
                <w:kern w:val="0"/>
              </w:rPr>
            </w:pPr>
            <w:r>
              <w:rPr>
                <w:rFonts w:hint="eastAsia" w:ascii="宋体" w:hAnsi="宋体" w:cs="宋体"/>
              </w:rPr>
              <w:t>（总分25分）</w:t>
            </w:r>
          </w:p>
        </w:tc>
        <w:tc>
          <w:tcPr>
            <w:tcW w:w="1363" w:type="dxa"/>
            <w:tcMar>
              <w:top w:w="28" w:type="dxa"/>
              <w:left w:w="28" w:type="dxa"/>
              <w:bottom w:w="28" w:type="dxa"/>
              <w:right w:w="28" w:type="dxa"/>
            </w:tcMar>
            <w:vAlign w:val="center"/>
          </w:tcPr>
          <w:p w14:paraId="64FA841E">
            <w:pPr>
              <w:snapToGrid w:val="0"/>
              <w:spacing w:line="360" w:lineRule="auto"/>
              <w:jc w:val="center"/>
              <w:rPr>
                <w:rFonts w:hint="eastAsia" w:ascii="宋体" w:hAnsi="宋体" w:cs="宋体"/>
              </w:rPr>
            </w:pPr>
            <w:r>
              <w:rPr>
                <w:rFonts w:hint="eastAsia" w:ascii="宋体" w:hAnsi="宋体" w:cs="宋体"/>
              </w:rPr>
              <w:t>设计工作大纲评审</w:t>
            </w:r>
          </w:p>
          <w:p w14:paraId="6BB8A062">
            <w:pPr>
              <w:snapToGrid w:val="0"/>
              <w:spacing w:line="360" w:lineRule="auto"/>
              <w:jc w:val="center"/>
              <w:rPr>
                <w:rFonts w:hint="eastAsia" w:ascii="宋体" w:hAnsi="宋体" w:cs="宋体"/>
                <w:kern w:val="0"/>
              </w:rPr>
            </w:pPr>
            <w:r>
              <w:rPr>
                <w:rFonts w:hint="eastAsia" w:ascii="宋体" w:hAnsi="宋体" w:cs="宋体"/>
              </w:rPr>
              <w:t>（总分15分）</w:t>
            </w:r>
          </w:p>
        </w:tc>
        <w:tc>
          <w:tcPr>
            <w:tcW w:w="6642" w:type="dxa"/>
            <w:tcMar>
              <w:top w:w="28" w:type="dxa"/>
              <w:left w:w="28" w:type="dxa"/>
              <w:bottom w:w="28" w:type="dxa"/>
              <w:right w:w="28" w:type="dxa"/>
            </w:tcMar>
            <w:vAlign w:val="center"/>
          </w:tcPr>
          <w:p w14:paraId="3C29E3B8">
            <w:pPr>
              <w:snapToGrid w:val="0"/>
              <w:spacing w:line="360" w:lineRule="auto"/>
              <w:rPr>
                <w:rFonts w:hint="eastAsia" w:ascii="宋体" w:hAnsi="宋体" w:cs="宋体"/>
              </w:rPr>
            </w:pPr>
            <w:r>
              <w:rPr>
                <w:rFonts w:hint="eastAsia" w:ascii="宋体" w:hAnsi="宋体" w:cs="宋体"/>
              </w:rPr>
              <w:t>（1）对招标项目理解正确，项目设计构思描述清晰、合理；满足项目建设使用功能；符合规范标准；设计时间和设计质量完全满足招标文件要求，对重点、难点、关键性技术问题总结完整、准确，具有切实可行的对策措施且有较强的针对性和可实施性，设计进度计划安排合理可行、设计周期承诺满足项目建设要求及保证措施的内容和操作性合理可行，措施有力，具有较强的针对性和可实施性的得11～15分；</w:t>
            </w:r>
          </w:p>
          <w:p w14:paraId="33F59CB2">
            <w:pPr>
              <w:snapToGrid w:val="0"/>
              <w:spacing w:line="360" w:lineRule="auto"/>
              <w:rPr>
                <w:rFonts w:hint="eastAsia" w:ascii="宋体" w:hAnsi="宋体" w:cs="宋体"/>
              </w:rPr>
            </w:pPr>
            <w:r>
              <w:rPr>
                <w:rFonts w:hint="eastAsia" w:ascii="宋体" w:hAnsi="宋体" w:cs="宋体"/>
              </w:rPr>
              <w:t>（2）对招标项目理解基本正确，项目设计构思描述基本清晰、合理，工程设计工作大纲思路一般；设计时间和设计质量满足招标文件要求，对重点、难点、关键性技术问题和设计进度计划安排基本可行、设计周期承诺基本满足项目建设要求及保证措施的内容和操作性基本可行的得6～10分；</w:t>
            </w:r>
          </w:p>
          <w:p w14:paraId="6A1B3037">
            <w:pPr>
              <w:snapToGrid w:val="0"/>
              <w:spacing w:line="360" w:lineRule="auto"/>
              <w:rPr>
                <w:rFonts w:hint="eastAsia" w:ascii="宋体" w:hAnsi="宋体" w:cs="宋体"/>
              </w:rPr>
            </w:pPr>
            <w:r>
              <w:rPr>
                <w:rFonts w:hint="eastAsia" w:ascii="宋体" w:hAnsi="宋体" w:cs="宋体"/>
              </w:rPr>
              <w:t>（3）对招标项目理解基本正确但有细微偏差，项目设计构思描述基本清晰、合理，工程设计工作大纲思路一般基本满足项目需求；设计时间和设计质量基本满足招标文件要求，对重点、难点、关键性技术问题和设计进度计划安排基本可行、设计周期承诺基本满足项目建设要求及保证措施的内容和操作性基本可行但有一定缺陷的得1～5分；</w:t>
            </w:r>
          </w:p>
          <w:p w14:paraId="72973CE2">
            <w:pPr>
              <w:snapToGrid w:val="0"/>
              <w:spacing w:line="360" w:lineRule="auto"/>
              <w:rPr>
                <w:rFonts w:hint="eastAsia" w:ascii="宋体" w:hAnsi="宋体" w:cs="宋体"/>
              </w:rPr>
            </w:pPr>
            <w:r>
              <w:rPr>
                <w:rFonts w:hint="eastAsia" w:ascii="宋体" w:hAnsi="宋体" w:cs="宋体"/>
              </w:rPr>
              <w:t>（4）无设计方案的得0分。</w:t>
            </w:r>
          </w:p>
        </w:tc>
      </w:tr>
      <w:tr w14:paraId="449CA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blHeader/>
          <w:jc w:val="center"/>
        </w:trPr>
        <w:tc>
          <w:tcPr>
            <w:tcW w:w="1486" w:type="dxa"/>
            <w:vMerge w:val="continue"/>
            <w:tcMar>
              <w:top w:w="28" w:type="dxa"/>
              <w:left w:w="28" w:type="dxa"/>
              <w:bottom w:w="28" w:type="dxa"/>
              <w:right w:w="28" w:type="dxa"/>
            </w:tcMar>
            <w:vAlign w:val="center"/>
          </w:tcPr>
          <w:p w14:paraId="23B2F495">
            <w:pPr>
              <w:snapToGrid w:val="0"/>
              <w:spacing w:line="360" w:lineRule="auto"/>
            </w:pPr>
          </w:p>
        </w:tc>
        <w:tc>
          <w:tcPr>
            <w:tcW w:w="1363" w:type="dxa"/>
            <w:tcMar>
              <w:top w:w="28" w:type="dxa"/>
              <w:left w:w="28" w:type="dxa"/>
              <w:bottom w:w="28" w:type="dxa"/>
              <w:right w:w="28" w:type="dxa"/>
            </w:tcMar>
            <w:vAlign w:val="center"/>
          </w:tcPr>
          <w:p w14:paraId="06FD4225">
            <w:pPr>
              <w:snapToGrid w:val="0"/>
              <w:spacing w:line="360" w:lineRule="auto"/>
              <w:rPr>
                <w:rFonts w:hint="eastAsia" w:ascii="宋体" w:hAnsi="宋体" w:cs="宋体"/>
              </w:rPr>
            </w:pPr>
            <w:r>
              <w:rPr>
                <w:rFonts w:hint="eastAsia" w:ascii="宋体" w:hAnsi="宋体" w:cs="宋体"/>
              </w:rPr>
              <w:t>造价控制方案评审（5）分</w:t>
            </w:r>
          </w:p>
        </w:tc>
        <w:tc>
          <w:tcPr>
            <w:tcW w:w="6642" w:type="dxa"/>
            <w:tcMar>
              <w:top w:w="28" w:type="dxa"/>
              <w:left w:w="28" w:type="dxa"/>
              <w:bottom w:w="28" w:type="dxa"/>
              <w:right w:w="28" w:type="dxa"/>
            </w:tcMar>
            <w:vAlign w:val="center"/>
          </w:tcPr>
          <w:p w14:paraId="01AF5264">
            <w:pPr>
              <w:snapToGrid w:val="0"/>
              <w:spacing w:line="360" w:lineRule="auto"/>
              <w:rPr>
                <w:rFonts w:hint="eastAsia" w:ascii="宋体" w:hAnsi="宋体" w:cs="宋体"/>
              </w:rPr>
            </w:pPr>
            <w:r>
              <w:rPr>
                <w:rFonts w:hint="eastAsia" w:ascii="宋体" w:hAnsi="宋体" w:cs="宋体"/>
              </w:rPr>
              <w:t>（1）在确保设计成果质量的前提下，所提出的工程造价控制措施能达到节约工程造价的目的，措施合理可行，体现经济性，内容有针对性地得4～5分。</w:t>
            </w:r>
          </w:p>
          <w:p w14:paraId="21AD711D">
            <w:pPr>
              <w:snapToGrid w:val="0"/>
              <w:spacing w:line="360" w:lineRule="auto"/>
              <w:rPr>
                <w:rFonts w:hint="eastAsia" w:ascii="宋体" w:hAnsi="宋体" w:cs="宋体"/>
              </w:rPr>
            </w:pPr>
            <w:r>
              <w:rPr>
                <w:rFonts w:hint="eastAsia" w:ascii="宋体" w:hAnsi="宋体" w:cs="宋体"/>
              </w:rPr>
              <w:t>（2）在确保设计成果质量的前提下，节约工程造价的措施一般，基本合理可行，经济性、针对性一般的得2～3分。</w:t>
            </w:r>
          </w:p>
          <w:p w14:paraId="0C011036">
            <w:pPr>
              <w:snapToGrid w:val="0"/>
              <w:spacing w:line="360" w:lineRule="auto"/>
              <w:rPr>
                <w:rFonts w:hint="eastAsia" w:ascii="宋体" w:hAnsi="宋体" w:cs="宋体"/>
              </w:rPr>
            </w:pPr>
            <w:r>
              <w:rPr>
                <w:rFonts w:hint="eastAsia" w:ascii="宋体" w:hAnsi="宋体" w:cs="宋体"/>
              </w:rPr>
              <w:t>（3）在确保设计成果质量的前提下，节约工程造价的措施不合理、不可行或没有针对性地得1分。</w:t>
            </w:r>
          </w:p>
          <w:p w14:paraId="57AC3686">
            <w:pPr>
              <w:snapToGrid w:val="0"/>
              <w:spacing w:line="360" w:lineRule="auto"/>
              <w:rPr>
                <w:rFonts w:hint="eastAsia" w:ascii="宋体" w:hAnsi="宋体" w:cs="宋体"/>
              </w:rPr>
            </w:pPr>
            <w:r>
              <w:rPr>
                <w:rFonts w:hint="eastAsia" w:ascii="宋体" w:hAnsi="宋体" w:cs="宋体"/>
              </w:rPr>
              <w:t>（4）未提供工程造价控制措施的得0分。</w:t>
            </w:r>
          </w:p>
        </w:tc>
      </w:tr>
      <w:tr w14:paraId="0583D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blHeader/>
          <w:jc w:val="center"/>
        </w:trPr>
        <w:tc>
          <w:tcPr>
            <w:tcW w:w="1486" w:type="dxa"/>
            <w:vMerge w:val="continue"/>
            <w:tcMar>
              <w:top w:w="28" w:type="dxa"/>
              <w:left w:w="28" w:type="dxa"/>
              <w:bottom w:w="28" w:type="dxa"/>
              <w:right w:w="28" w:type="dxa"/>
            </w:tcMar>
            <w:vAlign w:val="center"/>
          </w:tcPr>
          <w:p w14:paraId="0B1A1B33">
            <w:pPr>
              <w:snapToGrid w:val="0"/>
              <w:spacing w:line="360" w:lineRule="auto"/>
            </w:pPr>
          </w:p>
        </w:tc>
        <w:tc>
          <w:tcPr>
            <w:tcW w:w="1363" w:type="dxa"/>
            <w:tcMar>
              <w:top w:w="28" w:type="dxa"/>
              <w:left w:w="28" w:type="dxa"/>
              <w:bottom w:w="28" w:type="dxa"/>
              <w:right w:w="28" w:type="dxa"/>
            </w:tcMar>
            <w:vAlign w:val="center"/>
          </w:tcPr>
          <w:p w14:paraId="5A409011">
            <w:pPr>
              <w:snapToGrid w:val="0"/>
              <w:spacing w:line="360" w:lineRule="auto"/>
              <w:rPr>
                <w:rFonts w:hint="eastAsia" w:ascii="宋体" w:hAnsi="宋体" w:cs="宋体"/>
              </w:rPr>
            </w:pPr>
            <w:r>
              <w:rPr>
                <w:rFonts w:hint="eastAsia" w:ascii="宋体" w:hAnsi="宋体" w:cs="宋体"/>
              </w:rPr>
              <w:t>设计项目组织机构及主要人员安排（5分）</w:t>
            </w:r>
          </w:p>
        </w:tc>
        <w:tc>
          <w:tcPr>
            <w:tcW w:w="6642" w:type="dxa"/>
            <w:tcMar>
              <w:top w:w="28" w:type="dxa"/>
              <w:left w:w="28" w:type="dxa"/>
              <w:bottom w:w="28" w:type="dxa"/>
              <w:right w:w="28" w:type="dxa"/>
            </w:tcMar>
            <w:vAlign w:val="center"/>
          </w:tcPr>
          <w:p w14:paraId="64AA058F">
            <w:pPr>
              <w:snapToGrid w:val="0"/>
              <w:spacing w:line="360" w:lineRule="auto"/>
              <w:rPr>
                <w:rFonts w:hint="eastAsia" w:ascii="宋体" w:hAnsi="宋体" w:cs="宋体"/>
              </w:rPr>
            </w:pPr>
            <w:r>
              <w:rPr>
                <w:rFonts w:hint="eastAsia" w:ascii="宋体" w:hAnsi="宋体" w:cs="宋体"/>
              </w:rPr>
              <w:t xml:space="preserve">（1）设计项目组织机构管理体系完善，针对性强，有科学严谨的管理程序，人员安排的专业，配置合理齐全的得 5 分； </w:t>
            </w:r>
          </w:p>
          <w:p w14:paraId="0ADA0474">
            <w:pPr>
              <w:snapToGrid w:val="0"/>
              <w:spacing w:line="360" w:lineRule="auto"/>
              <w:rPr>
                <w:rFonts w:hint="eastAsia" w:ascii="宋体" w:hAnsi="宋体" w:cs="宋体"/>
              </w:rPr>
            </w:pPr>
            <w:r>
              <w:rPr>
                <w:rFonts w:hint="eastAsia" w:ascii="宋体" w:hAnsi="宋体" w:cs="宋体"/>
              </w:rPr>
              <w:t xml:space="preserve">（2）设计项目组织机构管理体系完善，有针对性，有管理程序，主要人员安排的专业配置基本合理的得 3-4 分； </w:t>
            </w:r>
          </w:p>
          <w:p w14:paraId="31ED97B1">
            <w:pPr>
              <w:snapToGrid w:val="0"/>
              <w:spacing w:line="360" w:lineRule="auto"/>
              <w:rPr>
                <w:rFonts w:hint="eastAsia" w:ascii="宋体" w:hAnsi="宋体" w:cs="宋体"/>
              </w:rPr>
            </w:pPr>
            <w:r>
              <w:rPr>
                <w:rFonts w:hint="eastAsia" w:ascii="宋体" w:hAnsi="宋体" w:cs="宋体"/>
              </w:rPr>
              <w:t xml:space="preserve">（3）设计项目组织机构体系不完善，管理程序不清晰，主要人员安排的专业配置有疏漏的得 1-2 分； </w:t>
            </w:r>
          </w:p>
          <w:p w14:paraId="0E1FF6A2">
            <w:pPr>
              <w:snapToGrid w:val="0"/>
              <w:spacing w:line="360" w:lineRule="auto"/>
              <w:rPr>
                <w:rFonts w:hint="eastAsia" w:ascii="宋体" w:hAnsi="宋体" w:cs="宋体"/>
              </w:rPr>
            </w:pPr>
            <w:r>
              <w:rPr>
                <w:rFonts w:hint="eastAsia" w:ascii="宋体" w:hAnsi="宋体" w:cs="宋体"/>
              </w:rPr>
              <w:t>（4）未提供设计项目组织机构及主要人员安排的不得分。</w:t>
            </w:r>
          </w:p>
        </w:tc>
      </w:tr>
      <w:tr w14:paraId="3E39D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tblHeader/>
          <w:jc w:val="center"/>
        </w:trPr>
        <w:tc>
          <w:tcPr>
            <w:tcW w:w="1486" w:type="dxa"/>
            <w:vMerge w:val="restart"/>
            <w:tcMar>
              <w:top w:w="28" w:type="dxa"/>
              <w:left w:w="28" w:type="dxa"/>
              <w:bottom w:w="28" w:type="dxa"/>
              <w:right w:w="28" w:type="dxa"/>
            </w:tcMar>
            <w:vAlign w:val="center"/>
          </w:tcPr>
          <w:p w14:paraId="09C82A12">
            <w:pPr>
              <w:snapToGrid w:val="0"/>
              <w:spacing w:line="360" w:lineRule="auto"/>
              <w:rPr>
                <w:rFonts w:hint="eastAsia" w:ascii="宋体" w:hAnsi="宋体" w:cs="宋体"/>
                <w:kern w:val="0"/>
              </w:rPr>
            </w:pPr>
            <w:r>
              <w:rPr>
                <w:rFonts w:hint="eastAsia" w:ascii="宋体" w:hAnsi="宋体" w:cs="宋体"/>
              </w:rPr>
              <w:t>施工方案评审（40分）</w:t>
            </w:r>
          </w:p>
        </w:tc>
        <w:tc>
          <w:tcPr>
            <w:tcW w:w="1363" w:type="dxa"/>
            <w:tcMar>
              <w:top w:w="28" w:type="dxa"/>
              <w:left w:w="28" w:type="dxa"/>
              <w:bottom w:w="28" w:type="dxa"/>
              <w:right w:w="28" w:type="dxa"/>
            </w:tcMar>
            <w:vAlign w:val="center"/>
          </w:tcPr>
          <w:p w14:paraId="5254990F">
            <w:pPr>
              <w:snapToGrid w:val="0"/>
              <w:spacing w:line="360" w:lineRule="auto"/>
              <w:jc w:val="center"/>
              <w:rPr>
                <w:rFonts w:hint="eastAsia" w:ascii="宋体" w:hAnsi="宋体" w:cs="宋体"/>
              </w:rPr>
            </w:pPr>
            <w:r>
              <w:rPr>
                <w:rFonts w:hint="eastAsia" w:ascii="宋体" w:hAnsi="宋体" w:cs="宋体"/>
              </w:rPr>
              <w:t>施工方案评审（总分20分）</w:t>
            </w:r>
          </w:p>
        </w:tc>
        <w:tc>
          <w:tcPr>
            <w:tcW w:w="6642" w:type="dxa"/>
            <w:tcMar>
              <w:top w:w="28" w:type="dxa"/>
              <w:left w:w="28" w:type="dxa"/>
              <w:bottom w:w="28" w:type="dxa"/>
              <w:right w:w="28" w:type="dxa"/>
            </w:tcMar>
            <w:vAlign w:val="center"/>
          </w:tcPr>
          <w:p w14:paraId="4860075B">
            <w:pPr>
              <w:snapToGrid w:val="0"/>
              <w:spacing w:line="360" w:lineRule="auto"/>
              <w:rPr>
                <w:rFonts w:hint="eastAsia" w:ascii="宋体" w:hAnsi="宋体" w:cs="宋体"/>
              </w:rPr>
            </w:pPr>
            <w:r>
              <w:rPr>
                <w:rFonts w:hint="eastAsia" w:ascii="宋体" w:hAnsi="宋体" w:cs="宋体"/>
              </w:rPr>
              <w:t>（1）施工方案阐述清楚、完整、逻辑思维性强、符合本工程实际（包含项目目标（质量、工期、成本控制）、项目实施组织形式、项目阶段划分、项目工作结构分解、项目各阶段工作针对性与可行性强的，得14～20分；</w:t>
            </w:r>
          </w:p>
          <w:p w14:paraId="7F0967D3">
            <w:pPr>
              <w:snapToGrid w:val="0"/>
              <w:spacing w:line="360" w:lineRule="auto"/>
              <w:rPr>
                <w:rFonts w:hint="eastAsia" w:ascii="宋体" w:hAnsi="宋体" w:cs="宋体"/>
              </w:rPr>
            </w:pPr>
            <w:r>
              <w:rPr>
                <w:rFonts w:hint="eastAsia" w:ascii="宋体" w:hAnsi="宋体" w:cs="宋体"/>
              </w:rPr>
              <w:t>（2）施工方案基本阐述清楚、完整、逻辑x思维性强、符合本工程实际（包含项目目标（质量、工期、成本控制）、项目实施组织形式、项目阶段划分、项目工作结构分解、项目各阶段工作针对性与可行性强的，得7～13分；</w:t>
            </w:r>
          </w:p>
          <w:p w14:paraId="16F73C57">
            <w:pPr>
              <w:pStyle w:val="8"/>
              <w:snapToGrid w:val="0"/>
              <w:spacing w:after="0" w:line="360" w:lineRule="auto"/>
              <w:rPr>
                <w:rFonts w:hint="eastAsia" w:ascii="宋体" w:hAnsi="宋体" w:cs="宋体"/>
                <w:sz w:val="21"/>
                <w:szCs w:val="21"/>
              </w:rPr>
            </w:pPr>
            <w:r>
              <w:rPr>
                <w:rFonts w:hint="eastAsia" w:ascii="宋体" w:hAnsi="宋体" w:cs="宋体"/>
                <w:sz w:val="21"/>
                <w:szCs w:val="21"/>
              </w:rPr>
              <w:t>（3）施工方案阐述不够清楚、完整性差、逻辑思维性差的，不能详细指导施工的，得1～6分。</w:t>
            </w:r>
          </w:p>
        </w:tc>
      </w:tr>
      <w:tr w14:paraId="299C0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tblHeader/>
          <w:jc w:val="center"/>
        </w:trPr>
        <w:tc>
          <w:tcPr>
            <w:tcW w:w="1486" w:type="dxa"/>
            <w:vMerge w:val="continue"/>
            <w:tcMar>
              <w:top w:w="28" w:type="dxa"/>
              <w:left w:w="28" w:type="dxa"/>
              <w:bottom w:w="28" w:type="dxa"/>
              <w:right w:w="28" w:type="dxa"/>
            </w:tcMar>
            <w:vAlign w:val="center"/>
          </w:tcPr>
          <w:p w14:paraId="24443788">
            <w:pPr>
              <w:pStyle w:val="8"/>
              <w:snapToGrid w:val="0"/>
              <w:spacing w:after="0" w:line="360" w:lineRule="auto"/>
            </w:pPr>
          </w:p>
        </w:tc>
        <w:tc>
          <w:tcPr>
            <w:tcW w:w="1363" w:type="dxa"/>
            <w:tcMar>
              <w:top w:w="28" w:type="dxa"/>
              <w:left w:w="28" w:type="dxa"/>
              <w:bottom w:w="28" w:type="dxa"/>
              <w:right w:w="28" w:type="dxa"/>
            </w:tcMar>
            <w:vAlign w:val="center"/>
          </w:tcPr>
          <w:p w14:paraId="06026D54">
            <w:pPr>
              <w:snapToGrid w:val="0"/>
              <w:spacing w:line="360" w:lineRule="auto"/>
              <w:jc w:val="center"/>
              <w:rPr>
                <w:rFonts w:hint="eastAsia" w:ascii="宋体" w:hAnsi="宋体" w:cs="宋体"/>
              </w:rPr>
            </w:pPr>
            <w:r>
              <w:rPr>
                <w:rFonts w:hint="eastAsia" w:ascii="宋体" w:hAnsi="宋体" w:cs="宋体"/>
              </w:rPr>
              <w:t>安全文明施工承诺及保证措施（5分）</w:t>
            </w:r>
          </w:p>
        </w:tc>
        <w:tc>
          <w:tcPr>
            <w:tcW w:w="6642" w:type="dxa"/>
            <w:tcMar>
              <w:top w:w="28" w:type="dxa"/>
              <w:left w:w="28" w:type="dxa"/>
              <w:bottom w:w="28" w:type="dxa"/>
              <w:right w:w="28" w:type="dxa"/>
            </w:tcMar>
            <w:vAlign w:val="center"/>
          </w:tcPr>
          <w:p w14:paraId="73CF10C3">
            <w:pPr>
              <w:pStyle w:val="8"/>
              <w:snapToGrid w:val="0"/>
              <w:spacing w:after="0" w:line="360" w:lineRule="auto"/>
              <w:rPr>
                <w:rFonts w:hint="eastAsia" w:ascii="宋体" w:hAnsi="宋体" w:cs="宋体"/>
                <w:sz w:val="21"/>
                <w:szCs w:val="21"/>
              </w:rPr>
            </w:pPr>
            <w:r>
              <w:rPr>
                <w:rFonts w:hint="eastAsia" w:ascii="宋体" w:hAnsi="宋体" w:cs="宋体"/>
                <w:sz w:val="21"/>
                <w:szCs w:val="21"/>
              </w:rPr>
              <w:t>是否有具体、完整、可行的安全文明施工实施承诺、保证措施且合理、先进、有针对性。</w:t>
            </w:r>
          </w:p>
          <w:p w14:paraId="3FC0BEE5">
            <w:pPr>
              <w:pStyle w:val="8"/>
              <w:snapToGrid w:val="0"/>
              <w:spacing w:after="0" w:line="360" w:lineRule="auto"/>
              <w:rPr>
                <w:rFonts w:hint="eastAsia" w:ascii="宋体" w:hAnsi="宋体" w:cs="宋体"/>
                <w:sz w:val="21"/>
                <w:szCs w:val="21"/>
              </w:rPr>
            </w:pPr>
            <w:r>
              <w:rPr>
                <w:rFonts w:hint="eastAsia" w:ascii="宋体" w:hAnsi="宋体" w:cs="宋体"/>
                <w:sz w:val="21"/>
                <w:szCs w:val="21"/>
              </w:rPr>
              <w:t>（1）安全文明施工承诺及保证措施具体、完整、可行、合理、先进、针对性好得5分；</w:t>
            </w:r>
          </w:p>
          <w:p w14:paraId="1B11C38D">
            <w:pPr>
              <w:pStyle w:val="8"/>
              <w:snapToGrid w:val="0"/>
              <w:spacing w:after="0" w:line="360" w:lineRule="auto"/>
              <w:rPr>
                <w:rFonts w:hint="eastAsia" w:ascii="宋体" w:hAnsi="宋体" w:cs="宋体"/>
                <w:sz w:val="21"/>
                <w:szCs w:val="21"/>
              </w:rPr>
            </w:pPr>
            <w:r>
              <w:rPr>
                <w:rFonts w:hint="eastAsia" w:ascii="宋体" w:hAnsi="宋体" w:cs="宋体"/>
                <w:sz w:val="21"/>
                <w:szCs w:val="21"/>
              </w:rPr>
              <w:t>（2）安全文明施工承诺及保证措施一般、可行性一般、针对性一般的得3分；</w:t>
            </w:r>
          </w:p>
          <w:p w14:paraId="0A125655">
            <w:pPr>
              <w:pStyle w:val="8"/>
              <w:snapToGrid w:val="0"/>
              <w:spacing w:after="0" w:line="360" w:lineRule="auto"/>
              <w:rPr>
                <w:rFonts w:hint="eastAsia" w:ascii="宋体" w:hAnsi="宋体" w:cs="宋体"/>
                <w:sz w:val="21"/>
                <w:szCs w:val="21"/>
              </w:rPr>
            </w:pPr>
            <w:r>
              <w:rPr>
                <w:rFonts w:hint="eastAsia" w:ascii="宋体" w:hAnsi="宋体" w:cs="宋体"/>
                <w:sz w:val="21"/>
                <w:szCs w:val="21"/>
              </w:rPr>
              <w:t>（3）安全文明施工承诺及保证措施缺漏、可行性差、针对性差的得1分</w:t>
            </w:r>
          </w:p>
          <w:p w14:paraId="5F13F82D">
            <w:pPr>
              <w:pStyle w:val="8"/>
              <w:snapToGrid w:val="0"/>
              <w:spacing w:after="0" w:line="360" w:lineRule="auto"/>
              <w:rPr>
                <w:rFonts w:hint="eastAsia" w:ascii="宋体" w:hAnsi="宋体" w:cs="宋体"/>
                <w:sz w:val="21"/>
                <w:szCs w:val="21"/>
              </w:rPr>
            </w:pPr>
            <w:r>
              <w:rPr>
                <w:rFonts w:hint="eastAsia" w:ascii="宋体" w:hAnsi="宋体" w:cs="宋体"/>
                <w:sz w:val="21"/>
                <w:szCs w:val="21"/>
              </w:rPr>
              <w:t>（4）无安全文明施工承诺及保证措施得0分。</w:t>
            </w:r>
          </w:p>
        </w:tc>
      </w:tr>
      <w:tr w14:paraId="78DAA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blHeader/>
          <w:jc w:val="center"/>
        </w:trPr>
        <w:tc>
          <w:tcPr>
            <w:tcW w:w="1486" w:type="dxa"/>
            <w:vMerge w:val="continue"/>
            <w:tcMar>
              <w:top w:w="28" w:type="dxa"/>
              <w:left w:w="28" w:type="dxa"/>
              <w:bottom w:w="28" w:type="dxa"/>
              <w:right w:w="28" w:type="dxa"/>
            </w:tcMar>
            <w:vAlign w:val="center"/>
          </w:tcPr>
          <w:p w14:paraId="17E6E79E">
            <w:pPr>
              <w:snapToGrid w:val="0"/>
              <w:spacing w:line="360" w:lineRule="auto"/>
              <w:rPr>
                <w:rFonts w:hint="eastAsia" w:ascii="宋体" w:hAnsi="宋体" w:cs="宋体"/>
              </w:rPr>
            </w:pPr>
          </w:p>
        </w:tc>
        <w:tc>
          <w:tcPr>
            <w:tcW w:w="1363" w:type="dxa"/>
            <w:tcMar>
              <w:top w:w="28" w:type="dxa"/>
              <w:left w:w="28" w:type="dxa"/>
              <w:bottom w:w="28" w:type="dxa"/>
              <w:right w:w="28" w:type="dxa"/>
            </w:tcMar>
            <w:vAlign w:val="center"/>
          </w:tcPr>
          <w:p w14:paraId="75132B87">
            <w:pPr>
              <w:snapToGrid w:val="0"/>
              <w:spacing w:line="360" w:lineRule="auto"/>
              <w:rPr>
                <w:rFonts w:hint="eastAsia" w:ascii="宋体" w:hAnsi="宋体" w:cs="宋体"/>
              </w:rPr>
            </w:pPr>
            <w:r>
              <w:rPr>
                <w:rFonts w:hint="eastAsia" w:ascii="宋体" w:hAnsi="宋体" w:cs="宋体"/>
              </w:rPr>
              <w:t>施工机械投入</w:t>
            </w:r>
          </w:p>
          <w:p w14:paraId="4D73907E">
            <w:pPr>
              <w:snapToGrid w:val="0"/>
              <w:spacing w:line="360" w:lineRule="auto"/>
              <w:jc w:val="center"/>
              <w:rPr>
                <w:rFonts w:hint="eastAsia" w:ascii="宋体" w:hAnsi="宋体" w:cs="宋体"/>
              </w:rPr>
            </w:pPr>
            <w:r>
              <w:rPr>
                <w:rFonts w:hint="eastAsia" w:ascii="宋体" w:hAnsi="宋体" w:cs="宋体"/>
              </w:rPr>
              <w:t>（5 分）</w:t>
            </w:r>
          </w:p>
        </w:tc>
        <w:tc>
          <w:tcPr>
            <w:tcW w:w="6642" w:type="dxa"/>
            <w:tcMar>
              <w:top w:w="28" w:type="dxa"/>
              <w:left w:w="28" w:type="dxa"/>
              <w:bottom w:w="28" w:type="dxa"/>
              <w:right w:w="28" w:type="dxa"/>
            </w:tcMar>
            <w:vAlign w:val="center"/>
          </w:tcPr>
          <w:p w14:paraId="17532FC4">
            <w:pPr>
              <w:pStyle w:val="8"/>
              <w:snapToGrid w:val="0"/>
              <w:spacing w:after="0" w:line="360" w:lineRule="auto"/>
              <w:rPr>
                <w:rFonts w:hint="eastAsia" w:ascii="宋体" w:hAnsi="宋体" w:cs="宋体"/>
                <w:sz w:val="21"/>
                <w:szCs w:val="21"/>
              </w:rPr>
            </w:pPr>
            <w:r>
              <w:rPr>
                <w:rFonts w:hint="eastAsia" w:ascii="宋体" w:hAnsi="宋体" w:cs="宋体"/>
                <w:sz w:val="21"/>
                <w:szCs w:val="21"/>
              </w:rPr>
              <w:t>（1）投入的施工机械完全满足施工要求，且搭配合理、得当的得 5 分；</w:t>
            </w:r>
          </w:p>
          <w:p w14:paraId="4C97B6A9">
            <w:pPr>
              <w:pStyle w:val="8"/>
              <w:snapToGrid w:val="0"/>
              <w:spacing w:after="0" w:line="360" w:lineRule="auto"/>
              <w:rPr>
                <w:rFonts w:hint="eastAsia" w:ascii="宋体" w:hAnsi="宋体" w:cs="宋体"/>
                <w:sz w:val="21"/>
                <w:szCs w:val="21"/>
              </w:rPr>
            </w:pPr>
            <w:r>
              <w:rPr>
                <w:rFonts w:hint="eastAsia" w:ascii="宋体" w:hAnsi="宋体" w:cs="宋体"/>
                <w:sz w:val="21"/>
                <w:szCs w:val="21"/>
              </w:rPr>
              <w:t>（2）投入的施工机械基本满足施工要求，且搭配基本合理、得当的得 3-4 分；</w:t>
            </w:r>
          </w:p>
          <w:p w14:paraId="5CADB7E9">
            <w:pPr>
              <w:pStyle w:val="8"/>
              <w:snapToGrid w:val="0"/>
              <w:spacing w:after="0" w:line="360" w:lineRule="auto"/>
              <w:rPr>
                <w:rFonts w:hint="eastAsia" w:ascii="宋体" w:hAnsi="宋体" w:cs="宋体"/>
                <w:sz w:val="21"/>
                <w:szCs w:val="21"/>
              </w:rPr>
            </w:pPr>
            <w:r>
              <w:rPr>
                <w:rFonts w:hint="eastAsia" w:ascii="宋体" w:hAnsi="宋体" w:cs="宋体"/>
                <w:sz w:val="21"/>
                <w:szCs w:val="21"/>
              </w:rPr>
              <w:t>（3）投入的施工机械难以满足施工要求，且搭配不够合理的得1-2 分；</w:t>
            </w:r>
          </w:p>
          <w:p w14:paraId="589E6D56">
            <w:pPr>
              <w:pStyle w:val="8"/>
              <w:snapToGrid w:val="0"/>
              <w:spacing w:after="0" w:line="360" w:lineRule="auto"/>
              <w:rPr>
                <w:rFonts w:hint="eastAsia" w:ascii="宋体" w:hAnsi="宋体" w:cs="宋体"/>
                <w:sz w:val="21"/>
                <w:szCs w:val="21"/>
              </w:rPr>
            </w:pPr>
            <w:r>
              <w:rPr>
                <w:rFonts w:hint="eastAsia" w:ascii="宋体" w:hAnsi="宋体" w:cs="宋体"/>
                <w:sz w:val="21"/>
                <w:szCs w:val="21"/>
              </w:rPr>
              <w:t>（4）未提供施工机械的不得分。</w:t>
            </w:r>
          </w:p>
        </w:tc>
      </w:tr>
      <w:tr w14:paraId="0179C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blHeader/>
          <w:jc w:val="center"/>
        </w:trPr>
        <w:tc>
          <w:tcPr>
            <w:tcW w:w="1486" w:type="dxa"/>
            <w:vMerge w:val="continue"/>
            <w:tcMar>
              <w:top w:w="28" w:type="dxa"/>
              <w:left w:w="28" w:type="dxa"/>
              <w:bottom w:w="28" w:type="dxa"/>
              <w:right w:w="28" w:type="dxa"/>
            </w:tcMar>
            <w:vAlign w:val="center"/>
          </w:tcPr>
          <w:p w14:paraId="3C17B4FB">
            <w:pPr>
              <w:pStyle w:val="8"/>
              <w:snapToGrid w:val="0"/>
              <w:spacing w:after="0" w:line="360" w:lineRule="auto"/>
            </w:pPr>
          </w:p>
        </w:tc>
        <w:tc>
          <w:tcPr>
            <w:tcW w:w="1363" w:type="dxa"/>
            <w:tcMar>
              <w:top w:w="28" w:type="dxa"/>
              <w:left w:w="28" w:type="dxa"/>
              <w:bottom w:w="28" w:type="dxa"/>
              <w:right w:w="28" w:type="dxa"/>
            </w:tcMar>
            <w:vAlign w:val="center"/>
          </w:tcPr>
          <w:p w14:paraId="474A83CE">
            <w:pPr>
              <w:pStyle w:val="8"/>
              <w:snapToGrid w:val="0"/>
              <w:spacing w:after="0" w:line="360" w:lineRule="auto"/>
              <w:rPr>
                <w:rFonts w:hint="eastAsia" w:ascii="宋体" w:hAnsi="宋体" w:cs="宋体"/>
                <w:sz w:val="21"/>
                <w:szCs w:val="21"/>
              </w:rPr>
            </w:pPr>
            <w:r>
              <w:rPr>
                <w:rFonts w:hint="eastAsia" w:ascii="宋体" w:hAnsi="宋体" w:cs="宋体"/>
                <w:sz w:val="21"/>
                <w:szCs w:val="21"/>
              </w:rPr>
              <w:t>施工现场专业（管理）人员配置（5 分）</w:t>
            </w:r>
          </w:p>
        </w:tc>
        <w:tc>
          <w:tcPr>
            <w:tcW w:w="6642" w:type="dxa"/>
            <w:tcMar>
              <w:top w:w="28" w:type="dxa"/>
              <w:left w:w="28" w:type="dxa"/>
              <w:bottom w:w="28" w:type="dxa"/>
              <w:right w:w="28" w:type="dxa"/>
            </w:tcMar>
            <w:vAlign w:val="center"/>
          </w:tcPr>
          <w:p w14:paraId="74650B9E">
            <w:pPr>
              <w:pStyle w:val="8"/>
              <w:snapToGrid w:val="0"/>
              <w:spacing w:after="0" w:line="360" w:lineRule="auto"/>
              <w:rPr>
                <w:rFonts w:hint="eastAsia" w:ascii="宋体" w:hAnsi="宋体" w:cs="宋体"/>
                <w:sz w:val="21"/>
                <w:szCs w:val="21"/>
              </w:rPr>
            </w:pPr>
            <w:r>
              <w:rPr>
                <w:rFonts w:hint="eastAsia" w:ascii="宋体" w:hAnsi="宋体" w:cs="宋体"/>
                <w:sz w:val="21"/>
                <w:szCs w:val="21"/>
              </w:rPr>
              <w:t>（1）施工现场专业（管理）人员专业、技术职称（或岗位证书）及结构配置合理，满足项目需求，有针对性的得 5 分；</w:t>
            </w:r>
          </w:p>
          <w:p w14:paraId="116EF38B">
            <w:pPr>
              <w:pStyle w:val="8"/>
              <w:snapToGrid w:val="0"/>
              <w:spacing w:after="0" w:line="360" w:lineRule="auto"/>
              <w:rPr>
                <w:rFonts w:hint="eastAsia" w:ascii="宋体" w:hAnsi="宋体" w:cs="宋体"/>
                <w:sz w:val="21"/>
                <w:szCs w:val="21"/>
              </w:rPr>
            </w:pPr>
            <w:r>
              <w:rPr>
                <w:rFonts w:hint="eastAsia" w:ascii="宋体" w:hAnsi="宋体" w:cs="宋体"/>
                <w:sz w:val="21"/>
                <w:szCs w:val="21"/>
              </w:rPr>
              <w:t>（2）施工现场专业（管理）人员专业、技术职称（或岗位证书）及结构配置较合理，满足项目需求，有一定针对性的得 3-4 分；</w:t>
            </w:r>
          </w:p>
          <w:p w14:paraId="1A98DE4A">
            <w:pPr>
              <w:pStyle w:val="8"/>
              <w:snapToGrid w:val="0"/>
              <w:spacing w:after="0" w:line="360" w:lineRule="auto"/>
              <w:rPr>
                <w:rFonts w:hint="eastAsia" w:ascii="宋体" w:hAnsi="宋体" w:cs="宋体"/>
                <w:sz w:val="21"/>
                <w:szCs w:val="21"/>
              </w:rPr>
            </w:pPr>
            <w:r>
              <w:rPr>
                <w:rFonts w:hint="eastAsia" w:ascii="宋体" w:hAnsi="宋体" w:cs="宋体"/>
                <w:sz w:val="21"/>
                <w:szCs w:val="21"/>
              </w:rPr>
              <w:t>（3）施工现场专业（管理）人员专业、技术职称（或岗位证书）及结构配置基本合理，基本满足项目需求，无针对性的得 1-2 分；</w:t>
            </w:r>
          </w:p>
          <w:p w14:paraId="6FF0D143">
            <w:pPr>
              <w:pStyle w:val="8"/>
              <w:snapToGrid w:val="0"/>
              <w:spacing w:after="0" w:line="360" w:lineRule="auto"/>
              <w:rPr>
                <w:rFonts w:hint="eastAsia" w:ascii="宋体" w:hAnsi="宋体" w:cs="宋体"/>
                <w:sz w:val="21"/>
                <w:szCs w:val="21"/>
              </w:rPr>
            </w:pPr>
            <w:r>
              <w:rPr>
                <w:rFonts w:hint="eastAsia" w:ascii="宋体" w:hAnsi="宋体" w:cs="宋体"/>
                <w:sz w:val="21"/>
                <w:szCs w:val="21"/>
              </w:rPr>
              <w:t>（4）未提供施工现场专业（管理）人员配置的不得分。</w:t>
            </w:r>
          </w:p>
        </w:tc>
      </w:tr>
      <w:tr w14:paraId="6F22D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7" w:hRule="atLeast"/>
          <w:tblHeader/>
          <w:jc w:val="center"/>
        </w:trPr>
        <w:tc>
          <w:tcPr>
            <w:tcW w:w="1486" w:type="dxa"/>
            <w:vMerge w:val="continue"/>
            <w:tcMar>
              <w:top w:w="28" w:type="dxa"/>
              <w:left w:w="28" w:type="dxa"/>
              <w:bottom w:w="28" w:type="dxa"/>
              <w:right w:w="28" w:type="dxa"/>
            </w:tcMar>
            <w:vAlign w:val="center"/>
          </w:tcPr>
          <w:p w14:paraId="4384B894">
            <w:pPr>
              <w:pStyle w:val="8"/>
              <w:snapToGrid w:val="0"/>
              <w:spacing w:after="0" w:line="360" w:lineRule="auto"/>
              <w:rPr>
                <w:sz w:val="21"/>
                <w:szCs w:val="21"/>
              </w:rPr>
            </w:pPr>
          </w:p>
        </w:tc>
        <w:tc>
          <w:tcPr>
            <w:tcW w:w="1363" w:type="dxa"/>
            <w:tcMar>
              <w:top w:w="28" w:type="dxa"/>
              <w:left w:w="28" w:type="dxa"/>
              <w:bottom w:w="28" w:type="dxa"/>
              <w:right w:w="28" w:type="dxa"/>
            </w:tcMar>
          </w:tcPr>
          <w:p w14:paraId="5C03ABC6">
            <w:pPr>
              <w:snapToGrid w:val="0"/>
              <w:spacing w:line="360" w:lineRule="auto"/>
              <w:jc w:val="center"/>
              <w:rPr>
                <w:rFonts w:hint="eastAsia" w:ascii="宋体" w:hAnsi="宋体" w:cs="宋体"/>
              </w:rPr>
            </w:pPr>
          </w:p>
          <w:p w14:paraId="5D75B80C">
            <w:pPr>
              <w:snapToGrid w:val="0"/>
              <w:spacing w:line="360" w:lineRule="auto"/>
              <w:jc w:val="center"/>
              <w:rPr>
                <w:rFonts w:hint="eastAsia" w:ascii="宋体" w:hAnsi="宋体" w:cs="宋体"/>
              </w:rPr>
            </w:pPr>
          </w:p>
          <w:p w14:paraId="57B75EDC">
            <w:pPr>
              <w:snapToGrid w:val="0"/>
              <w:spacing w:line="360" w:lineRule="auto"/>
              <w:jc w:val="center"/>
              <w:rPr>
                <w:rFonts w:hint="eastAsia" w:ascii="宋体" w:hAnsi="宋体" w:cs="宋体"/>
              </w:rPr>
            </w:pPr>
            <w:r>
              <w:rPr>
                <w:rFonts w:hint="eastAsia" w:ascii="宋体" w:hAnsi="宋体" w:cs="宋体"/>
              </w:rPr>
              <w:t>工期保证体系及保证措施（3分）</w:t>
            </w:r>
          </w:p>
        </w:tc>
        <w:tc>
          <w:tcPr>
            <w:tcW w:w="6642" w:type="dxa"/>
            <w:tcMar>
              <w:top w:w="28" w:type="dxa"/>
              <w:left w:w="28" w:type="dxa"/>
              <w:bottom w:w="28" w:type="dxa"/>
              <w:right w:w="28" w:type="dxa"/>
            </w:tcMar>
          </w:tcPr>
          <w:p w14:paraId="21604582">
            <w:pPr>
              <w:snapToGrid w:val="0"/>
              <w:spacing w:line="360" w:lineRule="auto"/>
              <w:jc w:val="left"/>
              <w:rPr>
                <w:rFonts w:hint="eastAsia" w:ascii="宋体" w:hAnsi="宋体" w:cs="宋体"/>
              </w:rPr>
            </w:pPr>
            <w:r>
              <w:rPr>
                <w:rFonts w:hint="eastAsia" w:ascii="宋体" w:hAnsi="宋体" w:cs="宋体"/>
              </w:rPr>
              <w:t>（1）本工程工期的保证体系及保证措施阐述清楚、体系健全、制 度完善，措施针对性和可行性强的得3分；</w:t>
            </w:r>
          </w:p>
          <w:p w14:paraId="495ACAEE">
            <w:pPr>
              <w:snapToGrid w:val="0"/>
              <w:spacing w:line="360" w:lineRule="auto"/>
              <w:jc w:val="left"/>
              <w:rPr>
                <w:rFonts w:hint="eastAsia" w:ascii="宋体" w:hAnsi="宋体" w:cs="宋体"/>
              </w:rPr>
            </w:pPr>
            <w:r>
              <w:rPr>
                <w:rFonts w:hint="eastAsia" w:ascii="宋体" w:hAnsi="宋体" w:cs="宋体"/>
              </w:rPr>
              <w:t>（2）本工程工期的保证体系及保证措施阐述不够清楚，有措施描 述但没有针对性和可行性的得 1分；</w:t>
            </w:r>
          </w:p>
          <w:p w14:paraId="2D03A7AF">
            <w:pPr>
              <w:snapToGrid w:val="0"/>
              <w:spacing w:line="360" w:lineRule="auto"/>
              <w:jc w:val="left"/>
              <w:rPr>
                <w:rFonts w:hint="eastAsia" w:ascii="宋体" w:hAnsi="宋体" w:cs="宋体"/>
              </w:rPr>
            </w:pPr>
            <w:r>
              <w:rPr>
                <w:rFonts w:hint="eastAsia" w:ascii="宋体" w:hAnsi="宋体" w:cs="宋体"/>
              </w:rPr>
              <w:t>（3）无工程工期的保证体系及保证措施的得 0 分。</w:t>
            </w:r>
          </w:p>
        </w:tc>
      </w:tr>
      <w:tr w14:paraId="54239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7" w:hRule="atLeast"/>
          <w:tblHeader/>
          <w:jc w:val="center"/>
        </w:trPr>
        <w:tc>
          <w:tcPr>
            <w:tcW w:w="1486" w:type="dxa"/>
            <w:vMerge w:val="continue"/>
            <w:tcMar>
              <w:top w:w="28" w:type="dxa"/>
              <w:left w:w="28" w:type="dxa"/>
              <w:bottom w:w="28" w:type="dxa"/>
              <w:right w:w="28" w:type="dxa"/>
            </w:tcMar>
            <w:vAlign w:val="center"/>
          </w:tcPr>
          <w:p w14:paraId="26843794">
            <w:pPr>
              <w:pStyle w:val="8"/>
              <w:snapToGrid w:val="0"/>
              <w:spacing w:after="0" w:line="360" w:lineRule="auto"/>
              <w:rPr>
                <w:sz w:val="21"/>
                <w:szCs w:val="21"/>
              </w:rPr>
            </w:pPr>
          </w:p>
        </w:tc>
        <w:tc>
          <w:tcPr>
            <w:tcW w:w="1363" w:type="dxa"/>
            <w:tcMar>
              <w:top w:w="28" w:type="dxa"/>
              <w:left w:w="28" w:type="dxa"/>
              <w:bottom w:w="28" w:type="dxa"/>
              <w:right w:w="28" w:type="dxa"/>
            </w:tcMar>
          </w:tcPr>
          <w:p w14:paraId="2F85DCCF">
            <w:pPr>
              <w:snapToGrid w:val="0"/>
              <w:spacing w:line="360" w:lineRule="auto"/>
              <w:jc w:val="center"/>
              <w:rPr>
                <w:rFonts w:hint="eastAsia" w:ascii="宋体" w:hAnsi="宋体" w:cs="宋体"/>
              </w:rPr>
            </w:pPr>
          </w:p>
          <w:p w14:paraId="5931FCAA">
            <w:pPr>
              <w:snapToGrid w:val="0"/>
              <w:spacing w:line="360" w:lineRule="auto"/>
              <w:jc w:val="center"/>
              <w:rPr>
                <w:rFonts w:hint="eastAsia" w:ascii="宋体" w:hAnsi="宋体" w:cs="宋体"/>
              </w:rPr>
            </w:pPr>
            <w:r>
              <w:rPr>
                <w:rFonts w:hint="eastAsia" w:ascii="宋体" w:hAnsi="宋体" w:cs="宋体"/>
              </w:rPr>
              <w:t>项目风险预测与防范，事故应急预案（2分）</w:t>
            </w:r>
          </w:p>
        </w:tc>
        <w:tc>
          <w:tcPr>
            <w:tcW w:w="6642" w:type="dxa"/>
            <w:tcMar>
              <w:top w:w="28" w:type="dxa"/>
              <w:left w:w="28" w:type="dxa"/>
              <w:bottom w:w="28" w:type="dxa"/>
              <w:right w:w="28" w:type="dxa"/>
            </w:tcMar>
          </w:tcPr>
          <w:p w14:paraId="065F6CE0">
            <w:pPr>
              <w:snapToGrid w:val="0"/>
              <w:spacing w:line="360" w:lineRule="auto"/>
              <w:jc w:val="left"/>
              <w:rPr>
                <w:rFonts w:hint="eastAsia" w:ascii="宋体" w:hAnsi="宋体" w:cs="宋体"/>
              </w:rPr>
            </w:pPr>
            <w:r>
              <w:rPr>
                <w:rFonts w:hint="eastAsia" w:ascii="宋体" w:hAnsi="宋体" w:cs="宋体"/>
              </w:rPr>
              <w:t>（1）本项目风险预测与防范措施阐述清楚，事故应急预案针对性 和可行性强的得2分；</w:t>
            </w:r>
          </w:p>
          <w:p w14:paraId="03763996">
            <w:pPr>
              <w:snapToGrid w:val="0"/>
              <w:spacing w:line="360" w:lineRule="auto"/>
              <w:jc w:val="left"/>
              <w:rPr>
                <w:rFonts w:hint="eastAsia" w:ascii="宋体" w:hAnsi="宋体" w:cs="宋体"/>
              </w:rPr>
            </w:pPr>
            <w:r>
              <w:rPr>
                <w:rFonts w:hint="eastAsia" w:ascii="宋体" w:hAnsi="宋体" w:cs="宋体"/>
              </w:rPr>
              <w:t>（2）本项目风险预测与防范措施阐述基本清楚，事故应急预案有 针对性且基本可行的得1分；</w:t>
            </w:r>
          </w:p>
          <w:p w14:paraId="0DAD5EBE">
            <w:pPr>
              <w:snapToGrid w:val="0"/>
              <w:spacing w:line="360" w:lineRule="auto"/>
              <w:jc w:val="left"/>
              <w:rPr>
                <w:rFonts w:hint="eastAsia" w:ascii="宋体" w:hAnsi="宋体" w:cs="宋体"/>
              </w:rPr>
            </w:pPr>
            <w:r>
              <w:rPr>
                <w:rFonts w:hint="eastAsia" w:ascii="宋体" w:hAnsi="宋体" w:cs="宋体"/>
              </w:rPr>
              <w:t>（3）无项目风险预测与防范，事故应急预案的得 0 分。</w:t>
            </w:r>
          </w:p>
        </w:tc>
      </w:tr>
    </w:tbl>
    <w:p w14:paraId="1C82979D">
      <w:pPr>
        <w:autoSpaceDE w:val="0"/>
        <w:autoSpaceDN w:val="0"/>
        <w:adjustRightInd w:val="0"/>
        <w:snapToGrid w:val="0"/>
        <w:spacing w:line="360" w:lineRule="auto"/>
        <w:ind w:firstLine="420"/>
        <w:outlineLvl w:val="4"/>
        <w:rPr>
          <w:b/>
        </w:rPr>
      </w:pPr>
      <w:bookmarkStart w:id="733" w:name="_Toc99765303"/>
      <w:bookmarkEnd w:id="733"/>
      <w:bookmarkStart w:id="734" w:name="_Toc99765302"/>
      <w:bookmarkEnd w:id="734"/>
      <w:bookmarkStart w:id="735" w:name="_Toc100497948"/>
      <w:bookmarkEnd w:id="735"/>
      <w:bookmarkStart w:id="736" w:name="_Toc100497949"/>
      <w:bookmarkEnd w:id="736"/>
      <w:r>
        <w:rPr>
          <w:b/>
        </w:rPr>
        <w:t>2.2.</w:t>
      </w:r>
      <w:r>
        <w:rPr>
          <w:rFonts w:hint="eastAsia"/>
          <w:b/>
        </w:rPr>
        <w:t>3</w:t>
      </w:r>
      <w:r>
        <w:rPr>
          <w:b/>
        </w:rPr>
        <w:t xml:space="preserve"> 最终得分的计算</w:t>
      </w:r>
      <w:r>
        <w:rPr>
          <w:rFonts w:hint="eastAsia"/>
          <w:b/>
        </w:rPr>
        <w:t>：</w:t>
      </w:r>
    </w:p>
    <w:p w14:paraId="54BDDBDF">
      <w:pPr>
        <w:autoSpaceDE w:val="0"/>
        <w:autoSpaceDN w:val="0"/>
        <w:adjustRightInd w:val="0"/>
        <w:snapToGrid w:val="0"/>
        <w:spacing w:line="360" w:lineRule="auto"/>
        <w:ind w:firstLine="420"/>
        <w:rPr>
          <w:rFonts w:ascii="宋体" w:cs="Times New Roman"/>
          <w:kern w:val="0"/>
          <w:lang w:val="zh-CN"/>
        </w:rPr>
      </w:pPr>
      <w:r>
        <w:rPr>
          <w:rFonts w:hint="eastAsia" w:ascii="宋体" w:hAnsi="宋体" w:cs="宋体"/>
          <w:kern w:val="0"/>
        </w:rPr>
        <w:t>（1）</w:t>
      </w:r>
      <w:r>
        <w:rPr>
          <w:rFonts w:hint="eastAsia" w:ascii="宋体" w:hAnsi="宋体" w:cs="宋体"/>
          <w:kern w:val="0"/>
          <w:lang w:val="zh-CN"/>
        </w:rPr>
        <w:t>评标委员会按本章第</w:t>
      </w:r>
      <w:r>
        <w:rPr>
          <w:rFonts w:ascii="宋体" w:hAnsi="宋体" w:cs="宋体"/>
          <w:kern w:val="0"/>
          <w:lang w:val="zh-CN"/>
        </w:rPr>
        <w:t>2.</w:t>
      </w:r>
      <w:r>
        <w:rPr>
          <w:rFonts w:ascii="宋体" w:hAnsi="宋体" w:cs="宋体"/>
          <w:kern w:val="0"/>
        </w:rPr>
        <w:t>2.1</w:t>
      </w:r>
      <w:r>
        <w:rPr>
          <w:rFonts w:hint="eastAsia" w:ascii="宋体" w:hAnsi="宋体" w:cs="宋体"/>
          <w:kern w:val="0"/>
          <w:lang w:val="zh-CN"/>
        </w:rPr>
        <w:t>规定的评审因素和分值对投标报价计算出得分（</w:t>
      </w:r>
      <w:r>
        <w:rPr>
          <w:rFonts w:hint="eastAsia" w:cs="宋体"/>
        </w:rPr>
        <w:t>商务部分评审评分</w:t>
      </w:r>
      <w:r>
        <w:rPr>
          <w:rFonts w:hint="eastAsia" w:ascii="宋体" w:hAnsi="宋体" w:cs="宋体"/>
          <w:kern w:val="0"/>
          <w:lang w:val="zh-CN"/>
        </w:rPr>
        <w:t>）。</w:t>
      </w:r>
    </w:p>
    <w:p w14:paraId="25570A7D">
      <w:pPr>
        <w:autoSpaceDE w:val="0"/>
        <w:autoSpaceDN w:val="0"/>
        <w:adjustRightInd w:val="0"/>
        <w:snapToGrid w:val="0"/>
        <w:spacing w:line="360" w:lineRule="auto"/>
        <w:ind w:firstLine="420"/>
        <w:rPr>
          <w:rFonts w:ascii="宋体" w:cs="Times New Roman"/>
          <w:kern w:val="0"/>
          <w:lang w:val="zh-CN"/>
        </w:rPr>
      </w:pP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）按本章第</w:t>
      </w:r>
      <w:r>
        <w:rPr>
          <w:rFonts w:ascii="宋体" w:hAnsi="宋体" w:cs="宋体"/>
          <w:kern w:val="0"/>
        </w:rPr>
        <w:t>2.2.2</w:t>
      </w:r>
      <w:r>
        <w:rPr>
          <w:rFonts w:hint="eastAsia" w:ascii="宋体" w:hAnsi="宋体" w:cs="宋体"/>
          <w:kern w:val="0"/>
        </w:rPr>
        <w:t>和</w:t>
      </w:r>
      <w:r>
        <w:rPr>
          <w:rFonts w:ascii="宋体" w:hAnsi="宋体" w:cs="宋体"/>
          <w:kern w:val="0"/>
        </w:rPr>
        <w:t>2.2.3</w:t>
      </w:r>
      <w:r>
        <w:rPr>
          <w:rFonts w:hint="eastAsia" w:ascii="宋体" w:hAnsi="宋体" w:cs="宋体"/>
          <w:kern w:val="0"/>
          <w:lang w:val="zh-CN"/>
        </w:rPr>
        <w:t>规定的评审因素和分值对投标人技术标准计算出得分（</w:t>
      </w:r>
      <w:r>
        <w:rPr>
          <w:rFonts w:hint="eastAsia" w:cs="宋体"/>
        </w:rPr>
        <w:t>技术部分评审评分</w:t>
      </w:r>
      <w:r>
        <w:rPr>
          <w:rFonts w:hint="eastAsia" w:ascii="宋体" w:hAnsi="宋体" w:cs="宋体"/>
          <w:kern w:val="0"/>
          <w:lang w:val="zh-CN"/>
        </w:rPr>
        <w:t>）；</w:t>
      </w:r>
    </w:p>
    <w:p w14:paraId="010405BC">
      <w:pPr>
        <w:autoSpaceDE w:val="0"/>
        <w:autoSpaceDN w:val="0"/>
        <w:adjustRightInd w:val="0"/>
        <w:snapToGrid w:val="0"/>
        <w:spacing w:line="360" w:lineRule="auto"/>
        <w:ind w:firstLine="420"/>
        <w:rPr>
          <w:rFonts w:cs="Times New Roman"/>
        </w:rPr>
      </w:pPr>
      <w:r>
        <w:rPr>
          <w:rFonts w:hint="eastAsia" w:ascii="宋体" w:hAnsi="宋体" w:cs="宋体"/>
          <w:kern w:val="0"/>
          <w:lang w:val="zh-CN"/>
        </w:rPr>
        <w:t>（</w:t>
      </w:r>
      <w:r>
        <w:rPr>
          <w:rFonts w:hint="eastAsia" w:ascii="宋体" w:hAnsi="宋体" w:cs="宋体"/>
          <w:kern w:val="0"/>
        </w:rPr>
        <w:t>3</w:t>
      </w:r>
      <w:r>
        <w:rPr>
          <w:rFonts w:hint="eastAsia" w:ascii="宋体" w:hAnsi="宋体" w:cs="宋体"/>
          <w:kern w:val="0"/>
          <w:lang w:val="zh-CN"/>
        </w:rPr>
        <w:t>）评分分值为所有评委评分的算术平均值，评分分值计算保留小数点后两位，小数点后第三位“四舍五入”。</w:t>
      </w:r>
    </w:p>
    <w:p w14:paraId="752F1F8E">
      <w:pPr>
        <w:autoSpaceDE w:val="0"/>
        <w:autoSpaceDN w:val="0"/>
        <w:adjustRightInd w:val="0"/>
        <w:snapToGrid w:val="0"/>
        <w:spacing w:line="360" w:lineRule="auto"/>
        <w:ind w:firstLine="420"/>
        <w:rPr>
          <w:rFonts w:ascii="宋体" w:cs="Times New Roman"/>
          <w:kern w:val="0"/>
          <w:lang w:val="zh-CN"/>
        </w:rPr>
      </w:pP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）投标人最终得分计算：</w:t>
      </w:r>
    </w:p>
    <w:p w14:paraId="70D00749">
      <w:pPr>
        <w:autoSpaceDE w:val="0"/>
        <w:autoSpaceDN w:val="0"/>
        <w:adjustRightInd w:val="0"/>
        <w:snapToGrid w:val="0"/>
        <w:spacing w:line="360" w:lineRule="auto"/>
        <w:ind w:firstLine="420"/>
        <w:rPr>
          <w:rFonts w:ascii="宋体" w:cs="Times New Roman"/>
          <w:kern w:val="0"/>
          <w:lang w:val="zh-CN"/>
        </w:rPr>
      </w:pPr>
      <w:r>
        <w:rPr>
          <w:rFonts w:hint="eastAsia" w:ascii="宋体" w:hAnsi="宋体" w:cs="宋体"/>
          <w:kern w:val="0"/>
          <w:lang w:val="zh-CN"/>
        </w:rPr>
        <w:t>最终得分＝商务部分评审评分＋技术部分评审评分</w:t>
      </w:r>
    </w:p>
    <w:p w14:paraId="600FC4D5">
      <w:pPr>
        <w:autoSpaceDE w:val="0"/>
        <w:autoSpaceDN w:val="0"/>
        <w:adjustRightInd w:val="0"/>
        <w:snapToGrid w:val="0"/>
        <w:spacing w:line="360" w:lineRule="auto"/>
        <w:ind w:firstLine="420"/>
      </w:pPr>
      <w:r>
        <w:rPr>
          <w:rFonts w:hint="eastAsia" w:ascii="宋体" w:hAnsi="宋体" w:cs="宋体"/>
          <w:kern w:val="0"/>
          <w:lang w:val="zh-CN"/>
        </w:rPr>
        <w:t>（</w:t>
      </w:r>
      <w:r>
        <w:rPr>
          <w:rFonts w:hint="eastAsia" w:ascii="宋体" w:hAnsi="宋体" w:cs="宋体"/>
          <w:kern w:val="0"/>
        </w:rPr>
        <w:t>5</w:t>
      </w:r>
      <w:r>
        <w:rPr>
          <w:rFonts w:hint="eastAsia" w:ascii="宋体" w:hAnsi="宋体" w:cs="宋体"/>
          <w:kern w:val="0"/>
          <w:lang w:val="zh-CN"/>
        </w:rPr>
        <w:t>）评标委员会按详细评审得分由高至低的顺序推荐第一、二、三中标候选人。若详细评审得分相同时，推荐中标候选人的顺序按商务部分评审得分的高低进行排列；若商务部分评审得分相同时，推荐中标候选人的顺序由评标委员会记名投票确定。</w:t>
      </w:r>
    </w:p>
    <w:p w14:paraId="4468F6E5">
      <w:pPr>
        <w:pStyle w:val="4"/>
        <w:snapToGrid w:val="0"/>
        <w:spacing w:before="0" w:after="0" w:line="360" w:lineRule="auto"/>
        <w:ind w:firstLine="424" w:firstLineChars="201"/>
        <w:rPr>
          <w:rFonts w:hint="eastAsia" w:ascii="宋体" w:eastAsia="宋体" w:cs="宋体"/>
          <w:b/>
          <w:bCs/>
          <w:sz w:val="21"/>
          <w:szCs w:val="21"/>
        </w:rPr>
      </w:pPr>
      <w:bookmarkStart w:id="737" w:name="_Toc100497950"/>
      <w:bookmarkEnd w:id="737"/>
      <w:bookmarkStart w:id="738" w:name="_Toc184635091"/>
      <w:bookmarkEnd w:id="738"/>
      <w:bookmarkStart w:id="739" w:name="_Toc304748293"/>
      <w:bookmarkEnd w:id="739"/>
      <w:bookmarkStart w:id="740" w:name="_Toc435016855"/>
      <w:bookmarkEnd w:id="740"/>
      <w:bookmarkStart w:id="741" w:name="_Toc14767"/>
      <w:bookmarkEnd w:id="741"/>
      <w:bookmarkStart w:id="742" w:name="_Toc395965067"/>
      <w:bookmarkEnd w:id="742"/>
      <w:r>
        <w:rPr>
          <w:rFonts w:hint="eastAsia" w:ascii="宋体" w:eastAsia="宋体" w:cs="宋体"/>
          <w:b/>
          <w:bCs/>
          <w:sz w:val="21"/>
          <w:szCs w:val="21"/>
        </w:rPr>
        <w:t>3.评标程序</w:t>
      </w:r>
    </w:p>
    <w:p w14:paraId="3C1C0F32">
      <w:pPr>
        <w:pStyle w:val="5"/>
        <w:snapToGrid w:val="0"/>
        <w:spacing w:before="0" w:after="0" w:line="360" w:lineRule="auto"/>
        <w:ind w:firstLine="424" w:firstLineChars="201"/>
        <w:rPr>
          <w:rFonts w:ascii="Times New Roman" w:hAnsi="Times New Roman" w:eastAsia="宋体"/>
          <w:sz w:val="21"/>
          <w:szCs w:val="21"/>
        </w:rPr>
      </w:pPr>
      <w:bookmarkStart w:id="743" w:name="_Toc435016856"/>
      <w:bookmarkEnd w:id="743"/>
      <w:bookmarkStart w:id="744" w:name="_Toc99765305"/>
      <w:bookmarkEnd w:id="744"/>
      <w:bookmarkStart w:id="745" w:name="_Toc395965068"/>
      <w:bookmarkEnd w:id="745"/>
      <w:bookmarkStart w:id="746" w:name="_Toc100497951"/>
      <w:bookmarkEnd w:id="746"/>
      <w:r>
        <w:rPr>
          <w:rFonts w:ascii="Times New Roman" w:hAnsi="Times New Roman" w:eastAsia="宋体"/>
          <w:sz w:val="21"/>
          <w:szCs w:val="21"/>
        </w:rPr>
        <w:t>3.1 初步评审</w:t>
      </w:r>
    </w:p>
    <w:p w14:paraId="1D0BB3C8">
      <w:pPr>
        <w:snapToGrid w:val="0"/>
        <w:spacing w:line="360" w:lineRule="auto"/>
        <w:ind w:firstLine="424" w:firstLineChars="202"/>
      </w:pPr>
      <w:r>
        <w:t>3.1.1评标委员会依据本章第2.1.1项、第2.1.2项、第2.1.3项规定的标准对投标文件进行初步评审。有一项不符合评审标准的，作否决投标处理。</w:t>
      </w:r>
    </w:p>
    <w:p w14:paraId="1B2DACEE">
      <w:pPr>
        <w:snapToGrid w:val="0"/>
        <w:spacing w:line="360" w:lineRule="auto"/>
        <w:ind w:firstLine="424" w:firstLineChars="202"/>
        <w:outlineLvl w:val="4"/>
      </w:pPr>
      <w:r>
        <w:t>3.1.2投标人有以下情形之一的，其投标作否决投标处理：</w:t>
      </w:r>
    </w:p>
    <w:p w14:paraId="118CE551">
      <w:pPr>
        <w:snapToGrid w:val="0"/>
        <w:spacing w:line="360" w:lineRule="auto"/>
        <w:ind w:firstLine="424" w:firstLineChars="202"/>
      </w:pPr>
      <w:r>
        <w:t>（1）串通投标</w:t>
      </w:r>
      <w:r>
        <w:rPr>
          <w:rFonts w:hint="eastAsia"/>
        </w:rPr>
        <w:t>或者</w:t>
      </w:r>
      <w:r>
        <w:t>弄虚作假或有其他违法行为的；</w:t>
      </w:r>
    </w:p>
    <w:p w14:paraId="2C80D350">
      <w:pPr>
        <w:snapToGrid w:val="0"/>
        <w:spacing w:line="360" w:lineRule="auto"/>
        <w:ind w:firstLine="424" w:firstLineChars="202"/>
      </w:pPr>
      <w:r>
        <w:t>（2）不按评标委员会要求澄清、说明或补正的；</w:t>
      </w:r>
    </w:p>
    <w:p w14:paraId="4734B46B">
      <w:pPr>
        <w:snapToGrid w:val="0"/>
        <w:spacing w:line="360" w:lineRule="auto"/>
        <w:ind w:firstLine="424" w:firstLineChars="202"/>
      </w:pPr>
      <w:r>
        <w:t>3.1.3 投标报价有算术错误的，评标委员会按以下原则对投标报价进行修正，修正的价格经投标人书面确认后具有约束力。投标人不接受修正价格的，其投标作否决投标处理。</w:t>
      </w:r>
    </w:p>
    <w:p w14:paraId="72FC806D">
      <w:pPr>
        <w:snapToGrid w:val="0"/>
        <w:spacing w:line="360" w:lineRule="auto"/>
        <w:ind w:firstLine="424" w:firstLineChars="202"/>
      </w:pPr>
      <w:r>
        <w:t>（1）投标文件中的大写金额与小写金额不一致的，以大写金额为准；</w:t>
      </w:r>
    </w:p>
    <w:p w14:paraId="3716D736">
      <w:pPr>
        <w:snapToGrid w:val="0"/>
        <w:spacing w:line="360" w:lineRule="auto"/>
        <w:ind w:firstLine="424" w:firstLineChars="202"/>
      </w:pPr>
      <w:r>
        <w:t>（2）总价金额与依据单价计算出的结果不一致的，以单价金额为准修正总价，但单价金额小数点有明显错误的除外。</w:t>
      </w:r>
    </w:p>
    <w:p w14:paraId="0ACC4C87">
      <w:pPr>
        <w:pStyle w:val="5"/>
        <w:snapToGrid w:val="0"/>
        <w:spacing w:before="0" w:after="0" w:line="360" w:lineRule="auto"/>
        <w:ind w:firstLine="424" w:firstLineChars="201"/>
        <w:rPr>
          <w:rFonts w:ascii="Times New Roman" w:hAnsi="Times New Roman" w:eastAsia="宋体"/>
          <w:sz w:val="21"/>
          <w:szCs w:val="21"/>
        </w:rPr>
      </w:pPr>
      <w:bookmarkStart w:id="747" w:name="_Toc100497952"/>
      <w:bookmarkEnd w:id="747"/>
      <w:bookmarkStart w:id="748" w:name="_Toc395965069"/>
      <w:bookmarkEnd w:id="748"/>
      <w:bookmarkStart w:id="749" w:name="_Toc435016857"/>
      <w:bookmarkEnd w:id="749"/>
      <w:bookmarkStart w:id="750" w:name="_Toc99765306"/>
      <w:bookmarkEnd w:id="750"/>
      <w:r>
        <w:rPr>
          <w:rFonts w:ascii="Times New Roman" w:hAnsi="Times New Roman" w:eastAsia="宋体"/>
          <w:sz w:val="21"/>
          <w:szCs w:val="21"/>
        </w:rPr>
        <w:t>3.2 详细评审</w:t>
      </w:r>
    </w:p>
    <w:p w14:paraId="5A33D8C7">
      <w:pPr>
        <w:snapToGrid w:val="0"/>
        <w:spacing w:line="360" w:lineRule="auto"/>
        <w:ind w:firstLine="424" w:firstLineChars="202"/>
        <w:outlineLvl w:val="4"/>
      </w:pPr>
      <w:r>
        <w:t>3.2.1评标委员会按本章第2.2款规定进行打分。</w:t>
      </w:r>
    </w:p>
    <w:p w14:paraId="704C8DF8">
      <w:pPr>
        <w:snapToGrid w:val="0"/>
        <w:spacing w:line="360" w:lineRule="auto"/>
        <w:ind w:firstLine="424" w:firstLineChars="202"/>
      </w:pPr>
      <w:r>
        <w:t>3.2.2评分分值计算保留小数点后两位，小数点后第三位“四舍五入”。</w:t>
      </w:r>
    </w:p>
    <w:p w14:paraId="7CEE8DD2">
      <w:pPr>
        <w:snapToGrid w:val="0"/>
        <w:spacing w:line="360" w:lineRule="auto"/>
        <w:ind w:firstLine="424" w:firstLineChars="202"/>
      </w:pPr>
      <w:r>
        <w:t>3.2.3评标委员会发现投标人的报价明显低于其他投标报价，或者在设有招标最高限价时明显低于招标最高限价，使得其投标报价可能低于其成本的，应当要求该投标人作出书面说明并提供相应的证明材料。投标人不能合理说明或者不能提供相应证明材料的，由评标委员会认定该投标人以低于成本报价竞标，其投标作否决投标处理。</w:t>
      </w:r>
    </w:p>
    <w:p w14:paraId="3DCE38C9">
      <w:pPr>
        <w:snapToGrid w:val="0"/>
        <w:spacing w:line="360" w:lineRule="auto"/>
        <w:ind w:firstLine="424" w:firstLineChars="202"/>
      </w:pPr>
      <w:r>
        <w:rPr>
          <w:rFonts w:hint="eastAsia"/>
        </w:rPr>
        <w:t>3</w:t>
      </w:r>
      <w:r>
        <w:t>.2.4</w:t>
      </w:r>
      <w:r>
        <w:rPr>
          <w:rFonts w:hint="eastAsia"/>
        </w:rPr>
        <w:t>评标委员会按全体成员的得分计算出平均分为各部分最终得分。</w:t>
      </w:r>
    </w:p>
    <w:p w14:paraId="4F799CC7">
      <w:pPr>
        <w:pStyle w:val="5"/>
        <w:snapToGrid w:val="0"/>
        <w:spacing w:before="0" w:after="0" w:line="360" w:lineRule="auto"/>
        <w:ind w:firstLine="424" w:firstLineChars="201"/>
        <w:rPr>
          <w:rFonts w:ascii="Times New Roman" w:hAnsi="Times New Roman" w:eastAsia="宋体"/>
          <w:sz w:val="21"/>
          <w:szCs w:val="21"/>
        </w:rPr>
      </w:pPr>
      <w:bookmarkStart w:id="751" w:name="_Toc435016858"/>
      <w:bookmarkEnd w:id="751"/>
      <w:bookmarkStart w:id="752" w:name="_Toc99765307"/>
      <w:bookmarkEnd w:id="752"/>
      <w:bookmarkStart w:id="753" w:name="_Toc395965070"/>
      <w:bookmarkEnd w:id="753"/>
      <w:bookmarkStart w:id="754" w:name="_Toc100497953"/>
      <w:bookmarkEnd w:id="754"/>
      <w:r>
        <w:rPr>
          <w:rFonts w:ascii="Times New Roman" w:hAnsi="Times New Roman" w:eastAsia="宋体"/>
          <w:sz w:val="21"/>
          <w:szCs w:val="21"/>
        </w:rPr>
        <w:t>3.3 投标文件的澄清和补正</w:t>
      </w:r>
    </w:p>
    <w:p w14:paraId="59606810">
      <w:pPr>
        <w:snapToGrid w:val="0"/>
        <w:spacing w:line="360" w:lineRule="auto"/>
        <w:ind w:firstLine="424" w:firstLineChars="202"/>
      </w:pPr>
      <w:r>
        <w:t>3.3.1在评标过程中，评标委员会可以书面形式要求投标人对所提交的投标文件中不明确的内容进行书面澄清或说明，或者对细微偏差进行补正。评标委员会不接受投标人主动提出的澄清、说明或补正。</w:t>
      </w:r>
    </w:p>
    <w:p w14:paraId="4CE350C5">
      <w:pPr>
        <w:snapToGrid w:val="0"/>
        <w:spacing w:line="360" w:lineRule="auto"/>
        <w:ind w:firstLine="424" w:firstLineChars="202"/>
      </w:pPr>
      <w:r>
        <w:t>3.3.2澄清、说明和补正不得改变投标文件的实质性内容（算术性错误修正的除外）。投标人的书面澄清、说明和补正属于投标文件的组成部分。</w:t>
      </w:r>
    </w:p>
    <w:p w14:paraId="55AA7A2A">
      <w:pPr>
        <w:snapToGrid w:val="0"/>
        <w:spacing w:line="360" w:lineRule="auto"/>
        <w:ind w:firstLine="424" w:firstLineChars="202"/>
      </w:pPr>
      <w:r>
        <w:t>3.3.3评标委员会对投标人提交的澄清、说明或补正有疑问的，可以要求投标人进一步澄清、说明或补正，直至满足评标委员会的要求。</w:t>
      </w:r>
    </w:p>
    <w:p w14:paraId="1A7A771F">
      <w:pPr>
        <w:pStyle w:val="5"/>
        <w:snapToGrid w:val="0"/>
        <w:spacing w:before="0" w:after="0" w:line="360" w:lineRule="auto"/>
        <w:ind w:firstLine="424" w:firstLineChars="201"/>
        <w:rPr>
          <w:rFonts w:ascii="Times New Roman" w:hAnsi="Times New Roman" w:eastAsia="宋体"/>
          <w:sz w:val="21"/>
          <w:szCs w:val="21"/>
        </w:rPr>
      </w:pPr>
      <w:bookmarkStart w:id="755" w:name="_Toc100497954"/>
      <w:bookmarkEnd w:id="755"/>
      <w:bookmarkStart w:id="756" w:name="_Toc395965071"/>
      <w:bookmarkEnd w:id="756"/>
      <w:bookmarkStart w:id="757" w:name="_Toc435016859"/>
      <w:bookmarkEnd w:id="757"/>
      <w:bookmarkStart w:id="758" w:name="_Toc99765308"/>
      <w:bookmarkEnd w:id="758"/>
      <w:r>
        <w:rPr>
          <w:rFonts w:ascii="Times New Roman" w:hAnsi="Times New Roman" w:eastAsia="宋体"/>
          <w:sz w:val="21"/>
          <w:szCs w:val="21"/>
        </w:rPr>
        <w:t>3.4 评标结果</w:t>
      </w:r>
    </w:p>
    <w:p w14:paraId="0E076C42">
      <w:pPr>
        <w:snapToGrid w:val="0"/>
        <w:spacing w:line="360" w:lineRule="auto"/>
        <w:ind w:firstLine="424" w:firstLineChars="202"/>
        <w:outlineLvl w:val="4"/>
      </w:pPr>
      <w:r>
        <w:t>3.4.1评标委员会按照最后得分由高至低顺序推荐中标候选人。</w:t>
      </w:r>
    </w:p>
    <w:p w14:paraId="407B30BA">
      <w:pPr>
        <w:snapToGrid w:val="0"/>
        <w:spacing w:line="360" w:lineRule="auto"/>
        <w:ind w:firstLine="424" w:firstLineChars="202"/>
      </w:pPr>
      <w:r>
        <w:t>3.4.2 评标委员会完成评标后，应当向招标人提交书面评标报告。</w:t>
      </w:r>
    </w:p>
    <w:p w14:paraId="223F7B52">
      <w:pPr>
        <w:pStyle w:val="13"/>
      </w:pPr>
    </w:p>
    <w:p w14:paraId="304A45DD">
      <w:pPr>
        <w:rPr>
          <w:rFonts w:ascii="黑体" w:cs="黑体"/>
          <w:kern w:val="0"/>
          <w:sz w:val="28"/>
          <w:szCs w:val="28"/>
        </w:rPr>
      </w:pPr>
      <w:bookmarkStart w:id="759" w:name="_Toc15771_WPSOffice_Level2"/>
      <w:bookmarkEnd w:id="759"/>
      <w:bookmarkStart w:id="760" w:name="_Toc23048"/>
      <w:bookmarkEnd w:id="760"/>
      <w:bookmarkStart w:id="761" w:name="_Toc26689"/>
      <w:bookmarkEnd w:id="761"/>
      <w:bookmarkStart w:id="762" w:name="_Toc4179_WPSOffice_Level2"/>
      <w:bookmarkEnd w:id="762"/>
      <w:bookmarkStart w:id="763" w:name="_Toc45896996"/>
      <w:bookmarkEnd w:id="763"/>
      <w:bookmarkStart w:id="764" w:name="_Toc45896699"/>
      <w:bookmarkEnd w:id="764"/>
      <w:r>
        <w:rPr>
          <w:rFonts w:hint="eastAsia" w:ascii="黑体" w:cs="黑体"/>
          <w:kern w:val="0"/>
          <w:sz w:val="28"/>
          <w:szCs w:val="28"/>
        </w:rPr>
        <w:br w:type="page"/>
      </w:r>
    </w:p>
    <w:p w14:paraId="21FF683E">
      <w:pPr>
        <w:pStyle w:val="3"/>
        <w:jc w:val="center"/>
        <w:rPr>
          <w:rFonts w:ascii="黑体"/>
          <w:kern w:val="0"/>
          <w:sz w:val="28"/>
          <w:szCs w:val="28"/>
        </w:rPr>
      </w:pPr>
      <w:r>
        <w:rPr>
          <w:rFonts w:hint="eastAsia" w:ascii="黑体" w:cs="黑体"/>
          <w:kern w:val="0"/>
          <w:sz w:val="28"/>
          <w:szCs w:val="28"/>
        </w:rPr>
        <w:t>附件</w:t>
      </w:r>
      <w:r>
        <w:rPr>
          <w:rFonts w:ascii="黑体" w:cs="黑体"/>
          <w:kern w:val="0"/>
          <w:sz w:val="28"/>
          <w:szCs w:val="28"/>
        </w:rPr>
        <w:t>A</w:t>
      </w:r>
      <w:r>
        <w:rPr>
          <w:rFonts w:hint="eastAsia" w:ascii="黑体" w:cs="黑体"/>
          <w:kern w:val="0"/>
          <w:sz w:val="28"/>
          <w:szCs w:val="28"/>
        </w:rPr>
        <w:t>：评标详细程序</w:t>
      </w:r>
    </w:p>
    <w:p w14:paraId="5CE5BCA7">
      <w:pPr>
        <w:adjustRightInd w:val="0"/>
        <w:snapToGrid w:val="0"/>
        <w:spacing w:line="360" w:lineRule="auto"/>
        <w:jc w:val="left"/>
        <w:rPr>
          <w:rFonts w:ascii="黑体" w:eastAsia="黑体" w:cs="Times New Roman"/>
          <w:kern w:val="0"/>
        </w:rPr>
      </w:pPr>
      <w:r>
        <w:rPr>
          <w:rFonts w:ascii="黑体" w:eastAsia="黑体" w:cs="黑体"/>
          <w:kern w:val="0"/>
        </w:rPr>
        <w:t>A0.</w:t>
      </w:r>
      <w:r>
        <w:rPr>
          <w:rFonts w:hint="eastAsia" w:ascii="黑体" w:eastAsia="黑体" w:cs="黑体"/>
          <w:kern w:val="0"/>
        </w:rPr>
        <w:t>总则</w:t>
      </w:r>
    </w:p>
    <w:p w14:paraId="58D8F456">
      <w:pPr>
        <w:adjustRightInd w:val="0"/>
        <w:snapToGrid w:val="0"/>
        <w:spacing w:line="360" w:lineRule="auto"/>
        <w:ind w:firstLine="420" w:firstLineChars="200"/>
        <w:jc w:val="left"/>
        <w:rPr>
          <w:rFonts w:ascii="宋体" w:cs="Times New Roman"/>
          <w:kern w:val="0"/>
        </w:rPr>
      </w:pPr>
      <w:r>
        <w:rPr>
          <w:rFonts w:hint="eastAsia" w:ascii="宋体" w:hAnsi="宋体" w:cs="宋体"/>
          <w:kern w:val="0"/>
        </w:rPr>
        <w:t>本附件是本章“评标办法”的组成部分，评标委员会应当按照本附件所规定的详细程序开展并完成评标工作。</w:t>
      </w:r>
    </w:p>
    <w:p w14:paraId="50067B47">
      <w:pPr>
        <w:adjustRightInd w:val="0"/>
        <w:snapToGrid w:val="0"/>
        <w:spacing w:line="360" w:lineRule="auto"/>
        <w:jc w:val="left"/>
        <w:rPr>
          <w:rFonts w:ascii="黑体" w:eastAsia="黑体" w:cs="Times New Roman"/>
          <w:kern w:val="0"/>
        </w:rPr>
      </w:pPr>
      <w:r>
        <w:rPr>
          <w:rFonts w:ascii="黑体" w:eastAsia="黑体" w:cs="黑体"/>
          <w:kern w:val="0"/>
        </w:rPr>
        <w:t>A1.</w:t>
      </w:r>
      <w:r>
        <w:rPr>
          <w:rFonts w:hint="eastAsia" w:ascii="黑体" w:eastAsia="黑体" w:cs="黑体"/>
          <w:kern w:val="0"/>
        </w:rPr>
        <w:t>基本程序</w:t>
      </w:r>
    </w:p>
    <w:p w14:paraId="580B3E22">
      <w:pPr>
        <w:adjustRightInd w:val="0"/>
        <w:snapToGrid w:val="0"/>
        <w:spacing w:line="360" w:lineRule="auto"/>
        <w:ind w:firstLine="420" w:firstLineChars="200"/>
        <w:jc w:val="left"/>
        <w:rPr>
          <w:rFonts w:ascii="宋体" w:cs="Times New Roman"/>
          <w:kern w:val="0"/>
        </w:rPr>
      </w:pPr>
      <w:r>
        <w:rPr>
          <w:rFonts w:hint="eastAsia" w:ascii="宋体" w:cs="宋体"/>
          <w:kern w:val="0"/>
        </w:rPr>
        <w:t>评标活动将按以下五个步骤进行：</w:t>
      </w:r>
    </w:p>
    <w:p w14:paraId="08766E98">
      <w:pPr>
        <w:adjustRightInd w:val="0"/>
        <w:snapToGrid w:val="0"/>
        <w:spacing w:line="360" w:lineRule="auto"/>
        <w:ind w:firstLine="420" w:firstLineChars="200"/>
        <w:jc w:val="left"/>
        <w:rPr>
          <w:rFonts w:ascii="宋体" w:cs="Times New Roman"/>
          <w:kern w:val="0"/>
        </w:rPr>
      </w:pPr>
      <w:r>
        <w:rPr>
          <w:rFonts w:ascii="宋体" w:hAnsi="宋体" w:cs="宋体"/>
          <w:kern w:val="0"/>
        </w:rPr>
        <w:t>(1</w:t>
      </w:r>
      <w:r>
        <w:rPr>
          <w:rFonts w:hint="eastAsia" w:ascii="宋体" w:hAnsi="宋体" w:cs="宋体"/>
          <w:kern w:val="0"/>
        </w:rPr>
        <w:t>）评标准备；</w:t>
      </w:r>
    </w:p>
    <w:p w14:paraId="74E466C4">
      <w:pPr>
        <w:adjustRightInd w:val="0"/>
        <w:snapToGrid w:val="0"/>
        <w:spacing w:line="360" w:lineRule="auto"/>
        <w:ind w:firstLine="420" w:firstLineChars="200"/>
        <w:jc w:val="left"/>
        <w:rPr>
          <w:rFonts w:ascii="宋体" w:cs="Times New Roman"/>
          <w:kern w:val="0"/>
        </w:rPr>
      </w:pPr>
      <w:r>
        <w:rPr>
          <w:rFonts w:ascii="宋体" w:hAnsi="宋体" w:cs="宋体"/>
          <w:kern w:val="0"/>
        </w:rPr>
        <w:t>(2</w:t>
      </w:r>
      <w:r>
        <w:rPr>
          <w:rFonts w:hint="eastAsia" w:ascii="宋体" w:hAnsi="宋体" w:cs="宋体"/>
          <w:kern w:val="0"/>
        </w:rPr>
        <w:t>）初步评审；</w:t>
      </w:r>
    </w:p>
    <w:p w14:paraId="3B692C6B">
      <w:pPr>
        <w:adjustRightInd w:val="0"/>
        <w:snapToGrid w:val="0"/>
        <w:spacing w:line="360" w:lineRule="auto"/>
        <w:ind w:firstLine="420" w:firstLineChars="200"/>
        <w:jc w:val="left"/>
        <w:rPr>
          <w:rFonts w:ascii="宋体" w:cs="Times New Roman"/>
          <w:kern w:val="0"/>
        </w:rPr>
      </w:pPr>
      <w:r>
        <w:rPr>
          <w:rFonts w:ascii="宋体" w:hAnsi="宋体" w:cs="宋体"/>
          <w:kern w:val="0"/>
        </w:rPr>
        <w:t>(3</w:t>
      </w:r>
      <w:r>
        <w:rPr>
          <w:rFonts w:hint="eastAsia" w:ascii="宋体" w:hAnsi="宋体" w:cs="宋体"/>
          <w:kern w:val="0"/>
        </w:rPr>
        <w:t>）详细评审；</w:t>
      </w:r>
    </w:p>
    <w:p w14:paraId="6F434720">
      <w:pPr>
        <w:adjustRightInd w:val="0"/>
        <w:snapToGrid w:val="0"/>
        <w:spacing w:line="360" w:lineRule="auto"/>
        <w:ind w:firstLine="420" w:firstLineChars="200"/>
        <w:jc w:val="left"/>
        <w:rPr>
          <w:rFonts w:ascii="宋体" w:cs="Times New Roman"/>
          <w:kern w:val="0"/>
        </w:rPr>
      </w:pPr>
      <w:r>
        <w:rPr>
          <w:rFonts w:ascii="宋体" w:hAnsi="宋体" w:cs="宋体"/>
          <w:kern w:val="0"/>
        </w:rPr>
        <w:t>(4</w:t>
      </w:r>
      <w:r>
        <w:rPr>
          <w:rFonts w:hint="eastAsia" w:ascii="宋体" w:hAnsi="宋体" w:cs="宋体"/>
          <w:kern w:val="0"/>
        </w:rPr>
        <w:t>）澄清、说明或补正；</w:t>
      </w:r>
    </w:p>
    <w:p w14:paraId="160F66FB">
      <w:pPr>
        <w:adjustRightInd w:val="0"/>
        <w:snapToGrid w:val="0"/>
        <w:spacing w:line="360" w:lineRule="auto"/>
        <w:ind w:firstLine="420" w:firstLineChars="200"/>
        <w:jc w:val="left"/>
        <w:rPr>
          <w:rFonts w:ascii="宋体" w:cs="Times New Roman"/>
          <w:kern w:val="0"/>
        </w:rPr>
      </w:pPr>
      <w:r>
        <w:rPr>
          <w:rFonts w:ascii="宋体" w:hAnsi="宋体" w:cs="宋体"/>
          <w:kern w:val="0"/>
        </w:rPr>
        <w:t>(5</w:t>
      </w:r>
      <w:r>
        <w:rPr>
          <w:rFonts w:hint="eastAsia" w:ascii="宋体" w:hAnsi="宋体" w:cs="宋体"/>
          <w:kern w:val="0"/>
        </w:rPr>
        <w:t>）推荐中标候选人或者直接确定中标人及提交评标报告。</w:t>
      </w:r>
    </w:p>
    <w:p w14:paraId="277ADED3">
      <w:pPr>
        <w:adjustRightInd w:val="0"/>
        <w:snapToGrid w:val="0"/>
        <w:spacing w:line="360" w:lineRule="auto"/>
        <w:jc w:val="left"/>
        <w:rPr>
          <w:rFonts w:ascii="黑体" w:eastAsia="黑体" w:cs="Times New Roman"/>
          <w:kern w:val="0"/>
        </w:rPr>
      </w:pPr>
      <w:r>
        <w:rPr>
          <w:rFonts w:ascii="黑体" w:eastAsia="黑体" w:cs="黑体"/>
          <w:kern w:val="0"/>
        </w:rPr>
        <w:t>A2.</w:t>
      </w:r>
      <w:r>
        <w:rPr>
          <w:rFonts w:hint="eastAsia" w:ascii="黑体" w:eastAsia="黑体" w:cs="黑体"/>
          <w:kern w:val="0"/>
        </w:rPr>
        <w:t>评标准备</w:t>
      </w:r>
    </w:p>
    <w:p w14:paraId="0C7E2D5D">
      <w:pPr>
        <w:adjustRightInd w:val="0"/>
        <w:snapToGrid w:val="0"/>
        <w:spacing w:line="360" w:lineRule="auto"/>
        <w:ind w:firstLine="420" w:firstLineChars="200"/>
        <w:jc w:val="left"/>
        <w:rPr>
          <w:rFonts w:hint="eastAsia" w:ascii="黑体" w:hAnsi="黑体" w:eastAsia="黑体" w:cs="Times New Roman"/>
          <w:kern w:val="0"/>
        </w:rPr>
      </w:pPr>
      <w:r>
        <w:rPr>
          <w:rFonts w:ascii="黑体" w:hAnsi="黑体" w:eastAsia="黑体" w:cs="黑体"/>
          <w:kern w:val="0"/>
        </w:rPr>
        <w:t>A2.1</w:t>
      </w:r>
      <w:r>
        <w:rPr>
          <w:rFonts w:hint="eastAsia" w:ascii="黑体" w:hAnsi="黑体" w:eastAsia="黑体" w:cs="黑体"/>
          <w:kern w:val="0"/>
        </w:rPr>
        <w:t>评标委员会成员签到</w:t>
      </w:r>
    </w:p>
    <w:p w14:paraId="249CFA10">
      <w:pPr>
        <w:adjustRightInd w:val="0"/>
        <w:snapToGrid w:val="0"/>
        <w:spacing w:line="360" w:lineRule="auto"/>
        <w:ind w:firstLine="420" w:firstLineChars="200"/>
        <w:jc w:val="left"/>
        <w:rPr>
          <w:rFonts w:ascii="宋体" w:cs="Times New Roman"/>
          <w:kern w:val="0"/>
        </w:rPr>
      </w:pPr>
      <w:r>
        <w:rPr>
          <w:rFonts w:hint="eastAsia" w:ascii="宋体" w:cs="宋体"/>
          <w:kern w:val="0"/>
        </w:rPr>
        <w:t>评标委员会成员到达评标现场签到并组建评标委员会。</w:t>
      </w:r>
    </w:p>
    <w:p w14:paraId="51E19076">
      <w:pPr>
        <w:adjustRightInd w:val="0"/>
        <w:snapToGrid w:val="0"/>
        <w:spacing w:line="360" w:lineRule="auto"/>
        <w:ind w:firstLine="420" w:firstLineChars="200"/>
        <w:jc w:val="left"/>
        <w:rPr>
          <w:rFonts w:hint="eastAsia" w:ascii="黑体" w:hAnsi="黑体" w:eastAsia="黑体" w:cs="Times New Roman"/>
          <w:kern w:val="0"/>
        </w:rPr>
      </w:pPr>
      <w:r>
        <w:rPr>
          <w:rFonts w:ascii="黑体" w:hAnsi="黑体" w:eastAsia="黑体" w:cs="黑体"/>
          <w:kern w:val="0"/>
        </w:rPr>
        <w:t>A2.2</w:t>
      </w:r>
      <w:r>
        <w:rPr>
          <w:rFonts w:hint="eastAsia" w:ascii="黑体" w:hAnsi="黑体" w:eastAsia="黑体" w:cs="黑体"/>
          <w:kern w:val="0"/>
        </w:rPr>
        <w:t>评标委员会的分工</w:t>
      </w:r>
    </w:p>
    <w:p w14:paraId="1665C715">
      <w:pPr>
        <w:adjustRightInd w:val="0"/>
        <w:snapToGrid w:val="0"/>
        <w:spacing w:line="360" w:lineRule="auto"/>
        <w:ind w:firstLine="420" w:firstLineChars="200"/>
        <w:jc w:val="left"/>
        <w:rPr>
          <w:rFonts w:ascii="宋体" w:cs="Times New Roman"/>
          <w:kern w:val="0"/>
        </w:rPr>
      </w:pPr>
      <w:r>
        <w:rPr>
          <w:rFonts w:hint="eastAsia" w:ascii="宋体" w:cs="宋体"/>
          <w:kern w:val="0"/>
        </w:rPr>
        <w:t>评标委员会成员推选一名评标委员会主任，负责评标活动的组织领导工作。评标委员会主任在与其他评标委员会成员协商的基础上，可以将评标委员会划分为技术组和商务组。</w:t>
      </w:r>
    </w:p>
    <w:p w14:paraId="1DF83121">
      <w:pPr>
        <w:adjustRightInd w:val="0"/>
        <w:snapToGrid w:val="0"/>
        <w:spacing w:line="360" w:lineRule="auto"/>
        <w:ind w:firstLine="420" w:firstLineChars="200"/>
        <w:jc w:val="left"/>
        <w:rPr>
          <w:rFonts w:hint="eastAsia" w:ascii="黑体" w:hAnsi="黑体" w:eastAsia="黑体" w:cs="Times New Roman"/>
          <w:kern w:val="0"/>
        </w:rPr>
      </w:pPr>
      <w:r>
        <w:rPr>
          <w:rFonts w:ascii="黑体" w:hAnsi="黑体" w:eastAsia="黑体" w:cs="黑体"/>
          <w:kern w:val="0"/>
        </w:rPr>
        <w:t>A2.3</w:t>
      </w:r>
      <w:r>
        <w:rPr>
          <w:rFonts w:hint="eastAsia" w:ascii="黑体" w:hAnsi="黑体" w:eastAsia="黑体" w:cs="黑体"/>
          <w:kern w:val="0"/>
        </w:rPr>
        <w:t>熟悉文件资料</w:t>
      </w:r>
    </w:p>
    <w:p w14:paraId="14DF96A6">
      <w:pPr>
        <w:adjustRightInd w:val="0"/>
        <w:snapToGrid w:val="0"/>
        <w:spacing w:line="360" w:lineRule="auto"/>
        <w:ind w:firstLine="420" w:firstLineChars="200"/>
        <w:jc w:val="left"/>
        <w:rPr>
          <w:rFonts w:ascii="宋体" w:cs="Times New Roman"/>
          <w:kern w:val="0"/>
        </w:rPr>
      </w:pPr>
      <w:r>
        <w:rPr>
          <w:rFonts w:ascii="宋体" w:hAnsi="宋体" w:cs="宋体"/>
          <w:kern w:val="0"/>
        </w:rPr>
        <w:t>A2.3.1</w:t>
      </w:r>
      <w:r>
        <w:rPr>
          <w:rFonts w:hint="eastAsia" w:ascii="宋体" w:cs="宋体"/>
          <w:kern w:val="0"/>
        </w:rPr>
        <w:t>评标委员会主任应组织评标委员会成员认真研究招标文件，了解和熟悉招标目的、招标范围、主要合同条件、技术标准和要求、质量标准和工期要求等，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14:paraId="2F440857">
      <w:pPr>
        <w:adjustRightInd w:val="0"/>
        <w:snapToGrid w:val="0"/>
        <w:spacing w:line="360" w:lineRule="auto"/>
        <w:ind w:firstLine="420" w:firstLineChars="200"/>
        <w:jc w:val="left"/>
        <w:rPr>
          <w:rFonts w:ascii="宋体" w:cs="Times New Roman"/>
          <w:kern w:val="0"/>
        </w:rPr>
      </w:pPr>
      <w:r>
        <w:rPr>
          <w:rFonts w:ascii="宋体" w:hAnsi="宋体" w:cs="宋体"/>
          <w:kern w:val="0"/>
        </w:rPr>
        <w:t>A2.3.2</w:t>
      </w:r>
      <w:r>
        <w:rPr>
          <w:rFonts w:hint="eastAsia" w:ascii="宋体" w:hAnsi="宋体" w:cs="宋体"/>
          <w:kern w:val="0"/>
        </w:rPr>
        <w:t>招标人或招标代理机构应向评标委员会提供评标所需的信息和数据，包括招标文件、未在开标会上当场拒绝的各投标文件、开标会记录、招标控制价（如果有）、工程所在地工程造价管理部门颁布的工程造价信息、定额（如作为计价依据时）、有关的法律法规、规章、国家标准以及招标人或评标委员会认为必要的其他信息和数据。</w:t>
      </w:r>
    </w:p>
    <w:p w14:paraId="717312EF">
      <w:pPr>
        <w:adjustRightInd w:val="0"/>
        <w:snapToGrid w:val="0"/>
        <w:spacing w:line="360" w:lineRule="auto"/>
        <w:ind w:firstLine="420" w:firstLineChars="200"/>
        <w:jc w:val="left"/>
        <w:rPr>
          <w:rFonts w:hint="eastAsia" w:ascii="黑体" w:hAnsi="黑体" w:eastAsia="黑体" w:cs="Times New Roman"/>
          <w:kern w:val="0"/>
        </w:rPr>
      </w:pPr>
      <w:r>
        <w:rPr>
          <w:rFonts w:ascii="黑体" w:hAnsi="黑体" w:eastAsia="黑体" w:cs="黑体"/>
          <w:kern w:val="0"/>
        </w:rPr>
        <w:t>A2.4</w:t>
      </w:r>
      <w:r>
        <w:rPr>
          <w:rFonts w:hint="eastAsia" w:ascii="黑体" w:hAnsi="黑体" w:eastAsia="黑体" w:cs="黑体"/>
          <w:kern w:val="0"/>
        </w:rPr>
        <w:t>对投标文件进行基础性数据分析和整理工作（清标）</w:t>
      </w:r>
    </w:p>
    <w:p w14:paraId="276F1001">
      <w:pPr>
        <w:adjustRightInd w:val="0"/>
        <w:snapToGrid w:val="0"/>
        <w:spacing w:line="360" w:lineRule="auto"/>
        <w:ind w:firstLine="420" w:firstLineChars="200"/>
        <w:jc w:val="left"/>
        <w:rPr>
          <w:rFonts w:ascii="宋体" w:cs="Times New Roman"/>
          <w:kern w:val="0"/>
        </w:rPr>
      </w:pPr>
      <w:r>
        <w:rPr>
          <w:rFonts w:hint="eastAsia" w:ascii="宋体" w:hAnsi="宋体" w:cs="宋体"/>
          <w:kern w:val="0"/>
        </w:rPr>
        <w:t>在不改变投标人投标文件实质性内容的前提下，评标委员会应当对投标文件进行基础性数据分析和整理（简称“清标”），从而发现并提取其中可能存在的对招标范围理解的偏差、投标报价的算术性错误、错漏项、投标报价构成不合理、不平衡报价、是否低于成本报价等存在明显异常的问题，并就这些问题整理形成清标成果。评标委员会对清标成果审议后，决定需要投标人进行书面澄清、说明或补正的问题，形成质疑问卷，向投标人发出问题澄清通知（质疑问卷）。</w:t>
      </w:r>
    </w:p>
    <w:p w14:paraId="2D39A2C5">
      <w:pPr>
        <w:adjustRightInd w:val="0"/>
        <w:snapToGrid w:val="0"/>
        <w:spacing w:line="360" w:lineRule="auto"/>
        <w:ind w:firstLine="420" w:firstLineChars="200"/>
        <w:rPr>
          <w:rFonts w:hint="eastAsia" w:ascii="黑体" w:hAnsi="黑体" w:eastAsia="黑体" w:cs="Times New Roman"/>
          <w:kern w:val="0"/>
        </w:rPr>
      </w:pPr>
      <w:r>
        <w:rPr>
          <w:rFonts w:ascii="黑体" w:hAnsi="黑体" w:eastAsia="黑体" w:cs="黑体"/>
          <w:kern w:val="0"/>
        </w:rPr>
        <w:t>A3</w:t>
      </w:r>
      <w:r>
        <w:rPr>
          <w:rFonts w:hint="eastAsia" w:ascii="黑体" w:hAnsi="黑体" w:eastAsia="黑体" w:cs="黑体"/>
          <w:kern w:val="0"/>
        </w:rPr>
        <w:t>初步评审</w:t>
      </w:r>
    </w:p>
    <w:p w14:paraId="4964703F">
      <w:pPr>
        <w:adjustRightInd w:val="0"/>
        <w:snapToGrid w:val="0"/>
        <w:spacing w:line="360" w:lineRule="auto"/>
        <w:ind w:firstLine="420" w:firstLineChars="200"/>
        <w:jc w:val="left"/>
        <w:rPr>
          <w:rFonts w:ascii="宋体" w:cs="Times New Roman"/>
        </w:rPr>
      </w:pPr>
      <w:r>
        <w:rPr>
          <w:rFonts w:hint="eastAsia" w:ascii="宋体" w:hAnsi="宋体" w:cs="宋体"/>
        </w:rPr>
        <w:t>评标委员会依据本章第</w:t>
      </w:r>
      <w:r>
        <w:rPr>
          <w:rFonts w:ascii="宋体" w:hAnsi="宋体" w:cs="宋体"/>
        </w:rPr>
        <w:t xml:space="preserve">2.1.1 </w:t>
      </w:r>
      <w:r>
        <w:rPr>
          <w:rFonts w:hint="eastAsia" w:ascii="宋体" w:hAnsi="宋体" w:cs="宋体"/>
        </w:rPr>
        <w:t>项；第</w:t>
      </w:r>
      <w:r>
        <w:rPr>
          <w:rFonts w:ascii="宋体" w:hAnsi="宋体" w:cs="宋体"/>
        </w:rPr>
        <w:t>2.1.2</w:t>
      </w:r>
      <w:r>
        <w:rPr>
          <w:rFonts w:hint="eastAsia" w:ascii="宋体" w:hAnsi="宋体" w:cs="宋体"/>
        </w:rPr>
        <w:t>项；第</w:t>
      </w:r>
      <w:r>
        <w:rPr>
          <w:rFonts w:ascii="宋体" w:hAnsi="宋体" w:cs="宋体"/>
        </w:rPr>
        <w:t xml:space="preserve">2.1.3 </w:t>
      </w:r>
      <w:r>
        <w:rPr>
          <w:rFonts w:hint="eastAsia" w:ascii="宋体" w:hAnsi="宋体" w:cs="宋体"/>
        </w:rPr>
        <w:t>项规定的评审标准对投标文件进行初步评审。评标委员会按照先进行形式评审，再进行资格审查，随后进行响应性评审，最后进行价格评审的先后顺序对投标文件进行初步评审。形式评审不通过的投标文件不进入资格审查，资格审查不通过的投标文件不进入响应性评审，响应性评审不通过的投标文件不进入价格评审，价格评审不通过的投标文件不进入详细评审。只有形式评审、资格审查、响应性评审均通过的投标人才能进入详细评审。</w:t>
      </w:r>
    </w:p>
    <w:p w14:paraId="0FC18439">
      <w:pPr>
        <w:adjustRightInd w:val="0"/>
        <w:snapToGrid w:val="0"/>
        <w:spacing w:line="360" w:lineRule="auto"/>
        <w:ind w:firstLine="420" w:firstLineChars="200"/>
        <w:rPr>
          <w:rFonts w:hint="eastAsia" w:ascii="黑体" w:hAnsi="黑体" w:eastAsia="黑体" w:cs="Times New Roman"/>
          <w:kern w:val="0"/>
        </w:rPr>
      </w:pPr>
      <w:r>
        <w:rPr>
          <w:rFonts w:ascii="黑体" w:hAnsi="黑体" w:eastAsia="黑体" w:cs="黑体"/>
          <w:kern w:val="0"/>
        </w:rPr>
        <w:t>A3.1</w:t>
      </w:r>
      <w:r>
        <w:rPr>
          <w:rFonts w:hint="eastAsia" w:ascii="黑体" w:hAnsi="黑体" w:eastAsia="黑体" w:cs="黑体"/>
          <w:kern w:val="0"/>
        </w:rPr>
        <w:t>形式评审</w:t>
      </w:r>
    </w:p>
    <w:p w14:paraId="3198AF91">
      <w:pPr>
        <w:adjustRightInd w:val="0"/>
        <w:snapToGrid w:val="0"/>
        <w:spacing w:line="360" w:lineRule="auto"/>
        <w:ind w:firstLine="420" w:firstLineChars="200"/>
        <w:rPr>
          <w:rFonts w:ascii="宋体" w:cs="Times New Roman"/>
        </w:rPr>
      </w:pPr>
      <w:r>
        <w:rPr>
          <w:rFonts w:hint="eastAsia" w:ascii="宋体" w:hAnsi="宋体" w:cs="宋体"/>
        </w:rPr>
        <w:t>评标委员会根据评标办法前附表中规定的评审因素和评审标准，对投标人的投标文件首先进行形式评审，形式评审不通过的投标文件不进入资格审查。</w:t>
      </w:r>
    </w:p>
    <w:p w14:paraId="05F3635B">
      <w:pPr>
        <w:adjustRightInd w:val="0"/>
        <w:snapToGrid w:val="0"/>
        <w:spacing w:line="360" w:lineRule="auto"/>
        <w:ind w:firstLine="420" w:firstLineChars="200"/>
        <w:rPr>
          <w:rFonts w:hint="eastAsia" w:ascii="黑体" w:hAnsi="黑体" w:eastAsia="黑体" w:cs="Times New Roman"/>
          <w:kern w:val="0"/>
        </w:rPr>
      </w:pPr>
      <w:r>
        <w:rPr>
          <w:rFonts w:ascii="黑体" w:hAnsi="黑体" w:eastAsia="黑体" w:cs="黑体"/>
          <w:kern w:val="0"/>
        </w:rPr>
        <w:t>A3.2</w:t>
      </w:r>
      <w:r>
        <w:rPr>
          <w:rFonts w:hint="eastAsia" w:ascii="黑体" w:hAnsi="黑体" w:eastAsia="黑体" w:cs="黑体"/>
          <w:kern w:val="0"/>
        </w:rPr>
        <w:t>资格审查</w:t>
      </w:r>
    </w:p>
    <w:p w14:paraId="27710FDB">
      <w:pPr>
        <w:adjustRightInd w:val="0"/>
        <w:snapToGrid w:val="0"/>
        <w:spacing w:line="360" w:lineRule="auto"/>
        <w:ind w:firstLine="420" w:firstLineChars="200"/>
        <w:rPr>
          <w:rFonts w:ascii="宋体" w:cs="Times New Roman"/>
        </w:rPr>
      </w:pPr>
      <w:r>
        <w:rPr>
          <w:rFonts w:hint="eastAsia" w:ascii="宋体" w:hAnsi="宋体" w:cs="宋体"/>
        </w:rPr>
        <w:t>评标委员会根据评标办法前附表中规定的评审因素和评审标准，对投标人的投标文件首先进行资格审查，资格审查不通过的投标文件不进入响应性评审。</w:t>
      </w:r>
    </w:p>
    <w:p w14:paraId="7AFA9E72">
      <w:pPr>
        <w:adjustRightInd w:val="0"/>
        <w:snapToGrid w:val="0"/>
        <w:spacing w:line="360" w:lineRule="auto"/>
        <w:ind w:firstLine="420" w:firstLineChars="200"/>
        <w:rPr>
          <w:rFonts w:hint="eastAsia" w:ascii="黑体" w:hAnsi="黑体" w:eastAsia="黑体" w:cs="Times New Roman"/>
          <w:kern w:val="0"/>
        </w:rPr>
      </w:pPr>
      <w:r>
        <w:rPr>
          <w:rFonts w:ascii="黑体" w:hAnsi="黑体" w:eastAsia="黑体" w:cs="黑体"/>
          <w:kern w:val="0"/>
        </w:rPr>
        <w:t>A3.3</w:t>
      </w:r>
      <w:r>
        <w:rPr>
          <w:rFonts w:hint="eastAsia" w:ascii="黑体" w:hAnsi="黑体" w:eastAsia="黑体" w:cs="黑体"/>
          <w:kern w:val="0"/>
        </w:rPr>
        <w:t>响应性评审</w:t>
      </w:r>
    </w:p>
    <w:p w14:paraId="7FC466EA">
      <w:pPr>
        <w:adjustRightInd w:val="0"/>
        <w:snapToGrid w:val="0"/>
        <w:spacing w:line="360" w:lineRule="auto"/>
        <w:ind w:firstLine="420" w:firstLineChars="200"/>
        <w:rPr>
          <w:rFonts w:ascii="宋体" w:cs="Times New Roman"/>
        </w:rPr>
      </w:pPr>
      <w:r>
        <w:rPr>
          <w:rFonts w:hint="eastAsia" w:ascii="宋体" w:hAnsi="宋体" w:cs="宋体"/>
        </w:rPr>
        <w:t>评标委员会根据评标办法前附表中规定的评审因素和评审标准，对投标人的投标文件进行响应性评审，响应性不通过的投标文件不进入价格评审。</w:t>
      </w:r>
    </w:p>
    <w:p w14:paraId="465E3D72">
      <w:pPr>
        <w:adjustRightInd w:val="0"/>
        <w:snapToGrid w:val="0"/>
        <w:spacing w:line="360" w:lineRule="auto"/>
        <w:ind w:firstLine="420" w:firstLineChars="200"/>
        <w:rPr>
          <w:rFonts w:hint="eastAsia" w:ascii="黑体" w:hAnsi="黑体" w:eastAsia="黑体" w:cs="Times New Roman"/>
          <w:kern w:val="0"/>
        </w:rPr>
      </w:pPr>
      <w:r>
        <w:rPr>
          <w:rFonts w:ascii="黑体" w:hAnsi="黑体" w:eastAsia="黑体" w:cs="黑体"/>
          <w:kern w:val="0"/>
        </w:rPr>
        <w:t>A3.4</w:t>
      </w:r>
      <w:r>
        <w:rPr>
          <w:rFonts w:hint="eastAsia" w:ascii="黑体" w:hAnsi="黑体" w:eastAsia="黑体" w:cs="黑体"/>
          <w:kern w:val="0"/>
        </w:rPr>
        <w:t>判断投标是否被否决</w:t>
      </w:r>
    </w:p>
    <w:p w14:paraId="7686B70F">
      <w:pPr>
        <w:adjustRightInd w:val="0"/>
        <w:snapToGrid w:val="0"/>
        <w:spacing w:line="360" w:lineRule="auto"/>
        <w:ind w:firstLine="420" w:firstLineChars="200"/>
        <w:rPr>
          <w:rFonts w:ascii="宋体" w:cs="Times New Roman"/>
        </w:rPr>
      </w:pPr>
      <w:r>
        <w:rPr>
          <w:rFonts w:ascii="宋体" w:hAnsi="宋体" w:cs="宋体"/>
        </w:rPr>
        <w:t xml:space="preserve">A3.4.1 </w:t>
      </w:r>
      <w:r>
        <w:rPr>
          <w:rFonts w:hint="eastAsia" w:ascii="宋体" w:hAnsi="宋体" w:cs="宋体"/>
        </w:rPr>
        <w:t>判断投标人的投标是否为否决投标的全部条件在</w:t>
      </w:r>
      <w:r>
        <w:rPr>
          <w:rFonts w:hint="eastAsia" w:ascii="宋体" w:hAnsi="宋体" w:cs="宋体"/>
          <w:b/>
          <w:bCs/>
        </w:rPr>
        <w:t>本章附件</w:t>
      </w:r>
      <w:r>
        <w:rPr>
          <w:rFonts w:ascii="宋体" w:hAnsi="宋体" w:cs="宋体"/>
          <w:b/>
          <w:bCs/>
        </w:rPr>
        <w:t>B</w:t>
      </w:r>
      <w:r>
        <w:rPr>
          <w:rFonts w:hint="eastAsia" w:ascii="宋体" w:hAnsi="宋体" w:cs="宋体"/>
        </w:rPr>
        <w:t>中集中列示。</w:t>
      </w:r>
    </w:p>
    <w:p w14:paraId="3BEE2960">
      <w:pPr>
        <w:adjustRightInd w:val="0"/>
        <w:snapToGrid w:val="0"/>
        <w:spacing w:line="360" w:lineRule="auto"/>
        <w:ind w:firstLine="420" w:firstLineChars="200"/>
        <w:rPr>
          <w:rFonts w:ascii="宋体" w:cs="Times New Roman"/>
        </w:rPr>
      </w:pPr>
      <w:r>
        <w:rPr>
          <w:rFonts w:ascii="宋体" w:hAnsi="宋体" w:cs="宋体"/>
        </w:rPr>
        <w:t>A3.4.2</w:t>
      </w:r>
      <w:r>
        <w:rPr>
          <w:rFonts w:hint="eastAsia" w:ascii="宋体" w:hAnsi="宋体" w:cs="宋体"/>
        </w:rPr>
        <w:t>评标委员会在评标</w:t>
      </w:r>
      <w:r>
        <w:rPr>
          <w:rFonts w:ascii="宋体" w:hAnsi="宋体" w:cs="宋体"/>
        </w:rPr>
        <w:t>(</w:t>
      </w:r>
      <w:r>
        <w:rPr>
          <w:rFonts w:hint="eastAsia" w:ascii="宋体" w:hAnsi="宋体" w:cs="宋体"/>
        </w:rPr>
        <w:t>包括初步评审和详细评审）过程中，依据本章</w:t>
      </w:r>
      <w:r>
        <w:rPr>
          <w:rFonts w:hint="eastAsia" w:ascii="宋体" w:hAnsi="宋体" w:cs="宋体"/>
          <w:b/>
          <w:bCs/>
        </w:rPr>
        <w:t>附件</w:t>
      </w:r>
      <w:r>
        <w:rPr>
          <w:rFonts w:ascii="宋体" w:hAnsi="宋体" w:cs="宋体"/>
          <w:b/>
          <w:bCs/>
        </w:rPr>
        <w:t>B</w:t>
      </w:r>
      <w:r>
        <w:rPr>
          <w:rFonts w:hint="eastAsia" w:ascii="宋体" w:hAnsi="宋体" w:cs="宋体"/>
        </w:rPr>
        <w:t>中规定的否决投标条件判断投标人的投标是否被否决。</w:t>
      </w:r>
    </w:p>
    <w:p w14:paraId="0F1CF4B2">
      <w:pPr>
        <w:adjustRightInd w:val="0"/>
        <w:snapToGrid w:val="0"/>
        <w:spacing w:line="360" w:lineRule="auto"/>
        <w:ind w:firstLine="420" w:firstLineChars="200"/>
        <w:rPr>
          <w:rFonts w:ascii="宋体" w:cs="Times New Roman"/>
        </w:rPr>
      </w:pPr>
      <w:r>
        <w:rPr>
          <w:rFonts w:ascii="宋体" w:hAnsi="宋体" w:cs="宋体"/>
        </w:rPr>
        <w:t>A3.4.3</w:t>
      </w:r>
      <w:r>
        <w:rPr>
          <w:rFonts w:hint="eastAsia" w:ascii="宋体" w:hAnsi="宋体" w:cs="宋体"/>
        </w:rPr>
        <w:t>对投标人未通过评审的原因，评标委员会应在相关的决议或在评标报告中说明。评标委员会经评审，有效投标文件不足</w:t>
      </w:r>
      <w:r>
        <w:rPr>
          <w:rFonts w:ascii="宋体" w:hAnsi="宋体" w:cs="宋体"/>
        </w:rPr>
        <w:t>3</w:t>
      </w:r>
      <w:r>
        <w:rPr>
          <w:rFonts w:hint="eastAsia" w:ascii="宋体" w:hAnsi="宋体" w:cs="宋体"/>
        </w:rPr>
        <w:t>家使得投标明显缺乏竞争的，评标委员会可以否决全部投标。所有投标被否决后，招标人应当依法重新招标。当有效投标文件不足</w:t>
      </w:r>
      <w:r>
        <w:rPr>
          <w:rFonts w:ascii="宋体" w:hAnsi="宋体" w:cs="宋体"/>
        </w:rPr>
        <w:t>3</w:t>
      </w:r>
      <w:r>
        <w:rPr>
          <w:rFonts w:hint="eastAsia" w:ascii="宋体" w:hAnsi="宋体" w:cs="宋体"/>
        </w:rPr>
        <w:t>家时，评标委员会认为仍能满足业主要求，并具有竞争性的，将按综合评估法推荐中标候选人。</w:t>
      </w:r>
    </w:p>
    <w:p w14:paraId="40291638">
      <w:pPr>
        <w:adjustRightInd w:val="0"/>
        <w:snapToGrid w:val="0"/>
        <w:spacing w:line="360" w:lineRule="auto"/>
        <w:ind w:firstLine="420" w:firstLineChars="200"/>
        <w:rPr>
          <w:rFonts w:hint="eastAsia" w:ascii="黑体" w:hAnsi="黑体" w:eastAsia="黑体" w:cs="Times New Roman"/>
          <w:kern w:val="0"/>
        </w:rPr>
      </w:pPr>
      <w:r>
        <w:rPr>
          <w:rFonts w:ascii="黑体" w:hAnsi="黑体" w:eastAsia="黑体" w:cs="黑体"/>
          <w:kern w:val="0"/>
        </w:rPr>
        <w:t>A3.5</w:t>
      </w:r>
      <w:r>
        <w:rPr>
          <w:rFonts w:hint="eastAsia" w:ascii="黑体" w:hAnsi="黑体" w:eastAsia="黑体" w:cs="黑体"/>
          <w:kern w:val="0"/>
        </w:rPr>
        <w:t>算术错误修正</w:t>
      </w:r>
    </w:p>
    <w:p w14:paraId="1CDEB526">
      <w:pPr>
        <w:adjustRightInd w:val="0"/>
        <w:snapToGrid w:val="0"/>
        <w:spacing w:line="360" w:lineRule="auto"/>
        <w:ind w:firstLine="420" w:firstLineChars="200"/>
        <w:rPr>
          <w:rFonts w:ascii="宋体" w:cs="Times New Roman"/>
        </w:rPr>
      </w:pPr>
      <w:r>
        <w:rPr>
          <w:rFonts w:hint="eastAsia" w:ascii="宋体" w:hAnsi="宋体" w:cs="宋体"/>
        </w:rPr>
        <w:t>投标报价有算术错误的，评标委员会按以下原则对投标报价进行修正，修正的价格经投标人书面确认后具有约束力。投标人不接受修正价格的</w:t>
      </w:r>
      <w:r>
        <w:rPr>
          <w:rFonts w:hint="eastAsia" w:ascii="宋体" w:hAnsi="宋体" w:cs="宋体"/>
          <w:lang w:eastAsia="zh-CN"/>
        </w:rPr>
        <w:t>，对</w:t>
      </w:r>
      <w:r>
        <w:rPr>
          <w:rFonts w:hint="eastAsia" w:ascii="宋体" w:hAnsi="宋体" w:cs="宋体"/>
        </w:rPr>
        <w:t>其投标作否决投标处理。</w:t>
      </w:r>
    </w:p>
    <w:p w14:paraId="6C085B41">
      <w:pPr>
        <w:adjustRightInd w:val="0"/>
        <w:snapToGrid w:val="0"/>
        <w:spacing w:line="360" w:lineRule="auto"/>
        <w:ind w:firstLine="420" w:firstLineChars="200"/>
        <w:jc w:val="left"/>
        <w:rPr>
          <w:rFonts w:hint="eastAsia" w:ascii="黑体" w:hAnsi="黑体" w:eastAsia="黑体" w:cs="Times New Roman"/>
          <w:kern w:val="0"/>
        </w:rPr>
      </w:pPr>
      <w:r>
        <w:rPr>
          <w:rFonts w:ascii="黑体" w:hAnsi="黑体" w:eastAsia="黑体" w:cs="黑体"/>
          <w:kern w:val="0"/>
        </w:rPr>
        <w:t>A3.6</w:t>
      </w:r>
      <w:r>
        <w:rPr>
          <w:rFonts w:hint="eastAsia" w:ascii="黑体" w:hAnsi="黑体" w:eastAsia="黑体" w:cs="黑体"/>
          <w:kern w:val="0"/>
        </w:rPr>
        <w:t>澄清、说明或补正</w:t>
      </w:r>
    </w:p>
    <w:p w14:paraId="53090478">
      <w:pPr>
        <w:adjustRightInd w:val="0"/>
        <w:snapToGrid w:val="0"/>
        <w:spacing w:line="360" w:lineRule="auto"/>
        <w:ind w:firstLine="420" w:firstLineChars="200"/>
        <w:jc w:val="left"/>
        <w:rPr>
          <w:rFonts w:ascii="宋体" w:cs="Times New Roman"/>
          <w:kern w:val="0"/>
        </w:rPr>
      </w:pPr>
      <w:r>
        <w:rPr>
          <w:rFonts w:hint="eastAsia" w:ascii="宋体" w:hAnsi="宋体" w:cs="宋体"/>
          <w:kern w:val="0"/>
        </w:rPr>
        <w:t>在初步评审过程中，评标委员会应当就投标文件中不明确的内容要求投标人进行澄清、说明或者补正。投标人应当根据问题澄清通知要求，以书面形式予以澄清、说明或者补正。澄清、说明或补正根据本章第</w:t>
      </w:r>
      <w:r>
        <w:rPr>
          <w:rFonts w:ascii="宋体" w:hAnsi="宋体" w:cs="宋体"/>
          <w:kern w:val="0"/>
        </w:rPr>
        <w:t>3.3</w:t>
      </w:r>
      <w:r>
        <w:rPr>
          <w:rFonts w:hint="eastAsia" w:ascii="宋体" w:hAnsi="宋体" w:cs="宋体"/>
          <w:kern w:val="0"/>
        </w:rPr>
        <w:t>款的规定进行。</w:t>
      </w:r>
    </w:p>
    <w:p w14:paraId="7EDE8E2F">
      <w:pPr>
        <w:adjustRightInd w:val="0"/>
        <w:snapToGrid w:val="0"/>
        <w:spacing w:line="360" w:lineRule="auto"/>
        <w:ind w:firstLine="420" w:firstLineChars="200"/>
        <w:jc w:val="left"/>
        <w:rPr>
          <w:rFonts w:ascii="黑体" w:eastAsia="黑体" w:cs="Times New Roman"/>
          <w:kern w:val="0"/>
        </w:rPr>
      </w:pPr>
      <w:r>
        <w:rPr>
          <w:rFonts w:ascii="黑体" w:eastAsia="黑体" w:cs="黑体"/>
          <w:kern w:val="0"/>
        </w:rPr>
        <w:t>A4.</w:t>
      </w:r>
      <w:r>
        <w:rPr>
          <w:rFonts w:hint="eastAsia" w:ascii="黑体" w:eastAsia="黑体" w:cs="黑体"/>
          <w:kern w:val="0"/>
        </w:rPr>
        <w:t>详细评审</w:t>
      </w:r>
    </w:p>
    <w:p w14:paraId="09966240">
      <w:pPr>
        <w:adjustRightInd w:val="0"/>
        <w:snapToGrid w:val="0"/>
        <w:spacing w:line="360" w:lineRule="auto"/>
        <w:ind w:firstLine="420" w:firstLineChars="200"/>
        <w:jc w:val="left"/>
        <w:rPr>
          <w:rFonts w:ascii="宋体" w:cs="Times New Roman"/>
          <w:kern w:val="0"/>
        </w:rPr>
      </w:pPr>
      <w:r>
        <w:rPr>
          <w:rFonts w:hint="eastAsia" w:ascii="宋体" w:cs="宋体"/>
          <w:kern w:val="0"/>
        </w:rPr>
        <w:t>只有通过了初步评审、被判定为合格的投标人可进入详细评审，详细评审先评投标文件技术部分再评投标文件商务部分。</w:t>
      </w:r>
    </w:p>
    <w:p w14:paraId="2083156E">
      <w:pPr>
        <w:adjustRightInd w:val="0"/>
        <w:snapToGrid w:val="0"/>
        <w:spacing w:line="360" w:lineRule="auto"/>
        <w:ind w:firstLine="420" w:firstLineChars="200"/>
        <w:rPr>
          <w:rFonts w:hint="eastAsia" w:ascii="黑体" w:hAnsi="黑体" w:eastAsia="黑体" w:cs="Times New Roman"/>
        </w:rPr>
      </w:pPr>
      <w:r>
        <w:rPr>
          <w:rFonts w:ascii="黑体" w:hAnsi="黑体" w:eastAsia="黑体" w:cs="黑体"/>
        </w:rPr>
        <w:t xml:space="preserve">A4.1 </w:t>
      </w:r>
      <w:r>
        <w:rPr>
          <w:rFonts w:hint="eastAsia" w:ascii="黑体" w:hAnsi="黑体" w:eastAsia="黑体" w:cs="黑体"/>
        </w:rPr>
        <w:t>商务部分评审</w:t>
      </w:r>
    </w:p>
    <w:p w14:paraId="497E4AAC">
      <w:pPr>
        <w:adjustRightInd w:val="0"/>
        <w:snapToGrid w:val="0"/>
        <w:spacing w:line="360" w:lineRule="auto"/>
        <w:ind w:firstLine="420" w:firstLineChars="200"/>
        <w:rPr>
          <w:rFonts w:ascii="宋体" w:cs="Times New Roman"/>
        </w:rPr>
      </w:pPr>
      <w:r>
        <w:rPr>
          <w:rFonts w:hint="eastAsia" w:ascii="宋体" w:hAnsi="宋体" w:cs="宋体"/>
        </w:rPr>
        <w:t>商务部分评标标准见评标办法前附表</w:t>
      </w:r>
    </w:p>
    <w:p w14:paraId="3552230A">
      <w:pPr>
        <w:adjustRightInd w:val="0"/>
        <w:snapToGrid w:val="0"/>
        <w:spacing w:line="360" w:lineRule="auto"/>
        <w:ind w:firstLine="420" w:firstLineChars="200"/>
        <w:jc w:val="left"/>
        <w:rPr>
          <w:rFonts w:hint="eastAsia" w:ascii="黑体" w:hAnsi="黑体" w:eastAsia="黑体" w:cs="Times New Roman"/>
          <w:kern w:val="0"/>
        </w:rPr>
      </w:pPr>
      <w:r>
        <w:rPr>
          <w:rFonts w:ascii="黑体" w:hAnsi="黑体" w:eastAsia="黑体" w:cs="黑体"/>
          <w:kern w:val="0"/>
        </w:rPr>
        <w:t>A4.2</w:t>
      </w:r>
      <w:r>
        <w:rPr>
          <w:rFonts w:hint="eastAsia" w:ascii="黑体" w:hAnsi="黑体" w:eastAsia="黑体" w:cs="黑体"/>
          <w:kern w:val="0"/>
        </w:rPr>
        <w:t>澄清、说明或补正</w:t>
      </w:r>
    </w:p>
    <w:p w14:paraId="4CB0D618">
      <w:pPr>
        <w:adjustRightInd w:val="0"/>
        <w:snapToGrid w:val="0"/>
        <w:spacing w:line="360" w:lineRule="auto"/>
        <w:ind w:firstLine="420" w:firstLineChars="200"/>
        <w:jc w:val="left"/>
        <w:rPr>
          <w:rFonts w:ascii="宋体" w:cs="Times New Roman"/>
          <w:kern w:val="0"/>
        </w:rPr>
      </w:pPr>
      <w:r>
        <w:rPr>
          <w:rFonts w:hint="eastAsia" w:ascii="宋体" w:hAnsi="宋体" w:cs="宋体"/>
          <w:kern w:val="0"/>
        </w:rPr>
        <w:t>在详细评审过程中，评标委员会应当就投标文件中不明确的内容要求投标人进行澄清、说明或者补正。投标人对此以书面形式予以澄清、说明或者补正。澄清、说明或补正根据本章第</w:t>
      </w:r>
      <w:r>
        <w:rPr>
          <w:rFonts w:ascii="宋体" w:hAnsi="宋体" w:cs="宋体"/>
          <w:kern w:val="0"/>
        </w:rPr>
        <w:t>3.3</w:t>
      </w:r>
      <w:r>
        <w:rPr>
          <w:rFonts w:hint="eastAsia" w:ascii="宋体" w:hAnsi="宋体" w:cs="宋体"/>
          <w:kern w:val="0"/>
        </w:rPr>
        <w:t>款的规定执行。</w:t>
      </w:r>
    </w:p>
    <w:p w14:paraId="24C56A59">
      <w:pPr>
        <w:adjustRightInd w:val="0"/>
        <w:snapToGrid w:val="0"/>
        <w:spacing w:line="360" w:lineRule="auto"/>
        <w:ind w:firstLine="422" w:firstLineChars="200"/>
        <w:rPr>
          <w:rFonts w:ascii="宋体" w:cs="Times New Roman"/>
          <w:b/>
          <w:bCs/>
        </w:rPr>
      </w:pPr>
      <w:r>
        <w:rPr>
          <w:rFonts w:ascii="宋体" w:hAnsi="宋体" w:cs="宋体"/>
          <w:b/>
          <w:bCs/>
        </w:rPr>
        <w:t xml:space="preserve">A4.3 </w:t>
      </w:r>
      <w:r>
        <w:rPr>
          <w:rFonts w:hint="eastAsia" w:ascii="宋体" w:hAnsi="宋体" w:cs="宋体"/>
          <w:b/>
          <w:bCs/>
        </w:rPr>
        <w:t>汇总评分结果</w:t>
      </w:r>
    </w:p>
    <w:p w14:paraId="4BE4FF4D">
      <w:pPr>
        <w:adjustRightInd w:val="0"/>
        <w:snapToGrid w:val="0"/>
        <w:spacing w:line="360" w:lineRule="auto"/>
        <w:ind w:firstLine="422" w:firstLineChars="200"/>
        <w:rPr>
          <w:rFonts w:ascii="宋体" w:cs="Times New Roman"/>
        </w:rPr>
      </w:pPr>
      <w:r>
        <w:rPr>
          <w:rFonts w:ascii="宋体" w:hAnsi="宋体" w:cs="宋体"/>
          <w:b/>
          <w:bCs/>
        </w:rPr>
        <w:t>A4.3.1</w:t>
      </w:r>
      <w:r>
        <w:rPr>
          <w:rFonts w:hint="eastAsia" w:ascii="宋体" w:hAnsi="宋体" w:cs="宋体"/>
        </w:rPr>
        <w:t>评标委员会成员应填写详细评审评分汇总表。</w:t>
      </w:r>
    </w:p>
    <w:p w14:paraId="453BF0A4">
      <w:pPr>
        <w:adjustRightInd w:val="0"/>
        <w:snapToGrid w:val="0"/>
        <w:spacing w:line="360" w:lineRule="auto"/>
        <w:ind w:firstLine="422" w:firstLineChars="200"/>
        <w:rPr>
          <w:rFonts w:hint="eastAsia" w:ascii="等线" w:hAnsi="等线" w:eastAsia="等线" w:cs="Times New Roman"/>
          <w:spacing w:val="12"/>
        </w:rPr>
      </w:pPr>
      <w:r>
        <w:rPr>
          <w:rFonts w:ascii="宋体" w:hAnsi="宋体" w:cs="宋体"/>
          <w:b/>
          <w:bCs/>
        </w:rPr>
        <w:t>A4.3.2</w:t>
      </w:r>
      <w:r>
        <w:rPr>
          <w:rFonts w:hint="eastAsia" w:ascii="宋体" w:hAnsi="宋体" w:cs="宋体"/>
        </w:rPr>
        <w:t>详细评审工作全部结束后，汇总各个评标委员会成员的详细评审评分结果，并按照详细评审最终得分由高至低的次序对投标人进行排序。</w:t>
      </w:r>
    </w:p>
    <w:p w14:paraId="57E9B7B4">
      <w:pPr>
        <w:adjustRightInd w:val="0"/>
        <w:snapToGrid w:val="0"/>
        <w:spacing w:line="360" w:lineRule="auto"/>
        <w:jc w:val="left"/>
        <w:rPr>
          <w:rFonts w:ascii="黑体" w:eastAsia="黑体" w:cs="Times New Roman"/>
          <w:kern w:val="0"/>
        </w:rPr>
      </w:pPr>
      <w:r>
        <w:rPr>
          <w:rFonts w:ascii="黑体" w:eastAsia="黑体" w:cs="黑体"/>
          <w:kern w:val="0"/>
        </w:rPr>
        <w:t>A5.</w:t>
      </w:r>
      <w:r>
        <w:rPr>
          <w:rFonts w:hint="eastAsia" w:ascii="黑体" w:eastAsia="黑体" w:cs="黑体"/>
          <w:kern w:val="0"/>
        </w:rPr>
        <w:t>推荐中标候选人或者直接确定中标人</w:t>
      </w:r>
    </w:p>
    <w:p w14:paraId="3CDC954C">
      <w:pPr>
        <w:adjustRightInd w:val="0"/>
        <w:snapToGrid w:val="0"/>
        <w:spacing w:line="360" w:lineRule="auto"/>
        <w:ind w:firstLine="420" w:firstLineChars="200"/>
        <w:jc w:val="left"/>
        <w:rPr>
          <w:rFonts w:hint="eastAsia" w:ascii="黑体" w:hAnsi="黑体" w:eastAsia="黑体" w:cs="Times New Roman"/>
          <w:kern w:val="0"/>
        </w:rPr>
      </w:pPr>
      <w:r>
        <w:rPr>
          <w:rFonts w:ascii="黑体" w:hAnsi="黑体" w:eastAsia="黑体" w:cs="黑体"/>
          <w:kern w:val="0"/>
        </w:rPr>
        <w:t>A5.1</w:t>
      </w:r>
      <w:r>
        <w:rPr>
          <w:rFonts w:hint="eastAsia" w:ascii="黑体" w:hAnsi="黑体" w:eastAsia="黑体" w:cs="黑体"/>
          <w:kern w:val="0"/>
        </w:rPr>
        <w:t>推荐中标候选人</w:t>
      </w:r>
    </w:p>
    <w:p w14:paraId="1D1879C0">
      <w:pPr>
        <w:adjustRightInd w:val="0"/>
        <w:snapToGrid w:val="0"/>
        <w:spacing w:line="360" w:lineRule="auto"/>
        <w:ind w:firstLine="420" w:firstLineChars="200"/>
        <w:jc w:val="left"/>
        <w:rPr>
          <w:rFonts w:ascii="宋体" w:cs="Times New Roman"/>
          <w:kern w:val="0"/>
        </w:rPr>
      </w:pPr>
      <w:r>
        <w:rPr>
          <w:rFonts w:hint="eastAsia" w:ascii="宋体" w:hAnsi="宋体" w:cs="宋体"/>
          <w:kern w:val="0"/>
        </w:rPr>
        <w:t>除第二章“投标人须知”前附表第</w:t>
      </w:r>
      <w:r>
        <w:rPr>
          <w:rFonts w:ascii="宋体" w:hAnsi="宋体" w:cs="宋体"/>
          <w:kern w:val="0"/>
        </w:rPr>
        <w:t>7</w:t>
      </w:r>
      <w:r>
        <w:rPr>
          <w:rFonts w:hint="eastAsia" w:ascii="宋体" w:hAnsi="宋体" w:cs="宋体"/>
          <w:kern w:val="0"/>
        </w:rPr>
        <w:t>．</w:t>
      </w:r>
      <w:r>
        <w:rPr>
          <w:rFonts w:ascii="宋体" w:hAnsi="宋体" w:cs="宋体"/>
          <w:kern w:val="0"/>
        </w:rPr>
        <w:t>1</w:t>
      </w:r>
      <w:r>
        <w:rPr>
          <w:rFonts w:hint="eastAsia" w:ascii="宋体" w:hAnsi="宋体" w:cs="宋体"/>
          <w:kern w:val="0"/>
        </w:rPr>
        <w:t>款授权直接确定中标人外，评标委员会在推荐中标候选人时，应遵照以下原则：</w:t>
      </w:r>
    </w:p>
    <w:p w14:paraId="78FAE207">
      <w:pPr>
        <w:adjustRightInd w:val="0"/>
        <w:snapToGrid w:val="0"/>
        <w:spacing w:line="360" w:lineRule="auto"/>
        <w:ind w:firstLine="420" w:firstLineChars="200"/>
        <w:jc w:val="left"/>
        <w:rPr>
          <w:rFonts w:ascii="宋体" w:cs="Times New Roman"/>
          <w:kern w:val="0"/>
        </w:rPr>
      </w:pPr>
      <w:r>
        <w:rPr>
          <w:rFonts w:ascii="宋体" w:hAnsi="宋体" w:cs="宋体"/>
          <w:kern w:val="0"/>
        </w:rPr>
        <w:t>(1</w:t>
      </w:r>
      <w:r>
        <w:rPr>
          <w:rFonts w:hint="eastAsia" w:ascii="宋体" w:hAnsi="宋体" w:cs="宋体"/>
          <w:kern w:val="0"/>
        </w:rPr>
        <w:t>）评标委员会按照最终得分由高至低的次序排列，并根据第二章“投标人须知”前附表第</w:t>
      </w:r>
      <w:r>
        <w:rPr>
          <w:rFonts w:ascii="宋体" w:hAnsi="宋体" w:cs="宋体"/>
          <w:kern w:val="0"/>
        </w:rPr>
        <w:t>7.1</w:t>
      </w:r>
      <w:r>
        <w:rPr>
          <w:rFonts w:hint="eastAsia" w:ascii="宋体" w:hAnsi="宋体" w:cs="宋体"/>
          <w:kern w:val="0"/>
        </w:rPr>
        <w:t>款规定的中标候选人数量，将排序在前的投标人推荐为中标候选人。</w:t>
      </w:r>
    </w:p>
    <w:p w14:paraId="4C6DC443">
      <w:pPr>
        <w:adjustRightInd w:val="0"/>
        <w:snapToGrid w:val="0"/>
        <w:spacing w:line="360" w:lineRule="auto"/>
        <w:ind w:firstLine="420" w:firstLineChars="200"/>
        <w:jc w:val="left"/>
        <w:rPr>
          <w:rFonts w:ascii="宋体" w:cs="Times New Roman"/>
          <w:kern w:val="0"/>
        </w:rPr>
      </w:pPr>
      <w:r>
        <w:rPr>
          <w:rFonts w:ascii="宋体" w:hAnsi="宋体" w:cs="宋体"/>
          <w:kern w:val="0"/>
        </w:rPr>
        <w:t>(2</w:t>
      </w:r>
      <w:r>
        <w:rPr>
          <w:rFonts w:hint="eastAsia" w:ascii="宋体" w:hAnsi="宋体" w:cs="宋体"/>
          <w:kern w:val="0"/>
        </w:rPr>
        <w:t>）如果评标委员会根据本章的规定作废标处理后，有效投标不足三个，且少于第二章“投标人须知”前附表第</w:t>
      </w:r>
      <w:r>
        <w:rPr>
          <w:rFonts w:ascii="宋体" w:hAnsi="宋体" w:cs="宋体"/>
          <w:kern w:val="0"/>
        </w:rPr>
        <w:t>7.1</w:t>
      </w:r>
      <w:r>
        <w:rPr>
          <w:rFonts w:hint="eastAsia" w:ascii="宋体" w:hAnsi="宋体" w:cs="宋体"/>
          <w:kern w:val="0"/>
        </w:rPr>
        <w:t>款规定的中标候选人数量的，则评标委员会可以将所有有效投标按最终得分由高至低的次序作为中标候选人向招标人推荐。如果因有效投标不足三个使得投标明显缺乏竞争的，评标委员会可以建议招标人重新招标。</w:t>
      </w:r>
    </w:p>
    <w:p w14:paraId="3626EDDE">
      <w:pPr>
        <w:adjustRightInd w:val="0"/>
        <w:snapToGrid w:val="0"/>
        <w:spacing w:line="360" w:lineRule="auto"/>
        <w:ind w:firstLine="420" w:firstLineChars="200"/>
        <w:jc w:val="left"/>
        <w:rPr>
          <w:rFonts w:hint="eastAsia" w:ascii="黑体" w:hAnsi="黑体" w:eastAsia="黑体" w:cs="Times New Roman"/>
          <w:kern w:val="0"/>
        </w:rPr>
      </w:pPr>
      <w:r>
        <w:rPr>
          <w:rFonts w:ascii="黑体" w:hAnsi="黑体" w:eastAsia="黑体" w:cs="黑体"/>
          <w:kern w:val="0"/>
        </w:rPr>
        <w:t>A5.2</w:t>
      </w:r>
      <w:r>
        <w:rPr>
          <w:rFonts w:hint="eastAsia" w:ascii="黑体" w:hAnsi="黑体" w:eastAsia="黑体" w:cs="黑体"/>
          <w:kern w:val="0"/>
        </w:rPr>
        <w:t>直接确定中标人</w:t>
      </w:r>
    </w:p>
    <w:p w14:paraId="1008E7B6">
      <w:pPr>
        <w:adjustRightInd w:val="0"/>
        <w:snapToGrid w:val="0"/>
        <w:spacing w:line="360" w:lineRule="auto"/>
        <w:ind w:firstLine="420" w:firstLineChars="200"/>
        <w:jc w:val="left"/>
        <w:rPr>
          <w:rFonts w:ascii="宋体" w:cs="Times New Roman"/>
          <w:kern w:val="0"/>
        </w:rPr>
      </w:pPr>
      <w:r>
        <w:rPr>
          <w:rFonts w:hint="eastAsia" w:ascii="宋体" w:hAnsi="宋体" w:cs="宋体"/>
          <w:kern w:val="0"/>
        </w:rPr>
        <w:t>第二章“投标人须知”前附表授权评标委员会直接确定中标人的，评标委员会按照最终得分由高至低的次序排列，并确定排名第一的投标人为中标人。</w:t>
      </w:r>
    </w:p>
    <w:p w14:paraId="2792A770">
      <w:pPr>
        <w:adjustRightInd w:val="0"/>
        <w:snapToGrid w:val="0"/>
        <w:spacing w:line="360" w:lineRule="auto"/>
        <w:ind w:firstLine="420" w:firstLineChars="200"/>
        <w:jc w:val="left"/>
        <w:rPr>
          <w:rFonts w:hint="eastAsia" w:ascii="黑体" w:hAnsi="黑体" w:eastAsia="黑体" w:cs="Times New Roman"/>
          <w:kern w:val="0"/>
        </w:rPr>
      </w:pPr>
      <w:r>
        <w:rPr>
          <w:rFonts w:ascii="黑体" w:hAnsi="黑体" w:eastAsia="黑体" w:cs="黑体"/>
          <w:kern w:val="0"/>
        </w:rPr>
        <w:t>A5.3</w:t>
      </w:r>
      <w:r>
        <w:rPr>
          <w:rFonts w:hint="eastAsia" w:ascii="黑体" w:hAnsi="黑体" w:eastAsia="黑体" w:cs="黑体"/>
          <w:kern w:val="0"/>
        </w:rPr>
        <w:t>编制评标报告</w:t>
      </w:r>
    </w:p>
    <w:p w14:paraId="63A5ABF4">
      <w:pPr>
        <w:adjustRightInd w:val="0"/>
        <w:snapToGrid w:val="0"/>
        <w:spacing w:line="360" w:lineRule="auto"/>
        <w:ind w:firstLine="420" w:firstLineChars="200"/>
        <w:jc w:val="left"/>
        <w:rPr>
          <w:rFonts w:ascii="宋体" w:cs="Times New Roman"/>
          <w:kern w:val="0"/>
        </w:rPr>
      </w:pPr>
      <w:r>
        <w:rPr>
          <w:rFonts w:hint="eastAsia" w:ascii="宋体" w:hAnsi="宋体" w:cs="宋体"/>
          <w:kern w:val="0"/>
        </w:rPr>
        <w:t>评标委员会根据本章评标办法的规定向招标人提交评标报告。评标报告应当由全体评标委员会成员签字，并于评标结束时抄送有关行政监督部门。</w:t>
      </w:r>
    </w:p>
    <w:p w14:paraId="57D375F7">
      <w:pPr>
        <w:adjustRightInd w:val="0"/>
        <w:snapToGrid w:val="0"/>
        <w:spacing w:line="360" w:lineRule="auto"/>
        <w:jc w:val="left"/>
        <w:rPr>
          <w:rFonts w:ascii="黑体" w:eastAsia="黑体" w:cs="Times New Roman"/>
          <w:kern w:val="0"/>
        </w:rPr>
      </w:pPr>
      <w:r>
        <w:rPr>
          <w:rFonts w:ascii="黑体" w:eastAsia="黑体" w:cs="黑体"/>
          <w:kern w:val="0"/>
        </w:rPr>
        <w:t>A6</w:t>
      </w:r>
      <w:r>
        <w:rPr>
          <w:rFonts w:hint="eastAsia" w:ascii="黑体" w:eastAsia="黑体" w:cs="黑体"/>
          <w:kern w:val="0"/>
        </w:rPr>
        <w:t>．特殊情况的处置程序</w:t>
      </w:r>
    </w:p>
    <w:p w14:paraId="42BE2200">
      <w:pPr>
        <w:adjustRightInd w:val="0"/>
        <w:snapToGrid w:val="0"/>
        <w:spacing w:line="360" w:lineRule="auto"/>
        <w:ind w:firstLine="420" w:firstLineChars="200"/>
        <w:jc w:val="left"/>
        <w:rPr>
          <w:rFonts w:hint="eastAsia" w:ascii="黑体" w:hAnsi="黑体" w:eastAsia="黑体" w:cs="Times New Roman"/>
          <w:kern w:val="0"/>
        </w:rPr>
      </w:pPr>
      <w:r>
        <w:rPr>
          <w:rFonts w:ascii="黑体" w:hAnsi="黑体" w:eastAsia="黑体" w:cs="黑体"/>
          <w:kern w:val="0"/>
        </w:rPr>
        <w:t>A6.1</w:t>
      </w:r>
      <w:r>
        <w:rPr>
          <w:rFonts w:hint="eastAsia" w:ascii="黑体" w:hAnsi="黑体" w:eastAsia="黑体" w:cs="黑体"/>
          <w:kern w:val="0"/>
        </w:rPr>
        <w:t>关于评标活动暂停</w:t>
      </w:r>
    </w:p>
    <w:p w14:paraId="36AFAB39">
      <w:pPr>
        <w:adjustRightInd w:val="0"/>
        <w:snapToGrid w:val="0"/>
        <w:spacing w:line="360" w:lineRule="auto"/>
        <w:ind w:firstLine="420" w:firstLineChars="200"/>
        <w:jc w:val="left"/>
        <w:rPr>
          <w:rFonts w:ascii="宋体" w:cs="Times New Roman"/>
          <w:kern w:val="0"/>
        </w:rPr>
      </w:pPr>
      <w:r>
        <w:rPr>
          <w:rFonts w:ascii="宋体" w:hAnsi="宋体" w:cs="宋体"/>
          <w:kern w:val="0"/>
        </w:rPr>
        <w:t>A6.1.1</w:t>
      </w:r>
      <w:r>
        <w:rPr>
          <w:rFonts w:hint="eastAsia" w:ascii="宋体" w:hAnsi="宋体" w:cs="宋体"/>
          <w:kern w:val="0"/>
        </w:rPr>
        <w:t>评标委员会应当执行连续评标的原则，按评标办法中规定的程序、内容、方法、标准完成全部评标工作。只有发生不可抗力导致评标工作无法继续时，评标活动方可暂停。</w:t>
      </w:r>
    </w:p>
    <w:p w14:paraId="27AAC511">
      <w:pPr>
        <w:adjustRightInd w:val="0"/>
        <w:snapToGrid w:val="0"/>
        <w:spacing w:line="360" w:lineRule="auto"/>
        <w:ind w:firstLine="420" w:firstLineChars="200"/>
        <w:jc w:val="left"/>
        <w:rPr>
          <w:rFonts w:ascii="宋体" w:cs="Times New Roman"/>
          <w:kern w:val="0"/>
        </w:rPr>
      </w:pPr>
      <w:r>
        <w:rPr>
          <w:rFonts w:ascii="宋体" w:hAnsi="宋体" w:cs="宋体"/>
          <w:kern w:val="0"/>
        </w:rPr>
        <w:t>A6.1.2</w:t>
      </w:r>
      <w:r>
        <w:rPr>
          <w:rFonts w:hint="eastAsia" w:ascii="宋体" w:hAnsi="宋体" w:cs="宋体"/>
          <w:kern w:val="0"/>
        </w:rPr>
        <w:t>发生评标暂停情况时，评标委员会应当封存全部投标文件和评标记录，待不可抗力的影响结束且具备继续评标的条件时，由原评标委员会继续评标。</w:t>
      </w:r>
    </w:p>
    <w:p w14:paraId="56F7318D">
      <w:pPr>
        <w:adjustRightInd w:val="0"/>
        <w:snapToGrid w:val="0"/>
        <w:spacing w:line="360" w:lineRule="auto"/>
        <w:ind w:firstLine="420" w:firstLineChars="200"/>
        <w:jc w:val="left"/>
        <w:rPr>
          <w:rFonts w:hint="eastAsia" w:ascii="黑体" w:hAnsi="黑体" w:eastAsia="黑体" w:cs="Times New Roman"/>
          <w:kern w:val="0"/>
        </w:rPr>
      </w:pPr>
      <w:r>
        <w:rPr>
          <w:rFonts w:ascii="黑体" w:hAnsi="黑体" w:eastAsia="黑体" w:cs="黑体"/>
          <w:kern w:val="0"/>
        </w:rPr>
        <w:t>A6.2</w:t>
      </w:r>
      <w:r>
        <w:rPr>
          <w:rFonts w:hint="eastAsia" w:ascii="黑体" w:hAnsi="黑体" w:eastAsia="黑体" w:cs="黑体"/>
          <w:kern w:val="0"/>
        </w:rPr>
        <w:t>关于评标中途更换评委</w:t>
      </w:r>
    </w:p>
    <w:p w14:paraId="14E2BF33">
      <w:pPr>
        <w:adjustRightInd w:val="0"/>
        <w:snapToGrid w:val="0"/>
        <w:spacing w:line="360" w:lineRule="auto"/>
        <w:ind w:firstLine="420" w:firstLineChars="200"/>
        <w:jc w:val="left"/>
        <w:rPr>
          <w:rFonts w:ascii="宋体" w:cs="Times New Roman"/>
          <w:kern w:val="0"/>
        </w:rPr>
      </w:pPr>
      <w:r>
        <w:rPr>
          <w:rFonts w:ascii="宋体" w:hAnsi="宋体" w:cs="宋体"/>
          <w:kern w:val="0"/>
        </w:rPr>
        <w:t>A6.2.1</w:t>
      </w:r>
      <w:r>
        <w:rPr>
          <w:rFonts w:hint="eastAsia" w:ascii="宋体" w:hAnsi="宋体" w:cs="宋体"/>
          <w:kern w:val="0"/>
        </w:rPr>
        <w:t>除非发生下列情况之一，评标委员会成员不得在评标中途更换：</w:t>
      </w:r>
    </w:p>
    <w:p w14:paraId="6E1565AF">
      <w:pPr>
        <w:adjustRightInd w:val="0"/>
        <w:snapToGrid w:val="0"/>
        <w:spacing w:line="360" w:lineRule="auto"/>
        <w:ind w:firstLine="420" w:firstLineChars="200"/>
        <w:jc w:val="left"/>
        <w:rPr>
          <w:rFonts w:ascii="宋体" w:cs="Times New Roman"/>
          <w:kern w:val="0"/>
        </w:rPr>
      </w:pPr>
      <w:r>
        <w:rPr>
          <w:rFonts w:ascii="宋体" w:hAnsi="宋体" w:cs="宋体"/>
          <w:kern w:val="0"/>
        </w:rPr>
        <w:t>(1</w:t>
      </w:r>
      <w:r>
        <w:rPr>
          <w:rFonts w:hint="eastAsia" w:ascii="宋体" w:hAnsi="宋体" w:cs="宋体"/>
          <w:kern w:val="0"/>
        </w:rPr>
        <w:t>）因不可抗拒的客观原因，不能到场或需在评标中途退出评标活动。</w:t>
      </w:r>
    </w:p>
    <w:p w14:paraId="18D6AB06">
      <w:pPr>
        <w:adjustRightInd w:val="0"/>
        <w:snapToGrid w:val="0"/>
        <w:spacing w:line="360" w:lineRule="auto"/>
        <w:ind w:firstLine="420" w:firstLineChars="200"/>
        <w:jc w:val="left"/>
        <w:rPr>
          <w:rFonts w:ascii="宋体" w:cs="Times New Roman"/>
          <w:kern w:val="0"/>
        </w:rPr>
      </w:pPr>
      <w:r>
        <w:rPr>
          <w:rFonts w:ascii="宋体" w:hAnsi="宋体" w:cs="宋体"/>
          <w:kern w:val="0"/>
        </w:rPr>
        <w:t>(2</w:t>
      </w:r>
      <w:r>
        <w:rPr>
          <w:rFonts w:hint="eastAsia" w:ascii="宋体" w:hAnsi="宋体" w:cs="宋体"/>
          <w:kern w:val="0"/>
        </w:rPr>
        <w:t>）根据法律法规规定，某个或某几个评标委员会成员需要回避。</w:t>
      </w:r>
    </w:p>
    <w:p w14:paraId="7FA91470">
      <w:pPr>
        <w:adjustRightInd w:val="0"/>
        <w:snapToGrid w:val="0"/>
        <w:spacing w:line="360" w:lineRule="auto"/>
        <w:ind w:firstLine="420" w:firstLineChars="200"/>
        <w:jc w:val="left"/>
        <w:rPr>
          <w:rFonts w:ascii="宋体" w:cs="Times New Roman"/>
          <w:kern w:val="0"/>
        </w:rPr>
      </w:pPr>
      <w:r>
        <w:rPr>
          <w:rFonts w:ascii="宋体" w:hAnsi="宋体" w:cs="宋体"/>
          <w:kern w:val="0"/>
        </w:rPr>
        <w:t>A6.2.2</w:t>
      </w:r>
      <w:r>
        <w:rPr>
          <w:rFonts w:hint="eastAsia" w:ascii="宋体" w:hAnsi="宋体" w:cs="宋体"/>
          <w:kern w:val="0"/>
        </w:rPr>
        <w:t>退出评标的评标委员会成员，其已完成的评标行为无效。由招标人根据本招标文件规定的评标委员会成员生产方式另行确定替代者进行评标。</w:t>
      </w:r>
    </w:p>
    <w:p w14:paraId="7BC913B0">
      <w:pPr>
        <w:adjustRightInd w:val="0"/>
        <w:snapToGrid w:val="0"/>
        <w:spacing w:line="360" w:lineRule="auto"/>
        <w:ind w:firstLine="420" w:firstLineChars="200"/>
        <w:jc w:val="left"/>
        <w:rPr>
          <w:rFonts w:hint="eastAsia" w:ascii="黑体" w:hAnsi="黑体" w:eastAsia="黑体" w:cs="Times New Roman"/>
          <w:kern w:val="0"/>
        </w:rPr>
      </w:pPr>
      <w:r>
        <w:rPr>
          <w:rFonts w:ascii="黑体" w:hAnsi="黑体" w:eastAsia="黑体" w:cs="黑体"/>
          <w:kern w:val="0"/>
        </w:rPr>
        <w:t>A6.3</w:t>
      </w:r>
      <w:r>
        <w:rPr>
          <w:rFonts w:hint="eastAsia" w:ascii="黑体" w:hAnsi="黑体" w:eastAsia="黑体" w:cs="黑体"/>
          <w:kern w:val="0"/>
        </w:rPr>
        <w:t>记名投票</w:t>
      </w:r>
    </w:p>
    <w:p w14:paraId="2F67E8EB">
      <w:pPr>
        <w:adjustRightInd w:val="0"/>
        <w:snapToGrid w:val="0"/>
        <w:spacing w:line="360" w:lineRule="auto"/>
        <w:ind w:firstLine="420" w:firstLineChars="200"/>
        <w:jc w:val="left"/>
        <w:rPr>
          <w:rFonts w:ascii="宋体" w:cs="Times New Roman"/>
          <w:kern w:val="0"/>
        </w:rPr>
      </w:pPr>
      <w:r>
        <w:rPr>
          <w:rFonts w:hint="eastAsia" w:ascii="宋体" w:hAnsi="宋体" w:cs="宋体"/>
          <w:kern w:val="0"/>
        </w:rPr>
        <w:t>在任何评标环节中，需评标委员会就某项定性的评审结论做出表决的，由评标委员会全体成员按照少数服从多数的原则，以记名投票方式表决。</w:t>
      </w:r>
    </w:p>
    <w:p w14:paraId="456D1542">
      <w:pPr>
        <w:adjustRightInd w:val="0"/>
        <w:snapToGrid w:val="0"/>
        <w:spacing w:line="360" w:lineRule="auto"/>
        <w:ind w:firstLine="420" w:firstLineChars="200"/>
        <w:jc w:val="left"/>
        <w:rPr>
          <w:rFonts w:ascii="黑体" w:eastAsia="黑体" w:cs="Times New Roman"/>
          <w:kern w:val="0"/>
        </w:rPr>
      </w:pPr>
      <w:r>
        <w:rPr>
          <w:rFonts w:ascii="黑体" w:eastAsia="黑体" w:cs="黑体"/>
          <w:kern w:val="0"/>
        </w:rPr>
        <w:t>A7.</w:t>
      </w:r>
      <w:r>
        <w:rPr>
          <w:rFonts w:hint="eastAsia" w:ascii="黑体" w:eastAsia="黑体" w:cs="黑体"/>
          <w:kern w:val="0"/>
        </w:rPr>
        <w:t>补充条款</w:t>
      </w:r>
    </w:p>
    <w:p w14:paraId="0BAD8C54">
      <w:pPr>
        <w:adjustRightInd w:val="0"/>
        <w:snapToGrid w:val="0"/>
        <w:spacing w:line="360" w:lineRule="auto"/>
        <w:ind w:firstLine="420" w:firstLineChars="200"/>
        <w:jc w:val="left"/>
        <w:rPr>
          <w:rFonts w:hint="eastAsia" w:ascii="黑体" w:hAnsi="黑体" w:eastAsia="黑体" w:cs="Times New Roman"/>
          <w:kern w:val="0"/>
        </w:rPr>
      </w:pPr>
      <w:r>
        <w:fldChar w:fldCharType="begin"/>
      </w:r>
      <w:r>
        <w:instrText xml:space="preserve"> AUTOTEXT  input522 \* MERGEFORMAT </w:instrText>
      </w:r>
      <w:r>
        <w:fldChar w:fldCharType="separate"/>
      </w:r>
      <w:r>
        <w:rPr>
          <w:rFonts w:ascii="宋体" w:hAnsi="宋体" w:cs="宋体"/>
          <w:kern w:val="0"/>
        </w:rPr>
        <w:t>/</w:t>
      </w:r>
      <w:r>
        <w:rPr>
          <w:rFonts w:ascii="宋体" w:hAnsi="宋体" w:cs="宋体"/>
          <w:kern w:val="0"/>
        </w:rPr>
        <w:fldChar w:fldCharType="end"/>
      </w:r>
    </w:p>
    <w:p w14:paraId="26BF3FCA">
      <w:pPr>
        <w:pStyle w:val="28"/>
        <w:rPr>
          <w:rFonts w:hint="eastAsia" w:ascii="黑体" w:hAnsi="黑体" w:eastAsia="黑体" w:cs="Times New Roman"/>
          <w:kern w:val="0"/>
        </w:rPr>
      </w:pPr>
    </w:p>
    <w:p w14:paraId="07242909">
      <w:pPr>
        <w:rPr>
          <w:rFonts w:hint="eastAsia" w:ascii="黑体" w:hAnsi="黑体" w:eastAsia="黑体" w:cs="Times New Roman"/>
          <w:kern w:val="0"/>
        </w:rPr>
      </w:pPr>
    </w:p>
    <w:p w14:paraId="2501930A">
      <w:pPr>
        <w:pStyle w:val="29"/>
        <w:rPr>
          <w:rFonts w:hint="eastAsia" w:ascii="黑体" w:hAnsi="黑体" w:eastAsia="黑体" w:cs="Times New Roman"/>
          <w:color w:val="auto"/>
        </w:rPr>
      </w:pPr>
    </w:p>
    <w:p w14:paraId="53981E04">
      <w:pPr>
        <w:pStyle w:val="29"/>
        <w:rPr>
          <w:rFonts w:hint="eastAsia" w:ascii="黑体" w:hAnsi="黑体" w:eastAsia="黑体" w:cs="Times New Roman"/>
          <w:color w:val="auto"/>
        </w:rPr>
      </w:pPr>
    </w:p>
    <w:p w14:paraId="67D382DD">
      <w:pPr>
        <w:pStyle w:val="29"/>
        <w:rPr>
          <w:rFonts w:hint="eastAsia" w:ascii="黑体" w:hAnsi="黑体" w:eastAsia="黑体" w:cs="Times New Roman"/>
          <w:color w:val="auto"/>
        </w:rPr>
      </w:pPr>
    </w:p>
    <w:p w14:paraId="0F1E94F8">
      <w:pPr>
        <w:pStyle w:val="29"/>
        <w:rPr>
          <w:rFonts w:hint="eastAsia" w:ascii="黑体" w:hAnsi="黑体" w:eastAsia="黑体" w:cs="Times New Roman"/>
          <w:color w:val="auto"/>
        </w:rPr>
      </w:pPr>
    </w:p>
    <w:p w14:paraId="60C6D062">
      <w:pPr>
        <w:pStyle w:val="29"/>
        <w:rPr>
          <w:rFonts w:hint="eastAsia" w:ascii="黑体" w:hAnsi="黑体" w:eastAsia="黑体" w:cs="Times New Roman"/>
          <w:color w:val="auto"/>
        </w:rPr>
      </w:pPr>
    </w:p>
    <w:p w14:paraId="42810B34">
      <w:pPr>
        <w:pStyle w:val="29"/>
        <w:rPr>
          <w:rFonts w:hint="eastAsia" w:ascii="黑体" w:hAnsi="黑体" w:eastAsia="黑体" w:cs="Times New Roman"/>
          <w:color w:val="auto"/>
        </w:rPr>
      </w:pPr>
    </w:p>
    <w:p w14:paraId="1CFC5591">
      <w:pPr>
        <w:pStyle w:val="29"/>
        <w:rPr>
          <w:rFonts w:hint="eastAsia" w:ascii="黑体" w:hAnsi="黑体" w:eastAsia="黑体" w:cs="Times New Roman"/>
          <w:color w:val="auto"/>
        </w:rPr>
      </w:pPr>
    </w:p>
    <w:p w14:paraId="5879B7D2">
      <w:pPr>
        <w:pStyle w:val="29"/>
        <w:rPr>
          <w:rFonts w:hint="eastAsia" w:ascii="黑体" w:hAnsi="黑体" w:eastAsia="黑体" w:cs="Times New Roman"/>
          <w:color w:val="auto"/>
        </w:rPr>
      </w:pPr>
    </w:p>
    <w:p w14:paraId="52A06EF0">
      <w:pPr>
        <w:pStyle w:val="29"/>
        <w:rPr>
          <w:rFonts w:hint="eastAsia" w:ascii="黑体" w:hAnsi="黑体" w:eastAsia="黑体" w:cs="Times New Roman"/>
          <w:color w:val="auto"/>
        </w:rPr>
      </w:pPr>
    </w:p>
    <w:p w14:paraId="175298DA">
      <w:pPr>
        <w:pStyle w:val="29"/>
        <w:rPr>
          <w:rFonts w:hint="eastAsia" w:ascii="黑体" w:hAnsi="黑体" w:eastAsia="黑体" w:cs="Times New Roman"/>
          <w:color w:val="auto"/>
        </w:rPr>
      </w:pPr>
    </w:p>
    <w:p w14:paraId="0C84624C">
      <w:pPr>
        <w:pStyle w:val="29"/>
        <w:rPr>
          <w:rFonts w:hint="eastAsia" w:ascii="黑体" w:hAnsi="黑体" w:eastAsia="黑体" w:cs="Times New Roman"/>
          <w:color w:val="auto"/>
        </w:rPr>
      </w:pPr>
    </w:p>
    <w:p w14:paraId="4A0DE43F">
      <w:pPr>
        <w:pStyle w:val="29"/>
        <w:rPr>
          <w:rFonts w:hint="eastAsia" w:ascii="黑体" w:hAnsi="黑体" w:eastAsia="黑体" w:cs="Times New Roman"/>
          <w:color w:val="auto"/>
        </w:rPr>
      </w:pPr>
    </w:p>
    <w:p w14:paraId="361ED818">
      <w:pPr>
        <w:pStyle w:val="29"/>
        <w:rPr>
          <w:rFonts w:hint="eastAsia" w:ascii="黑体" w:hAnsi="黑体" w:eastAsia="黑体" w:cs="Times New Roman"/>
          <w:color w:val="auto"/>
        </w:rPr>
      </w:pPr>
    </w:p>
    <w:p w14:paraId="17156921">
      <w:pPr>
        <w:pStyle w:val="29"/>
        <w:rPr>
          <w:rFonts w:hint="eastAsia" w:ascii="黑体" w:hAnsi="黑体" w:eastAsia="黑体" w:cs="Times New Roman"/>
          <w:color w:val="auto"/>
        </w:rPr>
      </w:pPr>
    </w:p>
    <w:p w14:paraId="044C5A4D">
      <w:pPr>
        <w:pStyle w:val="29"/>
        <w:rPr>
          <w:rFonts w:hint="eastAsia" w:ascii="黑体" w:hAnsi="黑体" w:eastAsia="黑体" w:cs="Times New Roman"/>
          <w:color w:val="auto"/>
        </w:rPr>
      </w:pPr>
    </w:p>
    <w:p w14:paraId="67B5A6CB">
      <w:pPr>
        <w:pStyle w:val="29"/>
        <w:rPr>
          <w:rFonts w:hint="eastAsia" w:ascii="黑体" w:hAnsi="黑体" w:eastAsia="黑体" w:cs="Times New Roman"/>
          <w:color w:val="auto"/>
        </w:rPr>
      </w:pPr>
    </w:p>
    <w:p w14:paraId="60AA54D1">
      <w:pPr>
        <w:pStyle w:val="29"/>
        <w:rPr>
          <w:rFonts w:hint="eastAsia" w:ascii="黑体" w:hAnsi="黑体" w:eastAsia="黑体" w:cs="Times New Roman"/>
          <w:color w:val="auto"/>
        </w:rPr>
      </w:pPr>
    </w:p>
    <w:p w14:paraId="0F8AC37C">
      <w:pPr>
        <w:pStyle w:val="29"/>
        <w:rPr>
          <w:rFonts w:hint="eastAsia" w:ascii="黑体" w:hAnsi="黑体" w:eastAsia="黑体" w:cs="Times New Roman"/>
          <w:color w:val="auto"/>
        </w:rPr>
      </w:pPr>
    </w:p>
    <w:p w14:paraId="2E5E2F7D">
      <w:pPr>
        <w:pStyle w:val="29"/>
        <w:rPr>
          <w:rFonts w:hint="eastAsia" w:ascii="黑体" w:hAnsi="黑体" w:eastAsia="黑体" w:cs="Times New Roman"/>
          <w:color w:val="auto"/>
        </w:rPr>
      </w:pPr>
    </w:p>
    <w:p w14:paraId="5F78A40C">
      <w:pPr>
        <w:pStyle w:val="29"/>
        <w:rPr>
          <w:rFonts w:hint="eastAsia" w:ascii="黑体" w:hAnsi="黑体" w:eastAsia="黑体" w:cs="Times New Roman"/>
          <w:color w:val="auto"/>
        </w:rPr>
      </w:pPr>
    </w:p>
    <w:p w14:paraId="6B899975">
      <w:pPr>
        <w:pStyle w:val="29"/>
        <w:rPr>
          <w:rFonts w:hint="eastAsia" w:ascii="黑体" w:hAnsi="黑体" w:eastAsia="黑体" w:cs="Times New Roman"/>
          <w:color w:val="auto"/>
        </w:rPr>
      </w:pPr>
    </w:p>
    <w:p w14:paraId="5DCC3C45">
      <w:pPr>
        <w:pStyle w:val="29"/>
        <w:rPr>
          <w:rFonts w:hint="eastAsia" w:ascii="黑体" w:hAnsi="黑体" w:eastAsia="黑体" w:cs="Times New Roman"/>
          <w:color w:val="auto"/>
        </w:rPr>
      </w:pPr>
    </w:p>
    <w:p w14:paraId="48FCAE67">
      <w:pPr>
        <w:pStyle w:val="29"/>
        <w:rPr>
          <w:rFonts w:hint="eastAsia" w:ascii="黑体" w:hAnsi="黑体" w:eastAsia="黑体" w:cs="Times New Roman"/>
          <w:color w:val="auto"/>
        </w:rPr>
      </w:pPr>
    </w:p>
    <w:p w14:paraId="20F1F236">
      <w:pPr>
        <w:pStyle w:val="29"/>
        <w:rPr>
          <w:rFonts w:hint="eastAsia" w:ascii="黑体" w:hAnsi="黑体" w:eastAsia="黑体" w:cs="Times New Roman"/>
          <w:color w:val="auto"/>
        </w:rPr>
      </w:pPr>
    </w:p>
    <w:p w14:paraId="629B0485">
      <w:pPr>
        <w:pStyle w:val="29"/>
        <w:rPr>
          <w:rFonts w:hint="eastAsia" w:ascii="黑体" w:hAnsi="黑体" w:eastAsia="黑体" w:cs="Times New Roman"/>
          <w:color w:val="auto"/>
        </w:rPr>
      </w:pPr>
    </w:p>
    <w:p w14:paraId="55606253">
      <w:pPr>
        <w:pStyle w:val="29"/>
        <w:rPr>
          <w:rFonts w:hint="eastAsia" w:ascii="黑体" w:hAnsi="黑体" w:eastAsia="黑体" w:cs="Times New Roman"/>
          <w:color w:val="auto"/>
        </w:rPr>
      </w:pPr>
    </w:p>
    <w:p w14:paraId="59550CE1">
      <w:pPr>
        <w:rPr>
          <w:rFonts w:ascii="黑体" w:eastAsia="黑体" w:cs="Times New Roman"/>
          <w:b/>
          <w:bCs/>
          <w:kern w:val="0"/>
          <w:sz w:val="28"/>
          <w:szCs w:val="28"/>
        </w:rPr>
      </w:pPr>
      <w:bookmarkStart w:id="765" w:name="_Toc20837_WPSOffice_Level2"/>
      <w:bookmarkStart w:id="766" w:name="_Toc18961_WPSOffice_Level2"/>
      <w:r>
        <w:rPr>
          <w:rFonts w:ascii="黑体" w:eastAsia="黑体" w:cs="Times New Roman"/>
          <w:b/>
          <w:bCs/>
          <w:kern w:val="0"/>
          <w:sz w:val="28"/>
          <w:szCs w:val="28"/>
        </w:rPr>
        <w:br w:type="page"/>
      </w:r>
    </w:p>
    <w:p w14:paraId="410F77C6">
      <w:pPr>
        <w:pStyle w:val="18"/>
        <w:ind w:left="0" w:firstLine="0" w:firstLineChars="0"/>
      </w:pPr>
    </w:p>
    <w:bookmarkEnd w:id="765"/>
    <w:bookmarkEnd w:id="766"/>
    <w:p w14:paraId="1287D3FA">
      <w:pPr>
        <w:adjustRightInd w:val="0"/>
        <w:snapToGrid w:val="0"/>
        <w:spacing w:line="360" w:lineRule="auto"/>
        <w:ind w:firstLine="3373" w:firstLineChars="1200"/>
        <w:jc w:val="left"/>
        <w:outlineLvl w:val="1"/>
        <w:rPr>
          <w:rFonts w:ascii="黑体" w:eastAsia="黑体" w:cs="Times New Roman"/>
          <w:b/>
          <w:bCs/>
          <w:kern w:val="0"/>
          <w:sz w:val="28"/>
          <w:szCs w:val="28"/>
        </w:rPr>
      </w:pPr>
      <w:bookmarkStart w:id="767" w:name="_Toc10655"/>
      <w:bookmarkEnd w:id="767"/>
      <w:bookmarkStart w:id="768" w:name="_Toc30016"/>
      <w:bookmarkEnd w:id="768"/>
      <w:r>
        <w:rPr>
          <w:rFonts w:hint="eastAsia" w:ascii="黑体" w:eastAsia="黑体" w:cs="黑体"/>
          <w:b/>
          <w:bCs/>
          <w:kern w:val="0"/>
          <w:sz w:val="28"/>
          <w:szCs w:val="28"/>
        </w:rPr>
        <w:t>附件</w:t>
      </w:r>
      <w:r>
        <w:rPr>
          <w:rFonts w:ascii="黑体" w:eastAsia="黑体" w:cs="黑体"/>
          <w:b/>
          <w:bCs/>
          <w:kern w:val="0"/>
          <w:sz w:val="28"/>
          <w:szCs w:val="28"/>
        </w:rPr>
        <w:t>B</w:t>
      </w:r>
      <w:r>
        <w:rPr>
          <w:rFonts w:hint="eastAsia" w:ascii="黑体" w:eastAsia="黑体" w:cs="黑体"/>
          <w:b/>
          <w:bCs/>
          <w:kern w:val="0"/>
          <w:sz w:val="28"/>
          <w:szCs w:val="28"/>
        </w:rPr>
        <w:t>：否决投标条款</w:t>
      </w:r>
    </w:p>
    <w:p w14:paraId="1121F0B7">
      <w:pPr>
        <w:adjustRightInd w:val="0"/>
        <w:snapToGrid w:val="0"/>
        <w:spacing w:line="360" w:lineRule="auto"/>
        <w:ind w:firstLine="420" w:firstLineChars="200"/>
        <w:jc w:val="left"/>
        <w:rPr>
          <w:rFonts w:hint="eastAsia" w:ascii="黑体" w:hAnsi="黑体" w:eastAsia="黑体" w:cs="Times New Roman"/>
          <w:kern w:val="0"/>
        </w:rPr>
      </w:pPr>
      <w:r>
        <w:rPr>
          <w:rFonts w:ascii="黑体" w:hAnsi="黑体" w:eastAsia="黑体" w:cs="黑体"/>
          <w:kern w:val="0"/>
        </w:rPr>
        <w:t>B0.</w:t>
      </w:r>
      <w:r>
        <w:rPr>
          <w:rFonts w:hint="eastAsia" w:ascii="黑体" w:hAnsi="黑体" w:eastAsia="黑体" w:cs="黑体"/>
          <w:kern w:val="0"/>
        </w:rPr>
        <w:t>总则</w:t>
      </w:r>
    </w:p>
    <w:p w14:paraId="0EE48652">
      <w:pPr>
        <w:adjustRightInd w:val="0"/>
        <w:snapToGrid w:val="0"/>
        <w:spacing w:line="360" w:lineRule="auto"/>
        <w:ind w:firstLine="420" w:firstLineChars="200"/>
        <w:jc w:val="left"/>
        <w:rPr>
          <w:rFonts w:ascii="宋体" w:cs="Times New Roman"/>
          <w:kern w:val="0"/>
        </w:rPr>
      </w:pPr>
      <w:r>
        <w:rPr>
          <w:rFonts w:hint="eastAsia" w:ascii="宋体" w:hAnsi="宋体" w:cs="宋体"/>
          <w:kern w:val="0"/>
        </w:rPr>
        <w:t>本附件所集中列示的否决投标条款，是本章“评标办法”的组成部分，是对第二章“投标人须知”和本章正文部分所规定的否决投标条款的总结和补充，如果出现相互矛盾的情况，以本节的规定为准。</w:t>
      </w:r>
    </w:p>
    <w:p w14:paraId="6DCBA07D">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B1.否决投标条款</w:t>
      </w:r>
    </w:p>
    <w:p w14:paraId="6B502144">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投标人或投标文件有下列情形之一的，其投标作否决投标处理：</w:t>
      </w:r>
    </w:p>
    <w:p w14:paraId="655A8B7C">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B1.1 有第二章“投标人须知”第1.4.2 项、1.4.3项、5.4项规定的任何一种情形的。</w:t>
      </w:r>
    </w:p>
    <w:p w14:paraId="350378B1">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B1.2有串通投标行为或弄虚作假或有其他违法行为的。</w:t>
      </w:r>
    </w:p>
    <w:p w14:paraId="68BB5CD8">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B1.3不按评标委员会要求澄清、说明或补正的；</w:t>
      </w:r>
    </w:p>
    <w:p w14:paraId="03C068C8">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B1.4在初步评审中，评标委员会认定投标人的投标不符合评标办法前附表中规定的任何一项评审标准的；</w:t>
      </w:r>
    </w:p>
    <w:p w14:paraId="23E40E71">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B1.5投标文件中不符合投标人须知附件七规定的内容上传及格式的；</w:t>
      </w:r>
    </w:p>
    <w:p w14:paraId="48CDD679">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B1.6投标文件中不符合第七章投标文件的组成的；</w:t>
      </w:r>
    </w:p>
    <w:p w14:paraId="3B68C471">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B1.7投标文件中不符合投标人须知正文部分3.2投标报价的；</w:t>
      </w:r>
    </w:p>
    <w:p w14:paraId="47D7AD32">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B1.8 未按规定格式填写，内容不全或者关键内容字迹模糊，无法辨认的；</w:t>
      </w:r>
    </w:p>
    <w:p w14:paraId="74D20879">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B1.9投标人上传的电子投标文件中有两份或多份内容不同的投标文件，或者在一份投标文件中对同一招标项目报有两个或多个报价，且未声明哪一个有效，按招标文件规定提交备选投标方案的除外。</w:t>
      </w:r>
    </w:p>
    <w:p w14:paraId="34669E32">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B1.10投标人名称与营业执照或资质证书名称不一致的。</w:t>
      </w:r>
    </w:p>
    <w:p w14:paraId="4A189608">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B1.11 投标人在投标文件中电子签章（或盖章）或电子签名（或签名）的名称与其他潜在投标人存在一致情况的。</w:t>
      </w:r>
    </w:p>
    <w:p w14:paraId="2DCE6849">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1.12违反《中华人民共和国招标投标法》《中华人民共和国招标投标法实施条例》《国家九部委30号令》《云南省政府106号文》《云南省住建厅第19号公告》等相关法律法规的，经评标委员会集体表决后认定，视作串通投标处理，并提请有关监管部门依法予以处罚。</w:t>
      </w:r>
    </w:p>
    <w:p w14:paraId="1CFA894C">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B1.13评标委员会判定其报价低于成本价的；</w:t>
      </w:r>
    </w:p>
    <w:p w14:paraId="4D6B06F7">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B1.14工程设计费投标报价高于招标控制价的，建安工程费下浮率低于招标控制价的；</w:t>
      </w:r>
    </w:p>
    <w:p w14:paraId="309D6B0E">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B1.15 投标报价有算术错误的，评标委员会按以下原则对投标报价进行修正，修正的价格经投标人书面确认后具有约束力。投标人不接受修正价格的</w:t>
      </w:r>
      <w:r>
        <w:rPr>
          <w:rFonts w:hint="eastAsia" w:ascii="黑体" w:hAnsi="黑体" w:eastAsia="黑体" w:cs="黑体"/>
          <w:kern w:val="0"/>
          <w:lang w:eastAsia="zh-CN"/>
        </w:rPr>
        <w:t>，对</w:t>
      </w:r>
      <w:r>
        <w:rPr>
          <w:rFonts w:hint="eastAsia" w:ascii="黑体" w:hAnsi="黑体" w:eastAsia="黑体" w:cs="黑体"/>
          <w:kern w:val="0"/>
        </w:rPr>
        <w:t>其投标作否决投标处理。（1）投标文件中的大写金额与小写金额不一致的，以大写金额为准；</w:t>
      </w:r>
    </w:p>
    <w:p w14:paraId="15C9193E">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B1.16联合体投标不满足投标人须知1.4.1条的；</w:t>
      </w:r>
    </w:p>
    <w:p w14:paraId="5AF16077">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B1.17分包未满足投标人须知1.11.1、1.11.2条的；</w:t>
      </w:r>
    </w:p>
    <w:p w14:paraId="56313CCE">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B1.18偏离未满足投标人须知1.12条的；</w:t>
      </w:r>
    </w:p>
    <w:p w14:paraId="797B9C60">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B1.19投标有效期未满足投标人须知3.3.3条的；</w:t>
      </w:r>
    </w:p>
    <w:p w14:paraId="1A794CA5">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B1.20投标人拒不按照评标委员会要求对投标文件进行澄清、说明、补正的；</w:t>
      </w:r>
    </w:p>
    <w:p w14:paraId="77DEB406">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B1.21非联合体投标人委托同一人投标的；</w:t>
      </w:r>
    </w:p>
    <w:p w14:paraId="6F669D63">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B1.22不同投标人的投标文件由同一台电脑编制的；</w:t>
      </w:r>
    </w:p>
    <w:p w14:paraId="65B8C2D6">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B1.23技术标标书“设计”部分明显不符合技术规范、技术标准的；</w:t>
      </w:r>
    </w:p>
    <w:p w14:paraId="2E0E2153">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B1.24不同投标人的投标文件内容存在非正常一致的；</w:t>
      </w:r>
    </w:p>
    <w:p w14:paraId="01CF98EE">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B1.25不同投标人的投标文件错漏之处一致的；</w:t>
      </w:r>
    </w:p>
    <w:p w14:paraId="7AE02679">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B1.26不同投标人的投标文件或者报价组成异常一致或者呈规律性变化的；</w:t>
      </w:r>
    </w:p>
    <w:p w14:paraId="0D56A7AE">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B1.27不同投标人的投标文件载明的项目管理机构成员出现相同人员的；</w:t>
      </w:r>
    </w:p>
    <w:p w14:paraId="6829F10A">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1.28评标委员会发现投标人的报价明显低于其他投标报价，或者在设有招标最高限价时明显低于招标最高限价，使得其投标报价可能低于其成本的，应当要求该投标人作出书面说明并提供相应的证明材料。投标人不能合理说明或者不能提供相应证明材料的，由评标委员会认定该投标人以低于成本报价竞标，其投标作否决投标处理。</w:t>
      </w:r>
    </w:p>
    <w:p w14:paraId="440288AB">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B1.29投标人有以下情形之一的，其投标作否决投标处理；</w:t>
      </w:r>
    </w:p>
    <w:p w14:paraId="416E1B68">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（1）串通投标或者弄虚作假或有其他违法行为的；</w:t>
      </w:r>
    </w:p>
    <w:p w14:paraId="6380CD83">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（2）不按评标委员会要求澄清、说明或补正的；</w:t>
      </w:r>
    </w:p>
    <w:p w14:paraId="7E2DFDA3">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（3）评标委员会依据评标办法第2.1.1项、第2.1.2项、第2.1.3项规定的标准对投标文件进行初步评审。有一项不符合评审标准的，作否决投标处理。</w:t>
      </w:r>
    </w:p>
    <w:p w14:paraId="69728B4C">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 xml:space="preserve">B1.30投标人是工程总承包项目的代建单位或与代建单位存在隶属关系和管理关系的； </w:t>
      </w:r>
    </w:p>
    <w:p w14:paraId="4FD6C0CC">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1.31投标人是工程总承包项目项目建议书编制单位、可行性研究报告编制单位、初步设计文件编制单位及其评估单位的，但招标人公开已完成的该总承包项目项目建议书、可行性研究报告、初步设计文件的上述单位除外。</w:t>
      </w:r>
    </w:p>
    <w:p w14:paraId="2D4B4D10">
      <w:pPr>
        <w:adjustRightInd w:val="0"/>
        <w:snapToGrid w:val="0"/>
        <w:spacing w:line="360" w:lineRule="auto"/>
        <w:ind w:firstLine="420" w:firstLineChars="200"/>
        <w:jc w:val="left"/>
        <w:rPr>
          <w:rFonts w:hint="eastAsia" w:ascii="黑体" w:hAnsi="黑体" w:eastAsia="黑体" w:cs="黑体"/>
          <w:kern w:val="0"/>
        </w:rPr>
      </w:pPr>
      <w:r>
        <w:rPr>
          <w:rFonts w:hint="eastAsia" w:ascii="黑体" w:hAnsi="黑体" w:eastAsia="黑体" w:cs="黑体"/>
          <w:kern w:val="0"/>
        </w:rPr>
        <w:t>B1.32违反国家、省、市相关法律法规的。</w:t>
      </w:r>
    </w:p>
    <w:p w14:paraId="70D3C451">
      <w:pPr>
        <w:adjustRightInd w:val="0"/>
        <w:snapToGrid w:val="0"/>
        <w:spacing w:line="312" w:lineRule="auto"/>
        <w:ind w:firstLine="420" w:firstLineChars="200"/>
        <w:jc w:val="left"/>
        <w:rPr>
          <w:rFonts w:hint="eastAsia" w:ascii="宋体" w:hAnsi="宋体" w:cs="宋体"/>
          <w:kern w:val="0"/>
        </w:rPr>
      </w:pPr>
    </w:p>
    <w:p w14:paraId="446942E6">
      <w:pPr>
        <w:adjustRightInd w:val="0"/>
        <w:snapToGrid w:val="0"/>
        <w:spacing w:line="360" w:lineRule="auto"/>
        <w:ind w:firstLine="420" w:firstLineChars="200"/>
        <w:jc w:val="left"/>
        <w:rPr>
          <w:rFonts w:hint="eastAsia" w:ascii="黑体" w:hAnsi="黑体" w:eastAsia="黑体" w:cs="Times New Roman"/>
          <w:kern w:val="0"/>
        </w:rPr>
      </w:pPr>
    </w:p>
    <w:p w14:paraId="56B82CF1">
      <w:pPr>
        <w:pStyle w:val="28"/>
        <w:rPr>
          <w:rFonts w:hint="eastAsia" w:ascii="黑体" w:hAnsi="黑体" w:eastAsia="黑体" w:cs="Times New Roman"/>
          <w:kern w:val="0"/>
        </w:rPr>
      </w:pPr>
    </w:p>
    <w:p w14:paraId="752E1130">
      <w:pPr>
        <w:rPr>
          <w:rFonts w:hint="eastAsia" w:ascii="黑体" w:hAnsi="黑体" w:eastAsia="黑体" w:cs="Times New Roman"/>
          <w:kern w:val="0"/>
        </w:rPr>
      </w:pPr>
    </w:p>
    <w:p w14:paraId="64C5D072">
      <w:pPr>
        <w:rPr>
          <w:rFonts w:hint="eastAsia" w:ascii="黑体" w:hAnsi="黑体" w:eastAsia="黑体" w:cs="Times New Roman"/>
          <w:kern w:val="0"/>
        </w:rPr>
      </w:pPr>
    </w:p>
    <w:p w14:paraId="178164BE">
      <w:pPr>
        <w:pStyle w:val="8"/>
        <w:rPr>
          <w:rFonts w:hint="eastAsia" w:ascii="黑体" w:hAnsi="黑体" w:eastAsia="黑体"/>
        </w:rPr>
      </w:pPr>
    </w:p>
    <w:p w14:paraId="33C37BCF">
      <w:pPr>
        <w:pStyle w:val="8"/>
        <w:rPr>
          <w:rFonts w:hint="eastAsia" w:ascii="黑体" w:hAnsi="黑体" w:eastAsia="黑体"/>
        </w:rPr>
      </w:pPr>
    </w:p>
    <w:p w14:paraId="3DACC415">
      <w:pPr>
        <w:pStyle w:val="8"/>
        <w:rPr>
          <w:rFonts w:hint="eastAsia" w:ascii="黑体" w:hAnsi="黑体" w:eastAsia="黑体"/>
        </w:rPr>
      </w:pPr>
    </w:p>
    <w:p w14:paraId="3A1621D5">
      <w:pPr>
        <w:pStyle w:val="8"/>
        <w:rPr>
          <w:rFonts w:hint="eastAsia" w:ascii="黑体" w:hAnsi="黑体" w:eastAsia="黑体"/>
        </w:rPr>
      </w:pPr>
    </w:p>
    <w:p w14:paraId="6041578A">
      <w:pPr>
        <w:pStyle w:val="8"/>
        <w:rPr>
          <w:rFonts w:hint="eastAsia" w:ascii="黑体" w:hAnsi="黑体" w:eastAsia="黑体"/>
        </w:rPr>
      </w:pPr>
    </w:p>
    <w:p w14:paraId="6F975C6B">
      <w:pPr>
        <w:pStyle w:val="8"/>
        <w:rPr>
          <w:rFonts w:hint="eastAsia" w:ascii="黑体" w:hAnsi="黑体" w:eastAsia="黑体"/>
        </w:rPr>
      </w:pPr>
    </w:p>
    <w:p w14:paraId="75E7A3F3">
      <w:pPr>
        <w:pStyle w:val="8"/>
        <w:rPr>
          <w:rFonts w:hint="eastAsia" w:ascii="黑体" w:hAnsi="黑体" w:eastAsia="黑体"/>
        </w:rPr>
      </w:pPr>
    </w:p>
    <w:p w14:paraId="4F4A8969">
      <w:pPr>
        <w:pStyle w:val="8"/>
        <w:rPr>
          <w:rFonts w:hint="eastAsia" w:ascii="黑体" w:hAnsi="黑体" w:eastAsia="黑体"/>
        </w:rPr>
      </w:pPr>
    </w:p>
    <w:p w14:paraId="2786BD66">
      <w:pPr>
        <w:pStyle w:val="8"/>
        <w:rPr>
          <w:rFonts w:hint="eastAsia" w:ascii="黑体" w:hAnsi="黑体" w:eastAsia="黑体"/>
        </w:rPr>
      </w:pPr>
    </w:p>
    <w:p w14:paraId="5AFF36D6">
      <w:pPr>
        <w:pStyle w:val="8"/>
        <w:rPr>
          <w:rFonts w:hint="eastAsia" w:ascii="黑体" w:hAnsi="黑体" w:eastAsia="黑体"/>
        </w:rPr>
      </w:pPr>
    </w:p>
    <w:p w14:paraId="60F1AF41">
      <w:pPr>
        <w:jc w:val="center"/>
        <w:rPr>
          <w:rFonts w:cs="宋体"/>
          <w:sz w:val="36"/>
          <w:szCs w:val="36"/>
        </w:rPr>
      </w:pPr>
      <w:bookmarkStart w:id="769" w:name="_Toc13174_WPSOffice_Level1"/>
      <w:bookmarkStart w:id="770" w:name="_Toc22838_WPSOffice_Level1"/>
    </w:p>
    <w:bookmarkEnd w:id="680"/>
    <w:bookmarkEnd w:id="681"/>
    <w:bookmarkEnd w:id="682"/>
    <w:bookmarkEnd w:id="683"/>
    <w:bookmarkEnd w:id="684"/>
    <w:bookmarkEnd w:id="685"/>
    <w:bookmarkEnd w:id="686"/>
    <w:bookmarkEnd w:id="769"/>
    <w:bookmarkEnd w:id="770"/>
    <w:p w14:paraId="11E067EB">
      <w:pPr>
        <w:pStyle w:val="2"/>
        <w:jc w:val="center"/>
        <w:rPr>
          <w:rFonts w:cs="Times New Roman"/>
          <w:sz w:val="36"/>
          <w:szCs w:val="36"/>
        </w:rPr>
      </w:pPr>
      <w:bookmarkStart w:id="771" w:name="_Toc23411"/>
      <w:bookmarkEnd w:id="771"/>
      <w:r>
        <w:rPr>
          <w:rFonts w:hint="eastAsia" w:cs="宋体"/>
          <w:sz w:val="36"/>
          <w:szCs w:val="36"/>
        </w:rPr>
        <w:t>第四章  合同条款及格式</w:t>
      </w:r>
    </w:p>
    <w:p w14:paraId="42456EF3"/>
    <w:p w14:paraId="58DFDC77"/>
    <w:p w14:paraId="0810E0D4">
      <w:pPr>
        <w:jc w:val="center"/>
        <w:rPr>
          <w:rFonts w:cs="Times New Roman"/>
        </w:rPr>
      </w:pPr>
      <w:r>
        <w:rPr>
          <w:rFonts w:hint="eastAsia" w:cs="宋体"/>
        </w:rPr>
        <w:t>合同编号：</w:t>
      </w:r>
    </w:p>
    <w:p w14:paraId="736EC074">
      <w:pPr>
        <w:tabs>
          <w:tab w:val="left" w:pos="360"/>
        </w:tabs>
        <w:jc w:val="center"/>
        <w:rPr>
          <w:rFonts w:ascii="宋体" w:cs="Times New Roman"/>
          <w:b/>
          <w:bCs/>
          <w:sz w:val="48"/>
          <w:szCs w:val="48"/>
        </w:rPr>
      </w:pPr>
    </w:p>
    <w:p w14:paraId="76DC6E60">
      <w:pPr>
        <w:tabs>
          <w:tab w:val="left" w:pos="360"/>
        </w:tabs>
        <w:jc w:val="center"/>
        <w:rPr>
          <w:rFonts w:ascii="宋体" w:cs="Times New Roman"/>
          <w:b/>
          <w:bCs/>
          <w:sz w:val="48"/>
          <w:szCs w:val="48"/>
        </w:rPr>
      </w:pPr>
    </w:p>
    <w:p w14:paraId="22067CF1">
      <w:pPr>
        <w:tabs>
          <w:tab w:val="left" w:pos="360"/>
        </w:tabs>
        <w:jc w:val="center"/>
        <w:rPr>
          <w:rFonts w:ascii="宋体" w:cs="Times New Roman"/>
          <w:b/>
          <w:bCs/>
          <w:sz w:val="48"/>
          <w:szCs w:val="48"/>
        </w:rPr>
      </w:pPr>
    </w:p>
    <w:p w14:paraId="368FB647">
      <w:pPr>
        <w:tabs>
          <w:tab w:val="left" w:pos="360"/>
        </w:tabs>
        <w:jc w:val="center"/>
        <w:rPr>
          <w:rFonts w:ascii="宋体" w:cs="Times New Roman"/>
          <w:b/>
          <w:bCs/>
          <w:sz w:val="48"/>
          <w:szCs w:val="48"/>
        </w:rPr>
      </w:pPr>
    </w:p>
    <w:p w14:paraId="4E1BFAEE">
      <w:pPr>
        <w:jc w:val="center"/>
        <w:outlineLvl w:val="1"/>
        <w:rPr>
          <w:rFonts w:hint="eastAsia" w:ascii="宋体" w:hAnsi="宋体" w:cs="宋体"/>
          <w:b/>
          <w:bCs/>
          <w:sz w:val="48"/>
          <w:szCs w:val="48"/>
        </w:rPr>
      </w:pPr>
      <w:r>
        <w:rPr>
          <w:rFonts w:hint="eastAsia" w:ascii="宋体" w:hAnsi="宋体" w:cs="宋体"/>
          <w:b/>
          <w:bCs/>
          <w:sz w:val="48"/>
          <w:szCs w:val="48"/>
        </w:rPr>
        <w:t>建设项目工程总承包合同</w:t>
      </w:r>
    </w:p>
    <w:p w14:paraId="6BB30596">
      <w:pPr>
        <w:jc w:val="center"/>
        <w:rPr>
          <w:rFonts w:hint="eastAsia" w:ascii="宋体" w:hAnsi="宋体" w:cs="宋体"/>
          <w:b/>
          <w:bCs/>
          <w:sz w:val="48"/>
          <w:szCs w:val="48"/>
        </w:rPr>
      </w:pPr>
      <w:bookmarkStart w:id="772" w:name="_Toc1367_WPSOffice_Level2"/>
      <w:bookmarkStart w:id="773" w:name="_Toc18313_WPSOffice_Level2"/>
      <w:r>
        <w:rPr>
          <w:rFonts w:hint="eastAsia" w:ascii="宋体" w:hAnsi="宋体" w:cs="宋体"/>
          <w:b/>
          <w:bCs/>
          <w:sz w:val="48"/>
          <w:szCs w:val="48"/>
        </w:rPr>
        <w:t>（示范文本）</w:t>
      </w:r>
    </w:p>
    <w:p w14:paraId="1593E9CC">
      <w:pPr>
        <w:pStyle w:val="29"/>
        <w:rPr>
          <w:rFonts w:hint="eastAsia" w:hAnsi="宋体"/>
          <w:b/>
          <w:bCs/>
          <w:color w:val="auto"/>
          <w:sz w:val="48"/>
          <w:szCs w:val="48"/>
        </w:rPr>
      </w:pPr>
    </w:p>
    <w:p w14:paraId="08CF920F">
      <w:pPr>
        <w:pStyle w:val="29"/>
        <w:rPr>
          <w:rFonts w:hint="eastAsia" w:hAnsi="宋体"/>
          <w:b/>
          <w:bCs/>
          <w:color w:val="auto"/>
          <w:sz w:val="48"/>
          <w:szCs w:val="48"/>
        </w:rPr>
      </w:pPr>
    </w:p>
    <w:p w14:paraId="1C037644">
      <w:pPr>
        <w:pStyle w:val="29"/>
        <w:rPr>
          <w:rFonts w:hint="eastAsia" w:hAnsi="宋体"/>
          <w:b/>
          <w:bCs/>
          <w:color w:val="auto"/>
          <w:sz w:val="48"/>
          <w:szCs w:val="48"/>
        </w:rPr>
      </w:pPr>
    </w:p>
    <w:p w14:paraId="02EFE5FB">
      <w:pPr>
        <w:pStyle w:val="29"/>
        <w:rPr>
          <w:rFonts w:hint="eastAsia" w:hAnsi="宋体"/>
          <w:b/>
          <w:bCs/>
          <w:color w:val="auto"/>
          <w:sz w:val="48"/>
          <w:szCs w:val="48"/>
        </w:rPr>
      </w:pPr>
    </w:p>
    <w:p w14:paraId="6EF1580C">
      <w:pPr>
        <w:pStyle w:val="29"/>
        <w:rPr>
          <w:rFonts w:hint="eastAsia" w:hAnsi="宋体"/>
          <w:b/>
          <w:bCs/>
          <w:color w:val="auto"/>
          <w:sz w:val="48"/>
          <w:szCs w:val="48"/>
        </w:rPr>
      </w:pPr>
    </w:p>
    <w:p w14:paraId="118F7DBA">
      <w:pPr>
        <w:pStyle w:val="29"/>
        <w:rPr>
          <w:rFonts w:hint="eastAsia" w:hAnsi="宋体"/>
          <w:b/>
          <w:bCs/>
          <w:color w:val="auto"/>
          <w:sz w:val="48"/>
          <w:szCs w:val="48"/>
        </w:rPr>
      </w:pPr>
    </w:p>
    <w:p w14:paraId="14C078DA">
      <w:pPr>
        <w:pStyle w:val="29"/>
        <w:rPr>
          <w:rFonts w:hint="eastAsia" w:hAnsi="宋体"/>
          <w:b/>
          <w:bCs/>
          <w:color w:val="auto"/>
          <w:sz w:val="48"/>
          <w:szCs w:val="48"/>
        </w:rPr>
      </w:pPr>
    </w:p>
    <w:p w14:paraId="60A84D2B">
      <w:pPr>
        <w:pStyle w:val="29"/>
        <w:rPr>
          <w:rFonts w:hint="eastAsia" w:hAnsi="宋体"/>
          <w:b/>
          <w:bCs/>
          <w:color w:val="auto"/>
          <w:sz w:val="48"/>
          <w:szCs w:val="48"/>
        </w:rPr>
      </w:pPr>
    </w:p>
    <w:p w14:paraId="62710302">
      <w:pPr>
        <w:pStyle w:val="29"/>
        <w:rPr>
          <w:rFonts w:hint="eastAsia" w:hAnsi="宋体"/>
          <w:b/>
          <w:bCs/>
          <w:color w:val="auto"/>
          <w:sz w:val="48"/>
          <w:szCs w:val="48"/>
        </w:rPr>
      </w:pPr>
    </w:p>
    <w:p w14:paraId="73884600">
      <w:pPr>
        <w:pStyle w:val="29"/>
        <w:rPr>
          <w:rFonts w:hint="eastAsia" w:hAnsi="宋体"/>
          <w:b/>
          <w:bCs/>
          <w:color w:val="auto"/>
          <w:sz w:val="48"/>
          <w:szCs w:val="48"/>
        </w:rPr>
      </w:pPr>
    </w:p>
    <w:bookmarkEnd w:id="772"/>
    <w:bookmarkEnd w:id="773"/>
    <w:p w14:paraId="1022BDB9">
      <w:pPr>
        <w:pStyle w:val="36"/>
        <w:numPr>
          <w:ilvl w:val="0"/>
          <w:numId w:val="0"/>
        </w:numPr>
        <w:jc w:val="center"/>
        <w:rPr>
          <w:rFonts w:hint="eastAsia"/>
          <w:b w:val="0"/>
          <w:sz w:val="36"/>
          <w:szCs w:val="36"/>
        </w:rPr>
      </w:pPr>
      <w:bookmarkStart w:id="774" w:name="_Toc3226"/>
      <w:bookmarkEnd w:id="774"/>
      <w:r>
        <w:rPr>
          <w:rFonts w:hint="eastAsia"/>
          <w:b w:val="0"/>
          <w:sz w:val="36"/>
          <w:szCs w:val="36"/>
        </w:rPr>
        <w:t>第一部分  合同协议书</w:t>
      </w:r>
    </w:p>
    <w:p w14:paraId="019B3303">
      <w:pPr>
        <w:spacing w:line="360" w:lineRule="auto"/>
        <w:ind w:firstLine="601"/>
        <w:rPr>
          <w:rFonts w:ascii="仿宋_GB2312" w:eastAsia="仿宋_GB2312"/>
          <w:u w:val="single"/>
        </w:rPr>
      </w:pPr>
      <w:r>
        <w:rPr>
          <w:rFonts w:hint="eastAsia" w:ascii="仿宋_GB2312" w:eastAsia="仿宋_GB2312"/>
        </w:rPr>
        <w:t>发包人（全称）：</w:t>
      </w:r>
    </w:p>
    <w:p w14:paraId="55484270">
      <w:pPr>
        <w:spacing w:line="360" w:lineRule="auto"/>
        <w:ind w:firstLine="601"/>
        <w:rPr>
          <w:rFonts w:ascii="仿宋_GB2312" w:eastAsia="仿宋_GB2312"/>
        </w:rPr>
      </w:pPr>
      <w:r>
        <w:rPr>
          <w:rFonts w:hint="eastAsia" w:ascii="仿宋_GB2312" w:eastAsia="仿宋_GB2312"/>
        </w:rPr>
        <w:t>承包人（全称）：</w:t>
      </w:r>
    </w:p>
    <w:p w14:paraId="5664A676">
      <w:pPr>
        <w:spacing w:line="360" w:lineRule="auto"/>
        <w:ind w:firstLine="601"/>
        <w:rPr>
          <w:rFonts w:ascii="仿宋_GB2312" w:eastAsia="仿宋_GB2312"/>
          <w:sz w:val="30"/>
          <w:szCs w:val="30"/>
        </w:rPr>
      </w:pPr>
      <w:r>
        <w:rPr>
          <w:rFonts w:hint="eastAsia" w:ascii="仿宋_GB2312" w:eastAsia="仿宋_GB2312"/>
        </w:rPr>
        <w:t>根据《中华人民共和国民法典》《中华人民共和国建筑法》及有关法律规定，遵循平等、自愿、公平和诚实信用的原则，双方就项目的工程总承包及有关事项协商一致，共同达成如下协议：</w:t>
      </w:r>
    </w:p>
    <w:p w14:paraId="5953BC87">
      <w:pPr>
        <w:pStyle w:val="37"/>
        <w:numPr>
          <w:ilvl w:val="0"/>
          <w:numId w:val="0"/>
        </w:numPr>
        <w:spacing w:before="0" w:after="0"/>
        <w:outlineLvl w:val="2"/>
        <w:rPr>
          <w:rFonts w:hint="eastAsia" w:ascii="黑体" w:hAnsi="黑体" w:eastAsia="黑体"/>
          <w:b w:val="0"/>
          <w:sz w:val="28"/>
          <w:szCs w:val="28"/>
        </w:rPr>
      </w:pPr>
      <w:bookmarkStart w:id="775" w:name="_Toc27631"/>
      <w:bookmarkEnd w:id="775"/>
      <w:bookmarkStart w:id="776" w:name="_Toc12981"/>
      <w:bookmarkEnd w:id="776"/>
      <w:bookmarkStart w:id="777" w:name="_Toc54862165"/>
      <w:bookmarkEnd w:id="777"/>
      <w:r>
        <w:rPr>
          <w:rFonts w:hint="eastAsia" w:ascii="黑体" w:hAnsi="黑体" w:eastAsia="黑体"/>
          <w:b w:val="0"/>
          <w:sz w:val="28"/>
          <w:szCs w:val="28"/>
        </w:rPr>
        <w:t>一、工程概况</w:t>
      </w:r>
    </w:p>
    <w:p w14:paraId="21FEBDE3">
      <w:pPr>
        <w:spacing w:line="360" w:lineRule="auto"/>
        <w:ind w:firstLine="601"/>
        <w:rPr>
          <w:rFonts w:ascii="仿宋_GB2312" w:eastAsia="仿宋_GB2312"/>
        </w:rPr>
      </w:pPr>
      <w:r>
        <w:rPr>
          <w:rFonts w:hint="eastAsia" w:ascii="仿宋_GB2312" w:eastAsia="仿宋_GB2312"/>
        </w:rPr>
        <w:t>1. 工程名称：</w:t>
      </w:r>
    </w:p>
    <w:p w14:paraId="7206AFCB">
      <w:pPr>
        <w:spacing w:line="360" w:lineRule="auto"/>
        <w:ind w:firstLine="601"/>
        <w:rPr>
          <w:rFonts w:ascii="仿宋_GB2312" w:eastAsia="仿宋_GB2312"/>
        </w:rPr>
      </w:pPr>
      <w:r>
        <w:rPr>
          <w:rFonts w:hint="eastAsia" w:ascii="仿宋_GB2312" w:eastAsia="仿宋_GB2312"/>
        </w:rPr>
        <w:t>2. 工程地点：</w:t>
      </w:r>
    </w:p>
    <w:p w14:paraId="743C5FE8">
      <w:pPr>
        <w:spacing w:line="360" w:lineRule="auto"/>
        <w:ind w:firstLine="601"/>
        <w:rPr>
          <w:rFonts w:ascii="仿宋_GB2312" w:eastAsia="仿宋_GB2312"/>
        </w:rPr>
      </w:pPr>
      <w:r>
        <w:rPr>
          <w:rFonts w:hint="eastAsia" w:ascii="仿宋_GB2312" w:eastAsia="仿宋_GB2312"/>
        </w:rPr>
        <w:t>3. 工程审批、核准或备案文号：</w:t>
      </w:r>
    </w:p>
    <w:p w14:paraId="4BCF9F03">
      <w:pPr>
        <w:spacing w:line="360" w:lineRule="auto"/>
        <w:ind w:firstLine="601"/>
        <w:rPr>
          <w:rFonts w:ascii="仿宋_GB2312" w:eastAsia="仿宋_GB2312"/>
        </w:rPr>
      </w:pPr>
      <w:r>
        <w:rPr>
          <w:rFonts w:hint="eastAsia" w:ascii="仿宋_GB2312" w:eastAsia="仿宋_GB2312"/>
        </w:rPr>
        <w:t>4. 资金来源：</w:t>
      </w:r>
    </w:p>
    <w:p w14:paraId="091CA77D">
      <w:pPr>
        <w:spacing w:line="360" w:lineRule="auto"/>
        <w:ind w:firstLine="601"/>
        <w:rPr>
          <w:rFonts w:ascii="仿宋_GB2312" w:eastAsia="仿宋_GB2312"/>
        </w:rPr>
      </w:pPr>
      <w:r>
        <w:rPr>
          <w:rFonts w:hint="eastAsia" w:ascii="仿宋_GB2312" w:eastAsia="仿宋_GB2312"/>
        </w:rPr>
        <w:t>5. 工程内容及规模：</w:t>
      </w:r>
    </w:p>
    <w:p w14:paraId="65BC272C">
      <w:pPr>
        <w:spacing w:line="360" w:lineRule="auto"/>
        <w:ind w:firstLine="601"/>
        <w:rPr>
          <w:rFonts w:ascii="仿宋_GB2312" w:eastAsia="仿宋_GB2312"/>
        </w:rPr>
      </w:pPr>
      <w:r>
        <w:rPr>
          <w:rFonts w:hint="eastAsia" w:ascii="仿宋_GB2312" w:eastAsia="仿宋_GB2312"/>
        </w:rPr>
        <w:t>6. 工程承包范围：</w:t>
      </w:r>
    </w:p>
    <w:p w14:paraId="23102120">
      <w:pPr>
        <w:pStyle w:val="37"/>
        <w:numPr>
          <w:ilvl w:val="0"/>
          <w:numId w:val="0"/>
        </w:numPr>
        <w:spacing w:before="0" w:after="0"/>
        <w:outlineLvl w:val="2"/>
        <w:rPr>
          <w:rFonts w:hint="eastAsia" w:ascii="黑体" w:hAnsi="黑体" w:eastAsia="黑体"/>
          <w:b w:val="0"/>
          <w:sz w:val="28"/>
          <w:szCs w:val="28"/>
        </w:rPr>
      </w:pPr>
      <w:bookmarkStart w:id="778" w:name="_Toc7581"/>
      <w:bookmarkEnd w:id="778"/>
      <w:bookmarkStart w:id="779" w:name="_Toc54862166"/>
      <w:bookmarkEnd w:id="779"/>
      <w:bookmarkStart w:id="780" w:name="_Toc24963"/>
      <w:bookmarkEnd w:id="780"/>
      <w:r>
        <w:rPr>
          <w:rFonts w:hint="eastAsia" w:ascii="黑体" w:hAnsi="黑体" w:eastAsia="黑体"/>
          <w:b w:val="0"/>
          <w:sz w:val="28"/>
          <w:szCs w:val="28"/>
        </w:rPr>
        <w:t>二、合同工期</w:t>
      </w:r>
    </w:p>
    <w:p w14:paraId="053ADECC">
      <w:pPr>
        <w:spacing w:line="360" w:lineRule="auto"/>
        <w:ind w:firstLine="601"/>
        <w:rPr>
          <w:rFonts w:ascii="仿宋_GB2312" w:eastAsia="仿宋_GB2312"/>
        </w:rPr>
      </w:pPr>
      <w:r>
        <w:rPr>
          <w:rFonts w:hint="eastAsia" w:ascii="仿宋_GB2312" w:eastAsia="仿宋_GB2312"/>
        </w:rPr>
        <w:t>计划开始工作日期：    年    月   日。</w:t>
      </w:r>
    </w:p>
    <w:p w14:paraId="1B6894B0">
      <w:pPr>
        <w:spacing w:line="360" w:lineRule="auto"/>
        <w:ind w:firstLine="601"/>
        <w:rPr>
          <w:rFonts w:ascii="仿宋_GB2312" w:eastAsia="仿宋_GB2312"/>
        </w:rPr>
      </w:pPr>
      <w:r>
        <w:rPr>
          <w:rFonts w:hint="eastAsia" w:ascii="仿宋_GB2312" w:eastAsia="仿宋_GB2312"/>
        </w:rPr>
        <w:t>计划开始现场施工日期：   年   月   日。</w:t>
      </w:r>
    </w:p>
    <w:p w14:paraId="3DDA0729">
      <w:pPr>
        <w:spacing w:line="360" w:lineRule="auto"/>
        <w:ind w:firstLine="601"/>
        <w:rPr>
          <w:rFonts w:ascii="仿宋_GB2312" w:eastAsia="仿宋_GB2312"/>
        </w:rPr>
      </w:pPr>
      <w:r>
        <w:rPr>
          <w:rFonts w:hint="eastAsia" w:ascii="仿宋_GB2312" w:eastAsia="仿宋_GB2312"/>
        </w:rPr>
        <w:t>计划竣工日期：    年   月    日。</w:t>
      </w:r>
    </w:p>
    <w:p w14:paraId="0DFF4448">
      <w:pPr>
        <w:spacing w:line="360" w:lineRule="auto"/>
        <w:ind w:firstLine="601"/>
        <w:rPr>
          <w:rFonts w:ascii="仿宋_GB2312" w:eastAsia="仿宋_GB2312"/>
        </w:rPr>
      </w:pPr>
      <w:r>
        <w:rPr>
          <w:rFonts w:hint="eastAsia" w:ascii="仿宋_GB2312" w:eastAsia="仿宋_GB2312"/>
        </w:rPr>
        <w:t>工期总日历天数：    天，工期总日历天数与根据前述计划日期计算的工期天数不一致的，以工期总日历天数为准。</w:t>
      </w:r>
    </w:p>
    <w:p w14:paraId="7169794E">
      <w:pPr>
        <w:pStyle w:val="37"/>
        <w:numPr>
          <w:ilvl w:val="0"/>
          <w:numId w:val="0"/>
        </w:numPr>
        <w:spacing w:before="0" w:after="0"/>
        <w:outlineLvl w:val="2"/>
        <w:rPr>
          <w:rFonts w:hint="eastAsia" w:ascii="黑体" w:hAnsi="黑体" w:eastAsia="黑体"/>
          <w:b w:val="0"/>
          <w:sz w:val="28"/>
          <w:szCs w:val="28"/>
        </w:rPr>
      </w:pPr>
      <w:bookmarkStart w:id="781" w:name="_Toc54862167"/>
      <w:bookmarkEnd w:id="781"/>
      <w:bookmarkStart w:id="782" w:name="_Toc25340"/>
      <w:bookmarkEnd w:id="782"/>
      <w:bookmarkStart w:id="783" w:name="_Toc16961"/>
      <w:bookmarkEnd w:id="783"/>
      <w:r>
        <w:rPr>
          <w:rFonts w:hint="eastAsia" w:ascii="黑体" w:hAnsi="黑体" w:eastAsia="黑体"/>
          <w:b w:val="0"/>
          <w:sz w:val="28"/>
          <w:szCs w:val="28"/>
        </w:rPr>
        <w:t>三、质量标准</w:t>
      </w:r>
    </w:p>
    <w:p w14:paraId="11B052F4">
      <w:pPr>
        <w:spacing w:line="360" w:lineRule="auto"/>
        <w:ind w:firstLine="601"/>
        <w:rPr>
          <w:rFonts w:ascii="仿宋_GB2312" w:eastAsia="仿宋_GB2312"/>
        </w:rPr>
      </w:pPr>
      <w:r>
        <w:rPr>
          <w:rFonts w:hint="eastAsia" w:ascii="仿宋_GB2312" w:eastAsia="仿宋_GB2312"/>
        </w:rPr>
        <w:t>工程质量标准：</w:t>
      </w:r>
    </w:p>
    <w:p w14:paraId="07DDF615">
      <w:pPr>
        <w:pStyle w:val="37"/>
        <w:numPr>
          <w:ilvl w:val="0"/>
          <w:numId w:val="0"/>
        </w:numPr>
        <w:spacing w:before="0" w:after="0"/>
        <w:outlineLvl w:val="2"/>
        <w:rPr>
          <w:rFonts w:hint="eastAsia" w:ascii="黑体" w:hAnsi="黑体" w:eastAsia="黑体"/>
          <w:b w:val="0"/>
          <w:sz w:val="28"/>
          <w:szCs w:val="28"/>
        </w:rPr>
      </w:pPr>
      <w:bookmarkStart w:id="784" w:name="_Toc9986"/>
      <w:bookmarkEnd w:id="784"/>
      <w:bookmarkStart w:id="785" w:name="_Toc54862168"/>
      <w:bookmarkEnd w:id="785"/>
      <w:bookmarkStart w:id="786" w:name="_Toc29388"/>
      <w:bookmarkEnd w:id="786"/>
      <w:r>
        <w:rPr>
          <w:rFonts w:hint="eastAsia" w:ascii="黑体" w:hAnsi="黑体" w:eastAsia="黑体"/>
          <w:b w:val="0"/>
          <w:sz w:val="28"/>
          <w:szCs w:val="28"/>
        </w:rPr>
        <w:t>四、签约合同价与合同价格形式</w:t>
      </w:r>
    </w:p>
    <w:p w14:paraId="632F8101">
      <w:pPr>
        <w:spacing w:line="360" w:lineRule="auto"/>
        <w:ind w:firstLine="600"/>
        <w:outlineLvl w:val="3"/>
        <w:rPr>
          <w:rFonts w:ascii="仿宋_GB2312" w:eastAsia="仿宋_GB2312"/>
        </w:rPr>
      </w:pPr>
      <w:r>
        <w:rPr>
          <w:rFonts w:hint="eastAsia" w:ascii="仿宋_GB2312" w:eastAsia="仿宋_GB2312"/>
        </w:rPr>
        <w:t>1. 签约合同价（含税）为：</w:t>
      </w:r>
    </w:p>
    <w:p w14:paraId="21E07691">
      <w:pPr>
        <w:spacing w:line="360" w:lineRule="auto"/>
        <w:ind w:firstLine="600"/>
        <w:rPr>
          <w:rFonts w:ascii="仿宋_GB2312" w:eastAsia="仿宋_GB2312"/>
        </w:rPr>
      </w:pPr>
      <w:r>
        <w:rPr>
          <w:rFonts w:hint="eastAsia" w:ascii="仿宋_GB2312" w:eastAsia="仿宋_GB2312"/>
        </w:rPr>
        <w:t>人民币（大写） （¥  元）。</w:t>
      </w:r>
    </w:p>
    <w:p w14:paraId="1126F9C0">
      <w:pPr>
        <w:spacing w:line="360" w:lineRule="auto"/>
        <w:ind w:firstLine="600"/>
        <w:rPr>
          <w:rFonts w:ascii="仿宋_GB2312" w:eastAsia="仿宋_GB2312"/>
        </w:rPr>
      </w:pPr>
      <w:r>
        <w:rPr>
          <w:rFonts w:hint="eastAsia" w:ascii="仿宋_GB2312" w:eastAsia="仿宋_GB2312"/>
        </w:rPr>
        <w:t xml:space="preserve">具体构成详见价格清单。其中： </w:t>
      </w:r>
    </w:p>
    <w:p w14:paraId="251769E4">
      <w:pPr>
        <w:spacing w:line="360" w:lineRule="auto"/>
        <w:ind w:firstLine="600"/>
        <w:outlineLvl w:val="4"/>
        <w:rPr>
          <w:rFonts w:ascii="仿宋_GB2312" w:eastAsia="仿宋_GB2312"/>
        </w:rPr>
      </w:pPr>
      <w:r>
        <w:rPr>
          <w:rFonts w:hint="eastAsia" w:ascii="仿宋_GB2312" w:eastAsia="仿宋_GB2312"/>
        </w:rPr>
        <w:t>（1） 设计费（含税）：</w:t>
      </w:r>
    </w:p>
    <w:p w14:paraId="3A2A7AEE">
      <w:pPr>
        <w:spacing w:line="360" w:lineRule="auto"/>
        <w:ind w:firstLine="600"/>
        <w:rPr>
          <w:rFonts w:ascii="仿宋_GB2312" w:eastAsia="仿宋_GB2312"/>
        </w:rPr>
      </w:pPr>
      <w:r>
        <w:rPr>
          <w:rFonts w:hint="eastAsia" w:ascii="仿宋_GB2312" w:eastAsia="仿宋_GB2312"/>
        </w:rPr>
        <w:t xml:space="preserve">人民币（大写） （¥    元）；适用税率：%，税金为人民币（大写）（¥元）； </w:t>
      </w:r>
    </w:p>
    <w:p w14:paraId="6646759E">
      <w:pPr>
        <w:spacing w:line="360" w:lineRule="auto"/>
        <w:ind w:firstLine="600"/>
        <w:outlineLvl w:val="4"/>
        <w:rPr>
          <w:rFonts w:ascii="仿宋_GB2312" w:eastAsia="仿宋_GB2312"/>
        </w:rPr>
      </w:pPr>
      <w:r>
        <w:rPr>
          <w:rFonts w:hint="eastAsia" w:ascii="仿宋_GB2312" w:eastAsia="仿宋_GB2312"/>
        </w:rPr>
        <w:t>（2） 设备购置费（含税）：</w:t>
      </w:r>
    </w:p>
    <w:p w14:paraId="7B5E8564">
      <w:pPr>
        <w:spacing w:line="360" w:lineRule="auto"/>
        <w:ind w:firstLine="600"/>
        <w:rPr>
          <w:rFonts w:ascii="仿宋_GB2312" w:eastAsia="仿宋_GB2312"/>
        </w:rPr>
      </w:pPr>
      <w:r>
        <w:rPr>
          <w:rFonts w:hint="eastAsia" w:ascii="仿宋_GB2312" w:eastAsia="仿宋_GB2312"/>
        </w:rPr>
        <w:t xml:space="preserve">人民币（大写） （¥   元）；适用税率：%，税金为人民币（大写）（¥元）； </w:t>
      </w:r>
    </w:p>
    <w:p w14:paraId="4D1FF1E5">
      <w:pPr>
        <w:spacing w:line="360" w:lineRule="auto"/>
        <w:ind w:firstLine="600"/>
        <w:outlineLvl w:val="4"/>
        <w:rPr>
          <w:rFonts w:ascii="仿宋_GB2312" w:eastAsia="仿宋_GB2312"/>
        </w:rPr>
      </w:pPr>
      <w:r>
        <w:rPr>
          <w:rFonts w:hint="eastAsia" w:ascii="仿宋_GB2312" w:eastAsia="仿宋_GB2312"/>
        </w:rPr>
        <w:t>（3） 建筑安装工程费（含税）：</w:t>
      </w:r>
    </w:p>
    <w:p w14:paraId="07CACEF4">
      <w:pPr>
        <w:spacing w:line="360" w:lineRule="auto"/>
        <w:ind w:firstLine="600"/>
        <w:rPr>
          <w:rFonts w:ascii="仿宋_GB2312" w:eastAsia="仿宋_GB2312"/>
        </w:rPr>
      </w:pPr>
      <w:r>
        <w:rPr>
          <w:rFonts w:hint="eastAsia" w:ascii="仿宋_GB2312" w:eastAsia="仿宋_GB2312"/>
        </w:rPr>
        <w:t xml:space="preserve">人民币（大写）（¥   元）；适用税率：%，税金为人民币（大写）（¥元）； </w:t>
      </w:r>
    </w:p>
    <w:p w14:paraId="7DE6A46B">
      <w:pPr>
        <w:spacing w:line="360" w:lineRule="auto"/>
        <w:ind w:firstLine="600"/>
        <w:outlineLvl w:val="4"/>
        <w:rPr>
          <w:rFonts w:ascii="仿宋_GB2312" w:eastAsia="仿宋_GB2312"/>
        </w:rPr>
      </w:pPr>
      <w:r>
        <w:rPr>
          <w:rFonts w:hint="eastAsia" w:ascii="仿宋_GB2312" w:eastAsia="仿宋_GB2312"/>
        </w:rPr>
        <w:t>（</w:t>
      </w:r>
      <w:r>
        <w:rPr>
          <w:rFonts w:ascii="仿宋_GB2312" w:eastAsia="仿宋_GB2312"/>
        </w:rPr>
        <w:t>4</w:t>
      </w:r>
      <w:r>
        <w:rPr>
          <w:rFonts w:hint="eastAsia" w:ascii="仿宋_GB2312" w:eastAsia="仿宋_GB2312"/>
        </w:rPr>
        <w:t>） 暂估价（含税）：</w:t>
      </w:r>
    </w:p>
    <w:p w14:paraId="635C446F">
      <w:pPr>
        <w:spacing w:line="360" w:lineRule="auto"/>
        <w:ind w:firstLine="600"/>
        <w:rPr>
          <w:rFonts w:ascii="仿宋_GB2312" w:eastAsia="仿宋_GB2312"/>
        </w:rPr>
      </w:pPr>
      <w:r>
        <w:rPr>
          <w:rFonts w:hint="eastAsia" w:ascii="仿宋_GB2312" w:eastAsia="仿宋_GB2312"/>
        </w:rPr>
        <w:t>人民币（大写）（¥    元）。</w:t>
      </w:r>
    </w:p>
    <w:p w14:paraId="766B6868">
      <w:pPr>
        <w:spacing w:line="360" w:lineRule="auto"/>
        <w:ind w:firstLine="600"/>
        <w:outlineLvl w:val="4"/>
        <w:rPr>
          <w:rFonts w:ascii="仿宋_GB2312" w:eastAsia="仿宋_GB2312"/>
        </w:rPr>
      </w:pPr>
      <w:r>
        <w:rPr>
          <w:rFonts w:hint="eastAsia" w:ascii="仿宋_GB2312" w:eastAsia="仿宋_GB2312"/>
        </w:rPr>
        <w:t>（</w:t>
      </w:r>
      <w:r>
        <w:rPr>
          <w:rFonts w:ascii="仿宋_GB2312" w:eastAsia="仿宋_GB2312"/>
        </w:rPr>
        <w:t>5</w:t>
      </w:r>
      <w:r>
        <w:rPr>
          <w:rFonts w:hint="eastAsia" w:ascii="仿宋_GB2312" w:eastAsia="仿宋_GB2312"/>
        </w:rPr>
        <w:t>） 暂列金额（含税）：</w:t>
      </w:r>
    </w:p>
    <w:p w14:paraId="19D7AD01">
      <w:pPr>
        <w:spacing w:line="360" w:lineRule="auto"/>
        <w:ind w:firstLine="600"/>
        <w:rPr>
          <w:rFonts w:ascii="仿宋_GB2312" w:eastAsia="仿宋_GB2312"/>
        </w:rPr>
      </w:pPr>
      <w:r>
        <w:rPr>
          <w:rFonts w:hint="eastAsia" w:ascii="仿宋_GB2312" w:eastAsia="仿宋_GB2312"/>
        </w:rPr>
        <w:t>人民币（大写）（¥   元）。</w:t>
      </w:r>
    </w:p>
    <w:p w14:paraId="210313DB">
      <w:pPr>
        <w:spacing w:line="360" w:lineRule="auto"/>
        <w:ind w:firstLine="600"/>
        <w:outlineLvl w:val="4"/>
        <w:rPr>
          <w:rFonts w:ascii="仿宋_GB2312" w:eastAsia="仿宋_GB2312"/>
        </w:rPr>
      </w:pPr>
      <w:r>
        <w:rPr>
          <w:rFonts w:hint="eastAsia" w:ascii="仿宋_GB2312" w:eastAsia="仿宋_GB2312"/>
        </w:rPr>
        <w:t>（</w:t>
      </w:r>
      <w:r>
        <w:rPr>
          <w:rFonts w:ascii="仿宋_GB2312" w:eastAsia="仿宋_GB2312"/>
        </w:rPr>
        <w:t>6）双方约定的其他费用</w:t>
      </w:r>
      <w:r>
        <w:rPr>
          <w:rFonts w:hint="eastAsia" w:ascii="仿宋_GB2312" w:eastAsia="仿宋_GB2312"/>
        </w:rPr>
        <w:t>（含税）</w:t>
      </w:r>
      <w:r>
        <w:rPr>
          <w:rFonts w:ascii="仿宋_GB2312" w:eastAsia="仿宋_GB2312"/>
        </w:rPr>
        <w:t>：</w:t>
      </w:r>
    </w:p>
    <w:p w14:paraId="2F172504">
      <w:pPr>
        <w:spacing w:line="360" w:lineRule="auto"/>
        <w:ind w:firstLine="600"/>
        <w:jc w:val="left"/>
        <w:rPr>
          <w:rFonts w:ascii="仿宋_GB2312" w:eastAsia="仿宋_GB2312"/>
        </w:rPr>
      </w:pPr>
      <w:r>
        <w:rPr>
          <w:rFonts w:hint="eastAsia" w:ascii="仿宋_GB2312" w:eastAsia="仿宋_GB2312"/>
        </w:rPr>
        <w:t>人民币（大写）</w:t>
      </w:r>
      <w:r>
        <w:rPr>
          <w:rFonts w:ascii="仿宋_GB2312" w:eastAsia="仿宋_GB2312"/>
        </w:rPr>
        <w:t>（¥</w:t>
      </w:r>
      <w:r>
        <w:rPr>
          <w:rFonts w:hint="eastAsia" w:ascii="仿宋_GB2312" w:eastAsia="仿宋_GB2312"/>
        </w:rPr>
        <w:t xml:space="preserve">  </w:t>
      </w:r>
      <w:r>
        <w:rPr>
          <w:rFonts w:ascii="仿宋_GB2312" w:eastAsia="仿宋_GB2312"/>
        </w:rPr>
        <w:t>元）；适用税率：%，税金为人民币（大写</w:t>
      </w:r>
      <w:r>
        <w:rPr>
          <w:rFonts w:hint="eastAsia" w:ascii="仿宋_GB2312" w:eastAsia="仿宋_GB2312"/>
        </w:rPr>
        <w:t>）</w:t>
      </w:r>
      <w:r>
        <w:rPr>
          <w:rFonts w:ascii="仿宋_GB2312" w:eastAsia="仿宋_GB2312"/>
        </w:rPr>
        <w:t>（¥</w:t>
      </w:r>
      <w:r>
        <w:rPr>
          <w:rFonts w:hint="eastAsia" w:ascii="仿宋_GB2312" w:eastAsia="仿宋_GB2312"/>
        </w:rPr>
        <w:t xml:space="preserve">   </w:t>
      </w:r>
      <w:r>
        <w:rPr>
          <w:rFonts w:ascii="仿宋_GB2312" w:eastAsia="仿宋_GB2312"/>
        </w:rPr>
        <w:t>元）。</w:t>
      </w:r>
    </w:p>
    <w:p w14:paraId="5AE5794F">
      <w:pPr>
        <w:spacing w:line="360" w:lineRule="auto"/>
        <w:ind w:firstLine="600"/>
        <w:outlineLvl w:val="3"/>
        <w:rPr>
          <w:rFonts w:ascii="仿宋_GB2312" w:eastAsia="仿宋_GB2312"/>
        </w:rPr>
      </w:pPr>
      <w:r>
        <w:rPr>
          <w:rFonts w:hint="eastAsia" w:ascii="仿宋_GB2312" w:eastAsia="仿宋_GB2312"/>
        </w:rPr>
        <w:t>2. 合同价格形式：</w:t>
      </w:r>
    </w:p>
    <w:p w14:paraId="278F7E47">
      <w:pPr>
        <w:spacing w:line="360" w:lineRule="auto"/>
        <w:ind w:firstLine="600"/>
        <w:rPr>
          <w:rFonts w:ascii="仿宋_GB2312" w:eastAsia="仿宋_GB2312"/>
        </w:rPr>
      </w:pPr>
      <w:r>
        <w:rPr>
          <w:rFonts w:hint="eastAsia" w:ascii="仿宋_GB2312" w:eastAsia="仿宋_GB2312"/>
        </w:rPr>
        <w:t>合同价格形式为总价合同，除根据合同约定的在工程实施过程中需进行增减的款项外，合同价格不予调整，但合同当事人另有约定的除外。</w:t>
      </w:r>
    </w:p>
    <w:p w14:paraId="634543DA">
      <w:pPr>
        <w:kinsoku w:val="0"/>
        <w:spacing w:line="360" w:lineRule="auto"/>
        <w:ind w:left="263" w:leftChars="125" w:firstLine="210" w:firstLineChars="100"/>
        <w:jc w:val="left"/>
        <w:rPr>
          <w:rFonts w:ascii="仿宋_GB2312" w:eastAsia="仿宋_GB2312"/>
        </w:rPr>
      </w:pPr>
      <w:r>
        <w:rPr>
          <w:rFonts w:hint="eastAsia" w:ascii="仿宋_GB2312" w:eastAsia="仿宋_GB2312"/>
        </w:rPr>
        <w:t>合同当事人对合同价格形式的其他约定：</w:t>
      </w:r>
    </w:p>
    <w:p w14:paraId="3A7EA208">
      <w:pPr>
        <w:pStyle w:val="37"/>
        <w:numPr>
          <w:ilvl w:val="0"/>
          <w:numId w:val="0"/>
        </w:numPr>
        <w:spacing w:before="0" w:after="0"/>
        <w:outlineLvl w:val="2"/>
        <w:rPr>
          <w:rFonts w:hint="eastAsia" w:ascii="黑体" w:hAnsi="黑体" w:eastAsia="黑体"/>
          <w:b w:val="0"/>
          <w:sz w:val="28"/>
          <w:szCs w:val="28"/>
        </w:rPr>
      </w:pPr>
      <w:bookmarkStart w:id="787" w:name="_Toc16765"/>
      <w:bookmarkEnd w:id="787"/>
      <w:bookmarkStart w:id="788" w:name="_Toc3336"/>
      <w:bookmarkEnd w:id="788"/>
      <w:bookmarkStart w:id="789" w:name="_Toc54862169"/>
      <w:bookmarkEnd w:id="789"/>
      <w:r>
        <w:rPr>
          <w:rFonts w:hint="eastAsia" w:ascii="黑体" w:hAnsi="黑体" w:eastAsia="黑体"/>
          <w:b w:val="0"/>
          <w:sz w:val="28"/>
          <w:szCs w:val="28"/>
        </w:rPr>
        <w:t>五、工程总承包项目经理</w:t>
      </w:r>
    </w:p>
    <w:p w14:paraId="7420E1A0">
      <w:pPr>
        <w:spacing w:line="360" w:lineRule="auto"/>
        <w:ind w:firstLine="600"/>
        <w:rPr>
          <w:rFonts w:ascii="仿宋_GB2312" w:eastAsia="仿宋_GB2312"/>
        </w:rPr>
      </w:pPr>
      <w:r>
        <w:rPr>
          <w:rFonts w:hint="eastAsia" w:ascii="仿宋_GB2312" w:eastAsia="仿宋_GB2312"/>
        </w:rPr>
        <w:t>工程总承包项目经理：</w:t>
      </w:r>
    </w:p>
    <w:p w14:paraId="178333DF">
      <w:pPr>
        <w:pStyle w:val="37"/>
        <w:numPr>
          <w:ilvl w:val="0"/>
          <w:numId w:val="0"/>
        </w:numPr>
        <w:spacing w:before="0" w:after="0"/>
        <w:outlineLvl w:val="2"/>
        <w:rPr>
          <w:rFonts w:hint="eastAsia" w:ascii="黑体" w:hAnsi="黑体" w:eastAsia="黑体"/>
          <w:b w:val="0"/>
          <w:sz w:val="28"/>
          <w:szCs w:val="28"/>
        </w:rPr>
      </w:pPr>
      <w:bookmarkStart w:id="790" w:name="_Toc54862170"/>
      <w:bookmarkEnd w:id="790"/>
      <w:bookmarkStart w:id="791" w:name="_Toc16069"/>
      <w:bookmarkEnd w:id="791"/>
      <w:bookmarkStart w:id="792" w:name="_Toc25852"/>
      <w:bookmarkEnd w:id="792"/>
      <w:r>
        <w:rPr>
          <w:rFonts w:hint="eastAsia" w:ascii="黑体" w:hAnsi="黑体" w:eastAsia="黑体"/>
          <w:b w:val="0"/>
          <w:sz w:val="28"/>
          <w:szCs w:val="28"/>
        </w:rPr>
        <w:t>六、合同文件构成</w:t>
      </w:r>
    </w:p>
    <w:p w14:paraId="06816BC4">
      <w:pPr>
        <w:spacing w:line="360" w:lineRule="auto"/>
        <w:ind w:firstLine="601"/>
        <w:rPr>
          <w:rFonts w:ascii="仿宋_GB2312" w:eastAsia="仿宋_GB2312"/>
        </w:rPr>
      </w:pPr>
      <w:r>
        <w:rPr>
          <w:rFonts w:hint="eastAsia" w:ascii="仿宋_GB2312" w:eastAsia="仿宋_GB2312"/>
        </w:rPr>
        <w:t xml:space="preserve">本协议书与下列文件一起构成合同文件： </w:t>
      </w:r>
    </w:p>
    <w:p w14:paraId="7A88699C">
      <w:pPr>
        <w:spacing w:line="360" w:lineRule="auto"/>
        <w:ind w:firstLine="601"/>
        <w:rPr>
          <w:rFonts w:ascii="仿宋_GB2312" w:eastAsia="仿宋_GB2312"/>
        </w:rPr>
      </w:pPr>
      <w:r>
        <w:rPr>
          <w:rFonts w:hint="eastAsia" w:ascii="仿宋_GB2312" w:eastAsia="仿宋_GB2312"/>
        </w:rPr>
        <w:t>（1） 中标通知书（如果有）；</w:t>
      </w:r>
    </w:p>
    <w:p w14:paraId="44A4F2E4">
      <w:pPr>
        <w:spacing w:line="360" w:lineRule="auto"/>
        <w:ind w:firstLine="601"/>
        <w:rPr>
          <w:rFonts w:ascii="仿宋_GB2312" w:eastAsia="仿宋_GB2312"/>
        </w:rPr>
      </w:pPr>
      <w:r>
        <w:rPr>
          <w:rFonts w:hint="eastAsia" w:ascii="仿宋_GB2312" w:eastAsia="仿宋_GB2312"/>
        </w:rPr>
        <w:t>（2） 投标函及投标函附录（如果有）；</w:t>
      </w:r>
    </w:p>
    <w:p w14:paraId="66FB7C29">
      <w:pPr>
        <w:spacing w:line="360" w:lineRule="auto"/>
        <w:ind w:firstLine="601"/>
        <w:rPr>
          <w:rFonts w:ascii="仿宋_GB2312" w:eastAsia="仿宋_GB2312"/>
        </w:rPr>
      </w:pPr>
      <w:r>
        <w:rPr>
          <w:rFonts w:hint="eastAsia" w:ascii="仿宋_GB2312" w:eastAsia="仿宋_GB2312"/>
        </w:rPr>
        <w:t>（3） 专用合同条件及《发包人要求》等附件；</w:t>
      </w:r>
    </w:p>
    <w:p w14:paraId="52FF951B">
      <w:pPr>
        <w:spacing w:line="360" w:lineRule="auto"/>
        <w:ind w:firstLine="601"/>
        <w:rPr>
          <w:rFonts w:ascii="仿宋_GB2312" w:eastAsia="仿宋_GB2312"/>
        </w:rPr>
      </w:pPr>
      <w:r>
        <w:rPr>
          <w:rFonts w:hint="eastAsia" w:ascii="仿宋_GB2312" w:eastAsia="仿宋_GB2312"/>
        </w:rPr>
        <w:t>（4） 通用合同条件；</w:t>
      </w:r>
    </w:p>
    <w:p w14:paraId="25A8CD41">
      <w:pPr>
        <w:spacing w:line="360" w:lineRule="auto"/>
        <w:ind w:firstLine="601"/>
        <w:rPr>
          <w:rFonts w:ascii="仿宋_GB2312" w:eastAsia="仿宋_GB2312"/>
        </w:rPr>
      </w:pPr>
      <w:r>
        <w:rPr>
          <w:rFonts w:hint="eastAsia" w:ascii="仿宋_GB2312" w:eastAsia="仿宋_GB2312"/>
        </w:rPr>
        <w:t>（</w:t>
      </w:r>
      <w:r>
        <w:rPr>
          <w:rFonts w:ascii="仿宋_GB2312" w:eastAsia="仿宋_GB2312"/>
        </w:rPr>
        <w:t>5</w:t>
      </w:r>
      <w:r>
        <w:rPr>
          <w:rFonts w:hint="eastAsia" w:ascii="仿宋_GB2312" w:eastAsia="仿宋_GB2312"/>
        </w:rPr>
        <w:t xml:space="preserve">） 承包人建议书； </w:t>
      </w:r>
    </w:p>
    <w:p w14:paraId="4AFCF810">
      <w:pPr>
        <w:spacing w:line="360" w:lineRule="auto"/>
        <w:ind w:firstLine="601"/>
        <w:rPr>
          <w:rFonts w:ascii="仿宋_GB2312" w:eastAsia="仿宋_GB2312"/>
        </w:rPr>
      </w:pPr>
      <w:r>
        <w:rPr>
          <w:rFonts w:hint="eastAsia" w:ascii="仿宋_GB2312" w:eastAsia="仿宋_GB2312"/>
        </w:rPr>
        <w:t>（</w:t>
      </w:r>
      <w:r>
        <w:rPr>
          <w:rFonts w:ascii="仿宋_GB2312" w:eastAsia="仿宋_GB2312"/>
        </w:rPr>
        <w:t>6</w:t>
      </w:r>
      <w:r>
        <w:rPr>
          <w:rFonts w:hint="eastAsia" w:ascii="仿宋_GB2312" w:eastAsia="仿宋_GB2312"/>
        </w:rPr>
        <w:t>） 价格清单；</w:t>
      </w:r>
    </w:p>
    <w:p w14:paraId="461F9199">
      <w:pPr>
        <w:spacing w:line="360" w:lineRule="auto"/>
        <w:ind w:firstLine="601"/>
        <w:rPr>
          <w:rFonts w:ascii="仿宋_GB2312" w:eastAsia="仿宋_GB2312"/>
        </w:rPr>
      </w:pPr>
      <w:r>
        <w:rPr>
          <w:rFonts w:hint="eastAsia" w:ascii="仿宋_GB2312" w:eastAsia="仿宋_GB2312"/>
        </w:rPr>
        <w:t>（</w:t>
      </w:r>
      <w:r>
        <w:rPr>
          <w:rFonts w:ascii="仿宋_GB2312" w:eastAsia="仿宋_GB2312"/>
        </w:rPr>
        <w:t>7</w:t>
      </w:r>
      <w:r>
        <w:rPr>
          <w:rFonts w:hint="eastAsia" w:ascii="仿宋_GB2312" w:eastAsia="仿宋_GB2312"/>
        </w:rPr>
        <w:t>） 双方约定的其他合同文件。</w:t>
      </w:r>
    </w:p>
    <w:p w14:paraId="1F8E9F55">
      <w:pPr>
        <w:spacing w:line="360" w:lineRule="auto"/>
        <w:ind w:firstLine="601"/>
        <w:rPr>
          <w:rFonts w:ascii="仿宋_GB2312" w:eastAsia="仿宋_GB2312"/>
        </w:rPr>
      </w:pPr>
      <w:r>
        <w:rPr>
          <w:rFonts w:hint="eastAsia" w:ascii="仿宋_GB2312" w:eastAsia="仿宋_GB2312"/>
        </w:rPr>
        <w:t>上述各项合同文件包括双方就该项合同文件所作出的补充和修改，属于同一项内容的合同文件应以最新签署的为准。专用合同条件及其附件须经合同当事人签字或盖章。</w:t>
      </w:r>
    </w:p>
    <w:p w14:paraId="5B77CB98">
      <w:pPr>
        <w:pStyle w:val="37"/>
        <w:numPr>
          <w:ilvl w:val="0"/>
          <w:numId w:val="0"/>
        </w:numPr>
        <w:spacing w:before="0" w:after="0"/>
        <w:outlineLvl w:val="2"/>
        <w:rPr>
          <w:rFonts w:hint="eastAsia" w:ascii="黑体" w:hAnsi="黑体" w:eastAsia="黑体"/>
          <w:b w:val="0"/>
          <w:sz w:val="28"/>
          <w:szCs w:val="28"/>
        </w:rPr>
      </w:pPr>
      <w:bookmarkStart w:id="793" w:name="_Toc11249"/>
      <w:bookmarkEnd w:id="793"/>
      <w:bookmarkStart w:id="794" w:name="_Toc7703"/>
      <w:bookmarkEnd w:id="794"/>
      <w:bookmarkStart w:id="795" w:name="_Toc54862171"/>
      <w:bookmarkEnd w:id="795"/>
      <w:r>
        <w:rPr>
          <w:rFonts w:hint="eastAsia" w:ascii="黑体" w:hAnsi="黑体" w:eastAsia="黑体"/>
          <w:b w:val="0"/>
          <w:sz w:val="28"/>
          <w:szCs w:val="28"/>
        </w:rPr>
        <w:t>七、承诺</w:t>
      </w:r>
    </w:p>
    <w:p w14:paraId="75F488B7">
      <w:pPr>
        <w:spacing w:line="360" w:lineRule="auto"/>
        <w:ind w:firstLine="600"/>
        <w:rPr>
          <w:rFonts w:ascii="仿宋_GB2312" w:eastAsia="仿宋_GB2312"/>
        </w:rPr>
      </w:pPr>
      <w:r>
        <w:rPr>
          <w:rFonts w:hint="eastAsia" w:ascii="仿宋_GB2312" w:eastAsia="仿宋_GB2312"/>
        </w:rPr>
        <w:t>1. 发包人承诺按照法律规定履行项目审批手续、筹集工程建设资金并按照合同约定的期限和方式支付合同价款。</w:t>
      </w:r>
    </w:p>
    <w:p w14:paraId="60ACEF22">
      <w:pPr>
        <w:spacing w:line="360" w:lineRule="auto"/>
        <w:ind w:firstLine="600"/>
        <w:rPr>
          <w:rFonts w:ascii="仿宋_GB2312" w:eastAsia="仿宋_GB2312"/>
        </w:rPr>
      </w:pPr>
      <w:r>
        <w:rPr>
          <w:rFonts w:hint="eastAsia" w:ascii="仿宋_GB2312" w:eastAsia="仿宋_GB2312"/>
        </w:rPr>
        <w:t>2. 承包人承诺按照法律规定及合同约定组织完成工程的设计、采购和施工等工作，确保工程质量和安全，不进行转包及违法分包，并在缺陷责任期及保修期内承担相应的工程维修责任。</w:t>
      </w:r>
    </w:p>
    <w:p w14:paraId="196062D7">
      <w:pPr>
        <w:pStyle w:val="37"/>
        <w:numPr>
          <w:ilvl w:val="0"/>
          <w:numId w:val="0"/>
        </w:numPr>
        <w:spacing w:before="0" w:after="0"/>
        <w:outlineLvl w:val="2"/>
        <w:rPr>
          <w:rFonts w:hint="eastAsia" w:ascii="黑体" w:hAnsi="黑体" w:eastAsia="黑体"/>
          <w:b w:val="0"/>
          <w:sz w:val="28"/>
          <w:szCs w:val="28"/>
        </w:rPr>
      </w:pPr>
      <w:bookmarkStart w:id="796" w:name="_Toc5071"/>
      <w:bookmarkEnd w:id="796"/>
      <w:bookmarkStart w:id="797" w:name="_Toc54862172"/>
      <w:bookmarkEnd w:id="797"/>
      <w:bookmarkStart w:id="798" w:name="_Toc20754"/>
      <w:bookmarkEnd w:id="798"/>
      <w:r>
        <w:rPr>
          <w:rFonts w:hint="eastAsia" w:ascii="黑体" w:hAnsi="黑体" w:eastAsia="黑体"/>
          <w:b w:val="0"/>
          <w:sz w:val="28"/>
          <w:szCs w:val="28"/>
        </w:rPr>
        <w:t>八、订立时间</w:t>
      </w:r>
    </w:p>
    <w:p w14:paraId="3922E6AE">
      <w:pPr>
        <w:spacing w:line="360" w:lineRule="auto"/>
        <w:ind w:firstLine="600"/>
        <w:rPr>
          <w:rFonts w:ascii="仿宋_GB2312" w:eastAsia="仿宋_GB2312"/>
        </w:rPr>
      </w:pPr>
      <w:r>
        <w:rPr>
          <w:rFonts w:hint="eastAsia" w:ascii="仿宋_GB2312" w:eastAsia="仿宋_GB2312"/>
        </w:rPr>
        <w:t>本合同于   年   月    日订立。</w:t>
      </w:r>
    </w:p>
    <w:p w14:paraId="387CE72D">
      <w:pPr>
        <w:pStyle w:val="37"/>
        <w:numPr>
          <w:ilvl w:val="0"/>
          <w:numId w:val="0"/>
        </w:numPr>
        <w:spacing w:before="0" w:after="0"/>
        <w:outlineLvl w:val="2"/>
        <w:rPr>
          <w:rFonts w:hint="eastAsia" w:ascii="黑体" w:hAnsi="黑体" w:eastAsia="黑体"/>
          <w:b w:val="0"/>
          <w:sz w:val="28"/>
          <w:szCs w:val="28"/>
        </w:rPr>
      </w:pPr>
      <w:bookmarkStart w:id="799" w:name="_Toc54862173"/>
      <w:bookmarkEnd w:id="799"/>
      <w:bookmarkStart w:id="800" w:name="_Toc31148"/>
      <w:bookmarkEnd w:id="800"/>
      <w:bookmarkStart w:id="801" w:name="_Toc29376"/>
      <w:bookmarkEnd w:id="801"/>
      <w:r>
        <w:rPr>
          <w:rFonts w:hint="eastAsia" w:ascii="黑体" w:hAnsi="黑体" w:eastAsia="黑体"/>
          <w:b w:val="0"/>
          <w:sz w:val="28"/>
          <w:szCs w:val="28"/>
        </w:rPr>
        <w:t>九、订立地点</w:t>
      </w:r>
    </w:p>
    <w:p w14:paraId="76CA20E1">
      <w:pPr>
        <w:spacing w:line="360" w:lineRule="auto"/>
        <w:ind w:firstLine="600"/>
        <w:rPr>
          <w:rFonts w:ascii="仿宋_GB2312" w:eastAsia="仿宋_GB2312"/>
        </w:rPr>
      </w:pPr>
      <w:r>
        <w:rPr>
          <w:rFonts w:hint="eastAsia" w:ascii="仿宋_GB2312" w:eastAsia="仿宋_GB2312"/>
        </w:rPr>
        <w:t>本合同在       订立。</w:t>
      </w:r>
    </w:p>
    <w:p w14:paraId="08EFFB94">
      <w:pPr>
        <w:pStyle w:val="37"/>
        <w:numPr>
          <w:ilvl w:val="0"/>
          <w:numId w:val="0"/>
        </w:numPr>
        <w:spacing w:before="0" w:after="0"/>
        <w:outlineLvl w:val="2"/>
        <w:rPr>
          <w:rFonts w:hint="eastAsia" w:ascii="黑体" w:hAnsi="黑体" w:eastAsia="黑体"/>
          <w:b w:val="0"/>
          <w:sz w:val="28"/>
          <w:szCs w:val="28"/>
        </w:rPr>
      </w:pPr>
      <w:bookmarkStart w:id="802" w:name="_Toc54862174"/>
      <w:bookmarkEnd w:id="802"/>
      <w:bookmarkStart w:id="803" w:name="_Toc25659"/>
      <w:bookmarkEnd w:id="803"/>
      <w:bookmarkStart w:id="804" w:name="_Toc26095"/>
      <w:bookmarkEnd w:id="804"/>
      <w:r>
        <w:rPr>
          <w:rFonts w:hint="eastAsia" w:ascii="黑体" w:hAnsi="黑体" w:eastAsia="黑体"/>
          <w:b w:val="0"/>
          <w:sz w:val="28"/>
          <w:szCs w:val="28"/>
        </w:rPr>
        <w:t>十、合同生效</w:t>
      </w:r>
    </w:p>
    <w:p w14:paraId="15ADE0CF">
      <w:pPr>
        <w:spacing w:line="360" w:lineRule="auto"/>
        <w:ind w:firstLine="600"/>
        <w:rPr>
          <w:rFonts w:ascii="仿宋_GB2312" w:eastAsia="仿宋_GB2312"/>
        </w:rPr>
      </w:pPr>
      <w:r>
        <w:rPr>
          <w:rFonts w:hint="eastAsia" w:ascii="仿宋_GB2312" w:eastAsia="仿宋_GB2312"/>
        </w:rPr>
        <w:t>本合同经双方签字或盖章后成立，并自生效。</w:t>
      </w:r>
    </w:p>
    <w:p w14:paraId="7A7FCB79">
      <w:pPr>
        <w:pStyle w:val="37"/>
        <w:numPr>
          <w:ilvl w:val="0"/>
          <w:numId w:val="0"/>
        </w:numPr>
        <w:spacing w:before="0" w:after="0"/>
        <w:outlineLvl w:val="2"/>
        <w:rPr>
          <w:rFonts w:hint="eastAsia" w:ascii="黑体" w:hAnsi="黑体" w:eastAsia="黑体"/>
          <w:b w:val="0"/>
          <w:sz w:val="28"/>
          <w:szCs w:val="28"/>
        </w:rPr>
      </w:pPr>
      <w:bookmarkStart w:id="805" w:name="_Toc12052"/>
      <w:bookmarkEnd w:id="805"/>
      <w:bookmarkStart w:id="806" w:name="_Toc54862175"/>
      <w:bookmarkEnd w:id="806"/>
      <w:bookmarkStart w:id="807" w:name="_Toc12008"/>
      <w:bookmarkEnd w:id="807"/>
      <w:r>
        <w:rPr>
          <w:rFonts w:hint="eastAsia" w:ascii="黑体" w:hAnsi="黑体" w:eastAsia="黑体"/>
          <w:b w:val="0"/>
          <w:sz w:val="28"/>
          <w:szCs w:val="28"/>
        </w:rPr>
        <w:t>十一、合同份数</w:t>
      </w:r>
    </w:p>
    <w:p w14:paraId="2986CBDA">
      <w:pPr>
        <w:spacing w:line="360" w:lineRule="auto"/>
        <w:ind w:firstLine="600"/>
        <w:rPr>
          <w:rFonts w:ascii="仿宋_GB2312" w:eastAsia="仿宋_GB2312"/>
        </w:rPr>
      </w:pPr>
      <w:r>
        <w:rPr>
          <w:rFonts w:hint="eastAsia" w:ascii="仿宋_GB2312" w:eastAsia="仿宋_GB2312"/>
        </w:rPr>
        <w:t>本合同一式份，均具有同等法律效力，发包人执份，承包人执份。</w:t>
      </w:r>
    </w:p>
    <w:p w14:paraId="167EC40C">
      <w:pPr>
        <w:spacing w:line="360" w:lineRule="auto"/>
        <w:rPr>
          <w:rFonts w:ascii="仿宋_GB2312" w:eastAsia="仿宋_GB2312"/>
        </w:rPr>
      </w:pPr>
    </w:p>
    <w:tbl>
      <w:tblPr>
        <w:tblStyle w:val="25"/>
        <w:tblpPr w:leftFromText="180" w:rightFromText="180" w:vertAnchor="text" w:horzAnchor="page" w:tblpX="1702" w:tblpY="119"/>
        <w:tblW w:w="9072" w:type="dxa"/>
        <w:tblInd w:w="0" w:type="dxa"/>
        <w:tblLayout w:type="fixed"/>
        <w:tblCellMar>
          <w:top w:w="0" w:type="dxa"/>
          <w:left w:w="108" w:type="dxa"/>
          <w:bottom w:w="0" w:type="dxa"/>
          <w:right w:w="108" w:type="dxa"/>
        </w:tblCellMar>
      </w:tblPr>
      <w:tblGrid>
        <w:gridCol w:w="4507"/>
        <w:gridCol w:w="4565"/>
      </w:tblGrid>
      <w:tr w14:paraId="53E53CE3">
        <w:tblPrEx>
          <w:tblCellMar>
            <w:top w:w="0" w:type="dxa"/>
            <w:left w:w="108" w:type="dxa"/>
            <w:bottom w:w="0" w:type="dxa"/>
            <w:right w:w="108" w:type="dxa"/>
          </w:tblCellMar>
        </w:tblPrEx>
        <w:tc>
          <w:tcPr>
            <w:tcW w:w="4507" w:type="dxa"/>
          </w:tcPr>
          <w:p w14:paraId="68BA3AA8">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发包人：（公章）</w:t>
            </w:r>
          </w:p>
          <w:p w14:paraId="18CDF0C2">
            <w:pPr>
              <w:pStyle w:val="38"/>
              <w:framePr w:hSpace="0" w:wrap="auto" w:vAnchor="margin" w:hAnchor="text" w:yAlign="inline"/>
              <w:spacing w:after="50" w:line="360" w:lineRule="auto"/>
              <w:rPr>
                <w:rFonts w:hint="eastAsia" w:ascii="仿宋_GB2312" w:hAnsi="宋体" w:eastAsia="仿宋_GB2312"/>
                <w:sz w:val="21"/>
                <w:szCs w:val="21"/>
              </w:rPr>
            </w:pPr>
          </w:p>
          <w:p w14:paraId="06A80CAB">
            <w:pPr>
              <w:pStyle w:val="38"/>
              <w:framePr w:hSpace="0" w:wrap="auto" w:vAnchor="margin" w:hAnchor="text" w:yAlign="inline"/>
              <w:spacing w:after="50" w:line="360" w:lineRule="auto"/>
              <w:rPr>
                <w:rFonts w:hint="eastAsia" w:ascii="仿宋_GB2312" w:hAnsi="宋体" w:eastAsia="仿宋_GB2312"/>
                <w:sz w:val="21"/>
                <w:szCs w:val="21"/>
              </w:rPr>
            </w:pPr>
          </w:p>
        </w:tc>
        <w:tc>
          <w:tcPr>
            <w:tcW w:w="4565" w:type="dxa"/>
          </w:tcPr>
          <w:p w14:paraId="6736E404">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承包人：（公章）</w:t>
            </w:r>
          </w:p>
          <w:p w14:paraId="6533C267">
            <w:pPr>
              <w:pStyle w:val="38"/>
              <w:framePr w:hSpace="0" w:wrap="auto" w:vAnchor="margin" w:hAnchor="text" w:yAlign="inline"/>
              <w:spacing w:after="50" w:line="360" w:lineRule="auto"/>
              <w:rPr>
                <w:rFonts w:hint="eastAsia" w:ascii="仿宋_GB2312" w:hAnsi="宋体" w:eastAsia="仿宋_GB2312"/>
                <w:sz w:val="21"/>
                <w:szCs w:val="21"/>
              </w:rPr>
            </w:pPr>
          </w:p>
          <w:p w14:paraId="0B031FC4">
            <w:pPr>
              <w:pStyle w:val="38"/>
              <w:framePr w:hSpace="0" w:wrap="auto" w:vAnchor="margin" w:hAnchor="text" w:yAlign="inline"/>
              <w:spacing w:after="50" w:line="360" w:lineRule="auto"/>
              <w:rPr>
                <w:rFonts w:hint="eastAsia" w:ascii="仿宋_GB2312" w:hAnsi="宋体" w:eastAsia="仿宋_GB2312"/>
                <w:sz w:val="21"/>
                <w:szCs w:val="21"/>
              </w:rPr>
            </w:pPr>
          </w:p>
        </w:tc>
      </w:tr>
      <w:tr w14:paraId="1D2A94AD">
        <w:tblPrEx>
          <w:tblCellMar>
            <w:top w:w="0" w:type="dxa"/>
            <w:left w:w="108" w:type="dxa"/>
            <w:bottom w:w="0" w:type="dxa"/>
            <w:right w:w="108" w:type="dxa"/>
          </w:tblCellMar>
        </w:tblPrEx>
        <w:tc>
          <w:tcPr>
            <w:tcW w:w="4507" w:type="dxa"/>
          </w:tcPr>
          <w:p w14:paraId="6E8216C8">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法定代表人或其委托代理人：</w:t>
            </w:r>
          </w:p>
          <w:p w14:paraId="426E3459">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（签字）</w:t>
            </w:r>
          </w:p>
          <w:p w14:paraId="6F6586A5">
            <w:pPr>
              <w:pStyle w:val="38"/>
              <w:framePr w:hSpace="0" w:wrap="auto" w:vAnchor="margin" w:hAnchor="text" w:yAlign="inline"/>
              <w:spacing w:after="50" w:line="360" w:lineRule="auto"/>
              <w:rPr>
                <w:rFonts w:hint="eastAsia" w:ascii="仿宋_GB2312" w:hAnsi="宋体" w:eastAsia="仿宋_GB2312"/>
                <w:sz w:val="21"/>
                <w:szCs w:val="21"/>
              </w:rPr>
            </w:pPr>
          </w:p>
        </w:tc>
        <w:tc>
          <w:tcPr>
            <w:tcW w:w="4565" w:type="dxa"/>
          </w:tcPr>
          <w:p w14:paraId="51433ADB">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法定代表人或其委托代理人：</w:t>
            </w:r>
          </w:p>
          <w:p w14:paraId="64374427">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（签字）</w:t>
            </w:r>
          </w:p>
          <w:p w14:paraId="6062A661">
            <w:pPr>
              <w:pStyle w:val="38"/>
              <w:framePr w:hSpace="0" w:wrap="auto" w:vAnchor="margin" w:hAnchor="text" w:yAlign="inline"/>
              <w:spacing w:after="50" w:line="360" w:lineRule="auto"/>
              <w:rPr>
                <w:rFonts w:hint="eastAsia" w:ascii="仿宋_GB2312" w:hAnsi="宋体" w:eastAsia="仿宋_GB2312"/>
                <w:sz w:val="21"/>
                <w:szCs w:val="21"/>
              </w:rPr>
            </w:pPr>
          </w:p>
        </w:tc>
      </w:tr>
      <w:tr w14:paraId="5C3A635C">
        <w:tblPrEx>
          <w:tblCellMar>
            <w:top w:w="0" w:type="dxa"/>
            <w:left w:w="108" w:type="dxa"/>
            <w:bottom w:w="0" w:type="dxa"/>
            <w:right w:w="108" w:type="dxa"/>
          </w:tblCellMar>
        </w:tblPrEx>
        <w:tc>
          <w:tcPr>
            <w:tcW w:w="4507" w:type="dxa"/>
          </w:tcPr>
          <w:p w14:paraId="396EAD20">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统一社会信用代码：</w:t>
            </w:r>
          </w:p>
          <w:p w14:paraId="3A321D34">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地址：</w:t>
            </w:r>
          </w:p>
          <w:p w14:paraId="33F0EE3C">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邮政编码：</w:t>
            </w:r>
          </w:p>
          <w:p w14:paraId="723D3BE0">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法定代表人：</w:t>
            </w:r>
          </w:p>
          <w:p w14:paraId="01C17FBB">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委托代理人：</w:t>
            </w:r>
          </w:p>
          <w:p w14:paraId="56D0AF2D">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电话：</w:t>
            </w:r>
          </w:p>
          <w:p w14:paraId="78D28309">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 xml:space="preserve">传真： </w:t>
            </w:r>
          </w:p>
          <w:p w14:paraId="3EE055F9">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电子信箱：</w:t>
            </w:r>
          </w:p>
          <w:p w14:paraId="1B769404">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开户银行：</w:t>
            </w:r>
          </w:p>
          <w:p w14:paraId="49C5C752">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账号：</w:t>
            </w:r>
          </w:p>
        </w:tc>
        <w:tc>
          <w:tcPr>
            <w:tcW w:w="4565" w:type="dxa"/>
          </w:tcPr>
          <w:p w14:paraId="107745A2">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统一社会信用代码：</w:t>
            </w:r>
          </w:p>
          <w:p w14:paraId="2EE37FA1">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地址：</w:t>
            </w:r>
          </w:p>
          <w:p w14:paraId="3FF8CD35">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邮政编码：</w:t>
            </w:r>
          </w:p>
          <w:p w14:paraId="2B3517EF">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法定代表人：</w:t>
            </w:r>
          </w:p>
          <w:p w14:paraId="03C8B605">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委托代理人：</w:t>
            </w:r>
          </w:p>
          <w:p w14:paraId="1EB09580">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电话：</w:t>
            </w:r>
          </w:p>
          <w:p w14:paraId="7F688318">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传真：</w:t>
            </w:r>
          </w:p>
          <w:p w14:paraId="4BE84486">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电子信箱：</w:t>
            </w:r>
          </w:p>
          <w:p w14:paraId="34E4D325">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开户银行：</w:t>
            </w:r>
          </w:p>
          <w:p w14:paraId="71A37CEB">
            <w:pPr>
              <w:pStyle w:val="38"/>
              <w:framePr w:hSpace="0" w:wrap="auto" w:vAnchor="margin" w:hAnchor="text" w:yAlign="inline"/>
              <w:spacing w:after="50" w:line="360" w:lineRule="auto"/>
              <w:rPr>
                <w:rFonts w:hint="eastAsia" w:ascii="仿宋_GB2312" w:hAnsi="宋体" w:eastAsia="仿宋_GB2312"/>
                <w:sz w:val="21"/>
                <w:szCs w:val="21"/>
              </w:rPr>
            </w:pPr>
            <w:r>
              <w:rPr>
                <w:rFonts w:hint="eastAsia" w:ascii="仿宋_GB2312" w:hAnsi="宋体" w:eastAsia="仿宋_GB2312"/>
                <w:sz w:val="21"/>
                <w:szCs w:val="21"/>
              </w:rPr>
              <w:t>账号：</w:t>
            </w:r>
          </w:p>
        </w:tc>
      </w:tr>
    </w:tbl>
    <w:p w14:paraId="19F202FD">
      <w:pPr>
        <w:pStyle w:val="36"/>
        <w:numPr>
          <w:ilvl w:val="0"/>
          <w:numId w:val="0"/>
        </w:numPr>
        <w:jc w:val="center"/>
        <w:rPr>
          <w:rFonts w:hint="eastAsia"/>
          <w:b w:val="0"/>
          <w:sz w:val="36"/>
          <w:szCs w:val="36"/>
        </w:rPr>
      </w:pPr>
      <w:bookmarkStart w:id="808" w:name="_Toc54862176"/>
      <w:bookmarkEnd w:id="808"/>
      <w:bookmarkStart w:id="809" w:name="_Toc21019"/>
      <w:bookmarkEnd w:id="809"/>
      <w:r>
        <w:rPr>
          <w:rFonts w:hint="eastAsia"/>
          <w:b w:val="0"/>
          <w:sz w:val="36"/>
          <w:szCs w:val="36"/>
        </w:rPr>
        <w:t>第二部分 通用合同条件</w:t>
      </w:r>
    </w:p>
    <w:p w14:paraId="78421B89">
      <w:pPr>
        <w:pStyle w:val="37"/>
        <w:numPr>
          <w:ilvl w:val="0"/>
          <w:numId w:val="0"/>
        </w:numPr>
        <w:spacing w:before="0" w:after="0"/>
        <w:outlineLvl w:val="2"/>
        <w:rPr>
          <w:rFonts w:hint="eastAsia" w:ascii="黑体" w:hAnsi="黑体" w:eastAsia="黑体"/>
          <w:b w:val="0"/>
          <w:sz w:val="28"/>
          <w:szCs w:val="28"/>
        </w:rPr>
      </w:pPr>
      <w:bookmarkStart w:id="810" w:name="_Toc54862177"/>
      <w:bookmarkEnd w:id="810"/>
      <w:bookmarkStart w:id="811" w:name="_Ref508893699"/>
      <w:bookmarkEnd w:id="811"/>
      <w:bookmarkStart w:id="812" w:name="_Toc31230"/>
      <w:bookmarkEnd w:id="812"/>
      <w:bookmarkStart w:id="813" w:name="_Toc29088"/>
      <w:bookmarkEnd w:id="813"/>
      <w:bookmarkStart w:id="814" w:name="_Ref509040831"/>
      <w:bookmarkStart w:id="815" w:name="_Ref509040826"/>
      <w:r>
        <w:rPr>
          <w:rFonts w:hint="eastAsia" w:ascii="黑体" w:hAnsi="黑体" w:eastAsia="黑体"/>
          <w:b w:val="0"/>
          <w:sz w:val="28"/>
          <w:szCs w:val="28"/>
        </w:rPr>
        <w:t>第1条 一般约定</w:t>
      </w:r>
    </w:p>
    <w:bookmarkEnd w:id="814"/>
    <w:bookmarkEnd w:id="815"/>
    <w:p w14:paraId="2C81A5F2">
      <w:pPr>
        <w:pStyle w:val="39"/>
        <w:widowControl/>
        <w:spacing w:afterLines="0"/>
        <w:ind w:left="0"/>
        <w:outlineLvl w:val="3"/>
        <w:rPr>
          <w:rFonts w:hint="eastAsia"/>
          <w:b w:val="0"/>
          <w:bCs/>
          <w:sz w:val="21"/>
          <w:szCs w:val="21"/>
        </w:rPr>
      </w:pPr>
      <w:bookmarkStart w:id="816" w:name="_Toc15457"/>
      <w:bookmarkEnd w:id="816"/>
      <w:bookmarkStart w:id="817" w:name="_Ref523741471"/>
      <w:bookmarkEnd w:id="817"/>
      <w:bookmarkStart w:id="818" w:name="_Ref523741474"/>
      <w:bookmarkEnd w:id="818"/>
      <w:bookmarkStart w:id="819" w:name="_Toc54862178"/>
      <w:bookmarkEnd w:id="819"/>
      <w:bookmarkStart w:id="820" w:name="_Toc28418"/>
      <w:bookmarkEnd w:id="820"/>
      <w:r>
        <w:rPr>
          <w:rFonts w:hint="eastAsia"/>
          <w:b w:val="0"/>
          <w:bCs/>
          <w:sz w:val="21"/>
          <w:szCs w:val="21"/>
        </w:rPr>
        <w:t>1</w:t>
      </w:r>
      <w:r>
        <w:rPr>
          <w:b w:val="0"/>
          <w:bCs/>
          <w:sz w:val="21"/>
          <w:szCs w:val="21"/>
        </w:rPr>
        <w:t xml:space="preserve">.1 </w:t>
      </w:r>
      <w:r>
        <w:rPr>
          <w:rFonts w:hint="eastAsia"/>
          <w:b w:val="0"/>
          <w:bCs/>
          <w:sz w:val="21"/>
          <w:szCs w:val="21"/>
        </w:rPr>
        <w:t>词语定义和解释</w:t>
      </w:r>
    </w:p>
    <w:p w14:paraId="32996E4D">
      <w:pPr>
        <w:spacing w:line="360" w:lineRule="auto"/>
        <w:ind w:firstLine="600"/>
        <w:rPr>
          <w:rFonts w:ascii="仿宋_GB2312" w:eastAsia="仿宋_GB2312"/>
        </w:rPr>
      </w:pPr>
      <w:r>
        <w:rPr>
          <w:rFonts w:hint="eastAsia" w:ascii="仿宋_GB2312" w:eastAsia="仿宋_GB2312"/>
        </w:rPr>
        <w:t>合同协议书、通用合同条件、专用合同条件中的下列词语应具有本款所赋予的含义：</w:t>
      </w:r>
    </w:p>
    <w:p w14:paraId="6026C764">
      <w:pPr>
        <w:pStyle w:val="40"/>
        <w:spacing w:after="157"/>
        <w:ind w:left="0"/>
        <w:outlineLvl w:val="4"/>
        <w:rPr>
          <w:rFonts w:hint="eastAsia" w:ascii="仿宋_GB2312" w:eastAsia="仿宋_GB2312"/>
          <w:sz w:val="21"/>
        </w:rPr>
      </w:pPr>
      <w:bookmarkStart w:id="821" w:name="_Ref4757289"/>
      <w:bookmarkEnd w:id="821"/>
      <w:r>
        <w:rPr>
          <w:rFonts w:hint="eastAsia" w:ascii="仿宋_GB2312" w:eastAsia="仿宋_GB2312"/>
          <w:sz w:val="21"/>
        </w:rPr>
        <w:t>1</w:t>
      </w:r>
      <w:r>
        <w:rPr>
          <w:rFonts w:ascii="仿宋_GB2312" w:eastAsia="仿宋_GB2312"/>
          <w:sz w:val="21"/>
        </w:rPr>
        <w:t xml:space="preserve">.1.1 </w:t>
      </w:r>
      <w:r>
        <w:rPr>
          <w:rFonts w:hint="eastAsia" w:ascii="仿宋_GB2312" w:eastAsia="仿宋_GB2312"/>
          <w:sz w:val="21"/>
        </w:rPr>
        <w:t>合同</w:t>
      </w:r>
    </w:p>
    <w:p w14:paraId="77E18493">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.1.1.1 </w:t>
      </w:r>
      <w:r>
        <w:rPr>
          <w:rFonts w:hint="eastAsia" w:ascii="仿宋_GB2312" w:eastAsia="仿宋_GB2312"/>
          <w:sz w:val="21"/>
        </w:rPr>
        <w:t>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67DECE3B">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.1.1.2 </w:t>
      </w:r>
      <w:r>
        <w:rPr>
          <w:rFonts w:hint="eastAsia" w:ascii="仿宋_GB2312" w:eastAsia="仿宋_GB2312"/>
          <w:sz w:val="21"/>
        </w:rPr>
        <w:t>合同协议书：是指构成合同的由发包人和承包人共同签署的称为“合同协议书”的书面文件。</w:t>
      </w:r>
    </w:p>
    <w:p w14:paraId="07CBA314">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.1.1.3 </w:t>
      </w:r>
      <w:r>
        <w:rPr>
          <w:rFonts w:hint="eastAsia" w:ascii="仿宋_GB2312" w:eastAsia="仿宋_GB2312"/>
          <w:sz w:val="21"/>
        </w:rPr>
        <w:t>中标通知书：是指构成合同的由发包人通知承包人中标的书面文件。中标通知书随附的澄清、说明、补正事项纪要等，是中标通知书的组成部分。</w:t>
      </w:r>
    </w:p>
    <w:p w14:paraId="1436D5C4">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.1.1.4 </w:t>
      </w:r>
      <w:r>
        <w:rPr>
          <w:rFonts w:hint="eastAsia" w:ascii="仿宋_GB2312" w:eastAsia="仿宋_GB2312"/>
          <w:sz w:val="21"/>
        </w:rPr>
        <w:t>投标函：是指构成合同的由承包人填写并签署的用于投标的称为“投标函”的文件。</w:t>
      </w:r>
    </w:p>
    <w:p w14:paraId="2F91D9A9">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.1.1.5 </w:t>
      </w:r>
      <w:r>
        <w:rPr>
          <w:rFonts w:hint="eastAsia" w:ascii="仿宋_GB2312" w:eastAsia="仿宋_GB2312"/>
          <w:sz w:val="21"/>
        </w:rPr>
        <w:t>投标函附录：是指构成合同的附在投标函后的称为“投标函附录”的文件。</w:t>
      </w:r>
    </w:p>
    <w:p w14:paraId="1CA66D76">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.1.1.6 </w:t>
      </w:r>
      <w:r>
        <w:rPr>
          <w:rFonts w:hint="eastAsia" w:ascii="仿宋_GB2312" w:eastAsia="仿宋_GB2312"/>
          <w:sz w:val="21"/>
        </w:rPr>
        <w:t>《发包人要求》：指构成合同文件组成部分的名为《发包人要求》的文件，其中列明工程的目的、范围、设计与其他技术标准和要求，以及合同双方当事人约定对其所作的修改或补充。</w:t>
      </w:r>
    </w:p>
    <w:p w14:paraId="7C287010">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.1.1.7 </w:t>
      </w:r>
      <w:r>
        <w:rPr>
          <w:rFonts w:hint="eastAsia" w:ascii="仿宋_GB2312" w:eastAsia="仿宋_GB2312"/>
          <w:sz w:val="21"/>
        </w:rPr>
        <w:t>项目清单：是指发包人提供的载明工程总承包项目勘察费（如果有）、设计费、建筑安装工程费、设备购置费、暂估价、暂列金额和双方约定的其他费用的名称和相应数量等内容的项目明细。</w:t>
      </w:r>
    </w:p>
    <w:p w14:paraId="4A1F766F">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.1.1.8 </w:t>
      </w:r>
      <w:r>
        <w:rPr>
          <w:rFonts w:hint="eastAsia" w:ascii="仿宋_GB2312" w:eastAsia="仿宋_GB2312"/>
          <w:sz w:val="21"/>
        </w:rPr>
        <w:t>价格清单：指构成合同文件组成部分的由承包人按发包人提供的项目清单规定的格式和要求填写并标明价格的清单。</w:t>
      </w:r>
    </w:p>
    <w:p w14:paraId="05ADA984">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.1.1.9 </w:t>
      </w:r>
      <w:r>
        <w:rPr>
          <w:rFonts w:hint="eastAsia" w:ascii="仿宋_GB2312" w:eastAsia="仿宋_GB2312"/>
          <w:sz w:val="21"/>
        </w:rPr>
        <w:t>承包人建议书：指构成合同文件组成部分的名为承包人建议书的文件。承包人建议书由承包人随投标函一起提交。</w:t>
      </w:r>
    </w:p>
    <w:p w14:paraId="294789E5">
      <w:pPr>
        <w:pStyle w:val="41"/>
        <w:spacing w:after="157"/>
        <w:ind w:left="0"/>
        <w:rPr>
          <w:rFonts w:hint="eastAsia" w:ascii="仿宋_GB2312" w:eastAsia="仿宋_GB2312"/>
          <w:sz w:val="21"/>
        </w:rPr>
      </w:pPr>
      <w:bookmarkStart w:id="822" w:name="_Ref4415300"/>
      <w:bookmarkEnd w:id="822"/>
      <w:r>
        <w:rPr>
          <w:rFonts w:hint="eastAsia" w:ascii="仿宋_GB2312" w:eastAsia="仿宋_GB2312"/>
          <w:sz w:val="21"/>
        </w:rPr>
        <w:t>1</w:t>
      </w:r>
      <w:r>
        <w:rPr>
          <w:rFonts w:ascii="仿宋_GB2312" w:eastAsia="仿宋_GB2312"/>
          <w:sz w:val="21"/>
        </w:rPr>
        <w:t>.1.1.1</w:t>
      </w:r>
      <w:r>
        <w:rPr>
          <w:rFonts w:hint="eastAsia" w:ascii="仿宋_GB2312" w:eastAsia="仿宋_GB2312"/>
          <w:sz w:val="21"/>
        </w:rPr>
        <w:t>0其他合同文件：是指经合同当事人约定的与工程实施有关的具有合同约束力的文件或书面协议。合同当事人可以在专用合同条件中进行约定。</w:t>
      </w:r>
    </w:p>
    <w:p w14:paraId="32BC915D">
      <w:pPr>
        <w:pStyle w:val="40"/>
        <w:spacing w:after="157"/>
        <w:ind w:left="0"/>
        <w:outlineLvl w:val="4"/>
        <w:rPr>
          <w:rFonts w:hint="eastAsia" w:ascii="仿宋_GB2312" w:eastAsia="仿宋_GB2312"/>
          <w:sz w:val="21"/>
        </w:rPr>
      </w:pPr>
      <w:bookmarkStart w:id="823" w:name="_Ref4757418"/>
      <w:bookmarkEnd w:id="823"/>
      <w:r>
        <w:rPr>
          <w:rFonts w:hint="eastAsia" w:ascii="仿宋_GB2312" w:eastAsia="仿宋_GB2312"/>
          <w:sz w:val="21"/>
        </w:rPr>
        <w:t>1</w:t>
      </w:r>
      <w:r>
        <w:rPr>
          <w:rFonts w:ascii="仿宋_GB2312" w:eastAsia="仿宋_GB2312"/>
          <w:sz w:val="21"/>
        </w:rPr>
        <w:t xml:space="preserve">.1.2 </w:t>
      </w:r>
      <w:r>
        <w:rPr>
          <w:rFonts w:hint="eastAsia" w:ascii="仿宋_GB2312" w:eastAsia="仿宋_GB2312"/>
          <w:sz w:val="21"/>
        </w:rPr>
        <w:t>合同当事人及其他相关方</w:t>
      </w:r>
    </w:p>
    <w:p w14:paraId="2073A47B">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.1.2.1 </w:t>
      </w:r>
      <w:r>
        <w:rPr>
          <w:rFonts w:hint="eastAsia" w:ascii="仿宋_GB2312" w:eastAsia="仿宋_GB2312"/>
          <w:sz w:val="21"/>
        </w:rPr>
        <w:t>合同当事人：是指发包人和（或）承包人。</w:t>
      </w:r>
    </w:p>
    <w:p w14:paraId="30670F3E">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.1.2.2 </w:t>
      </w:r>
      <w:r>
        <w:rPr>
          <w:rFonts w:hint="eastAsia" w:ascii="仿宋_GB2312" w:eastAsia="仿宋_GB2312"/>
          <w:sz w:val="21"/>
        </w:rPr>
        <w:t>发包人：是指与承包人订立合同协议书的当事人及取得该当事人资格的合法继受人。本合同中“因发包人原因”里的“发包人”包括发包人及所有发包人人员。</w:t>
      </w:r>
    </w:p>
    <w:p w14:paraId="43196889">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.1.2.3 </w:t>
      </w:r>
      <w:r>
        <w:rPr>
          <w:rFonts w:hint="eastAsia" w:ascii="仿宋_GB2312" w:eastAsia="仿宋_GB2312"/>
          <w:sz w:val="21"/>
        </w:rPr>
        <w:t>承包人：是指与发包人订立合同协议书的当事人及取得该当事人资格的合法继受人。</w:t>
      </w:r>
    </w:p>
    <w:p w14:paraId="1809142A">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.1.2.4 </w:t>
      </w:r>
      <w:r>
        <w:rPr>
          <w:rFonts w:hint="eastAsia" w:ascii="仿宋_GB2312" w:eastAsia="仿宋_GB2312"/>
          <w:sz w:val="21"/>
        </w:rPr>
        <w:t>联合体：是指经发包人同意由两个或两个以上法人或者其他组织组成的，作为承包人的临时机构。</w:t>
      </w:r>
    </w:p>
    <w:p w14:paraId="172A5CB5">
      <w:pPr>
        <w:pStyle w:val="41"/>
        <w:spacing w:after="157"/>
        <w:ind w:left="0"/>
        <w:rPr>
          <w:rFonts w:hint="eastAsia" w:ascii="仿宋_GB2312" w:eastAsia="仿宋_GB2312"/>
          <w:sz w:val="21"/>
        </w:rPr>
      </w:pPr>
      <w:bookmarkStart w:id="824" w:name="_Ref4420046"/>
      <w:r>
        <w:rPr>
          <w:rFonts w:hint="eastAsia" w:ascii="仿宋_GB2312" w:eastAsia="仿宋_GB2312"/>
          <w:sz w:val="21"/>
        </w:rPr>
        <w:t>1</w:t>
      </w:r>
      <w:r>
        <w:rPr>
          <w:rFonts w:ascii="仿宋_GB2312" w:eastAsia="仿宋_GB2312"/>
          <w:sz w:val="21"/>
        </w:rPr>
        <w:t xml:space="preserve">.1.2.5 </w:t>
      </w:r>
      <w:r>
        <w:rPr>
          <w:rFonts w:hint="eastAsia" w:ascii="仿宋_GB2312" w:eastAsia="仿宋_GB2312"/>
          <w:sz w:val="21"/>
        </w:rPr>
        <w:t>发包人代表：是指由发包人任命并派驻工作现场，在发包人授权范围内行使发包人权利和履行发包人义务的人。</w:t>
      </w:r>
    </w:p>
    <w:bookmarkEnd w:id="824"/>
    <w:p w14:paraId="4A2BCBCC">
      <w:pPr>
        <w:pStyle w:val="41"/>
        <w:spacing w:after="157"/>
        <w:ind w:left="0"/>
        <w:rPr>
          <w:rFonts w:hint="eastAsia" w:ascii="仿宋_GB2312" w:eastAsia="仿宋_GB2312"/>
          <w:sz w:val="21"/>
        </w:rPr>
      </w:pPr>
      <w:bookmarkStart w:id="825" w:name="_Ref4756982"/>
      <w:bookmarkEnd w:id="825"/>
      <w:r>
        <w:rPr>
          <w:rFonts w:hint="eastAsia" w:ascii="仿宋_GB2312" w:eastAsia="仿宋_GB2312"/>
          <w:sz w:val="21"/>
        </w:rPr>
        <w:t>1</w:t>
      </w:r>
      <w:r>
        <w:rPr>
          <w:rFonts w:ascii="仿宋_GB2312" w:eastAsia="仿宋_GB2312"/>
          <w:sz w:val="21"/>
        </w:rPr>
        <w:t xml:space="preserve">.1.2.6 </w:t>
      </w:r>
      <w:r>
        <w:rPr>
          <w:rFonts w:hint="eastAsia" w:ascii="仿宋_GB2312" w:eastAsia="仿宋_GB2312"/>
          <w:sz w:val="21"/>
        </w:rPr>
        <w:t>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p>
    <w:p w14:paraId="5C6F7EBE">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.1.2.7 </w:t>
      </w:r>
      <w:r>
        <w:rPr>
          <w:rFonts w:hint="eastAsia" w:ascii="仿宋_GB2312" w:eastAsia="仿宋_GB2312"/>
          <w:sz w:val="21"/>
        </w:rPr>
        <w:t>工程总承包项目经理：是指由承包人任命的，在承包人授权范围内负责合同履行的管理，且按照法律规定具有相应资格的项目负责人。</w:t>
      </w:r>
    </w:p>
    <w:p w14:paraId="599D1A86">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.1.2.8 </w:t>
      </w:r>
      <w:r>
        <w:rPr>
          <w:rFonts w:hint="eastAsia" w:ascii="仿宋_GB2312" w:eastAsia="仿宋_GB2312"/>
          <w:sz w:val="21"/>
        </w:rPr>
        <w:t>设计负责人：是指承包人指定负责组织、指导、协调设计工作并具有相应资格的人员。</w:t>
      </w:r>
    </w:p>
    <w:p w14:paraId="2BE1B07E">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.1.2.9 </w:t>
      </w:r>
      <w:r>
        <w:rPr>
          <w:rFonts w:hint="eastAsia" w:ascii="仿宋_GB2312" w:eastAsia="仿宋_GB2312"/>
          <w:sz w:val="21"/>
        </w:rPr>
        <w:t>采购负责人：是指承包人指定负责组织、指导、协调采购工作的人员。</w:t>
      </w:r>
    </w:p>
    <w:p w14:paraId="4BBAF464">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.1.2.10 </w:t>
      </w:r>
      <w:r>
        <w:rPr>
          <w:rFonts w:hint="eastAsia" w:ascii="仿宋_GB2312" w:eastAsia="仿宋_GB2312"/>
          <w:sz w:val="21"/>
        </w:rPr>
        <w:t>施工负责人：是指承包人指定负责组织、指导、协调施工工作并具有相应资格的人员。</w:t>
      </w:r>
    </w:p>
    <w:p w14:paraId="573FB447">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.1.2.11 </w:t>
      </w:r>
      <w:r>
        <w:rPr>
          <w:rFonts w:hint="eastAsia" w:ascii="仿宋_GB2312" w:eastAsia="仿宋_GB2312"/>
          <w:sz w:val="21"/>
        </w:rPr>
        <w:t>分包人：是指按照法律规定和合同约定，分包部分工程或工作，并与承包人订立分包合同的具有相应资质或资格的法人或其他组织。</w:t>
      </w:r>
    </w:p>
    <w:p w14:paraId="50A17B44">
      <w:pPr>
        <w:pStyle w:val="40"/>
        <w:spacing w:after="157"/>
        <w:ind w:left="0"/>
        <w:outlineLvl w:val="4"/>
        <w:rPr>
          <w:rFonts w:hint="eastAsia" w:ascii="仿宋_GB2312" w:eastAsia="仿宋_GB2312"/>
          <w:sz w:val="21"/>
        </w:rPr>
      </w:pPr>
      <w:bookmarkStart w:id="826" w:name="_Ref4758319"/>
      <w:bookmarkEnd w:id="826"/>
      <w:r>
        <w:rPr>
          <w:rFonts w:hint="eastAsia" w:ascii="仿宋_GB2312" w:eastAsia="仿宋_GB2312"/>
          <w:sz w:val="21"/>
        </w:rPr>
        <w:t>1</w:t>
      </w:r>
      <w:r>
        <w:rPr>
          <w:rFonts w:ascii="仿宋_GB2312" w:eastAsia="仿宋_GB2312"/>
          <w:sz w:val="21"/>
        </w:rPr>
        <w:t xml:space="preserve">.1.3 </w:t>
      </w:r>
      <w:r>
        <w:rPr>
          <w:rFonts w:hint="eastAsia" w:ascii="仿宋_GB2312" w:eastAsia="仿宋_GB2312"/>
          <w:sz w:val="21"/>
        </w:rPr>
        <w:t>工程和设备</w:t>
      </w:r>
    </w:p>
    <w:p w14:paraId="5786ED7B">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.1.3.1 </w:t>
      </w:r>
      <w:r>
        <w:rPr>
          <w:rFonts w:hint="eastAsia" w:ascii="仿宋_GB2312" w:eastAsia="仿宋_GB2312"/>
          <w:sz w:val="21"/>
        </w:rPr>
        <w:t>工程：是指与合同协议书中工程承包范围对应的永久工程和（或）临时工程。</w:t>
      </w:r>
    </w:p>
    <w:p w14:paraId="51DD711B">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.1.3.2 </w:t>
      </w:r>
      <w:r>
        <w:rPr>
          <w:rFonts w:hint="eastAsia" w:ascii="仿宋_GB2312" w:eastAsia="仿宋_GB2312"/>
          <w:sz w:val="21"/>
        </w:rPr>
        <w:t>工程实施：是指进行工程的设计、采购、施工和竣工以及对工程任何缺陷的修复。</w:t>
      </w:r>
    </w:p>
    <w:p w14:paraId="578CE70C">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.1.3.3 </w:t>
      </w:r>
      <w:r>
        <w:rPr>
          <w:rFonts w:hint="eastAsia" w:ascii="仿宋_GB2312" w:eastAsia="仿宋_GB2312"/>
          <w:sz w:val="21"/>
        </w:rPr>
        <w:t>永久工程：是指按合同约定建造并移交给发包人的工程，包括工程设备。</w:t>
      </w:r>
    </w:p>
    <w:p w14:paraId="6B3F41A8">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.1.3.4 </w:t>
      </w:r>
      <w:r>
        <w:rPr>
          <w:rFonts w:hint="eastAsia" w:ascii="仿宋_GB2312" w:eastAsia="仿宋_GB2312"/>
          <w:sz w:val="21"/>
        </w:rPr>
        <w:t>临时工程：是指为完成合同约定的永久工程所修建的各类临时性工程，不包括施工设备。</w:t>
      </w:r>
    </w:p>
    <w:p w14:paraId="5F661296">
      <w:pPr>
        <w:pStyle w:val="41"/>
        <w:spacing w:after="157"/>
        <w:ind w:left="0"/>
        <w:rPr>
          <w:rFonts w:hint="eastAsia" w:ascii="仿宋_GB2312" w:eastAsia="仿宋_GB2312"/>
          <w:sz w:val="21"/>
        </w:rPr>
      </w:pPr>
      <w:bookmarkStart w:id="827" w:name="_Ref4419825"/>
      <w:bookmarkEnd w:id="827"/>
      <w:r>
        <w:rPr>
          <w:rFonts w:hint="eastAsia" w:ascii="仿宋_GB2312" w:eastAsia="仿宋_GB2312"/>
          <w:sz w:val="21"/>
        </w:rPr>
        <w:t>1</w:t>
      </w:r>
      <w:r>
        <w:rPr>
          <w:rFonts w:ascii="仿宋_GB2312" w:eastAsia="仿宋_GB2312"/>
          <w:sz w:val="21"/>
        </w:rPr>
        <w:t xml:space="preserve">.1.3.5 </w:t>
      </w:r>
      <w:r>
        <w:rPr>
          <w:rFonts w:hint="eastAsia" w:ascii="仿宋_GB2312" w:eastAsia="仿宋_GB2312"/>
          <w:sz w:val="21"/>
        </w:rPr>
        <w:t>单位/区段工程：是指在专用合同条件中指明特定范围的，能单独接收并使用的永久工程。</w:t>
      </w:r>
    </w:p>
    <w:p w14:paraId="71BCBE48">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.1.3.6 </w:t>
      </w:r>
      <w:r>
        <w:rPr>
          <w:rFonts w:hint="eastAsia" w:ascii="仿宋_GB2312" w:eastAsia="仿宋_GB2312"/>
          <w:sz w:val="21"/>
        </w:rPr>
        <w:t>工程设备：指构成永久工程的机电设备、仪器装置、运载工具及其他类似的设备和装置，包括其配件及备品、备件、易损易耗件等。</w:t>
      </w:r>
    </w:p>
    <w:p w14:paraId="0F61D021">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.1.3.7 </w:t>
      </w:r>
      <w:r>
        <w:rPr>
          <w:rFonts w:hint="eastAsia" w:ascii="仿宋_GB2312" w:eastAsia="仿宋_GB2312"/>
          <w:sz w:val="21"/>
        </w:rPr>
        <w:t>施工设备：指为完成合同约定的各项工作所需的设备、器具和其他物品，不包括工程设备、临时工程和材料。</w:t>
      </w:r>
    </w:p>
    <w:p w14:paraId="658D02B1">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.1.3.8 </w:t>
      </w:r>
      <w:r>
        <w:rPr>
          <w:rFonts w:hint="eastAsia" w:ascii="仿宋_GB2312" w:eastAsia="仿宋_GB2312"/>
          <w:sz w:val="21"/>
        </w:rPr>
        <w:t>临时设施：指为完成合同约定的各项工作所服务的临时性生产和生活设施。</w:t>
      </w:r>
    </w:p>
    <w:p w14:paraId="0DC8317F">
      <w:pPr>
        <w:pStyle w:val="41"/>
        <w:spacing w:after="157"/>
        <w:ind w:left="0"/>
        <w:rPr>
          <w:rFonts w:hint="eastAsia" w:ascii="仿宋_GB2312" w:eastAsia="仿宋_GB2312"/>
          <w:sz w:val="21"/>
        </w:rPr>
      </w:pPr>
      <w:bookmarkStart w:id="828" w:name="_Ref4420577"/>
      <w:bookmarkEnd w:id="828"/>
      <w:r>
        <w:rPr>
          <w:rFonts w:hint="eastAsia" w:ascii="仿宋_GB2312" w:eastAsia="仿宋_GB2312"/>
          <w:sz w:val="21"/>
        </w:rPr>
        <w:t>1</w:t>
      </w:r>
      <w:r>
        <w:rPr>
          <w:rFonts w:ascii="仿宋_GB2312" w:eastAsia="仿宋_GB2312"/>
          <w:sz w:val="21"/>
        </w:rPr>
        <w:t xml:space="preserve">.1.3.9 </w:t>
      </w:r>
      <w:r>
        <w:rPr>
          <w:rFonts w:hint="eastAsia" w:ascii="仿宋_GB2312" w:eastAsia="仿宋_GB2312"/>
          <w:sz w:val="21"/>
        </w:rPr>
        <w:t>施工现场：是指用于工程施工的场所，以及在专用合同条件中指明作为施工场所组成部分的其他场所，包括永久占地和临时占地。</w:t>
      </w:r>
    </w:p>
    <w:p w14:paraId="44D83438">
      <w:pPr>
        <w:pStyle w:val="41"/>
        <w:spacing w:after="157"/>
        <w:ind w:left="0"/>
        <w:rPr>
          <w:rFonts w:hint="eastAsia" w:ascii="仿宋_GB2312" w:eastAsia="仿宋_GB2312"/>
          <w:sz w:val="21"/>
        </w:rPr>
      </w:pPr>
      <w:bookmarkStart w:id="829" w:name="_Ref4420746"/>
      <w:bookmarkEnd w:id="829"/>
      <w:r>
        <w:rPr>
          <w:rFonts w:hint="eastAsia" w:ascii="仿宋_GB2312" w:eastAsia="仿宋_GB2312"/>
          <w:sz w:val="21"/>
        </w:rPr>
        <w:t>1</w:t>
      </w:r>
      <w:r>
        <w:rPr>
          <w:rFonts w:ascii="仿宋_GB2312" w:eastAsia="仿宋_GB2312"/>
          <w:sz w:val="21"/>
        </w:rPr>
        <w:t xml:space="preserve">.1.3.10 </w:t>
      </w:r>
      <w:r>
        <w:rPr>
          <w:rFonts w:hint="eastAsia" w:ascii="仿宋_GB2312" w:eastAsia="仿宋_GB2312"/>
          <w:sz w:val="21"/>
        </w:rPr>
        <w:t>永久占地：是指专用合同条件中指明为实施工程需永久占用的土地。</w:t>
      </w:r>
    </w:p>
    <w:p w14:paraId="35989551">
      <w:pPr>
        <w:pStyle w:val="41"/>
        <w:spacing w:after="157"/>
        <w:ind w:left="0"/>
        <w:rPr>
          <w:rFonts w:hint="eastAsia" w:ascii="仿宋_GB2312" w:eastAsia="仿宋_GB2312"/>
          <w:sz w:val="21"/>
        </w:rPr>
      </w:pPr>
      <w:bookmarkStart w:id="830" w:name="_Ref4420821"/>
      <w:bookmarkEnd w:id="830"/>
      <w:r>
        <w:rPr>
          <w:rFonts w:hint="eastAsia" w:ascii="仿宋_GB2312" w:eastAsia="仿宋_GB2312"/>
          <w:sz w:val="21"/>
        </w:rPr>
        <w:t>1</w:t>
      </w:r>
      <w:r>
        <w:rPr>
          <w:rFonts w:ascii="仿宋_GB2312" w:eastAsia="仿宋_GB2312"/>
          <w:sz w:val="21"/>
        </w:rPr>
        <w:t xml:space="preserve">.1.3.11 </w:t>
      </w:r>
      <w:r>
        <w:rPr>
          <w:rFonts w:hint="eastAsia" w:ascii="仿宋_GB2312" w:eastAsia="仿宋_GB2312"/>
          <w:sz w:val="21"/>
        </w:rPr>
        <w:t>临时占地：是指专用合同条件中指明为实施工程需临时占用的土地。</w:t>
      </w:r>
    </w:p>
    <w:p w14:paraId="0FFA09DB">
      <w:pPr>
        <w:pStyle w:val="40"/>
        <w:spacing w:after="157"/>
        <w:ind w:left="0"/>
        <w:outlineLvl w:val="4"/>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.1.4 </w:t>
      </w:r>
      <w:r>
        <w:rPr>
          <w:rFonts w:hint="eastAsia" w:ascii="仿宋_GB2312" w:eastAsia="仿宋_GB2312"/>
          <w:sz w:val="21"/>
        </w:rPr>
        <w:t>日期和期限</w:t>
      </w:r>
    </w:p>
    <w:p w14:paraId="30E16CCE">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.1.4.1 </w:t>
      </w:r>
      <w:r>
        <w:rPr>
          <w:rFonts w:hint="eastAsia" w:ascii="仿宋_GB2312" w:eastAsia="仿宋_GB2312"/>
          <w:sz w:val="21"/>
        </w:rPr>
        <w:t>开始工作通知：指工程师按第</w:t>
      </w:r>
      <w:r>
        <w:rPr>
          <w:rFonts w:ascii="仿宋_GB2312" w:eastAsia="仿宋_GB2312"/>
          <w:sz w:val="21"/>
        </w:rPr>
        <w:t>8.1.2</w:t>
      </w:r>
      <w:r>
        <w:rPr>
          <w:rFonts w:hint="eastAsia" w:ascii="仿宋_GB2312" w:eastAsia="仿宋_GB2312"/>
          <w:sz w:val="21"/>
        </w:rPr>
        <w:t>项[开始工作通知]的约定通知承包人开始工作的函件。</w:t>
      </w:r>
    </w:p>
    <w:p w14:paraId="0D27F19B">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.1.4.2 </w:t>
      </w:r>
      <w:r>
        <w:rPr>
          <w:rFonts w:hint="eastAsia" w:ascii="仿宋_GB2312" w:eastAsia="仿宋_GB2312"/>
          <w:sz w:val="21"/>
        </w:rPr>
        <w:t>开始工作日期：包括计划开始工作日期和实际开始工作日期。计划开始工作日期是指合同协议书约定的开始工作日期；实际开始工作日期是指工程师按照第</w:t>
      </w:r>
      <w:r>
        <w:rPr>
          <w:rFonts w:ascii="仿宋_GB2312" w:eastAsia="仿宋_GB2312"/>
          <w:sz w:val="21"/>
        </w:rPr>
        <w:t>8.1</w:t>
      </w:r>
      <w:r>
        <w:rPr>
          <w:rFonts w:hint="eastAsia" w:ascii="仿宋_GB2312" w:eastAsia="仿宋_GB2312"/>
          <w:sz w:val="21"/>
        </w:rPr>
        <w:t>款[开始工作]约定发出的符合法律规定的开始工作通知中载明的开始工作日期。</w:t>
      </w:r>
    </w:p>
    <w:p w14:paraId="74AC2593">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.1.4.3 </w:t>
      </w:r>
      <w:r>
        <w:rPr>
          <w:rFonts w:hint="eastAsia" w:ascii="仿宋_GB2312" w:eastAsia="仿宋_GB2312"/>
          <w:sz w:val="21"/>
        </w:rPr>
        <w:t>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0442B3F9">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.1.4.4 </w:t>
      </w:r>
      <w:r>
        <w:rPr>
          <w:rFonts w:hint="eastAsia" w:ascii="仿宋_GB2312" w:eastAsia="仿宋_GB2312"/>
          <w:sz w:val="21"/>
        </w:rPr>
        <w:t>竣工日期：包括计划竣工日期和实际竣工日期。计划竣工日期是指合同协议书约定的竣工日期；实际竣工日期按照第</w:t>
      </w:r>
      <w:r>
        <w:rPr>
          <w:rFonts w:ascii="仿宋_GB2312" w:eastAsia="仿宋_GB2312"/>
          <w:sz w:val="21"/>
        </w:rPr>
        <w:t>8.2</w:t>
      </w:r>
      <w:r>
        <w:rPr>
          <w:rFonts w:hint="eastAsia" w:ascii="仿宋_GB2312" w:eastAsia="仿宋_GB2312"/>
          <w:sz w:val="21"/>
        </w:rPr>
        <w:t>款[竣工日期]的约定确定。</w:t>
      </w:r>
    </w:p>
    <w:p w14:paraId="58D540D0">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.1.4.5 </w:t>
      </w:r>
      <w:r>
        <w:rPr>
          <w:rFonts w:hint="eastAsia" w:ascii="仿宋_GB2312" w:eastAsia="仿宋_GB2312"/>
          <w:sz w:val="21"/>
        </w:rPr>
        <w:t>工期：是指在合同协议书约定的承包人完成合同工作所需的期限，包括按照合同约定所作的期限变更及按合同约定承包人有权取得的工期延长。</w:t>
      </w:r>
    </w:p>
    <w:p w14:paraId="4A943ADE">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.1.4.6 </w:t>
      </w:r>
      <w:r>
        <w:rPr>
          <w:rFonts w:hint="eastAsia" w:ascii="仿宋_GB2312" w:eastAsia="仿宋_GB2312"/>
          <w:sz w:val="21"/>
        </w:rPr>
        <w:t>缺陷责任期：是指发包人预留工程质量保证金以保证承包人履行第</w:t>
      </w:r>
      <w:r>
        <w:rPr>
          <w:rFonts w:ascii="仿宋_GB2312" w:eastAsia="仿宋_GB2312"/>
          <w:sz w:val="21"/>
        </w:rPr>
        <w:t>11.3</w:t>
      </w:r>
      <w:r>
        <w:rPr>
          <w:rFonts w:hint="eastAsia" w:ascii="仿宋_GB2312" w:eastAsia="仿宋_GB2312"/>
          <w:sz w:val="21"/>
        </w:rPr>
        <w:t>款[缺陷调查]</w:t>
      </w:r>
      <w:r>
        <w:rPr>
          <w:rFonts w:ascii="仿宋_GB2312" w:eastAsia="仿宋_GB2312"/>
          <w:sz w:val="21"/>
        </w:rPr>
        <w:t>下质量缺陷责任的期限</w:t>
      </w:r>
      <w:r>
        <w:rPr>
          <w:rFonts w:hint="eastAsia" w:ascii="仿宋_GB2312" w:eastAsia="仿宋_GB2312"/>
          <w:sz w:val="21"/>
        </w:rPr>
        <w:t>。</w:t>
      </w:r>
    </w:p>
    <w:p w14:paraId="753F5670">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.1.4.7 </w:t>
      </w:r>
      <w:r>
        <w:rPr>
          <w:rFonts w:hint="eastAsia" w:ascii="仿宋_GB2312" w:eastAsia="仿宋_GB2312"/>
          <w:sz w:val="21"/>
        </w:rPr>
        <w:t>保修期：是指承包人按照合同约定和法律规定对工程质量承担保修责任的期限，该期限自缺陷责任期起算之日起计算。</w:t>
      </w:r>
    </w:p>
    <w:p w14:paraId="0171E8CD">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.1.4.8 </w:t>
      </w:r>
      <w:r>
        <w:rPr>
          <w:rFonts w:hint="eastAsia" w:ascii="仿宋_GB2312" w:eastAsia="仿宋_GB2312"/>
          <w:sz w:val="21"/>
        </w:rPr>
        <w:t>基准日期：招标发包的工程以投标截止日前28天的日期为基准日期，直接发包的工程以合同订立日前28天的日期为基准日期。</w:t>
      </w:r>
    </w:p>
    <w:p w14:paraId="313DFD74">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.1.4.9 </w:t>
      </w:r>
      <w:r>
        <w:rPr>
          <w:rFonts w:hint="eastAsia" w:ascii="仿宋_GB2312" w:eastAsia="仿宋_GB2312"/>
          <w:sz w:val="21"/>
        </w:rPr>
        <w:t>天：除特别指明外，均指日历天。合同中按天计算时间的，开始当天不计入，从次日开始计算。期限最后一天的截止时间为当天24:00。</w:t>
      </w:r>
    </w:p>
    <w:p w14:paraId="516C0B7C">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.1.4.10 </w:t>
      </w:r>
      <w:r>
        <w:rPr>
          <w:rFonts w:hint="eastAsia" w:ascii="仿宋_GB2312" w:eastAsia="仿宋_GB2312"/>
          <w:sz w:val="21"/>
        </w:rPr>
        <w:t>竣工试验：是指在工程竣工验收前，根据第</w:t>
      </w:r>
      <w:r>
        <w:rPr>
          <w:rFonts w:ascii="仿宋_GB2312" w:eastAsia="仿宋_GB2312"/>
          <w:sz w:val="21"/>
        </w:rPr>
        <w:t>9条</w:t>
      </w:r>
      <w:r>
        <w:rPr>
          <w:rFonts w:hint="eastAsia" w:ascii="仿宋_GB2312" w:eastAsia="仿宋_GB2312"/>
          <w:sz w:val="21"/>
        </w:rPr>
        <w:t>[竣工试验]要求进行的试验。</w:t>
      </w:r>
    </w:p>
    <w:p w14:paraId="07D88AF3">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.1.4.11 </w:t>
      </w:r>
      <w:r>
        <w:rPr>
          <w:rFonts w:hint="eastAsia" w:ascii="仿宋_GB2312" w:eastAsia="仿宋_GB2312"/>
          <w:sz w:val="21"/>
        </w:rPr>
        <w:t>竣工验收：是指承包人完成了合同约定的各项内容后，发包人按合同要求进行的验收。</w:t>
      </w:r>
    </w:p>
    <w:p w14:paraId="04D93542">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.1.4.12 </w:t>
      </w:r>
      <w:r>
        <w:rPr>
          <w:rFonts w:hint="eastAsia" w:ascii="仿宋_GB2312" w:eastAsia="仿宋_GB2312"/>
          <w:sz w:val="21"/>
        </w:rPr>
        <w:t>竣工后试验：是指在工程竣工验收后，根据第</w:t>
      </w:r>
      <w:r>
        <w:rPr>
          <w:rFonts w:ascii="仿宋_GB2312" w:eastAsia="仿宋_GB2312"/>
          <w:sz w:val="21"/>
        </w:rPr>
        <w:t>12条</w:t>
      </w:r>
      <w:r>
        <w:rPr>
          <w:rFonts w:hint="eastAsia" w:ascii="仿宋_GB2312" w:eastAsia="仿宋_GB2312"/>
          <w:sz w:val="21"/>
        </w:rPr>
        <w:t>[竣工后试验]约定进行的试验。</w:t>
      </w:r>
    </w:p>
    <w:p w14:paraId="365B3E8E">
      <w:pPr>
        <w:pStyle w:val="40"/>
        <w:spacing w:after="157"/>
        <w:ind w:left="0"/>
        <w:outlineLvl w:val="4"/>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.1.5 </w:t>
      </w:r>
      <w:r>
        <w:rPr>
          <w:rFonts w:hint="eastAsia" w:ascii="仿宋_GB2312" w:eastAsia="仿宋_GB2312"/>
          <w:sz w:val="21"/>
        </w:rPr>
        <w:t>合同价格和费用</w:t>
      </w:r>
    </w:p>
    <w:p w14:paraId="448FBD78">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.1.5.1 </w:t>
      </w:r>
      <w:r>
        <w:rPr>
          <w:rFonts w:hint="eastAsia" w:ascii="仿宋_GB2312" w:eastAsia="仿宋_GB2312"/>
          <w:sz w:val="21"/>
        </w:rPr>
        <w:t>签约合同价：是指发包人和承包人在合同协议书中确定的总金额，包括暂估价及暂列金额等。</w:t>
      </w:r>
    </w:p>
    <w:p w14:paraId="0B2D7E99">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.1.5.2 </w:t>
      </w:r>
      <w:r>
        <w:rPr>
          <w:rFonts w:hint="eastAsia" w:ascii="仿宋_GB2312" w:eastAsia="仿宋_GB2312"/>
          <w:sz w:val="21"/>
        </w:rPr>
        <w:t>合同价格：是指发包人用于支付承包人按照合同约定完成承包范围内全部工作的金额，包括合同履行过程中按合同约定发生的价格变化。</w:t>
      </w:r>
    </w:p>
    <w:p w14:paraId="6DFBD224">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.1.5.3 </w:t>
      </w:r>
      <w:r>
        <w:rPr>
          <w:rFonts w:hint="eastAsia" w:ascii="仿宋_GB2312" w:eastAsia="仿宋_GB2312"/>
          <w:sz w:val="21"/>
        </w:rPr>
        <w:t>费用：是指为履行合同所发生的或将要发生的所有合理开支，包括管理费和应分摊的其他费用，但不包括利润。</w:t>
      </w:r>
    </w:p>
    <w:p w14:paraId="347454D5">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.1.5.4 </w:t>
      </w:r>
      <w:r>
        <w:rPr>
          <w:rFonts w:hint="eastAsia" w:ascii="仿宋_GB2312" w:eastAsia="仿宋_GB2312"/>
          <w:sz w:val="21"/>
        </w:rPr>
        <w:t>人工费：是指支付给直接从事建筑安装工程施工作业的建筑工人的各项费用。</w:t>
      </w:r>
    </w:p>
    <w:p w14:paraId="00013C2E">
      <w:pPr>
        <w:pStyle w:val="41"/>
        <w:spacing w:after="157"/>
        <w:ind w:left="0"/>
        <w:rPr>
          <w:rFonts w:hint="eastAsia" w:ascii="仿宋_GB2312" w:eastAsia="仿宋_GB2312"/>
          <w:sz w:val="21"/>
        </w:rPr>
      </w:pPr>
      <w:bookmarkStart w:id="831" w:name="_Hlk18973781"/>
      <w:bookmarkEnd w:id="831"/>
      <w:r>
        <w:rPr>
          <w:rFonts w:hint="eastAsia" w:ascii="仿宋_GB2312" w:eastAsia="仿宋_GB2312"/>
          <w:sz w:val="21"/>
        </w:rPr>
        <w:t>1</w:t>
      </w:r>
      <w:r>
        <w:rPr>
          <w:rFonts w:ascii="仿宋_GB2312" w:eastAsia="仿宋_GB2312"/>
          <w:sz w:val="21"/>
        </w:rPr>
        <w:t xml:space="preserve">.1.5.5 </w:t>
      </w:r>
      <w:r>
        <w:rPr>
          <w:rFonts w:hint="eastAsia" w:ascii="仿宋_GB2312" w:eastAsia="仿宋_GB2312"/>
          <w:sz w:val="21"/>
        </w:rPr>
        <w:t>暂估价：是指发包人在项目清单中给定的，用于支付必然发生但暂时不能确定价格的专业服务、材料、设备、专业工程的金额。</w:t>
      </w:r>
    </w:p>
    <w:p w14:paraId="7142D1E7">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.1.5.6 </w:t>
      </w:r>
      <w:r>
        <w:rPr>
          <w:rFonts w:hint="eastAsia" w:ascii="仿宋_GB2312" w:eastAsia="仿宋_GB2312"/>
          <w:sz w:val="21"/>
        </w:rPr>
        <w:t>暂列金额：是指发包人在项目清单中给定的，用于在订立协议书时尚未确定或不可预见变更的设计、施工及其所需材料、工程设备、服务等的金额，包括以计日工方式支付的金额。</w:t>
      </w:r>
    </w:p>
    <w:p w14:paraId="04CAFE55">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.1.5.7 </w:t>
      </w:r>
      <w:r>
        <w:rPr>
          <w:rFonts w:hint="eastAsia" w:ascii="仿宋_GB2312" w:eastAsia="仿宋_GB2312"/>
          <w:sz w:val="21"/>
        </w:rPr>
        <w:t>计日工：是指合同履行过程中，承包人完成发包人提出的零星工作或需要采用计日工计价的变更工作时，按合同中约定的单价计价的一种方式。</w:t>
      </w:r>
    </w:p>
    <w:p w14:paraId="072872E8">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.1.5.8 </w:t>
      </w:r>
      <w:r>
        <w:rPr>
          <w:rFonts w:hint="eastAsia" w:ascii="仿宋_GB2312" w:eastAsia="仿宋_GB2312"/>
          <w:sz w:val="21"/>
        </w:rPr>
        <w:t>质量保证金：是指按第</w:t>
      </w:r>
      <w:r>
        <w:rPr>
          <w:rFonts w:ascii="仿宋_GB2312" w:eastAsia="仿宋_GB2312"/>
          <w:sz w:val="21"/>
        </w:rPr>
        <w:t>14.6</w:t>
      </w:r>
      <w:r>
        <w:rPr>
          <w:rFonts w:hint="eastAsia" w:ascii="仿宋_GB2312" w:eastAsia="仿宋_GB2312"/>
          <w:sz w:val="21"/>
        </w:rPr>
        <w:t>款[质量保证金]约定承包人用于保证其在缺陷责任期内履行缺陷修复义务的担保。</w:t>
      </w:r>
    </w:p>
    <w:p w14:paraId="34DAA71C">
      <w:pPr>
        <w:pStyle w:val="40"/>
        <w:spacing w:after="157"/>
        <w:ind w:left="0"/>
        <w:outlineLvl w:val="4"/>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.1.6 </w:t>
      </w:r>
      <w:r>
        <w:rPr>
          <w:rFonts w:hint="eastAsia" w:ascii="仿宋_GB2312" w:eastAsia="仿宋_GB2312"/>
          <w:sz w:val="21"/>
        </w:rPr>
        <w:t>其他</w:t>
      </w:r>
    </w:p>
    <w:p w14:paraId="36EF83EB">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.1.6.1 </w:t>
      </w:r>
      <w:r>
        <w:rPr>
          <w:rFonts w:hint="eastAsia" w:ascii="仿宋_GB2312" w:eastAsia="仿宋_GB2312"/>
          <w:sz w:val="21"/>
        </w:rPr>
        <w:t>书面形式：指合同文件、信函、电报、传真、数据电文、电子邮件、会议纪要等可以有形地表现所载内容的形式。</w:t>
      </w:r>
    </w:p>
    <w:p w14:paraId="7DCBE89D">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.1.6.2 </w:t>
      </w:r>
      <w:r>
        <w:rPr>
          <w:rFonts w:hint="eastAsia" w:ascii="仿宋_GB2312" w:eastAsia="仿宋_GB2312"/>
          <w:sz w:val="21"/>
        </w:rPr>
        <w:t>承包人文件：指由承包人根据合同约定应提交的所有图纸、手册、模型、计算书、软件、函件、洽商性文件和其他技术性文件。</w:t>
      </w:r>
    </w:p>
    <w:p w14:paraId="79485C89">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.1.6.3 </w:t>
      </w:r>
      <w:r>
        <w:rPr>
          <w:rFonts w:hint="eastAsia" w:ascii="仿宋_GB2312" w:eastAsia="仿宋_GB2312"/>
          <w:sz w:val="21"/>
        </w:rPr>
        <w:t>变更：指根据第</w:t>
      </w:r>
      <w:r>
        <w:rPr>
          <w:rFonts w:ascii="仿宋_GB2312" w:eastAsia="仿宋_GB2312"/>
          <w:sz w:val="21"/>
        </w:rPr>
        <w:t>13条</w:t>
      </w:r>
      <w:r>
        <w:rPr>
          <w:rFonts w:hint="eastAsia" w:ascii="仿宋_GB2312" w:eastAsia="仿宋_GB2312"/>
          <w:sz w:val="21"/>
        </w:rPr>
        <w:t>[变更与调整]的约定，经指示或批准对《发包人要求》或工程所做的改变。</w:t>
      </w:r>
    </w:p>
    <w:p w14:paraId="63CF70DE">
      <w:pPr>
        <w:pStyle w:val="39"/>
        <w:widowControl/>
        <w:spacing w:afterLines="0"/>
        <w:ind w:left="0"/>
        <w:outlineLvl w:val="3"/>
        <w:rPr>
          <w:rFonts w:hint="eastAsia"/>
          <w:b w:val="0"/>
          <w:bCs/>
          <w:sz w:val="21"/>
          <w:szCs w:val="21"/>
        </w:rPr>
      </w:pPr>
      <w:bookmarkStart w:id="832" w:name="_Toc15640"/>
      <w:bookmarkEnd w:id="832"/>
      <w:bookmarkStart w:id="833" w:name="_Ref509042101"/>
      <w:bookmarkEnd w:id="833"/>
      <w:bookmarkStart w:id="834" w:name="_Ref509042104"/>
      <w:bookmarkEnd w:id="834"/>
      <w:bookmarkStart w:id="835" w:name="_Toc16450"/>
      <w:bookmarkEnd w:id="835"/>
      <w:bookmarkStart w:id="836" w:name="_Toc54862179"/>
      <w:bookmarkEnd w:id="836"/>
      <w:bookmarkStart w:id="837" w:name="_Ref522730353"/>
      <w:bookmarkStart w:id="838" w:name="_Ref522730349"/>
      <w:r>
        <w:rPr>
          <w:rFonts w:hint="eastAsia"/>
          <w:b w:val="0"/>
          <w:bCs/>
          <w:sz w:val="21"/>
          <w:szCs w:val="21"/>
        </w:rPr>
        <w:t>1.2 语言文字</w:t>
      </w:r>
    </w:p>
    <w:p w14:paraId="182D1515">
      <w:pPr>
        <w:spacing w:line="360" w:lineRule="auto"/>
        <w:ind w:firstLine="600"/>
        <w:rPr>
          <w:rFonts w:ascii="仿宋_GB2312" w:eastAsia="仿宋_GB2312"/>
        </w:rPr>
      </w:pPr>
      <w:r>
        <w:rPr>
          <w:rFonts w:hint="eastAsia" w:ascii="仿宋_GB2312" w:eastAsia="仿宋_GB2312"/>
        </w:rPr>
        <w:t>合同文件以中国的汉语简体语言文字编写、解释和说明。专用术语使用外文的，应附有中文注释。合同当事人在专用合同条件约定使用两种及以上语言时，汉语为优先解释和说明合同的语言。</w:t>
      </w:r>
    </w:p>
    <w:p w14:paraId="2077B84F">
      <w:pPr>
        <w:spacing w:line="360" w:lineRule="auto"/>
        <w:ind w:firstLine="600"/>
        <w:rPr>
          <w:rFonts w:ascii="仿宋_GB2312" w:eastAsia="仿宋_GB2312"/>
        </w:rPr>
      </w:pPr>
      <w:r>
        <w:rPr>
          <w:rFonts w:hint="eastAsia" w:ascii="仿宋_GB2312" w:eastAsia="仿宋_GB2312"/>
        </w:rPr>
        <w:t>与合同有关的联络应使用专用合同条件约定的语言。如没有约定，则应使用中国的汉语简体语言文字。</w:t>
      </w:r>
    </w:p>
    <w:p w14:paraId="5098D054">
      <w:pPr>
        <w:pStyle w:val="39"/>
        <w:widowControl/>
        <w:spacing w:afterLines="0"/>
        <w:ind w:left="0"/>
        <w:outlineLvl w:val="3"/>
        <w:rPr>
          <w:rFonts w:hint="eastAsia"/>
          <w:b w:val="0"/>
          <w:bCs/>
          <w:sz w:val="21"/>
          <w:szCs w:val="21"/>
        </w:rPr>
      </w:pPr>
      <w:bookmarkStart w:id="839" w:name="_Ref531949539"/>
      <w:bookmarkEnd w:id="839"/>
      <w:bookmarkStart w:id="840" w:name="_Toc54862180"/>
      <w:bookmarkEnd w:id="840"/>
      <w:bookmarkStart w:id="841" w:name="_Ref531949543"/>
      <w:bookmarkEnd w:id="841"/>
      <w:bookmarkStart w:id="842" w:name="_Toc3927"/>
      <w:bookmarkEnd w:id="842"/>
      <w:bookmarkStart w:id="843" w:name="_Toc10224"/>
      <w:bookmarkEnd w:id="843"/>
      <w:r>
        <w:rPr>
          <w:rFonts w:hint="eastAsia"/>
          <w:b w:val="0"/>
          <w:bCs/>
          <w:sz w:val="21"/>
          <w:szCs w:val="21"/>
        </w:rPr>
        <w:t>1.3 法律</w:t>
      </w:r>
    </w:p>
    <w:p w14:paraId="1158708B">
      <w:pPr>
        <w:spacing w:line="360" w:lineRule="auto"/>
        <w:ind w:firstLine="600"/>
        <w:rPr>
          <w:rFonts w:ascii="仿宋_GB2312" w:eastAsia="仿宋_GB2312"/>
        </w:rPr>
      </w:pPr>
      <w:r>
        <w:rPr>
          <w:rFonts w:hint="eastAsia" w:ascii="仿宋_GB2312" w:eastAsia="仿宋_GB2312"/>
        </w:rPr>
        <w:t>合同所称法律是指</w:t>
      </w:r>
      <w:r>
        <w:rPr>
          <w:rFonts w:ascii="仿宋_GB2312" w:eastAsia="仿宋_GB2312"/>
        </w:rPr>
        <w:t>中华人民共和国法律、行政法规、部门规章</w:t>
      </w:r>
      <w:r>
        <w:rPr>
          <w:rFonts w:hint="eastAsia" w:ascii="仿宋_GB2312" w:eastAsia="仿宋_GB2312"/>
        </w:rPr>
        <w:t>，</w:t>
      </w:r>
      <w:r>
        <w:rPr>
          <w:rFonts w:ascii="仿宋_GB2312" w:eastAsia="仿宋_GB2312"/>
        </w:rPr>
        <w:t>以及工程所在地的</w:t>
      </w:r>
      <w:r>
        <w:rPr>
          <w:rFonts w:hint="eastAsia" w:ascii="仿宋_GB2312" w:eastAsia="仿宋_GB2312"/>
        </w:rPr>
        <w:t>地方性法规</w:t>
      </w:r>
      <w:r>
        <w:rPr>
          <w:rFonts w:ascii="仿宋_GB2312" w:eastAsia="仿宋_GB2312"/>
        </w:rPr>
        <w:t>、自治条例、单行条例和地方政府规章</w:t>
      </w:r>
      <w:r>
        <w:rPr>
          <w:rFonts w:hint="eastAsia" w:ascii="仿宋_GB2312" w:eastAsia="仿宋_GB2312"/>
        </w:rPr>
        <w:t>等。</w:t>
      </w:r>
    </w:p>
    <w:p w14:paraId="4B83C805">
      <w:pPr>
        <w:spacing w:line="360" w:lineRule="auto"/>
        <w:ind w:firstLine="600"/>
        <w:rPr>
          <w:rFonts w:ascii="仿宋_GB2312" w:eastAsia="仿宋_GB2312"/>
        </w:rPr>
      </w:pPr>
      <w:r>
        <w:rPr>
          <w:rFonts w:ascii="仿宋_GB2312" w:eastAsia="仿宋_GB2312"/>
        </w:rPr>
        <w:t>合同当事人可以在专用合同条件中约定合同适用的其他规范性文件</w:t>
      </w:r>
      <w:r>
        <w:rPr>
          <w:rFonts w:hint="eastAsia" w:ascii="仿宋_GB2312" w:eastAsia="仿宋_GB2312"/>
        </w:rPr>
        <w:t>。</w:t>
      </w:r>
    </w:p>
    <w:p w14:paraId="64AD8743">
      <w:pPr>
        <w:pStyle w:val="39"/>
        <w:widowControl/>
        <w:spacing w:afterLines="0"/>
        <w:ind w:left="0"/>
        <w:outlineLvl w:val="3"/>
        <w:rPr>
          <w:rFonts w:hint="eastAsia"/>
          <w:b w:val="0"/>
          <w:bCs/>
          <w:sz w:val="21"/>
          <w:szCs w:val="21"/>
        </w:rPr>
      </w:pPr>
      <w:bookmarkStart w:id="844" w:name="_Ref531949589"/>
      <w:bookmarkEnd w:id="844"/>
      <w:bookmarkStart w:id="845" w:name="_Ref531949594"/>
      <w:bookmarkEnd w:id="845"/>
      <w:bookmarkStart w:id="846" w:name="_Toc22947"/>
      <w:bookmarkEnd w:id="846"/>
      <w:bookmarkStart w:id="847" w:name="_Toc54862181"/>
      <w:bookmarkEnd w:id="847"/>
      <w:bookmarkStart w:id="848" w:name="_Toc30083"/>
      <w:bookmarkEnd w:id="848"/>
      <w:r>
        <w:rPr>
          <w:rFonts w:hint="eastAsia"/>
          <w:b w:val="0"/>
          <w:bCs/>
          <w:sz w:val="21"/>
          <w:szCs w:val="21"/>
        </w:rPr>
        <w:t>1.4 标准和规范</w:t>
      </w:r>
    </w:p>
    <w:p w14:paraId="54D950A6">
      <w:pPr>
        <w:pStyle w:val="40"/>
        <w:spacing w:after="157"/>
        <w:ind w:left="0"/>
        <w:rPr>
          <w:rFonts w:hint="eastAsia" w:ascii="仿宋_GB2312" w:eastAsia="仿宋_GB2312"/>
          <w:sz w:val="21"/>
        </w:rPr>
      </w:pPr>
      <w:bookmarkStart w:id="849" w:name="_Ref4420991"/>
      <w:bookmarkEnd w:id="849"/>
      <w:r>
        <w:rPr>
          <w:rFonts w:hint="eastAsia" w:ascii="仿宋_GB2312" w:eastAsia="仿宋_GB2312"/>
          <w:sz w:val="21"/>
        </w:rPr>
        <w:t>1</w:t>
      </w:r>
      <w:r>
        <w:rPr>
          <w:rFonts w:ascii="仿宋_GB2312" w:eastAsia="仿宋_GB2312"/>
          <w:sz w:val="21"/>
        </w:rPr>
        <w:t xml:space="preserve">.4.1 </w:t>
      </w:r>
      <w:r>
        <w:rPr>
          <w:rFonts w:hint="eastAsia" w:ascii="仿宋_GB2312" w:eastAsia="仿宋_GB2312"/>
          <w:sz w:val="21"/>
        </w:rPr>
        <w:t>适用于工程的国家标准、行业标准、工程所在地的地方性标准，以及相应的规范、规程等，合同当事人有特别要求的，应在专用合同条件中约定。</w:t>
      </w:r>
    </w:p>
    <w:p w14:paraId="61819BD2">
      <w:pPr>
        <w:pStyle w:val="40"/>
        <w:spacing w:after="157"/>
        <w:ind w:left="0"/>
        <w:rPr>
          <w:rFonts w:hint="eastAsia" w:ascii="仿宋_GB2312" w:eastAsia="仿宋_GB2312"/>
          <w:sz w:val="21"/>
        </w:rPr>
      </w:pPr>
      <w:bookmarkStart w:id="850" w:name="_Ref531949642"/>
      <w:bookmarkEnd w:id="850"/>
      <w:r>
        <w:rPr>
          <w:rFonts w:hint="eastAsia" w:ascii="仿宋_GB2312" w:eastAsia="仿宋_GB2312"/>
          <w:sz w:val="21"/>
        </w:rPr>
        <w:t>1</w:t>
      </w:r>
      <w:r>
        <w:rPr>
          <w:rFonts w:ascii="仿宋_GB2312" w:eastAsia="仿宋_GB2312"/>
          <w:sz w:val="21"/>
        </w:rPr>
        <w:t xml:space="preserve">.4.2 </w:t>
      </w:r>
      <w:r>
        <w:rPr>
          <w:rFonts w:hint="eastAsia" w:ascii="仿宋_GB2312" w:eastAsia="仿宋_GB2312"/>
          <w:sz w:val="21"/>
        </w:rPr>
        <w:t>发包人要求使用国外标准、规范的，发包人负责提供原文版本和中文译本，并在专用合同条件中约定提供标准规范的名称、份数和时间。</w:t>
      </w:r>
    </w:p>
    <w:p w14:paraId="2082F43E">
      <w:pPr>
        <w:pStyle w:val="40"/>
        <w:spacing w:after="157"/>
        <w:ind w:left="0"/>
        <w:rPr>
          <w:rFonts w:hint="eastAsia" w:ascii="仿宋_GB2312" w:eastAsia="仿宋_GB2312"/>
          <w:sz w:val="21"/>
        </w:rPr>
      </w:pPr>
      <w:bookmarkStart w:id="851" w:name="_Ref531949657"/>
      <w:bookmarkEnd w:id="851"/>
      <w:r>
        <w:rPr>
          <w:rFonts w:hint="eastAsia" w:ascii="仿宋_GB2312" w:eastAsia="仿宋_GB2312"/>
          <w:sz w:val="21"/>
        </w:rPr>
        <w:t>1</w:t>
      </w:r>
      <w:r>
        <w:rPr>
          <w:rFonts w:ascii="仿宋_GB2312" w:eastAsia="仿宋_GB2312"/>
          <w:sz w:val="21"/>
        </w:rPr>
        <w:t xml:space="preserve">.4.3 </w:t>
      </w:r>
      <w:r>
        <w:rPr>
          <w:rFonts w:hint="eastAsia" w:ascii="仿宋_GB2312" w:eastAsia="仿宋_GB2312"/>
          <w:sz w:val="21"/>
        </w:rPr>
        <w:t>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p>
    <w:p w14:paraId="7C63B80E">
      <w:pPr>
        <w:pStyle w:val="40"/>
        <w:spacing w:after="157"/>
        <w:ind w:left="0"/>
        <w:rPr>
          <w:rFonts w:hint="eastAsia" w:ascii="仿宋_GB2312" w:eastAsia="仿宋_GB2312"/>
          <w:sz w:val="21"/>
        </w:rPr>
      </w:pPr>
      <w:bookmarkStart w:id="852" w:name="_Ref4421272"/>
      <w:bookmarkEnd w:id="852"/>
      <w:r>
        <w:rPr>
          <w:rFonts w:hint="eastAsia" w:ascii="仿宋_GB2312" w:eastAsia="仿宋_GB2312"/>
          <w:sz w:val="21"/>
        </w:rPr>
        <w:t>1</w:t>
      </w:r>
      <w:r>
        <w:rPr>
          <w:rFonts w:ascii="仿宋_GB2312" w:eastAsia="仿宋_GB2312"/>
          <w:sz w:val="21"/>
        </w:rPr>
        <w:t xml:space="preserve">.4.4 </w:t>
      </w:r>
      <w:r>
        <w:rPr>
          <w:rFonts w:hint="eastAsia" w:ascii="仿宋_GB2312" w:eastAsia="仿宋_GB2312"/>
          <w:sz w:val="21"/>
        </w:rPr>
        <w:t>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p>
    <w:bookmarkEnd w:id="837"/>
    <w:bookmarkEnd w:id="838"/>
    <w:p w14:paraId="11422EF4">
      <w:pPr>
        <w:pStyle w:val="39"/>
        <w:widowControl/>
        <w:spacing w:afterLines="0"/>
        <w:ind w:left="0"/>
        <w:outlineLvl w:val="3"/>
        <w:rPr>
          <w:rFonts w:hint="eastAsia"/>
          <w:b w:val="0"/>
          <w:bCs/>
          <w:sz w:val="21"/>
          <w:szCs w:val="21"/>
        </w:rPr>
      </w:pPr>
      <w:bookmarkStart w:id="853" w:name="_Toc13552"/>
      <w:bookmarkEnd w:id="853"/>
      <w:bookmarkStart w:id="854" w:name="_Ref4421717"/>
      <w:bookmarkEnd w:id="854"/>
      <w:bookmarkStart w:id="855" w:name="_Toc54862182"/>
      <w:bookmarkEnd w:id="855"/>
      <w:bookmarkStart w:id="856" w:name="_Toc579"/>
      <w:bookmarkEnd w:id="856"/>
      <w:r>
        <w:rPr>
          <w:rFonts w:hint="eastAsia"/>
          <w:b w:val="0"/>
          <w:bCs/>
          <w:sz w:val="21"/>
          <w:szCs w:val="21"/>
        </w:rPr>
        <w:t>1.5 合同文件的优先顺序</w:t>
      </w:r>
    </w:p>
    <w:p w14:paraId="2A6474EB">
      <w:pPr>
        <w:spacing w:line="360" w:lineRule="auto"/>
        <w:ind w:firstLine="600"/>
        <w:rPr>
          <w:rFonts w:ascii="仿宋_GB2312" w:eastAsia="仿宋_GB2312"/>
        </w:rPr>
      </w:pPr>
      <w:bookmarkStart w:id="857" w:name="_Ref531948776"/>
      <w:bookmarkEnd w:id="857"/>
      <w:r>
        <w:rPr>
          <w:rFonts w:hint="eastAsia" w:ascii="仿宋_GB2312" w:eastAsia="仿宋_GB2312"/>
        </w:rPr>
        <w:t>组成合同的各项文件应互相解释，互为说明。除专用合同条件另有约定外，解释合同文件的优先顺序如下：</w:t>
      </w:r>
    </w:p>
    <w:p w14:paraId="4C1F2D5B">
      <w:pPr>
        <w:spacing w:line="360" w:lineRule="auto"/>
        <w:ind w:firstLine="600"/>
        <w:rPr>
          <w:rFonts w:ascii="仿宋_GB2312" w:eastAsia="仿宋_GB2312"/>
        </w:rPr>
      </w:pPr>
      <w:r>
        <w:rPr>
          <w:rFonts w:hint="eastAsia" w:ascii="仿宋_GB2312" w:eastAsia="仿宋_GB2312"/>
        </w:rPr>
        <w:t>（1） 合同协议书；</w:t>
      </w:r>
    </w:p>
    <w:p w14:paraId="7BE83B78">
      <w:pPr>
        <w:spacing w:line="360" w:lineRule="auto"/>
        <w:ind w:firstLine="600"/>
        <w:rPr>
          <w:rFonts w:ascii="仿宋_GB2312" w:eastAsia="仿宋_GB2312"/>
        </w:rPr>
      </w:pPr>
      <w:r>
        <w:rPr>
          <w:rFonts w:hint="eastAsia" w:ascii="仿宋_GB2312" w:eastAsia="仿宋_GB2312"/>
        </w:rPr>
        <w:t>（2） 中标通知书（如果有）；</w:t>
      </w:r>
    </w:p>
    <w:p w14:paraId="15DA3F93">
      <w:pPr>
        <w:spacing w:line="360" w:lineRule="auto"/>
        <w:ind w:firstLine="600"/>
        <w:rPr>
          <w:rFonts w:ascii="仿宋_GB2312" w:eastAsia="仿宋_GB2312"/>
        </w:rPr>
      </w:pPr>
      <w:r>
        <w:rPr>
          <w:rFonts w:hint="eastAsia" w:ascii="仿宋_GB2312" w:eastAsia="仿宋_GB2312"/>
        </w:rPr>
        <w:t>（3） 投标函及投标函附录（如果有）；</w:t>
      </w:r>
    </w:p>
    <w:p w14:paraId="199D888B">
      <w:pPr>
        <w:spacing w:line="360" w:lineRule="auto"/>
        <w:ind w:firstLine="600"/>
        <w:rPr>
          <w:rFonts w:ascii="仿宋_GB2312" w:eastAsia="仿宋_GB2312"/>
        </w:rPr>
      </w:pPr>
      <w:r>
        <w:rPr>
          <w:rFonts w:hint="eastAsia" w:ascii="仿宋_GB2312" w:eastAsia="仿宋_GB2312"/>
        </w:rPr>
        <w:t>（4） 专用合同条件及《发包人要求》等附件；</w:t>
      </w:r>
    </w:p>
    <w:p w14:paraId="6FE35BA4">
      <w:pPr>
        <w:spacing w:line="360" w:lineRule="auto"/>
        <w:ind w:firstLine="600"/>
        <w:rPr>
          <w:rFonts w:ascii="仿宋_GB2312" w:eastAsia="仿宋_GB2312"/>
        </w:rPr>
      </w:pPr>
      <w:r>
        <w:rPr>
          <w:rFonts w:hint="eastAsia" w:ascii="仿宋_GB2312" w:eastAsia="仿宋_GB2312"/>
        </w:rPr>
        <w:t>（5） 通用合同条件；</w:t>
      </w:r>
    </w:p>
    <w:p w14:paraId="562BB274">
      <w:pPr>
        <w:spacing w:line="360" w:lineRule="auto"/>
        <w:ind w:firstLine="600"/>
        <w:rPr>
          <w:rFonts w:ascii="仿宋_GB2312" w:eastAsia="仿宋_GB2312"/>
        </w:rPr>
      </w:pPr>
      <w:r>
        <w:rPr>
          <w:rFonts w:hint="eastAsia" w:ascii="仿宋_GB2312" w:eastAsia="仿宋_GB2312"/>
        </w:rPr>
        <w:t xml:space="preserve">（6） 承包人建议书； </w:t>
      </w:r>
    </w:p>
    <w:p w14:paraId="2E0E3B5B">
      <w:pPr>
        <w:spacing w:line="360" w:lineRule="auto"/>
        <w:ind w:firstLine="600"/>
        <w:rPr>
          <w:rFonts w:ascii="仿宋_GB2312" w:eastAsia="仿宋_GB2312"/>
        </w:rPr>
      </w:pPr>
      <w:r>
        <w:rPr>
          <w:rFonts w:hint="eastAsia" w:ascii="仿宋_GB2312" w:eastAsia="仿宋_GB2312"/>
        </w:rPr>
        <w:t>（7） 价格清单；</w:t>
      </w:r>
    </w:p>
    <w:p w14:paraId="1B9BDAAD">
      <w:pPr>
        <w:spacing w:line="360" w:lineRule="auto"/>
        <w:ind w:firstLine="600"/>
        <w:rPr>
          <w:rFonts w:ascii="仿宋_GB2312" w:eastAsia="仿宋_GB2312"/>
        </w:rPr>
      </w:pPr>
      <w:r>
        <w:rPr>
          <w:rFonts w:hint="eastAsia" w:ascii="仿宋_GB2312" w:eastAsia="仿宋_GB2312"/>
        </w:rPr>
        <w:t>（8） 双方约定的其他合同文件。</w:t>
      </w:r>
    </w:p>
    <w:p w14:paraId="54A0EE94">
      <w:pPr>
        <w:spacing w:line="360" w:lineRule="auto"/>
        <w:ind w:firstLine="600"/>
        <w:rPr>
          <w:rFonts w:ascii="仿宋_GB2312" w:eastAsia="仿宋_GB2312"/>
        </w:rPr>
      </w:pPr>
      <w:bookmarkStart w:id="858" w:name="_Hlk18951547"/>
      <w:bookmarkEnd w:id="858"/>
      <w:r>
        <w:rPr>
          <w:rFonts w:hint="eastAsia" w:ascii="仿宋_GB2312" w:eastAsia="仿宋_GB2312"/>
        </w:rPr>
        <w:t>上述各项合同文件包括合同当事人就该项合同文件所作出的补充和修改，属于同一项内容的文件，应以最新签署的为准。</w:t>
      </w:r>
    </w:p>
    <w:p w14:paraId="0DA6A939">
      <w:pPr>
        <w:spacing w:line="360" w:lineRule="auto"/>
        <w:ind w:firstLine="600"/>
        <w:rPr>
          <w:rFonts w:ascii="仿宋_GB2312" w:eastAsia="仿宋_GB2312"/>
        </w:rPr>
      </w:pPr>
      <w:r>
        <w:rPr>
          <w:rFonts w:hint="eastAsia" w:ascii="仿宋_GB2312" w:eastAsia="仿宋_GB2312"/>
        </w:rPr>
        <w:t>在合同订立及履行过程中形成的与合同有关的文件均构成合同文件组成部分，并根据其性质确定优先解释顺序。</w:t>
      </w:r>
    </w:p>
    <w:p w14:paraId="22223B0B">
      <w:pPr>
        <w:pStyle w:val="39"/>
        <w:widowControl/>
        <w:spacing w:afterLines="0"/>
        <w:ind w:left="0"/>
        <w:outlineLvl w:val="3"/>
        <w:rPr>
          <w:rFonts w:hint="eastAsia"/>
          <w:b w:val="0"/>
          <w:bCs/>
          <w:sz w:val="21"/>
          <w:szCs w:val="21"/>
        </w:rPr>
      </w:pPr>
      <w:bookmarkStart w:id="859" w:name="_Toc18119"/>
      <w:bookmarkEnd w:id="859"/>
      <w:bookmarkStart w:id="860" w:name="_Ref11917818"/>
      <w:bookmarkEnd w:id="860"/>
      <w:bookmarkStart w:id="861" w:name="_Toc54862183"/>
      <w:bookmarkEnd w:id="861"/>
      <w:bookmarkStart w:id="862" w:name="_Ref4422060"/>
      <w:bookmarkEnd w:id="862"/>
      <w:bookmarkStart w:id="863" w:name="_Toc10089"/>
      <w:bookmarkEnd w:id="863"/>
      <w:bookmarkStart w:id="864" w:name="_Ref531949807"/>
      <w:bookmarkStart w:id="865" w:name="_Ref531949803"/>
      <w:bookmarkStart w:id="866" w:name="_Ref531949822"/>
      <w:r>
        <w:rPr>
          <w:rFonts w:hint="eastAsia"/>
          <w:b w:val="0"/>
          <w:bCs/>
          <w:sz w:val="21"/>
          <w:szCs w:val="21"/>
        </w:rPr>
        <w:t>1.6 文件的提供和照管</w:t>
      </w:r>
    </w:p>
    <w:p w14:paraId="7E31BA6E">
      <w:pPr>
        <w:pStyle w:val="40"/>
        <w:spacing w:after="157"/>
        <w:ind w:left="0"/>
        <w:outlineLvl w:val="4"/>
        <w:rPr>
          <w:rFonts w:hint="eastAsia" w:ascii="仿宋_GB2312" w:eastAsia="仿宋_GB2312"/>
          <w:sz w:val="21"/>
        </w:rPr>
      </w:pPr>
      <w:bookmarkStart w:id="867" w:name="_Ref4421991"/>
      <w:bookmarkEnd w:id="867"/>
      <w:r>
        <w:rPr>
          <w:rFonts w:hint="eastAsia" w:ascii="仿宋_GB2312" w:eastAsia="仿宋_GB2312"/>
          <w:sz w:val="21"/>
        </w:rPr>
        <w:t>1</w:t>
      </w:r>
      <w:r>
        <w:rPr>
          <w:rFonts w:ascii="仿宋_GB2312" w:eastAsia="仿宋_GB2312"/>
          <w:sz w:val="21"/>
        </w:rPr>
        <w:t xml:space="preserve">.6.1 </w:t>
      </w:r>
      <w:r>
        <w:rPr>
          <w:rFonts w:hint="eastAsia" w:ascii="仿宋_GB2312" w:eastAsia="仿宋_GB2312"/>
          <w:sz w:val="21"/>
        </w:rPr>
        <w:t>发包人文件的提供</w:t>
      </w:r>
    </w:p>
    <w:p w14:paraId="140498A2">
      <w:pPr>
        <w:spacing w:line="360" w:lineRule="auto"/>
        <w:ind w:firstLine="600"/>
        <w:rPr>
          <w:rFonts w:ascii="仿宋_GB2312" w:eastAsia="仿宋_GB2312"/>
        </w:rPr>
      </w:pPr>
      <w:r>
        <w:rPr>
          <w:rFonts w:hint="eastAsia" w:ascii="仿宋_GB2312" w:eastAsia="仿宋_GB2312"/>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w:t>
      </w:r>
      <w:r>
        <w:rPr>
          <w:rFonts w:ascii="仿宋_GB2312" w:eastAsia="仿宋_GB2312"/>
        </w:rPr>
        <w:t>8.7.1</w:t>
      </w:r>
      <w:r>
        <w:rPr>
          <w:rFonts w:hint="eastAsia" w:ascii="仿宋_GB2312" w:eastAsia="仿宋_GB2312"/>
        </w:rPr>
        <w:t>项[</w:t>
      </w:r>
      <w:r>
        <w:rPr>
          <w:rFonts w:ascii="仿宋_GB2312" w:eastAsia="仿宋_GB2312"/>
        </w:rPr>
        <w:t>因发包人原因导致工期延误</w:t>
      </w:r>
      <w:r>
        <w:rPr>
          <w:rFonts w:hint="eastAsia" w:ascii="仿宋_GB2312" w:eastAsia="仿宋_GB2312"/>
        </w:rPr>
        <w:t>]约定办理。</w:t>
      </w:r>
    </w:p>
    <w:p w14:paraId="5AD24FFD">
      <w:pPr>
        <w:pStyle w:val="40"/>
        <w:spacing w:after="157"/>
        <w:ind w:left="0"/>
        <w:outlineLvl w:val="4"/>
        <w:rPr>
          <w:rFonts w:hint="eastAsia" w:ascii="仿宋_GB2312" w:eastAsia="仿宋_GB2312"/>
          <w:sz w:val="21"/>
        </w:rPr>
      </w:pPr>
      <w:bookmarkStart w:id="868" w:name="_Ref4422317"/>
      <w:bookmarkEnd w:id="868"/>
      <w:r>
        <w:rPr>
          <w:rFonts w:hint="eastAsia" w:ascii="仿宋_GB2312" w:eastAsia="仿宋_GB2312"/>
          <w:sz w:val="21"/>
        </w:rPr>
        <w:t>1</w:t>
      </w:r>
      <w:r>
        <w:rPr>
          <w:rFonts w:ascii="仿宋_GB2312" w:eastAsia="仿宋_GB2312"/>
          <w:sz w:val="21"/>
        </w:rPr>
        <w:t xml:space="preserve">.6.2 </w:t>
      </w:r>
      <w:r>
        <w:rPr>
          <w:rFonts w:hint="eastAsia" w:ascii="仿宋_GB2312" w:eastAsia="仿宋_GB2312"/>
          <w:sz w:val="21"/>
        </w:rPr>
        <w:t>承包人文件的提供</w:t>
      </w:r>
    </w:p>
    <w:p w14:paraId="32BB1D31">
      <w:pPr>
        <w:spacing w:line="360" w:lineRule="auto"/>
        <w:ind w:firstLine="600"/>
        <w:rPr>
          <w:rFonts w:ascii="仿宋_GB2312" w:eastAsia="仿宋_GB2312"/>
        </w:rPr>
      </w:pPr>
      <w:r>
        <w:rPr>
          <w:rFonts w:hint="eastAsia" w:ascii="仿宋_GB2312" w:eastAsia="仿宋_GB2312"/>
        </w:rPr>
        <w:t>除专用合同条件另有约定外，承包人文件应包含下列内容，并用第</w:t>
      </w:r>
      <w:r>
        <w:rPr>
          <w:rFonts w:ascii="仿宋_GB2312" w:eastAsia="仿宋_GB2312"/>
        </w:rPr>
        <w:t>1.2</w:t>
      </w:r>
      <w:r>
        <w:rPr>
          <w:rFonts w:hint="eastAsia" w:ascii="仿宋_GB2312" w:eastAsia="仿宋_GB2312"/>
        </w:rPr>
        <w:t>款[语言文字]约定的语言制作：</w:t>
      </w:r>
    </w:p>
    <w:p w14:paraId="6285B35F">
      <w:pPr>
        <w:spacing w:line="360" w:lineRule="auto"/>
        <w:ind w:firstLine="600"/>
        <w:rPr>
          <w:rFonts w:ascii="仿宋_GB2312" w:eastAsia="仿宋_GB2312"/>
        </w:rPr>
      </w:pPr>
      <w:r>
        <w:rPr>
          <w:rFonts w:hint="eastAsia" w:ascii="仿宋_GB2312" w:eastAsia="仿宋_GB2312"/>
        </w:rPr>
        <w:t>（1） 《发包人要求》中规定的相关文件；</w:t>
      </w:r>
    </w:p>
    <w:p w14:paraId="0E1335C7">
      <w:pPr>
        <w:spacing w:line="360" w:lineRule="auto"/>
        <w:ind w:firstLine="600"/>
        <w:rPr>
          <w:rFonts w:ascii="仿宋_GB2312" w:eastAsia="仿宋_GB2312"/>
        </w:rPr>
      </w:pPr>
      <w:r>
        <w:rPr>
          <w:rFonts w:hint="eastAsia" w:ascii="仿宋_GB2312" w:eastAsia="仿宋_GB2312"/>
        </w:rPr>
        <w:t>（2） 满足工程相关行政审批手续所必须的应由承包人负责的相关文件；</w:t>
      </w:r>
    </w:p>
    <w:p w14:paraId="5F4C2AE1">
      <w:pPr>
        <w:spacing w:line="360" w:lineRule="auto"/>
        <w:ind w:firstLine="600"/>
        <w:rPr>
          <w:rFonts w:ascii="仿宋_GB2312" w:eastAsia="仿宋_GB2312"/>
        </w:rPr>
      </w:pPr>
      <w:r>
        <w:rPr>
          <w:rFonts w:hint="eastAsia" w:ascii="仿宋_GB2312" w:eastAsia="仿宋_GB2312"/>
        </w:rPr>
        <w:t>（3） 第</w:t>
      </w:r>
      <w:r>
        <w:rPr>
          <w:rFonts w:ascii="仿宋_GB2312" w:eastAsia="仿宋_GB2312"/>
        </w:rPr>
        <w:t>5.4</w:t>
      </w:r>
      <w:r>
        <w:rPr>
          <w:rFonts w:hint="eastAsia" w:ascii="仿宋_GB2312" w:eastAsia="仿宋_GB2312"/>
        </w:rPr>
        <w:t>款[竣工文件]与第</w:t>
      </w:r>
      <w:r>
        <w:rPr>
          <w:rFonts w:ascii="仿宋_GB2312" w:eastAsia="仿宋_GB2312"/>
        </w:rPr>
        <w:t>5.5</w:t>
      </w:r>
      <w:r>
        <w:rPr>
          <w:rFonts w:hint="eastAsia" w:ascii="仿宋_GB2312" w:eastAsia="仿宋_GB2312"/>
        </w:rPr>
        <w:t>款[操作和维修手册]中要求的相关文件。</w:t>
      </w:r>
    </w:p>
    <w:p w14:paraId="61091DC4">
      <w:pPr>
        <w:spacing w:line="360" w:lineRule="auto"/>
        <w:ind w:firstLine="600"/>
        <w:rPr>
          <w:rFonts w:ascii="仿宋_GB2312" w:eastAsia="仿宋_GB2312"/>
        </w:rPr>
      </w:pPr>
      <w:r>
        <w:rPr>
          <w:rFonts w:hint="eastAsia" w:ascii="仿宋_GB2312" w:eastAsia="仿宋_GB2312"/>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w:t>
      </w:r>
      <w:r>
        <w:rPr>
          <w:rFonts w:ascii="仿宋_GB2312" w:eastAsia="仿宋_GB2312"/>
        </w:rPr>
        <w:t>5.2</w:t>
      </w:r>
      <w:r>
        <w:rPr>
          <w:rFonts w:hint="eastAsia" w:ascii="仿宋_GB2312" w:eastAsia="仿宋_GB2312"/>
        </w:rPr>
        <w:t>款[承包人文件审查]和第</w:t>
      </w:r>
      <w:r>
        <w:rPr>
          <w:rFonts w:ascii="仿宋_GB2312" w:eastAsia="仿宋_GB2312"/>
        </w:rPr>
        <w:t>5.4</w:t>
      </w:r>
      <w:r>
        <w:rPr>
          <w:rFonts w:hint="eastAsia" w:ascii="仿宋_GB2312" w:eastAsia="仿宋_GB2312"/>
        </w:rPr>
        <w:t>款[竣工文件]的约定。</w:t>
      </w:r>
    </w:p>
    <w:p w14:paraId="4B501048">
      <w:pPr>
        <w:pStyle w:val="40"/>
        <w:spacing w:after="157"/>
        <w:ind w:left="0"/>
        <w:outlineLvl w:val="4"/>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.6.3 </w:t>
      </w:r>
      <w:r>
        <w:rPr>
          <w:rFonts w:hint="eastAsia" w:ascii="仿宋_GB2312" w:eastAsia="仿宋_GB2312"/>
          <w:sz w:val="21"/>
        </w:rPr>
        <w:t>文件错误的通知</w:t>
      </w:r>
    </w:p>
    <w:p w14:paraId="46670B73">
      <w:pPr>
        <w:spacing w:line="360" w:lineRule="auto"/>
        <w:ind w:firstLine="600"/>
        <w:rPr>
          <w:rFonts w:ascii="仿宋_GB2312" w:eastAsia="仿宋_GB2312"/>
        </w:rPr>
      </w:pPr>
      <w:r>
        <w:rPr>
          <w:rFonts w:hint="eastAsia" w:ascii="仿宋_GB2312" w:eastAsia="仿宋_GB2312"/>
        </w:rPr>
        <w:t>任何一方发现文件中存在明显的错误或疏忽，应及时通知另一方。</w:t>
      </w:r>
    </w:p>
    <w:p w14:paraId="56C487FF">
      <w:pPr>
        <w:pStyle w:val="40"/>
        <w:spacing w:after="157"/>
        <w:ind w:left="0"/>
        <w:outlineLvl w:val="4"/>
        <w:rPr>
          <w:rFonts w:hint="eastAsia" w:ascii="仿宋_GB2312" w:eastAsia="仿宋_GB2312"/>
          <w:sz w:val="21"/>
        </w:rPr>
      </w:pPr>
      <w:bookmarkStart w:id="869" w:name="_Ref11957673"/>
      <w:bookmarkEnd w:id="869"/>
      <w:bookmarkStart w:id="870" w:name="_Ref4678410"/>
      <w:bookmarkEnd w:id="870"/>
      <w:r>
        <w:rPr>
          <w:rFonts w:hint="eastAsia" w:ascii="仿宋_GB2312" w:eastAsia="仿宋_GB2312"/>
          <w:sz w:val="21"/>
        </w:rPr>
        <w:t>1</w:t>
      </w:r>
      <w:r>
        <w:rPr>
          <w:rFonts w:ascii="仿宋_GB2312" w:eastAsia="仿宋_GB2312"/>
          <w:sz w:val="21"/>
        </w:rPr>
        <w:t xml:space="preserve">.6.4 </w:t>
      </w:r>
      <w:r>
        <w:rPr>
          <w:rFonts w:hint="eastAsia" w:ascii="仿宋_GB2312" w:eastAsia="仿宋_GB2312"/>
          <w:sz w:val="21"/>
        </w:rPr>
        <w:t>文件的照管</w:t>
      </w:r>
    </w:p>
    <w:p w14:paraId="549FCF10">
      <w:pPr>
        <w:spacing w:line="360" w:lineRule="auto"/>
        <w:ind w:firstLine="600"/>
        <w:rPr>
          <w:rFonts w:ascii="仿宋_GB2312" w:eastAsia="仿宋_GB2312"/>
        </w:rPr>
      </w:pPr>
      <w:r>
        <w:rPr>
          <w:rFonts w:hint="eastAsia" w:ascii="仿宋_GB2312" w:eastAsia="仿宋_GB2312"/>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7E4DE5C6">
      <w:pPr>
        <w:pStyle w:val="39"/>
        <w:widowControl/>
        <w:spacing w:afterLines="0"/>
        <w:ind w:left="0"/>
        <w:outlineLvl w:val="3"/>
        <w:rPr>
          <w:rFonts w:hint="eastAsia"/>
          <w:b w:val="0"/>
          <w:bCs/>
          <w:sz w:val="21"/>
          <w:szCs w:val="21"/>
        </w:rPr>
      </w:pPr>
      <w:bookmarkStart w:id="871" w:name="_Toc54862184"/>
      <w:bookmarkEnd w:id="871"/>
      <w:bookmarkStart w:id="872" w:name="_Toc4691"/>
      <w:bookmarkEnd w:id="872"/>
      <w:bookmarkStart w:id="873" w:name="_Ref4415170"/>
      <w:bookmarkEnd w:id="873"/>
      <w:bookmarkStart w:id="874" w:name="_Toc28441"/>
      <w:bookmarkEnd w:id="874"/>
      <w:r>
        <w:rPr>
          <w:rFonts w:hint="eastAsia"/>
          <w:b w:val="0"/>
          <w:bCs/>
          <w:sz w:val="21"/>
          <w:szCs w:val="21"/>
        </w:rPr>
        <w:t>1.7 联络</w:t>
      </w:r>
    </w:p>
    <w:p w14:paraId="4659EABC">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.7.1 </w:t>
      </w:r>
      <w:r>
        <w:rPr>
          <w:rFonts w:hint="eastAsia" w:ascii="仿宋_GB2312" w:eastAsia="仿宋_GB2312"/>
          <w:sz w:val="21"/>
        </w:rPr>
        <w:t>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261D2C4F">
      <w:pPr>
        <w:pStyle w:val="40"/>
        <w:spacing w:after="157"/>
        <w:ind w:left="0"/>
        <w:rPr>
          <w:rFonts w:hint="eastAsia" w:ascii="仿宋_GB2312" w:eastAsia="仿宋_GB2312"/>
          <w:sz w:val="21"/>
        </w:rPr>
      </w:pPr>
      <w:bookmarkStart w:id="875" w:name="_Ref531949897"/>
      <w:bookmarkEnd w:id="875"/>
      <w:r>
        <w:rPr>
          <w:rFonts w:hint="eastAsia" w:ascii="仿宋_GB2312" w:eastAsia="仿宋_GB2312"/>
          <w:sz w:val="21"/>
        </w:rPr>
        <w:t>1</w:t>
      </w:r>
      <w:r>
        <w:rPr>
          <w:rFonts w:ascii="仿宋_GB2312" w:eastAsia="仿宋_GB2312"/>
          <w:sz w:val="21"/>
        </w:rPr>
        <w:t xml:space="preserve">.7.2 </w:t>
      </w:r>
      <w:r>
        <w:rPr>
          <w:rFonts w:hint="eastAsia" w:ascii="仿宋_GB2312" w:eastAsia="仿宋_GB2312"/>
          <w:sz w:val="21"/>
        </w:rPr>
        <w:t>发包人和承包人应在专用合同条件中约定各自的送达方式和收件地址。任何一方合同当事人指定的送达方式或收件地址发生变动的，应提前3天以书面形式通知对方。</w:t>
      </w:r>
    </w:p>
    <w:p w14:paraId="6B4F9D91">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.7.3 </w:t>
      </w:r>
      <w:r>
        <w:rPr>
          <w:rFonts w:hint="eastAsia" w:ascii="仿宋_GB2312" w:eastAsia="仿宋_GB2312"/>
          <w:sz w:val="21"/>
        </w:rPr>
        <w:t>发包人和承包人应当及时签收另一方通过约定的送达方式送达收件地址的来往文件。拒不签收的，由此增加的费用和（或）延误的工期由拒绝接收一方承担。</w:t>
      </w:r>
    </w:p>
    <w:p w14:paraId="325326A5">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.7.4 </w:t>
      </w:r>
      <w:r>
        <w:rPr>
          <w:rFonts w:hint="eastAsia" w:ascii="仿宋_GB2312" w:eastAsia="仿宋_GB2312"/>
          <w:sz w:val="21"/>
        </w:rPr>
        <w:t>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bookmarkEnd w:id="864"/>
    <w:bookmarkEnd w:id="865"/>
    <w:bookmarkEnd w:id="866"/>
    <w:p w14:paraId="7287B9B9">
      <w:pPr>
        <w:pStyle w:val="39"/>
        <w:widowControl/>
        <w:spacing w:afterLines="0"/>
        <w:ind w:left="0"/>
        <w:outlineLvl w:val="3"/>
        <w:rPr>
          <w:rFonts w:hint="eastAsia"/>
          <w:b w:val="0"/>
          <w:bCs/>
          <w:sz w:val="21"/>
          <w:szCs w:val="21"/>
        </w:rPr>
      </w:pPr>
      <w:bookmarkStart w:id="876" w:name="_Toc23605"/>
      <w:bookmarkEnd w:id="876"/>
      <w:bookmarkStart w:id="877" w:name="_Toc12816"/>
      <w:bookmarkEnd w:id="877"/>
      <w:bookmarkStart w:id="878" w:name="_Toc54862185"/>
      <w:bookmarkEnd w:id="878"/>
      <w:r>
        <w:rPr>
          <w:rFonts w:hint="eastAsia"/>
          <w:b w:val="0"/>
          <w:bCs/>
          <w:sz w:val="21"/>
          <w:szCs w:val="21"/>
        </w:rPr>
        <w:t>1.8 严禁贿赂</w:t>
      </w:r>
    </w:p>
    <w:p w14:paraId="4AA806AF">
      <w:pPr>
        <w:spacing w:line="360" w:lineRule="auto"/>
        <w:ind w:firstLine="600"/>
        <w:rPr>
          <w:rFonts w:ascii="仿宋_GB2312" w:eastAsia="仿宋_GB2312"/>
        </w:rPr>
      </w:pPr>
      <w:r>
        <w:rPr>
          <w:rFonts w:hint="eastAsia" w:ascii="仿宋_GB2312" w:eastAsia="仿宋_GB2312"/>
        </w:rPr>
        <w:t>合同当事人不得以贿赂或变相贿赂的方式，谋取非法利益或损害对方权益。因一方合同当事人的贿赂造成对方损失的，应赔偿损失，并承担相应的法律责任。</w:t>
      </w:r>
    </w:p>
    <w:p w14:paraId="29ABFD8C">
      <w:pPr>
        <w:spacing w:line="360" w:lineRule="auto"/>
        <w:ind w:firstLine="600"/>
        <w:rPr>
          <w:rFonts w:ascii="仿宋_GB2312" w:eastAsia="仿宋_GB2312"/>
        </w:rPr>
      </w:pPr>
      <w:r>
        <w:rPr>
          <w:rFonts w:hint="eastAsia" w:ascii="仿宋_GB2312" w:eastAsia="仿宋_GB2312"/>
        </w:rPr>
        <w:t>承包人不得与工程师或发包人聘请的第三方串通损害发包人利益。未经发包人书面同意，承包人不得为工程师提供合同约定以外的通讯设备、交通工具及其他任何形式的利益，不得向工程师支付报酬。</w:t>
      </w:r>
    </w:p>
    <w:p w14:paraId="4910B322">
      <w:pPr>
        <w:pStyle w:val="39"/>
        <w:widowControl/>
        <w:spacing w:afterLines="0"/>
        <w:ind w:left="0"/>
        <w:outlineLvl w:val="3"/>
        <w:rPr>
          <w:rFonts w:hint="eastAsia"/>
          <w:b w:val="0"/>
          <w:bCs/>
          <w:sz w:val="21"/>
          <w:szCs w:val="21"/>
        </w:rPr>
      </w:pPr>
      <w:bookmarkStart w:id="879" w:name="_Toc29975"/>
      <w:bookmarkEnd w:id="879"/>
      <w:bookmarkStart w:id="880" w:name="_Toc54862186"/>
      <w:bookmarkEnd w:id="880"/>
      <w:bookmarkStart w:id="881" w:name="_Toc20894"/>
      <w:bookmarkEnd w:id="881"/>
      <w:r>
        <w:rPr>
          <w:rFonts w:hint="eastAsia"/>
          <w:b w:val="0"/>
          <w:bCs/>
          <w:sz w:val="21"/>
          <w:szCs w:val="21"/>
        </w:rPr>
        <w:t>1.9 化石、文物</w:t>
      </w:r>
    </w:p>
    <w:p w14:paraId="6243C221">
      <w:pPr>
        <w:spacing w:line="360" w:lineRule="auto"/>
        <w:ind w:firstLine="600"/>
        <w:rPr>
          <w:rFonts w:ascii="仿宋_GB2312" w:eastAsia="仿宋_GB2312"/>
        </w:rPr>
      </w:pPr>
      <w:r>
        <w:rPr>
          <w:rFonts w:hint="eastAsia" w:ascii="仿宋_GB2312" w:eastAsia="仿宋_GB2312"/>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6CF2ED5F">
      <w:pPr>
        <w:spacing w:line="360" w:lineRule="auto"/>
        <w:ind w:firstLine="600"/>
        <w:rPr>
          <w:rFonts w:ascii="仿宋_GB2312" w:eastAsia="仿宋_GB2312"/>
        </w:rPr>
      </w:pPr>
      <w:r>
        <w:rPr>
          <w:rFonts w:hint="eastAsia" w:ascii="仿宋_GB2312" w:eastAsia="仿宋_GB2312"/>
        </w:rPr>
        <w:t>发包人、工程师和承包人应按有关政府行政管理部门要求采取妥善的保护措施，由此增加的费用和（或）延误的工期由发包人承担。</w:t>
      </w:r>
    </w:p>
    <w:p w14:paraId="2DF6254A">
      <w:pPr>
        <w:spacing w:line="360" w:lineRule="auto"/>
        <w:ind w:firstLine="600"/>
        <w:rPr>
          <w:rFonts w:ascii="仿宋_GB2312" w:eastAsia="仿宋_GB2312"/>
        </w:rPr>
      </w:pPr>
      <w:r>
        <w:rPr>
          <w:rFonts w:hint="eastAsia" w:ascii="仿宋_GB2312" w:eastAsia="仿宋_GB2312"/>
        </w:rPr>
        <w:t>承包人发现文物后不及时报告或隐瞒不报，致使文物丢失或损坏的，应当赔偿损失，并承担相应的法律责任。</w:t>
      </w:r>
    </w:p>
    <w:p w14:paraId="175E1DEC">
      <w:pPr>
        <w:pStyle w:val="39"/>
        <w:widowControl/>
        <w:spacing w:afterLines="0"/>
        <w:ind w:left="0"/>
        <w:outlineLvl w:val="3"/>
        <w:rPr>
          <w:rFonts w:hint="eastAsia"/>
          <w:b w:val="0"/>
          <w:bCs/>
          <w:sz w:val="21"/>
          <w:szCs w:val="21"/>
        </w:rPr>
      </w:pPr>
      <w:bookmarkStart w:id="882" w:name="_Ref531949770"/>
      <w:bookmarkEnd w:id="882"/>
      <w:bookmarkStart w:id="883" w:name="_Toc24420"/>
      <w:bookmarkEnd w:id="883"/>
      <w:bookmarkStart w:id="884" w:name="_Ref531949766"/>
      <w:bookmarkEnd w:id="884"/>
      <w:bookmarkStart w:id="885" w:name="_Toc2350"/>
      <w:bookmarkEnd w:id="885"/>
      <w:bookmarkStart w:id="886" w:name="_Ref4423426"/>
      <w:bookmarkEnd w:id="886"/>
      <w:bookmarkStart w:id="887" w:name="_Toc54862187"/>
      <w:bookmarkEnd w:id="887"/>
      <w:bookmarkStart w:id="888" w:name="_Ref531949855"/>
      <w:bookmarkStart w:id="889" w:name="_Ref531949826"/>
      <w:bookmarkStart w:id="890" w:name="_Ref531949841"/>
      <w:r>
        <w:rPr>
          <w:rFonts w:hint="eastAsia"/>
          <w:b w:val="0"/>
          <w:bCs/>
          <w:sz w:val="21"/>
          <w:szCs w:val="21"/>
        </w:rPr>
        <w:t>1.10 知识产权</w:t>
      </w:r>
    </w:p>
    <w:p w14:paraId="28A1AFCC">
      <w:pPr>
        <w:pStyle w:val="40"/>
        <w:spacing w:after="157"/>
        <w:ind w:left="0"/>
        <w:rPr>
          <w:rFonts w:hint="eastAsia" w:ascii="仿宋_GB2312" w:eastAsia="仿宋_GB2312"/>
          <w:sz w:val="21"/>
        </w:rPr>
      </w:pPr>
      <w:bookmarkStart w:id="891" w:name="_Ref4423563"/>
      <w:bookmarkEnd w:id="891"/>
      <w:r>
        <w:rPr>
          <w:rFonts w:hint="eastAsia" w:ascii="仿宋_GB2312" w:eastAsia="仿宋_GB2312"/>
          <w:sz w:val="21"/>
        </w:rPr>
        <w:t>1</w:t>
      </w:r>
      <w:r>
        <w:rPr>
          <w:rFonts w:ascii="仿宋_GB2312" w:eastAsia="仿宋_GB2312"/>
          <w:sz w:val="21"/>
        </w:rPr>
        <w:t xml:space="preserve">.10.1 </w:t>
      </w:r>
      <w:r>
        <w:rPr>
          <w:rFonts w:hint="eastAsia" w:ascii="仿宋_GB2312" w:eastAsia="仿宋_GB2312"/>
          <w:sz w:val="21"/>
        </w:rPr>
        <w:t>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p>
    <w:p w14:paraId="039A69D7">
      <w:pPr>
        <w:pStyle w:val="40"/>
        <w:spacing w:after="157"/>
        <w:ind w:left="0"/>
        <w:rPr>
          <w:rFonts w:hint="eastAsia" w:ascii="仿宋_GB2312" w:eastAsia="仿宋_GB2312"/>
          <w:sz w:val="21"/>
        </w:rPr>
      </w:pPr>
      <w:bookmarkStart w:id="892" w:name="_Ref4423604"/>
      <w:bookmarkEnd w:id="892"/>
      <w:r>
        <w:rPr>
          <w:rFonts w:hint="eastAsia" w:ascii="仿宋_GB2312" w:eastAsia="仿宋_GB2312"/>
          <w:sz w:val="21"/>
        </w:rPr>
        <w:t>1</w:t>
      </w:r>
      <w:r>
        <w:rPr>
          <w:rFonts w:ascii="仿宋_GB2312" w:eastAsia="仿宋_GB2312"/>
          <w:sz w:val="21"/>
        </w:rPr>
        <w:t xml:space="preserve">.10.2 </w:t>
      </w:r>
      <w:r>
        <w:rPr>
          <w:rFonts w:hint="eastAsia" w:ascii="仿宋_GB2312" w:eastAsia="仿宋_GB2312"/>
          <w:sz w:val="21"/>
        </w:rPr>
        <w:t>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p>
    <w:p w14:paraId="1D2BD29C">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.10.3 </w:t>
      </w:r>
      <w:r>
        <w:rPr>
          <w:rFonts w:hint="eastAsia" w:ascii="仿宋_GB2312" w:eastAsia="仿宋_GB2312"/>
          <w:sz w:val="21"/>
        </w:rPr>
        <w:t>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426B3A3F">
      <w:pPr>
        <w:pStyle w:val="40"/>
        <w:spacing w:after="157"/>
        <w:ind w:left="0"/>
        <w:rPr>
          <w:rFonts w:hint="eastAsia" w:ascii="仿宋_GB2312" w:eastAsia="仿宋_GB2312"/>
          <w:sz w:val="21"/>
        </w:rPr>
      </w:pPr>
      <w:bookmarkStart w:id="893" w:name="_Ref4423695"/>
      <w:bookmarkEnd w:id="893"/>
      <w:r>
        <w:rPr>
          <w:rFonts w:hint="eastAsia" w:ascii="仿宋_GB2312" w:eastAsia="仿宋_GB2312"/>
          <w:sz w:val="21"/>
        </w:rPr>
        <w:t>1</w:t>
      </w:r>
      <w:r>
        <w:rPr>
          <w:rFonts w:ascii="仿宋_GB2312" w:eastAsia="仿宋_GB2312"/>
          <w:sz w:val="21"/>
        </w:rPr>
        <w:t xml:space="preserve">.10.4 </w:t>
      </w:r>
      <w:r>
        <w:rPr>
          <w:rFonts w:hint="eastAsia" w:ascii="仿宋_GB2312" w:eastAsia="仿宋_GB2312"/>
          <w:sz w:val="21"/>
        </w:rPr>
        <w:t>除专用合同条件另有约定外，承包人在投标文件中采用的专利、专有技术、商业软件、技术秘密的使用费已包含在签约合同价中。</w:t>
      </w:r>
    </w:p>
    <w:p w14:paraId="4D2B46E0">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.10.5 </w:t>
      </w:r>
      <w:r>
        <w:rPr>
          <w:rFonts w:hint="eastAsia" w:ascii="仿宋_GB2312" w:eastAsia="仿宋_GB2312"/>
          <w:sz w:val="21"/>
        </w:rPr>
        <w:t>合同当事人可就本合同涉及的合同一方或合同双方（含一方或双方相关的专利商或第三方设计单位）的技术专利、建筑设计方案、专有技术、设计文件著作权等知识产权，订立知识产权及保密协议，作为本合同的组成部分。</w:t>
      </w:r>
    </w:p>
    <w:bookmarkEnd w:id="888"/>
    <w:bookmarkEnd w:id="889"/>
    <w:bookmarkEnd w:id="890"/>
    <w:p w14:paraId="649B6FC5">
      <w:pPr>
        <w:pStyle w:val="39"/>
        <w:widowControl/>
        <w:spacing w:afterLines="0"/>
        <w:ind w:left="0"/>
        <w:outlineLvl w:val="3"/>
        <w:rPr>
          <w:rFonts w:hint="eastAsia"/>
          <w:b w:val="0"/>
          <w:bCs/>
          <w:sz w:val="21"/>
          <w:szCs w:val="21"/>
        </w:rPr>
      </w:pPr>
      <w:bookmarkStart w:id="894" w:name="_Toc54862188"/>
      <w:bookmarkEnd w:id="894"/>
      <w:bookmarkStart w:id="895" w:name="_Toc30337"/>
      <w:bookmarkEnd w:id="895"/>
      <w:bookmarkStart w:id="896" w:name="_Toc29328"/>
      <w:bookmarkEnd w:id="896"/>
      <w:bookmarkStart w:id="897" w:name="_Ref4423873"/>
      <w:bookmarkEnd w:id="897"/>
      <w:bookmarkStart w:id="898" w:name="_Ref4423898"/>
      <w:bookmarkEnd w:id="898"/>
      <w:r>
        <w:rPr>
          <w:rFonts w:hint="eastAsia"/>
          <w:b w:val="0"/>
          <w:bCs/>
          <w:sz w:val="21"/>
          <w:szCs w:val="21"/>
        </w:rPr>
        <w:t>1.11 保密</w:t>
      </w:r>
    </w:p>
    <w:p w14:paraId="6F187759">
      <w:pPr>
        <w:spacing w:line="360" w:lineRule="auto"/>
        <w:ind w:firstLine="600"/>
        <w:rPr>
          <w:rFonts w:ascii="仿宋_GB2312" w:eastAsia="仿宋_GB2312"/>
        </w:rPr>
      </w:pPr>
      <w:r>
        <w:rPr>
          <w:rFonts w:hint="eastAsia" w:ascii="仿宋_GB2312" w:eastAsia="仿宋_GB2312"/>
        </w:rPr>
        <w:t>合同当事人一方对在订立和履行合同过程中知悉的另一方的商业秘密、技术秘密，以及任何一方明确要求保密的其它信息，负有保密责任。</w:t>
      </w:r>
    </w:p>
    <w:p w14:paraId="74247CBB">
      <w:pPr>
        <w:spacing w:line="360" w:lineRule="auto"/>
        <w:ind w:firstLine="600"/>
        <w:rPr>
          <w:rFonts w:ascii="仿宋_GB2312" w:eastAsia="仿宋_GB2312"/>
        </w:rPr>
      </w:pPr>
      <w:r>
        <w:rPr>
          <w:rFonts w:hint="eastAsia" w:ascii="仿宋_GB2312" w:eastAsia="仿宋_GB2312"/>
        </w:rPr>
        <w:t>除法律规定或合同另有约定外，未经对方同意，任何一方当事人不得将对方提供的文件、技术秘密以及声明需要保密的资料信息等商业秘密泄露给第三方或者用于本合同以外的目的。</w:t>
      </w:r>
    </w:p>
    <w:p w14:paraId="29788BFF">
      <w:pPr>
        <w:spacing w:line="360" w:lineRule="auto"/>
        <w:ind w:firstLine="600"/>
        <w:rPr>
          <w:rFonts w:ascii="仿宋_GB2312" w:eastAsia="仿宋_GB2312"/>
        </w:rPr>
      </w:pPr>
      <w:r>
        <w:rPr>
          <w:rFonts w:hint="eastAsia" w:ascii="仿宋_GB2312" w:eastAsia="仿宋_GB2312"/>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24E18E3E">
      <w:pPr>
        <w:pStyle w:val="39"/>
        <w:widowControl/>
        <w:spacing w:afterLines="0"/>
        <w:ind w:left="0"/>
        <w:outlineLvl w:val="3"/>
        <w:rPr>
          <w:rFonts w:hint="eastAsia"/>
          <w:b w:val="0"/>
          <w:bCs/>
          <w:sz w:val="21"/>
          <w:szCs w:val="21"/>
        </w:rPr>
      </w:pPr>
      <w:bookmarkStart w:id="899" w:name="_Toc4234"/>
      <w:bookmarkEnd w:id="899"/>
      <w:bookmarkStart w:id="900" w:name="_Toc19941"/>
      <w:bookmarkEnd w:id="900"/>
      <w:bookmarkStart w:id="901" w:name="_Hlk55215423"/>
      <w:bookmarkEnd w:id="901"/>
      <w:bookmarkStart w:id="902" w:name="_Toc54862189"/>
      <w:bookmarkEnd w:id="902"/>
      <w:bookmarkStart w:id="903" w:name="_Ref532336812"/>
      <w:bookmarkEnd w:id="903"/>
      <w:r>
        <w:rPr>
          <w:rFonts w:hint="eastAsia"/>
          <w:b w:val="0"/>
          <w:bCs/>
          <w:sz w:val="21"/>
          <w:szCs w:val="21"/>
        </w:rPr>
        <w:t>1.12 《发包人要求》和基础资料中的错误</w:t>
      </w:r>
    </w:p>
    <w:p w14:paraId="72A126C9">
      <w:pPr>
        <w:spacing w:line="360" w:lineRule="auto"/>
        <w:ind w:firstLine="600"/>
        <w:rPr>
          <w:rFonts w:ascii="仿宋_GB2312" w:eastAsia="仿宋_GB2312"/>
        </w:rPr>
      </w:pPr>
      <w:r>
        <w:rPr>
          <w:rFonts w:hint="eastAsia" w:ascii="仿宋_GB2312" w:eastAsia="仿宋_GB2312"/>
        </w:rPr>
        <w:t>承包人应尽早认真阅读、复核《发包人要求》以及其提供的基础资料，发现错误的，应及时书面通知发包人补正。发包人作相应修改的，按照第</w:t>
      </w:r>
      <w:r>
        <w:rPr>
          <w:rFonts w:ascii="仿宋_GB2312" w:eastAsia="仿宋_GB2312"/>
        </w:rPr>
        <w:t>13条</w:t>
      </w:r>
      <w:r>
        <w:rPr>
          <w:rFonts w:hint="eastAsia" w:ascii="仿宋_GB2312" w:eastAsia="仿宋_GB2312"/>
        </w:rPr>
        <w:t>[变更与调整]的约定处理。</w:t>
      </w:r>
    </w:p>
    <w:p w14:paraId="3D170D45">
      <w:pPr>
        <w:spacing w:line="360" w:lineRule="auto"/>
        <w:ind w:firstLine="600"/>
        <w:rPr>
          <w:rFonts w:ascii="仿宋_GB2312" w:eastAsia="仿宋_GB2312"/>
        </w:rPr>
      </w:pPr>
      <w:r>
        <w:rPr>
          <w:rFonts w:hint="eastAsia" w:ascii="仿宋_GB2312" w:eastAsia="仿宋_GB2312"/>
        </w:rPr>
        <w:t>《发包人要求》或其提供的基础资料中的错误导致承包人增加费用和（或）工期延误的，发包人应承担由此增加的费用和（或）工期延误，并向承包人支付合理利润。</w:t>
      </w:r>
    </w:p>
    <w:p w14:paraId="788C442B">
      <w:pPr>
        <w:pStyle w:val="39"/>
        <w:widowControl/>
        <w:spacing w:afterLines="0"/>
        <w:ind w:left="0"/>
        <w:outlineLvl w:val="3"/>
        <w:rPr>
          <w:rFonts w:hint="eastAsia"/>
          <w:b w:val="0"/>
          <w:bCs/>
          <w:sz w:val="21"/>
          <w:szCs w:val="21"/>
        </w:rPr>
      </w:pPr>
      <w:bookmarkStart w:id="904" w:name="_Ref531949933"/>
      <w:bookmarkEnd w:id="904"/>
      <w:bookmarkStart w:id="905" w:name="_Toc578"/>
      <w:bookmarkEnd w:id="905"/>
      <w:bookmarkStart w:id="906" w:name="_Toc7210"/>
      <w:bookmarkEnd w:id="906"/>
      <w:bookmarkStart w:id="907" w:name="_Ref531949937"/>
      <w:bookmarkEnd w:id="907"/>
      <w:bookmarkStart w:id="908" w:name="_Toc54862190"/>
      <w:bookmarkEnd w:id="908"/>
      <w:r>
        <w:rPr>
          <w:rFonts w:hint="eastAsia"/>
          <w:b w:val="0"/>
          <w:bCs/>
          <w:sz w:val="21"/>
          <w:szCs w:val="21"/>
        </w:rPr>
        <w:t>1.13 责任限制</w:t>
      </w:r>
    </w:p>
    <w:p w14:paraId="73F6EB42">
      <w:pPr>
        <w:spacing w:line="360" w:lineRule="auto"/>
        <w:ind w:firstLine="600"/>
        <w:rPr>
          <w:rFonts w:ascii="仿宋_GB2312" w:eastAsia="仿宋_GB2312"/>
        </w:rPr>
      </w:pPr>
      <w:r>
        <w:rPr>
          <w:rFonts w:ascii="仿宋_GB2312" w:eastAsia="仿宋_GB2312"/>
        </w:rPr>
        <w:t>承包人对发包人的赔偿责任不应超过专用合同条件约定的赔偿最高限额。若专用合同条件未约定，则承包人对发包人的赔偿责任不应超过</w:t>
      </w:r>
      <w:r>
        <w:rPr>
          <w:rFonts w:hint="eastAsia" w:ascii="仿宋_GB2312" w:eastAsia="仿宋_GB2312"/>
        </w:rPr>
        <w:t>签约合同价。</w:t>
      </w:r>
      <w:r>
        <w:rPr>
          <w:rFonts w:ascii="仿宋_GB2312" w:eastAsia="仿宋_GB2312"/>
        </w:rPr>
        <w:t>但对于因欺诈、</w:t>
      </w:r>
      <w:r>
        <w:rPr>
          <w:rFonts w:hint="eastAsia" w:ascii="仿宋_GB2312" w:eastAsia="仿宋_GB2312"/>
        </w:rPr>
        <w:t>犯罪、</w:t>
      </w:r>
      <w:r>
        <w:rPr>
          <w:rFonts w:ascii="仿宋_GB2312" w:eastAsia="仿宋_GB2312"/>
        </w:rPr>
        <w:t>故意、</w:t>
      </w:r>
      <w:r>
        <w:rPr>
          <w:rFonts w:hint="eastAsia" w:ascii="仿宋_GB2312" w:eastAsia="仿宋_GB2312"/>
        </w:rPr>
        <w:t>重大过失、人身伤害</w:t>
      </w:r>
      <w:r>
        <w:rPr>
          <w:rFonts w:ascii="仿宋_GB2312" w:eastAsia="仿宋_GB2312"/>
        </w:rPr>
        <w:t>等不当行为造成的损失，赔偿的责任限度不受</w:t>
      </w:r>
      <w:r>
        <w:rPr>
          <w:rFonts w:hint="eastAsia" w:ascii="仿宋_GB2312" w:eastAsia="仿宋_GB2312"/>
        </w:rPr>
        <w:t>上述最高</w:t>
      </w:r>
      <w:r>
        <w:rPr>
          <w:rFonts w:ascii="仿宋_GB2312" w:eastAsia="仿宋_GB2312"/>
        </w:rPr>
        <w:t>限额的限制</w:t>
      </w:r>
      <w:r>
        <w:rPr>
          <w:rFonts w:hint="eastAsia" w:ascii="仿宋_GB2312" w:eastAsia="仿宋_GB2312"/>
        </w:rPr>
        <w:t>。</w:t>
      </w:r>
    </w:p>
    <w:p w14:paraId="5F21F60C">
      <w:pPr>
        <w:pStyle w:val="39"/>
        <w:widowControl/>
        <w:spacing w:afterLines="0"/>
        <w:ind w:left="0"/>
        <w:outlineLvl w:val="3"/>
        <w:rPr>
          <w:rFonts w:hint="eastAsia"/>
          <w:b w:val="0"/>
          <w:bCs/>
          <w:sz w:val="21"/>
          <w:szCs w:val="21"/>
        </w:rPr>
      </w:pPr>
      <w:bookmarkStart w:id="909" w:name="_Toc5072"/>
      <w:bookmarkEnd w:id="909"/>
      <w:bookmarkStart w:id="910" w:name="_Toc54862191"/>
      <w:bookmarkEnd w:id="910"/>
      <w:bookmarkStart w:id="911" w:name="_Toc23683"/>
      <w:bookmarkEnd w:id="911"/>
      <w:r>
        <w:rPr>
          <w:rFonts w:hint="eastAsia"/>
          <w:b w:val="0"/>
          <w:bCs/>
          <w:sz w:val="21"/>
          <w:szCs w:val="21"/>
        </w:rPr>
        <w:t>1.14 建筑信息模型技术的应用</w:t>
      </w:r>
    </w:p>
    <w:p w14:paraId="7032D30A">
      <w:pPr>
        <w:spacing w:line="360" w:lineRule="auto"/>
        <w:ind w:firstLine="600"/>
        <w:rPr>
          <w:rFonts w:ascii="仿宋_GB2312" w:eastAsia="仿宋_GB2312"/>
        </w:rPr>
      </w:pPr>
      <w:r>
        <w:rPr>
          <w:rFonts w:hint="eastAsia" w:ascii="仿宋_GB2312" w:eastAsia="仿宋_GB2312"/>
        </w:rPr>
        <w:t>如果</w:t>
      </w:r>
      <w:r>
        <w:rPr>
          <w:rFonts w:hint="eastAsia" w:ascii="仿宋_GB2312" w:eastAsia="仿宋_GB2312"/>
          <w:lang w:eastAsia="zh-CN"/>
        </w:rPr>
        <w:t>项目</w:t>
      </w:r>
      <w:r>
        <w:rPr>
          <w:rFonts w:hint="eastAsia" w:ascii="仿宋_GB2312" w:eastAsia="仿宋_GB2312"/>
        </w:rPr>
        <w:t>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1DD0A53C">
      <w:pPr>
        <w:pStyle w:val="39"/>
        <w:widowControl/>
        <w:spacing w:afterLines="0"/>
        <w:ind w:left="0"/>
        <w:rPr>
          <w:rFonts w:hint="eastAsia"/>
          <w:b w:val="0"/>
          <w:bCs/>
          <w:sz w:val="28"/>
          <w:szCs w:val="28"/>
        </w:rPr>
      </w:pPr>
      <w:bookmarkStart w:id="912" w:name="_Toc30840"/>
      <w:bookmarkEnd w:id="912"/>
      <w:bookmarkStart w:id="913" w:name="_Toc30251"/>
      <w:bookmarkEnd w:id="913"/>
      <w:bookmarkStart w:id="914" w:name="_Ref4796511"/>
      <w:bookmarkEnd w:id="914"/>
      <w:bookmarkStart w:id="915" w:name="_Toc54862192"/>
      <w:bookmarkEnd w:id="915"/>
      <w:r>
        <w:rPr>
          <w:rFonts w:hint="eastAsia"/>
          <w:b w:val="0"/>
          <w:bCs/>
          <w:sz w:val="28"/>
          <w:szCs w:val="28"/>
        </w:rPr>
        <w:t>第2条 发包人</w:t>
      </w:r>
    </w:p>
    <w:p w14:paraId="16D99CE2">
      <w:pPr>
        <w:pStyle w:val="39"/>
        <w:widowControl/>
        <w:spacing w:afterLines="0"/>
        <w:ind w:left="0"/>
        <w:outlineLvl w:val="3"/>
        <w:rPr>
          <w:rFonts w:hint="eastAsia"/>
          <w:b w:val="0"/>
          <w:bCs/>
          <w:sz w:val="21"/>
          <w:szCs w:val="21"/>
        </w:rPr>
      </w:pPr>
      <w:bookmarkStart w:id="916" w:name="_Toc17544"/>
      <w:bookmarkEnd w:id="916"/>
      <w:bookmarkStart w:id="917" w:name="_Toc54862193"/>
      <w:bookmarkEnd w:id="917"/>
      <w:bookmarkStart w:id="918" w:name="_Toc22073"/>
      <w:bookmarkEnd w:id="918"/>
      <w:r>
        <w:rPr>
          <w:rFonts w:hint="eastAsia"/>
          <w:b w:val="0"/>
          <w:bCs/>
          <w:sz w:val="21"/>
          <w:szCs w:val="21"/>
        </w:rPr>
        <w:t>2.1 遵守法律</w:t>
      </w:r>
    </w:p>
    <w:p w14:paraId="50B1F1A0">
      <w:pPr>
        <w:spacing w:line="360" w:lineRule="auto"/>
        <w:ind w:firstLine="600"/>
        <w:rPr>
          <w:rFonts w:ascii="仿宋_GB2312" w:eastAsia="仿宋_GB2312"/>
        </w:rPr>
      </w:pPr>
      <w:r>
        <w:rPr>
          <w:rFonts w:hint="eastAsia" w:ascii="仿宋_GB2312" w:eastAsia="仿宋_GB2312"/>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56B4ADEE">
      <w:pPr>
        <w:pStyle w:val="39"/>
        <w:widowControl/>
        <w:spacing w:afterLines="0"/>
        <w:ind w:left="0"/>
        <w:outlineLvl w:val="3"/>
        <w:rPr>
          <w:rFonts w:hint="eastAsia"/>
          <w:b w:val="0"/>
          <w:bCs/>
          <w:sz w:val="21"/>
          <w:szCs w:val="21"/>
        </w:rPr>
      </w:pPr>
      <w:bookmarkStart w:id="919" w:name="_Ref11917995"/>
      <w:bookmarkEnd w:id="919"/>
      <w:bookmarkStart w:id="920" w:name="_Toc54862194"/>
      <w:bookmarkEnd w:id="920"/>
      <w:bookmarkStart w:id="921" w:name="_Toc54862196"/>
      <w:bookmarkEnd w:id="921"/>
      <w:bookmarkStart w:id="922" w:name="_Toc17702"/>
      <w:bookmarkEnd w:id="922"/>
      <w:bookmarkStart w:id="923" w:name="_Toc54862195"/>
      <w:bookmarkEnd w:id="923"/>
      <w:bookmarkStart w:id="924" w:name="_Toc21178"/>
      <w:bookmarkEnd w:id="924"/>
      <w:bookmarkStart w:id="925" w:name="_Toc54862197"/>
      <w:bookmarkEnd w:id="925"/>
      <w:bookmarkStart w:id="926" w:name="_Toc51505125"/>
      <w:bookmarkEnd w:id="926"/>
      <w:bookmarkStart w:id="927" w:name="_Ref11917977"/>
      <w:bookmarkEnd w:id="927"/>
      <w:bookmarkStart w:id="928" w:name="_Toc51505124"/>
      <w:bookmarkEnd w:id="928"/>
      <w:bookmarkStart w:id="929" w:name="_Toc51505123"/>
      <w:bookmarkEnd w:id="929"/>
      <w:bookmarkStart w:id="930" w:name="_Ref531950085"/>
      <w:r>
        <w:rPr>
          <w:rFonts w:hint="eastAsia"/>
          <w:b w:val="0"/>
          <w:bCs/>
          <w:sz w:val="21"/>
          <w:szCs w:val="21"/>
        </w:rPr>
        <w:t>2.2 提供施工现场和工作条件</w:t>
      </w:r>
    </w:p>
    <w:bookmarkEnd w:id="930"/>
    <w:p w14:paraId="2D82A1BF">
      <w:pPr>
        <w:pStyle w:val="40"/>
        <w:spacing w:after="157"/>
        <w:ind w:left="0"/>
        <w:outlineLvl w:val="4"/>
        <w:rPr>
          <w:rFonts w:hint="eastAsia" w:ascii="仿宋_GB2312" w:eastAsia="仿宋_GB2312"/>
          <w:sz w:val="21"/>
        </w:rPr>
      </w:pPr>
      <w:r>
        <w:rPr>
          <w:rFonts w:hint="eastAsia" w:ascii="仿宋_GB2312" w:eastAsia="仿宋_GB2312"/>
          <w:sz w:val="21"/>
        </w:rPr>
        <w:t>2</w:t>
      </w:r>
      <w:r>
        <w:rPr>
          <w:rFonts w:ascii="仿宋_GB2312" w:eastAsia="仿宋_GB2312"/>
          <w:sz w:val="21"/>
        </w:rPr>
        <w:t xml:space="preserve">.2.1 </w:t>
      </w:r>
      <w:r>
        <w:rPr>
          <w:rFonts w:hint="eastAsia" w:ascii="仿宋_GB2312" w:eastAsia="仿宋_GB2312"/>
          <w:sz w:val="21"/>
        </w:rPr>
        <w:t>提供施工现场</w:t>
      </w:r>
    </w:p>
    <w:p w14:paraId="59E7525D">
      <w:pPr>
        <w:spacing w:line="360" w:lineRule="auto"/>
        <w:ind w:firstLine="600"/>
        <w:rPr>
          <w:rFonts w:ascii="仿宋_GB2312" w:eastAsia="仿宋_GB2312"/>
        </w:rPr>
      </w:pPr>
      <w:r>
        <w:rPr>
          <w:rFonts w:hint="eastAsia" w:ascii="仿宋_GB2312" w:eastAsia="仿宋_GB2312"/>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2E926C07">
      <w:pPr>
        <w:pStyle w:val="40"/>
        <w:spacing w:after="157"/>
        <w:ind w:left="0"/>
        <w:outlineLvl w:val="4"/>
        <w:rPr>
          <w:rFonts w:hint="eastAsia" w:ascii="仿宋_GB2312" w:eastAsia="仿宋_GB2312"/>
          <w:sz w:val="21"/>
        </w:rPr>
      </w:pPr>
      <w:bookmarkStart w:id="931" w:name="_Ref531950101"/>
      <w:bookmarkEnd w:id="931"/>
      <w:r>
        <w:rPr>
          <w:rFonts w:hint="eastAsia" w:ascii="仿宋_GB2312" w:eastAsia="仿宋_GB2312"/>
          <w:sz w:val="21"/>
        </w:rPr>
        <w:t>2</w:t>
      </w:r>
      <w:r>
        <w:rPr>
          <w:rFonts w:ascii="仿宋_GB2312" w:eastAsia="仿宋_GB2312"/>
          <w:sz w:val="21"/>
        </w:rPr>
        <w:t xml:space="preserve">.2.2 </w:t>
      </w:r>
      <w:r>
        <w:rPr>
          <w:rFonts w:hint="eastAsia" w:ascii="仿宋_GB2312" w:eastAsia="仿宋_GB2312"/>
          <w:sz w:val="21"/>
        </w:rPr>
        <w:t>提供工作条件</w:t>
      </w:r>
    </w:p>
    <w:p w14:paraId="3C33068A">
      <w:pPr>
        <w:spacing w:line="360" w:lineRule="auto"/>
        <w:ind w:firstLine="600"/>
        <w:rPr>
          <w:rFonts w:ascii="仿宋_GB2312" w:eastAsia="仿宋_GB2312"/>
        </w:rPr>
      </w:pPr>
      <w:r>
        <w:rPr>
          <w:rFonts w:hint="eastAsia" w:ascii="仿宋_GB2312" w:eastAsia="仿宋_GB2312"/>
        </w:rPr>
        <w:t>发包人应按专用合同条件约定向承包人提供工作条件。专用合同条件对此没有约定的，发包人应负责提供开展本合同相关工作所需要的条件，包括：</w:t>
      </w:r>
    </w:p>
    <w:p w14:paraId="44E8804A">
      <w:pPr>
        <w:spacing w:line="360" w:lineRule="auto"/>
        <w:ind w:firstLine="600"/>
        <w:rPr>
          <w:rFonts w:ascii="仿宋_GB2312" w:eastAsia="仿宋_GB2312"/>
        </w:rPr>
      </w:pPr>
      <w:r>
        <w:rPr>
          <w:rFonts w:hint="eastAsia" w:ascii="仿宋_GB2312" w:eastAsia="仿宋_GB2312"/>
        </w:rPr>
        <w:t>（1） 将施工用水、电力、通讯线路等施工所必需的条件接至施工现场内；</w:t>
      </w:r>
    </w:p>
    <w:p w14:paraId="7A8A821E">
      <w:pPr>
        <w:spacing w:line="360" w:lineRule="auto"/>
        <w:ind w:firstLine="600"/>
        <w:rPr>
          <w:rFonts w:ascii="仿宋_GB2312" w:eastAsia="仿宋_GB2312"/>
        </w:rPr>
      </w:pPr>
      <w:r>
        <w:rPr>
          <w:rFonts w:hint="eastAsia" w:ascii="仿宋_GB2312" w:eastAsia="仿宋_GB2312"/>
        </w:rPr>
        <w:t>（2） 保证向承包人提供正常施工所需要的进入施工现场的交通条件；</w:t>
      </w:r>
    </w:p>
    <w:p w14:paraId="143D8360">
      <w:pPr>
        <w:spacing w:line="360" w:lineRule="auto"/>
        <w:ind w:firstLine="600"/>
        <w:rPr>
          <w:rFonts w:ascii="仿宋_GB2312" w:eastAsia="仿宋_GB2312"/>
        </w:rPr>
      </w:pPr>
      <w:r>
        <w:rPr>
          <w:rFonts w:hint="eastAsia" w:ascii="仿宋_GB2312" w:eastAsia="仿宋_GB2312"/>
        </w:rPr>
        <w:t>（3） 协调处理施工现场周围地下管线和邻近建筑物、构筑物、古树名木、文物、化石及坟墓等的保护工作，并承担相关费用；</w:t>
      </w:r>
    </w:p>
    <w:p w14:paraId="1916AC02">
      <w:pPr>
        <w:spacing w:line="360" w:lineRule="auto"/>
        <w:ind w:firstLine="600"/>
        <w:rPr>
          <w:rFonts w:ascii="仿宋_GB2312" w:eastAsia="仿宋_GB2312"/>
        </w:rPr>
      </w:pPr>
      <w:r>
        <w:rPr>
          <w:rFonts w:hint="eastAsia" w:ascii="仿宋_GB2312" w:eastAsia="仿宋_GB2312"/>
        </w:rPr>
        <w:t>（4） 对工程现场临近发包人正在使用、运行或由发包人用于生产的建筑物、构筑物、生产装置、设施、设备等，设置隔离设施，树立禁止入内、禁止动火的明显标志，</w:t>
      </w:r>
      <w:r>
        <w:rPr>
          <w:rFonts w:ascii="仿宋_GB2312" w:eastAsia="仿宋_GB2312"/>
        </w:rPr>
        <w:t xml:space="preserve"> 并以书面形式通知承包人须遵守的安全规定和位置范围；</w:t>
      </w:r>
    </w:p>
    <w:p w14:paraId="23100355">
      <w:pPr>
        <w:spacing w:line="360" w:lineRule="auto"/>
        <w:ind w:firstLine="600"/>
        <w:rPr>
          <w:rFonts w:ascii="仿宋_GB2312" w:eastAsia="仿宋_GB2312"/>
        </w:rPr>
      </w:pPr>
      <w:r>
        <w:rPr>
          <w:rFonts w:hint="eastAsia" w:ascii="仿宋_GB2312" w:eastAsia="仿宋_GB2312"/>
        </w:rPr>
        <w:t>（5） 按照专用合同条件约定应提供的其他设施和条件。</w:t>
      </w:r>
    </w:p>
    <w:p w14:paraId="7AABA032">
      <w:pPr>
        <w:pStyle w:val="40"/>
        <w:spacing w:after="157"/>
        <w:ind w:left="0"/>
        <w:outlineLvl w:val="4"/>
        <w:rPr>
          <w:rFonts w:hint="eastAsia" w:ascii="仿宋_GB2312" w:eastAsia="仿宋_GB2312"/>
          <w:sz w:val="21"/>
        </w:rPr>
      </w:pPr>
      <w:r>
        <w:rPr>
          <w:rFonts w:hint="eastAsia" w:ascii="仿宋_GB2312" w:eastAsia="仿宋_GB2312"/>
          <w:sz w:val="21"/>
        </w:rPr>
        <w:t>2</w:t>
      </w:r>
      <w:r>
        <w:rPr>
          <w:rFonts w:ascii="仿宋_GB2312" w:eastAsia="仿宋_GB2312"/>
          <w:sz w:val="21"/>
        </w:rPr>
        <w:t xml:space="preserve">.2.3 </w:t>
      </w:r>
      <w:r>
        <w:rPr>
          <w:rFonts w:hint="eastAsia" w:ascii="仿宋_GB2312" w:eastAsia="仿宋_GB2312"/>
          <w:sz w:val="21"/>
        </w:rPr>
        <w:t>逾期提供的责任</w:t>
      </w:r>
    </w:p>
    <w:p w14:paraId="668B5FFD">
      <w:pPr>
        <w:spacing w:line="360" w:lineRule="auto"/>
        <w:ind w:firstLine="600"/>
        <w:rPr>
          <w:rFonts w:ascii="仿宋_GB2312" w:eastAsia="仿宋_GB2312"/>
        </w:rPr>
      </w:pPr>
      <w:r>
        <w:rPr>
          <w:rFonts w:hint="eastAsia" w:ascii="仿宋_GB2312" w:eastAsia="仿宋_GB2312"/>
        </w:rPr>
        <w:t>因发包人原因未能按合同约定及时向承包人提供施工现场和施工条件的，由发包人承担由此增加的费用和（或）延误的工期。</w:t>
      </w:r>
    </w:p>
    <w:p w14:paraId="43F2A6B2">
      <w:pPr>
        <w:pStyle w:val="39"/>
        <w:widowControl/>
        <w:spacing w:afterLines="0"/>
        <w:ind w:left="0"/>
        <w:outlineLvl w:val="3"/>
        <w:rPr>
          <w:rFonts w:hint="eastAsia"/>
          <w:b w:val="0"/>
          <w:bCs/>
          <w:sz w:val="21"/>
          <w:szCs w:val="21"/>
        </w:rPr>
      </w:pPr>
      <w:bookmarkStart w:id="932" w:name="_Ref11918036"/>
      <w:bookmarkEnd w:id="932"/>
      <w:bookmarkStart w:id="933" w:name="_Ref11956654"/>
      <w:bookmarkEnd w:id="933"/>
      <w:bookmarkStart w:id="934" w:name="_Ref11956647"/>
      <w:bookmarkEnd w:id="934"/>
      <w:bookmarkStart w:id="935" w:name="_Toc1821"/>
      <w:bookmarkEnd w:id="935"/>
      <w:bookmarkStart w:id="936" w:name="_Toc54862198"/>
      <w:bookmarkEnd w:id="936"/>
      <w:bookmarkStart w:id="937" w:name="_Ref11918025"/>
      <w:bookmarkEnd w:id="937"/>
      <w:bookmarkStart w:id="938" w:name="_Toc12571"/>
      <w:bookmarkEnd w:id="938"/>
      <w:r>
        <w:rPr>
          <w:rFonts w:hint="eastAsia"/>
          <w:b w:val="0"/>
          <w:bCs/>
          <w:sz w:val="21"/>
          <w:szCs w:val="21"/>
        </w:rPr>
        <w:t>2.3 提供基础资料</w:t>
      </w:r>
    </w:p>
    <w:p w14:paraId="02B6D4BD">
      <w:pPr>
        <w:spacing w:line="360" w:lineRule="auto"/>
        <w:ind w:firstLine="600"/>
        <w:rPr>
          <w:rFonts w:ascii="仿宋_GB2312" w:eastAsia="仿宋_GB2312"/>
        </w:rPr>
      </w:pPr>
      <w:bookmarkStart w:id="939" w:name="_Hlk51506429"/>
      <w:bookmarkEnd w:id="939"/>
      <w:r>
        <w:rPr>
          <w:rFonts w:hint="eastAsia" w:ascii="仿宋_GB2312" w:eastAsia="仿宋_GB2312"/>
        </w:rPr>
        <w:t>发包人应按专用合同条件和《发包人要求》中的约定向承包人提供施工现场及工程实施所必需的毗邻区域内的供水、排水、供电、供气、供热、通信、广播电视等地上、地下管线和设施资料，气象和水文观测资料，地质勘察资料，相邻建筑物、构筑物和地下工程等有关基础资料，并根据第</w:t>
      </w:r>
      <w:r>
        <w:rPr>
          <w:rFonts w:ascii="仿宋_GB2312" w:eastAsia="仿宋_GB2312"/>
        </w:rPr>
        <w:t>1.12</w:t>
      </w:r>
      <w:r>
        <w:rPr>
          <w:rFonts w:hint="eastAsia" w:ascii="仿宋_GB2312" w:eastAsia="仿宋_GB2312"/>
        </w:rPr>
        <w:t>款[《</w:t>
      </w:r>
      <w:r>
        <w:rPr>
          <w:rFonts w:ascii="仿宋_GB2312" w:eastAsia="仿宋_GB2312"/>
        </w:rPr>
        <w:t>发包人要求</w:t>
      </w:r>
      <w:r>
        <w:rPr>
          <w:rFonts w:hint="eastAsia" w:ascii="仿宋_GB2312" w:eastAsia="仿宋_GB2312"/>
        </w:rPr>
        <w:t>》</w:t>
      </w:r>
      <w:r>
        <w:rPr>
          <w:rFonts w:ascii="仿宋_GB2312" w:eastAsia="仿宋_GB2312"/>
        </w:rPr>
        <w:t>和基础资料中的错误</w:t>
      </w:r>
      <w:r>
        <w:rPr>
          <w:rFonts w:hint="eastAsia" w:ascii="仿宋_GB2312" w:eastAsia="仿宋_GB2312"/>
        </w:rPr>
        <w:t>]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0051DBF6">
      <w:pPr>
        <w:pStyle w:val="39"/>
        <w:widowControl/>
        <w:spacing w:afterLines="0"/>
        <w:ind w:left="0"/>
        <w:outlineLvl w:val="3"/>
        <w:rPr>
          <w:rFonts w:hint="eastAsia"/>
          <w:b w:val="0"/>
          <w:bCs/>
          <w:sz w:val="21"/>
          <w:szCs w:val="21"/>
        </w:rPr>
      </w:pPr>
      <w:bookmarkStart w:id="940" w:name="_Toc54862199"/>
      <w:bookmarkEnd w:id="940"/>
      <w:bookmarkStart w:id="941" w:name="_Ref531950041"/>
      <w:bookmarkEnd w:id="941"/>
      <w:bookmarkStart w:id="942" w:name="_Toc8435"/>
      <w:bookmarkEnd w:id="942"/>
      <w:bookmarkStart w:id="943" w:name="_Toc6841"/>
      <w:bookmarkEnd w:id="943"/>
      <w:bookmarkStart w:id="944" w:name="_Ref531950045"/>
      <w:bookmarkEnd w:id="944"/>
      <w:r>
        <w:rPr>
          <w:rFonts w:hint="eastAsia"/>
          <w:b w:val="0"/>
          <w:bCs/>
          <w:sz w:val="21"/>
          <w:szCs w:val="21"/>
        </w:rPr>
        <w:t>2.4 办理许可和批准</w:t>
      </w:r>
    </w:p>
    <w:p w14:paraId="5FC56531">
      <w:pPr>
        <w:pStyle w:val="40"/>
        <w:spacing w:after="157"/>
        <w:ind w:left="0"/>
        <w:rPr>
          <w:rFonts w:hint="eastAsia" w:ascii="仿宋_GB2312" w:eastAsia="仿宋_GB2312"/>
          <w:sz w:val="21"/>
        </w:rPr>
      </w:pPr>
      <w:bookmarkStart w:id="945" w:name="_Toc51505128"/>
      <w:bookmarkEnd w:id="945"/>
      <w:r>
        <w:rPr>
          <w:rFonts w:hint="eastAsia" w:ascii="仿宋_GB2312" w:eastAsia="仿宋_GB2312"/>
          <w:sz w:val="21"/>
        </w:rPr>
        <w:t>2</w:t>
      </w:r>
      <w:r>
        <w:rPr>
          <w:rFonts w:ascii="仿宋_GB2312" w:eastAsia="仿宋_GB2312"/>
          <w:sz w:val="21"/>
        </w:rPr>
        <w:t xml:space="preserve">.4.1 </w:t>
      </w:r>
      <w:r>
        <w:rPr>
          <w:rFonts w:hint="eastAsia" w:ascii="仿宋_GB2312" w:eastAsia="仿宋_GB2312"/>
          <w:sz w:val="21"/>
        </w:rPr>
        <w:t>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p>
    <w:p w14:paraId="4E30CE30">
      <w:pPr>
        <w:pStyle w:val="40"/>
        <w:spacing w:after="157"/>
        <w:ind w:left="0"/>
        <w:rPr>
          <w:rFonts w:hint="eastAsia" w:ascii="仿宋_GB2312" w:eastAsia="仿宋_GB2312"/>
          <w:sz w:val="21"/>
        </w:rPr>
      </w:pPr>
      <w:bookmarkStart w:id="946" w:name="_Toc51505129"/>
      <w:bookmarkEnd w:id="946"/>
      <w:r>
        <w:rPr>
          <w:rFonts w:hint="eastAsia" w:ascii="仿宋_GB2312" w:eastAsia="仿宋_GB2312"/>
          <w:sz w:val="21"/>
        </w:rPr>
        <w:t>2</w:t>
      </w:r>
      <w:r>
        <w:rPr>
          <w:rFonts w:ascii="仿宋_GB2312" w:eastAsia="仿宋_GB2312"/>
          <w:sz w:val="21"/>
        </w:rPr>
        <w:t xml:space="preserve">.4.2 </w:t>
      </w:r>
      <w:r>
        <w:rPr>
          <w:rFonts w:hint="eastAsia" w:ascii="仿宋_GB2312" w:eastAsia="仿宋_GB2312"/>
          <w:sz w:val="21"/>
        </w:rPr>
        <w:t>因发包人原因未能及时办理完毕前述许可、批准或备案，由发包人承担由此增加的费用和（或）延误的工期，并支付承包人合理的利润。</w:t>
      </w:r>
    </w:p>
    <w:p w14:paraId="6D9352A8">
      <w:pPr>
        <w:pStyle w:val="39"/>
        <w:widowControl/>
        <w:spacing w:afterLines="0"/>
        <w:ind w:left="0"/>
        <w:outlineLvl w:val="3"/>
        <w:rPr>
          <w:rFonts w:hint="eastAsia"/>
          <w:b w:val="0"/>
          <w:bCs/>
          <w:sz w:val="21"/>
          <w:szCs w:val="21"/>
        </w:rPr>
      </w:pPr>
      <w:bookmarkStart w:id="947" w:name="_Toc54862200"/>
      <w:bookmarkEnd w:id="947"/>
      <w:bookmarkStart w:id="948" w:name="_Ref11918070"/>
      <w:bookmarkEnd w:id="948"/>
      <w:bookmarkStart w:id="949" w:name="_Ref11956525"/>
      <w:bookmarkEnd w:id="949"/>
      <w:bookmarkStart w:id="950" w:name="_Ref11956533"/>
      <w:bookmarkEnd w:id="950"/>
      <w:bookmarkStart w:id="951" w:name="_Toc29355"/>
      <w:bookmarkEnd w:id="951"/>
      <w:bookmarkStart w:id="952" w:name="_Toc3662"/>
      <w:bookmarkEnd w:id="952"/>
      <w:bookmarkStart w:id="953" w:name="_Ref11918060"/>
      <w:bookmarkEnd w:id="953"/>
      <w:r>
        <w:rPr>
          <w:rFonts w:hint="eastAsia"/>
          <w:b w:val="0"/>
          <w:bCs/>
          <w:sz w:val="21"/>
          <w:szCs w:val="21"/>
        </w:rPr>
        <w:t>2.5 支付合同价款</w:t>
      </w:r>
    </w:p>
    <w:p w14:paraId="593EF39A">
      <w:pPr>
        <w:pStyle w:val="40"/>
        <w:spacing w:after="157"/>
        <w:ind w:left="0"/>
        <w:outlineLvl w:val="4"/>
        <w:rPr>
          <w:rFonts w:hint="eastAsia" w:ascii="仿宋_GB2312" w:eastAsia="仿宋_GB2312"/>
          <w:sz w:val="21"/>
        </w:rPr>
      </w:pPr>
      <w:bookmarkStart w:id="954" w:name="_Toc51505131"/>
      <w:bookmarkEnd w:id="954"/>
      <w:r>
        <w:rPr>
          <w:rFonts w:hint="eastAsia" w:ascii="仿宋_GB2312" w:eastAsia="仿宋_GB2312"/>
          <w:sz w:val="21"/>
        </w:rPr>
        <w:t>2</w:t>
      </w:r>
      <w:r>
        <w:rPr>
          <w:rFonts w:ascii="仿宋_GB2312" w:eastAsia="仿宋_GB2312"/>
          <w:sz w:val="21"/>
        </w:rPr>
        <w:t xml:space="preserve">.5.1 </w:t>
      </w:r>
      <w:r>
        <w:rPr>
          <w:rFonts w:hint="eastAsia" w:ascii="仿宋_GB2312" w:eastAsia="仿宋_GB2312"/>
          <w:sz w:val="21"/>
        </w:rPr>
        <w:t>发包人应按合同约定向承包人及时支付合同价款。</w:t>
      </w:r>
    </w:p>
    <w:p w14:paraId="3D495FA1">
      <w:pPr>
        <w:pStyle w:val="40"/>
        <w:spacing w:after="157"/>
        <w:ind w:left="0"/>
        <w:rPr>
          <w:rFonts w:hint="eastAsia" w:ascii="仿宋_GB2312" w:eastAsia="仿宋_GB2312"/>
          <w:sz w:val="21"/>
        </w:rPr>
      </w:pPr>
      <w:bookmarkStart w:id="955" w:name="_Toc51505132"/>
      <w:bookmarkEnd w:id="955"/>
      <w:r>
        <w:rPr>
          <w:rFonts w:hint="eastAsia" w:ascii="仿宋_GB2312" w:eastAsia="仿宋_GB2312"/>
          <w:sz w:val="21"/>
        </w:rPr>
        <w:t>2</w:t>
      </w:r>
      <w:r>
        <w:rPr>
          <w:rFonts w:ascii="仿宋_GB2312" w:eastAsia="仿宋_GB2312"/>
          <w:sz w:val="21"/>
        </w:rPr>
        <w:t xml:space="preserve">.5.2 </w:t>
      </w:r>
      <w:r>
        <w:rPr>
          <w:rFonts w:hint="eastAsia" w:ascii="仿宋_GB2312" w:eastAsia="仿宋_GB2312"/>
          <w:sz w:val="21"/>
        </w:rPr>
        <w:t>发包人应当制定资金安排计划，除专用合同条件另有约定外，如发包人拟对资金安排做任何重要变更，应将变更的详细情况通知承包人。如发生承包人收到价格大于签约合同价</w:t>
      </w:r>
      <w:r>
        <w:rPr>
          <w:rFonts w:ascii="仿宋_GB2312" w:eastAsia="仿宋_GB2312"/>
          <w:sz w:val="21"/>
        </w:rPr>
        <w:t>10%</w:t>
      </w:r>
      <w:r>
        <w:rPr>
          <w:rFonts w:hint="eastAsia" w:ascii="仿宋_GB2312" w:eastAsia="仿宋_GB2312"/>
          <w:sz w:val="21"/>
        </w:rPr>
        <w:t>的变更指示或累计变更的总价超过签约合同价</w:t>
      </w:r>
      <w:r>
        <w:rPr>
          <w:rFonts w:ascii="仿宋_GB2312" w:eastAsia="仿宋_GB2312"/>
          <w:sz w:val="21"/>
        </w:rPr>
        <w:t>30%；或承包人未能根据</w:t>
      </w:r>
      <w:r>
        <w:rPr>
          <w:rFonts w:hint="eastAsia" w:ascii="仿宋_GB2312" w:eastAsia="仿宋_GB2312"/>
          <w:sz w:val="21"/>
        </w:rPr>
        <w:t>第</w:t>
      </w:r>
      <w:r>
        <w:rPr>
          <w:rFonts w:ascii="仿宋_GB2312" w:eastAsia="仿宋_GB2312"/>
          <w:sz w:val="21"/>
        </w:rPr>
        <w:t>14条</w:t>
      </w:r>
      <w:r>
        <w:rPr>
          <w:rFonts w:hint="eastAsia" w:ascii="仿宋_GB2312" w:eastAsia="仿宋_GB2312"/>
          <w:sz w:val="21"/>
        </w:rPr>
        <w:t>[合同价格与支付]收到付款，或承包人得知发包人的资金安排发生重要变更但并未收到发包人上述重要变更通知的情况，则承包人可随时要求发包人在</w:t>
      </w:r>
      <w:r>
        <w:rPr>
          <w:rFonts w:ascii="仿宋_GB2312" w:eastAsia="仿宋_GB2312"/>
          <w:sz w:val="21"/>
        </w:rPr>
        <w:t>28</w:t>
      </w:r>
      <w:r>
        <w:rPr>
          <w:rFonts w:hint="eastAsia" w:ascii="仿宋_GB2312" w:eastAsia="仿宋_GB2312"/>
          <w:sz w:val="21"/>
        </w:rPr>
        <w:t>天内补充提供能够按照合同约定支付合同价款的相应资金来源证明。</w:t>
      </w:r>
    </w:p>
    <w:p w14:paraId="1141B195">
      <w:pPr>
        <w:pStyle w:val="40"/>
        <w:spacing w:after="157"/>
        <w:ind w:left="0"/>
        <w:rPr>
          <w:rFonts w:hint="eastAsia" w:ascii="仿宋_GB2312" w:eastAsia="仿宋_GB2312"/>
          <w:sz w:val="21"/>
        </w:rPr>
      </w:pPr>
      <w:bookmarkStart w:id="956" w:name="_Toc51505133"/>
      <w:bookmarkEnd w:id="956"/>
      <w:bookmarkStart w:id="957" w:name="_Ref531950161"/>
      <w:bookmarkEnd w:id="957"/>
      <w:r>
        <w:rPr>
          <w:rFonts w:hint="eastAsia" w:ascii="仿宋_GB2312" w:eastAsia="仿宋_GB2312"/>
          <w:sz w:val="21"/>
        </w:rPr>
        <w:t>2</w:t>
      </w:r>
      <w:r>
        <w:rPr>
          <w:rFonts w:ascii="仿宋_GB2312" w:eastAsia="仿宋_GB2312"/>
          <w:sz w:val="21"/>
        </w:rPr>
        <w:t xml:space="preserve">.5.3 </w:t>
      </w:r>
      <w:r>
        <w:rPr>
          <w:rFonts w:hint="eastAsia" w:ascii="仿宋_GB2312" w:eastAsia="仿宋_GB2312"/>
          <w:sz w:val="21"/>
        </w:rPr>
        <w:t>发包人应当向承包人提供支付担保。支付担保可以采用银行保函或担保公司担保等形式，具体由合同当事人在专用合同条件中约定。</w:t>
      </w:r>
    </w:p>
    <w:p w14:paraId="7183C3EA">
      <w:pPr>
        <w:pStyle w:val="39"/>
        <w:widowControl/>
        <w:spacing w:afterLines="0"/>
        <w:ind w:left="0"/>
        <w:outlineLvl w:val="3"/>
        <w:rPr>
          <w:rFonts w:hint="eastAsia"/>
          <w:b w:val="0"/>
          <w:bCs/>
          <w:sz w:val="21"/>
          <w:szCs w:val="21"/>
        </w:rPr>
      </w:pPr>
      <w:bookmarkStart w:id="958" w:name="_Toc54862201"/>
      <w:bookmarkEnd w:id="958"/>
      <w:bookmarkStart w:id="959" w:name="_Toc9775"/>
      <w:bookmarkEnd w:id="959"/>
      <w:bookmarkStart w:id="960" w:name="_Toc9351"/>
      <w:bookmarkEnd w:id="960"/>
      <w:r>
        <w:rPr>
          <w:rFonts w:hint="eastAsia"/>
          <w:b w:val="0"/>
          <w:bCs/>
          <w:sz w:val="21"/>
          <w:szCs w:val="21"/>
        </w:rPr>
        <w:t>2.6 现场管理配合</w:t>
      </w:r>
    </w:p>
    <w:p w14:paraId="63704174">
      <w:pPr>
        <w:spacing w:line="360" w:lineRule="auto"/>
        <w:ind w:firstLine="600"/>
        <w:rPr>
          <w:rFonts w:ascii="仿宋_GB2312" w:eastAsia="仿宋_GB2312"/>
        </w:rPr>
      </w:pPr>
      <w:r>
        <w:rPr>
          <w:rFonts w:hint="eastAsia" w:ascii="仿宋_GB2312" w:eastAsia="仿宋_GB2312"/>
        </w:rPr>
        <w:t>发包人应负责保证在现场或现场附近的发包人人员和发包人的其他承包人（如有）：</w:t>
      </w:r>
    </w:p>
    <w:p w14:paraId="205AFBBF">
      <w:pPr>
        <w:spacing w:line="360" w:lineRule="auto"/>
        <w:ind w:firstLine="600"/>
        <w:outlineLvl w:val="4"/>
        <w:rPr>
          <w:rFonts w:ascii="仿宋_GB2312" w:eastAsia="仿宋_GB2312"/>
        </w:rPr>
      </w:pPr>
      <w:r>
        <w:rPr>
          <w:rFonts w:hint="eastAsia" w:ascii="仿宋_GB2312" w:eastAsia="仿宋_GB2312"/>
        </w:rPr>
        <w:t>（1）根据第</w:t>
      </w:r>
      <w:r>
        <w:rPr>
          <w:rFonts w:ascii="仿宋_GB2312" w:eastAsia="仿宋_GB2312"/>
        </w:rPr>
        <w:t>7.3</w:t>
      </w:r>
      <w:r>
        <w:rPr>
          <w:rFonts w:hint="eastAsia" w:ascii="仿宋_GB2312" w:eastAsia="仿宋_GB2312"/>
        </w:rPr>
        <w:t>款[现场合作]的约定，与承包人进行合作；</w:t>
      </w:r>
    </w:p>
    <w:p w14:paraId="6C0FDB77">
      <w:pPr>
        <w:spacing w:line="360" w:lineRule="auto"/>
        <w:ind w:firstLine="600"/>
        <w:rPr>
          <w:rFonts w:ascii="仿宋_GB2312" w:eastAsia="仿宋_GB2312"/>
        </w:rPr>
      </w:pPr>
      <w:r>
        <w:rPr>
          <w:rFonts w:hint="eastAsia" w:ascii="仿宋_GB2312" w:eastAsia="仿宋_GB2312"/>
        </w:rPr>
        <w:t>（2）遵守第</w:t>
      </w:r>
      <w:r>
        <w:rPr>
          <w:rFonts w:ascii="仿宋_GB2312" w:eastAsia="仿宋_GB2312"/>
        </w:rPr>
        <w:t>7.5</w:t>
      </w:r>
      <w:r>
        <w:rPr>
          <w:rFonts w:hint="eastAsia" w:ascii="仿宋_GB2312" w:eastAsia="仿宋_GB2312"/>
        </w:rPr>
        <w:t>款[现场劳动用工</w:t>
      </w:r>
      <w:r>
        <w:rPr>
          <w:rFonts w:ascii="仿宋_GB2312" w:eastAsia="仿宋_GB2312"/>
        </w:rPr>
        <w:t>]</w:t>
      </w:r>
      <w:r>
        <w:rPr>
          <w:rFonts w:hint="eastAsia" w:ascii="仿宋_GB2312" w:eastAsia="仿宋_GB2312"/>
        </w:rPr>
        <w:t>、第7</w:t>
      </w:r>
      <w:r>
        <w:rPr>
          <w:rFonts w:ascii="仿宋_GB2312" w:eastAsia="仿宋_GB2312"/>
        </w:rPr>
        <w:t>.6</w:t>
      </w:r>
      <w:r>
        <w:rPr>
          <w:rFonts w:hint="eastAsia" w:ascii="仿宋_GB2312" w:eastAsia="仿宋_GB2312"/>
        </w:rPr>
        <w:t>款[安全文明施工]、第</w:t>
      </w:r>
      <w:r>
        <w:rPr>
          <w:rFonts w:ascii="仿宋_GB2312" w:eastAsia="仿宋_GB2312"/>
        </w:rPr>
        <w:t>7.7</w:t>
      </w:r>
      <w:r>
        <w:rPr>
          <w:rFonts w:hint="eastAsia" w:ascii="仿宋_GB2312" w:eastAsia="仿宋_GB2312"/>
        </w:rPr>
        <w:t>款[职业健康]和第</w:t>
      </w:r>
      <w:r>
        <w:rPr>
          <w:rFonts w:ascii="仿宋_GB2312" w:eastAsia="仿宋_GB2312"/>
        </w:rPr>
        <w:t>7.8</w:t>
      </w:r>
      <w:r>
        <w:rPr>
          <w:rFonts w:hint="eastAsia" w:ascii="仿宋_GB2312" w:eastAsia="仿宋_GB2312"/>
        </w:rPr>
        <w:t>款[</w:t>
      </w:r>
      <w:r>
        <w:rPr>
          <w:rFonts w:ascii="仿宋_GB2312" w:eastAsia="仿宋_GB2312"/>
        </w:rPr>
        <w:t>环境保护</w:t>
      </w:r>
      <w:r>
        <w:rPr>
          <w:rFonts w:hint="eastAsia" w:ascii="仿宋_GB2312" w:eastAsia="仿宋_GB2312"/>
        </w:rPr>
        <w:t>]的相关约定。</w:t>
      </w:r>
    </w:p>
    <w:p w14:paraId="48FC64B4">
      <w:pPr>
        <w:spacing w:line="360" w:lineRule="auto"/>
        <w:ind w:firstLine="600"/>
        <w:rPr>
          <w:rFonts w:ascii="仿宋_GB2312" w:eastAsia="仿宋_GB2312"/>
        </w:rPr>
      </w:pPr>
      <w:r>
        <w:rPr>
          <w:rFonts w:hint="eastAsia" w:ascii="仿宋_GB2312" w:eastAsia="仿宋_GB2312"/>
        </w:rPr>
        <w:t>发包人应与承包人、由发包人直接发包的其他承包人（如有）订立施工现场统一管理协议，明确各方的权利义务。</w:t>
      </w:r>
    </w:p>
    <w:p w14:paraId="54F9E24E">
      <w:pPr>
        <w:pStyle w:val="39"/>
        <w:widowControl/>
        <w:spacing w:afterLines="0"/>
        <w:ind w:left="0"/>
        <w:outlineLvl w:val="3"/>
        <w:rPr>
          <w:rFonts w:hint="eastAsia"/>
          <w:b w:val="0"/>
          <w:bCs/>
          <w:sz w:val="21"/>
          <w:szCs w:val="21"/>
        </w:rPr>
      </w:pPr>
      <w:bookmarkStart w:id="961" w:name="_Toc15069"/>
      <w:bookmarkEnd w:id="961"/>
      <w:bookmarkStart w:id="962" w:name="_Toc54862202"/>
      <w:bookmarkEnd w:id="962"/>
      <w:bookmarkStart w:id="963" w:name="_Ref11959372"/>
      <w:bookmarkEnd w:id="963"/>
      <w:bookmarkStart w:id="964" w:name="_Ref11959376"/>
      <w:bookmarkEnd w:id="964"/>
      <w:bookmarkStart w:id="965" w:name="_Toc19417"/>
      <w:bookmarkEnd w:id="965"/>
      <w:r>
        <w:rPr>
          <w:rFonts w:hint="eastAsia"/>
          <w:b w:val="0"/>
          <w:bCs/>
          <w:sz w:val="21"/>
          <w:szCs w:val="21"/>
        </w:rPr>
        <w:t>2.7 其他义务</w:t>
      </w:r>
    </w:p>
    <w:p w14:paraId="63ABE8A2">
      <w:pPr>
        <w:spacing w:line="360" w:lineRule="auto"/>
        <w:ind w:firstLine="600"/>
        <w:rPr>
          <w:rFonts w:ascii="仿宋_GB2312" w:eastAsia="仿宋_GB2312"/>
        </w:rPr>
      </w:pPr>
      <w:r>
        <w:rPr>
          <w:rFonts w:hint="eastAsia" w:ascii="仿宋_GB2312" w:eastAsia="仿宋_GB2312"/>
        </w:rPr>
        <w:t>发包人应履行合同约定的其他义务，双方可在专用合同条件内对发包人应履行的其他义务进行补充约定。</w:t>
      </w:r>
    </w:p>
    <w:p w14:paraId="6799F5FA">
      <w:pPr>
        <w:pStyle w:val="39"/>
        <w:widowControl/>
        <w:spacing w:afterLines="0"/>
        <w:ind w:left="0"/>
        <w:rPr>
          <w:rFonts w:hint="eastAsia"/>
          <w:b w:val="0"/>
          <w:bCs/>
          <w:sz w:val="28"/>
          <w:szCs w:val="28"/>
        </w:rPr>
      </w:pPr>
      <w:bookmarkStart w:id="966" w:name="_Toc54862203"/>
      <w:bookmarkEnd w:id="966"/>
      <w:bookmarkStart w:id="967" w:name="_Toc2893"/>
      <w:bookmarkEnd w:id="967"/>
      <w:bookmarkStart w:id="968" w:name="_Toc18788"/>
      <w:bookmarkEnd w:id="968"/>
      <w:bookmarkStart w:id="969" w:name="_Ref531952791"/>
      <w:bookmarkEnd w:id="969"/>
      <w:r>
        <w:rPr>
          <w:rFonts w:hint="eastAsia"/>
          <w:b w:val="0"/>
          <w:bCs/>
          <w:sz w:val="28"/>
          <w:szCs w:val="28"/>
        </w:rPr>
        <w:t>第3条 发包人的管理</w:t>
      </w:r>
    </w:p>
    <w:p w14:paraId="7B31D92F">
      <w:pPr>
        <w:pStyle w:val="39"/>
        <w:widowControl/>
        <w:spacing w:afterLines="0"/>
        <w:ind w:left="0"/>
        <w:outlineLvl w:val="3"/>
        <w:rPr>
          <w:rFonts w:hint="eastAsia"/>
          <w:b w:val="0"/>
          <w:bCs/>
          <w:sz w:val="21"/>
          <w:szCs w:val="21"/>
        </w:rPr>
      </w:pPr>
      <w:bookmarkStart w:id="970" w:name="_Toc17474"/>
      <w:bookmarkEnd w:id="970"/>
      <w:bookmarkStart w:id="971" w:name="_Ref531951538"/>
      <w:bookmarkEnd w:id="971"/>
      <w:bookmarkStart w:id="972" w:name="_Ref531951533"/>
      <w:bookmarkEnd w:id="972"/>
      <w:bookmarkStart w:id="973" w:name="_Toc14255"/>
      <w:bookmarkEnd w:id="973"/>
      <w:bookmarkStart w:id="974" w:name="_Ref522810097"/>
      <w:bookmarkEnd w:id="974"/>
      <w:bookmarkStart w:id="975" w:name="_Ref522810094"/>
      <w:bookmarkEnd w:id="975"/>
      <w:bookmarkStart w:id="976" w:name="_Toc54862204"/>
      <w:bookmarkEnd w:id="976"/>
      <w:r>
        <w:rPr>
          <w:rFonts w:hint="eastAsia"/>
          <w:b w:val="0"/>
          <w:bCs/>
          <w:sz w:val="21"/>
          <w:szCs w:val="21"/>
        </w:rPr>
        <w:t>3.1 发包人代表</w:t>
      </w:r>
    </w:p>
    <w:p w14:paraId="0503BB74">
      <w:pPr>
        <w:spacing w:line="360" w:lineRule="auto"/>
        <w:ind w:firstLine="600"/>
        <w:rPr>
          <w:rFonts w:ascii="仿宋_GB2312" w:eastAsia="仿宋_GB2312"/>
        </w:rPr>
      </w:pPr>
      <w:r>
        <w:rPr>
          <w:rFonts w:hint="eastAsia" w:ascii="仿宋_GB2312" w:eastAsia="仿宋_GB2312"/>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3C1AD2B7">
      <w:pPr>
        <w:spacing w:line="360" w:lineRule="auto"/>
        <w:ind w:firstLine="600"/>
        <w:rPr>
          <w:rFonts w:ascii="仿宋_GB2312" w:eastAsia="仿宋_GB2312"/>
        </w:rPr>
      </w:pPr>
      <w:r>
        <w:rPr>
          <w:rFonts w:hint="eastAsia" w:ascii="仿宋_GB2312" w:eastAsia="仿宋_GB2312"/>
        </w:rPr>
        <w:t>除非发包人另行通知承包人，发包人代表应被授予并且被认为具有发包人在授权范围内享有的相应权利，涉及第</w:t>
      </w:r>
      <w:r>
        <w:rPr>
          <w:rFonts w:ascii="仿宋_GB2312" w:eastAsia="仿宋_GB2312"/>
        </w:rPr>
        <w:t>16.1</w:t>
      </w:r>
      <w:r>
        <w:rPr>
          <w:rFonts w:hint="eastAsia" w:ascii="仿宋_GB2312" w:eastAsia="仿宋_GB2312"/>
        </w:rPr>
        <w:t>款[由发包人解除合同]的权利除外。</w:t>
      </w:r>
    </w:p>
    <w:p w14:paraId="32CF796E">
      <w:pPr>
        <w:spacing w:line="360" w:lineRule="auto"/>
        <w:ind w:firstLine="600"/>
        <w:rPr>
          <w:rFonts w:ascii="仿宋_GB2312" w:eastAsia="仿宋_GB2312"/>
        </w:rPr>
      </w:pPr>
      <w:r>
        <w:rPr>
          <w:rFonts w:hint="eastAsia" w:ascii="仿宋_GB2312" w:eastAsia="仿宋_GB2312"/>
        </w:rPr>
        <w:t>发包人代表（或者在其为法人的情况下，被任命代表其行事的自然人）应：</w:t>
      </w:r>
    </w:p>
    <w:p w14:paraId="11247A5D">
      <w:pPr>
        <w:spacing w:line="360" w:lineRule="auto"/>
        <w:ind w:firstLine="600"/>
        <w:rPr>
          <w:rFonts w:ascii="仿宋_GB2312" w:eastAsia="仿宋_GB2312"/>
        </w:rPr>
      </w:pPr>
      <w:r>
        <w:rPr>
          <w:rFonts w:hint="eastAsia" w:ascii="仿宋_GB2312" w:eastAsia="仿宋_GB2312"/>
        </w:rPr>
        <w:t>（1） 履行指派给其的职责，行使发包人托付的权利；</w:t>
      </w:r>
    </w:p>
    <w:p w14:paraId="6A5D84E2">
      <w:pPr>
        <w:spacing w:line="360" w:lineRule="auto"/>
        <w:ind w:firstLine="600"/>
        <w:rPr>
          <w:rFonts w:ascii="仿宋_GB2312" w:eastAsia="仿宋_GB2312"/>
        </w:rPr>
      </w:pPr>
      <w:r>
        <w:rPr>
          <w:rFonts w:hint="eastAsia" w:ascii="仿宋_GB2312" w:eastAsia="仿宋_GB2312"/>
        </w:rPr>
        <w:t>（2） 具备履行这些职责、行使这些权利的能力；</w:t>
      </w:r>
    </w:p>
    <w:p w14:paraId="0CE04769">
      <w:pPr>
        <w:spacing w:line="360" w:lineRule="auto"/>
        <w:ind w:firstLine="600"/>
        <w:rPr>
          <w:rFonts w:ascii="仿宋_GB2312" w:eastAsia="仿宋_GB2312"/>
        </w:rPr>
      </w:pPr>
      <w:r>
        <w:rPr>
          <w:rFonts w:hint="eastAsia" w:ascii="仿宋_GB2312" w:eastAsia="仿宋_GB2312"/>
        </w:rPr>
        <w:t>（3） 作为熟练的专业人员行事。</w:t>
      </w:r>
    </w:p>
    <w:p w14:paraId="3A89A8EB">
      <w:pPr>
        <w:spacing w:line="360" w:lineRule="auto"/>
        <w:ind w:firstLine="600"/>
        <w:rPr>
          <w:rFonts w:ascii="仿宋_GB2312" w:eastAsia="仿宋_GB2312"/>
        </w:rPr>
      </w:pPr>
      <w:r>
        <w:rPr>
          <w:rFonts w:hint="eastAsia" w:ascii="仿宋_GB2312" w:eastAsia="仿宋_GB2312"/>
        </w:rPr>
        <w:t>如果发包人代表为法人且在签订本合同时未能确定授权代表的，发包人代表应在本合同签订之日起</w:t>
      </w:r>
      <w:r>
        <w:rPr>
          <w:rFonts w:ascii="仿宋_GB2312" w:eastAsia="仿宋_GB2312"/>
        </w:rPr>
        <w:t>3日内</w:t>
      </w:r>
      <w:r>
        <w:rPr>
          <w:rFonts w:hint="eastAsia" w:ascii="仿宋_GB2312" w:eastAsia="仿宋_GB2312"/>
        </w:rPr>
        <w:t>向双方发出书面通知，告知被任命和授权的自然人以及任何替代人员。此授权在双方收到本通知后生效。发包人代表撤销该授权或者变更授权代表时也应同样发出该通知。</w:t>
      </w:r>
    </w:p>
    <w:p w14:paraId="7A3C7101">
      <w:pPr>
        <w:spacing w:line="360" w:lineRule="auto"/>
        <w:ind w:firstLine="600"/>
        <w:rPr>
          <w:rFonts w:ascii="仿宋_GB2312" w:eastAsia="仿宋_GB2312"/>
        </w:rPr>
      </w:pPr>
      <w:r>
        <w:rPr>
          <w:rFonts w:hint="eastAsia" w:ascii="仿宋_GB2312" w:eastAsia="仿宋_GB2312"/>
        </w:rPr>
        <w:t>发包人更换发包人代表的，应提前14天将更换人的姓名、地址、任务和权利，以及任命的日期书面通知承包人。发包人不得将发包人代表更换为承包人根据本款发出《通知》提出合理反对意见的人员，不论是法人还是自然人。</w:t>
      </w:r>
    </w:p>
    <w:p w14:paraId="1112ABA0">
      <w:pPr>
        <w:spacing w:line="360" w:lineRule="auto"/>
        <w:ind w:firstLine="600"/>
        <w:rPr>
          <w:rFonts w:ascii="仿宋_GB2312" w:eastAsia="仿宋_GB2312"/>
        </w:rPr>
      </w:pPr>
      <w:r>
        <w:rPr>
          <w:rFonts w:hint="eastAsia" w:ascii="仿宋_GB2312" w:eastAsia="仿宋_GB2312"/>
        </w:rPr>
        <w:t>发包人代表不能按照合同约定履行其职责及义务，并导致合同无法继续正常履行的，承包人可以要求发包人撤换发包人代表。</w:t>
      </w:r>
    </w:p>
    <w:p w14:paraId="5F7D2F28">
      <w:pPr>
        <w:pStyle w:val="39"/>
        <w:widowControl/>
        <w:spacing w:afterLines="0"/>
        <w:ind w:left="0"/>
        <w:outlineLvl w:val="3"/>
        <w:rPr>
          <w:rFonts w:hint="eastAsia"/>
          <w:b w:val="0"/>
          <w:bCs/>
          <w:sz w:val="21"/>
          <w:szCs w:val="21"/>
        </w:rPr>
      </w:pPr>
      <w:bookmarkStart w:id="977" w:name="_Ref531951553"/>
      <w:bookmarkEnd w:id="977"/>
      <w:bookmarkStart w:id="978" w:name="_Toc54862205"/>
      <w:bookmarkEnd w:id="978"/>
      <w:bookmarkStart w:id="979" w:name="_Toc22922"/>
      <w:bookmarkEnd w:id="979"/>
      <w:bookmarkStart w:id="980" w:name="_Toc13243"/>
      <w:bookmarkEnd w:id="980"/>
      <w:bookmarkStart w:id="981" w:name="_Ref531951557"/>
      <w:bookmarkEnd w:id="981"/>
      <w:r>
        <w:rPr>
          <w:rFonts w:hint="eastAsia"/>
          <w:b w:val="0"/>
          <w:bCs/>
          <w:sz w:val="21"/>
          <w:szCs w:val="21"/>
        </w:rPr>
        <w:t>3.2 发包人人员</w:t>
      </w:r>
    </w:p>
    <w:p w14:paraId="26F17504">
      <w:pPr>
        <w:spacing w:line="360" w:lineRule="auto"/>
        <w:ind w:firstLine="600"/>
        <w:rPr>
          <w:rFonts w:ascii="仿宋_GB2312" w:eastAsia="仿宋_GB2312"/>
        </w:rPr>
      </w:pPr>
      <w:r>
        <w:rPr>
          <w:rFonts w:hint="eastAsia" w:ascii="仿宋_GB2312" w:eastAsia="仿宋_GB2312"/>
        </w:rPr>
        <w:t>发包人人员包括发包人代表、工程师及其他由发包人派驻施工现场的人员，发包人可以在专用合同条件中明确发包人人员的姓名、职务及职责等事项。发包人或发包人代表可以随时对一些助手指派和托付一定的任务和权利，也可以撤销这些指派和托付。这些助手可以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1289F1AA">
      <w:pPr>
        <w:spacing w:line="360" w:lineRule="auto"/>
        <w:ind w:firstLine="600"/>
        <w:rPr>
          <w:rFonts w:ascii="仿宋_GB2312" w:eastAsia="仿宋_GB2312"/>
        </w:rPr>
      </w:pPr>
      <w:r>
        <w:rPr>
          <w:rFonts w:hint="eastAsia" w:ascii="仿宋_GB2312" w:eastAsia="仿宋_GB2312"/>
        </w:rPr>
        <w:t>发包人应要求在施工现场的发包人人员遵守法律及有关安全、质量、环境保护、文明施工等规定，因发包人人员未遵守上述要求给承包人造成的损失和责任由发包人承担。</w:t>
      </w:r>
    </w:p>
    <w:p w14:paraId="02FD0E1D">
      <w:pPr>
        <w:pStyle w:val="39"/>
        <w:widowControl/>
        <w:spacing w:afterLines="0"/>
        <w:ind w:left="0"/>
        <w:outlineLvl w:val="3"/>
        <w:rPr>
          <w:rFonts w:hint="eastAsia"/>
          <w:b w:val="0"/>
          <w:bCs/>
          <w:sz w:val="21"/>
          <w:szCs w:val="21"/>
        </w:rPr>
      </w:pPr>
      <w:bookmarkStart w:id="982" w:name="_Toc23660"/>
      <w:bookmarkEnd w:id="982"/>
      <w:bookmarkStart w:id="983" w:name="_Toc54862206"/>
      <w:bookmarkEnd w:id="983"/>
      <w:bookmarkStart w:id="984" w:name="_Toc14268"/>
      <w:bookmarkEnd w:id="984"/>
      <w:r>
        <w:rPr>
          <w:rFonts w:hint="eastAsia"/>
          <w:b w:val="0"/>
          <w:bCs/>
          <w:sz w:val="21"/>
          <w:szCs w:val="21"/>
        </w:rPr>
        <w:t>3.3 工程师</w:t>
      </w:r>
    </w:p>
    <w:p w14:paraId="0BD5F276">
      <w:pPr>
        <w:pStyle w:val="40"/>
        <w:spacing w:after="157"/>
        <w:ind w:left="0"/>
        <w:rPr>
          <w:rFonts w:hint="eastAsia" w:ascii="仿宋_GB2312" w:eastAsia="仿宋_GB2312"/>
          <w:sz w:val="21"/>
        </w:rPr>
      </w:pPr>
      <w:r>
        <w:rPr>
          <w:rFonts w:hint="eastAsia" w:ascii="仿宋_GB2312" w:eastAsia="仿宋_GB2312"/>
          <w:sz w:val="21"/>
        </w:rPr>
        <w:t>3</w:t>
      </w:r>
      <w:r>
        <w:rPr>
          <w:rFonts w:ascii="仿宋_GB2312" w:eastAsia="仿宋_GB2312"/>
          <w:sz w:val="21"/>
        </w:rPr>
        <w:t xml:space="preserve">.3.1 </w:t>
      </w:r>
      <w:r>
        <w:rPr>
          <w:rFonts w:hint="eastAsia" w:ascii="仿宋_GB2312" w:eastAsia="仿宋_GB2312"/>
          <w:sz w:val="21"/>
        </w:rPr>
        <w:t>发包人需对承包人的设计、采购、施工、服务等工作过程或过程节点实施监督管理的，有权委派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14:paraId="7B03DC21">
      <w:pPr>
        <w:pStyle w:val="40"/>
        <w:spacing w:after="157"/>
        <w:ind w:left="0"/>
        <w:rPr>
          <w:rFonts w:hint="eastAsia" w:ascii="仿宋_GB2312" w:eastAsia="仿宋_GB2312"/>
          <w:sz w:val="21"/>
        </w:rPr>
      </w:pPr>
      <w:r>
        <w:rPr>
          <w:rFonts w:hint="eastAsia" w:ascii="仿宋_GB2312" w:eastAsia="仿宋_GB2312"/>
          <w:sz w:val="21"/>
        </w:rPr>
        <w:t>3</w:t>
      </w:r>
      <w:r>
        <w:rPr>
          <w:rFonts w:ascii="仿宋_GB2312" w:eastAsia="仿宋_GB2312"/>
          <w:sz w:val="21"/>
        </w:rPr>
        <w:t xml:space="preserve">.3.2 </w:t>
      </w:r>
      <w:r>
        <w:rPr>
          <w:rFonts w:hint="eastAsia" w:ascii="仿宋_GB2312" w:eastAsia="仿宋_GB2312"/>
          <w:sz w:val="21"/>
        </w:rPr>
        <w:t>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74529531">
      <w:pPr>
        <w:pStyle w:val="40"/>
        <w:spacing w:after="157"/>
        <w:ind w:left="0"/>
        <w:rPr>
          <w:rFonts w:hint="eastAsia" w:ascii="仿宋_GB2312" w:eastAsia="仿宋_GB2312"/>
          <w:sz w:val="21"/>
        </w:rPr>
      </w:pPr>
      <w:r>
        <w:rPr>
          <w:rFonts w:hint="eastAsia" w:ascii="仿宋_GB2312" w:eastAsia="仿宋_GB2312"/>
          <w:sz w:val="21"/>
        </w:rPr>
        <w:t>3</w:t>
      </w:r>
      <w:r>
        <w:rPr>
          <w:rFonts w:ascii="仿宋_GB2312" w:eastAsia="仿宋_GB2312"/>
          <w:sz w:val="21"/>
        </w:rPr>
        <w:t xml:space="preserve">.3.3 </w:t>
      </w:r>
      <w:r>
        <w:rPr>
          <w:rFonts w:hint="eastAsia" w:ascii="仿宋_GB2312" w:eastAsia="仿宋_GB2312"/>
          <w:sz w:val="21"/>
        </w:rPr>
        <w:t>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5DDEE109">
      <w:pPr>
        <w:pStyle w:val="40"/>
        <w:spacing w:after="157"/>
        <w:ind w:left="0"/>
        <w:rPr>
          <w:rFonts w:hint="eastAsia" w:ascii="仿宋_GB2312" w:eastAsia="仿宋_GB2312"/>
          <w:sz w:val="21"/>
        </w:rPr>
      </w:pPr>
      <w:r>
        <w:rPr>
          <w:rFonts w:hint="eastAsia" w:ascii="仿宋_GB2312" w:eastAsia="仿宋_GB2312"/>
          <w:sz w:val="21"/>
        </w:rPr>
        <w:t>3</w:t>
      </w:r>
      <w:r>
        <w:rPr>
          <w:rFonts w:ascii="仿宋_GB2312" w:eastAsia="仿宋_GB2312"/>
          <w:sz w:val="21"/>
        </w:rPr>
        <w:t xml:space="preserve">.3.4 </w:t>
      </w:r>
      <w:r>
        <w:rPr>
          <w:rFonts w:hint="eastAsia" w:ascii="仿宋_GB2312" w:eastAsia="仿宋_GB2312"/>
          <w:sz w:val="21"/>
        </w:rPr>
        <w:t>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3384EEE6">
      <w:pPr>
        <w:pStyle w:val="39"/>
        <w:widowControl/>
        <w:spacing w:afterLines="0"/>
        <w:ind w:left="0"/>
        <w:outlineLvl w:val="3"/>
        <w:rPr>
          <w:rFonts w:hint="eastAsia"/>
          <w:b w:val="0"/>
          <w:bCs/>
          <w:sz w:val="21"/>
          <w:szCs w:val="21"/>
        </w:rPr>
      </w:pPr>
      <w:bookmarkStart w:id="985" w:name="_Toc7291"/>
      <w:bookmarkEnd w:id="985"/>
      <w:bookmarkStart w:id="986" w:name="_Toc54862207"/>
      <w:bookmarkEnd w:id="986"/>
      <w:bookmarkStart w:id="987" w:name="_Toc16902"/>
      <w:bookmarkEnd w:id="987"/>
      <w:bookmarkStart w:id="988" w:name="_Ref531951597"/>
      <w:bookmarkStart w:id="989" w:name="_Ref531951594"/>
      <w:r>
        <w:rPr>
          <w:rFonts w:hint="eastAsia"/>
          <w:b w:val="0"/>
          <w:bCs/>
          <w:sz w:val="21"/>
          <w:szCs w:val="21"/>
        </w:rPr>
        <w:t>3.4 任命和授权</w:t>
      </w:r>
    </w:p>
    <w:p w14:paraId="1ED7DDB6">
      <w:pPr>
        <w:pStyle w:val="40"/>
        <w:spacing w:after="157"/>
        <w:ind w:left="0"/>
        <w:rPr>
          <w:rFonts w:hint="eastAsia" w:ascii="仿宋_GB2312" w:eastAsia="仿宋_GB2312"/>
          <w:sz w:val="21"/>
        </w:rPr>
      </w:pPr>
      <w:r>
        <w:rPr>
          <w:rFonts w:hint="eastAsia" w:ascii="仿宋_GB2312" w:eastAsia="仿宋_GB2312"/>
          <w:sz w:val="21"/>
        </w:rPr>
        <w:t>3</w:t>
      </w:r>
      <w:r>
        <w:rPr>
          <w:rFonts w:ascii="仿宋_GB2312" w:eastAsia="仿宋_GB2312"/>
          <w:sz w:val="21"/>
        </w:rPr>
        <w:t xml:space="preserve">.4.1 </w:t>
      </w:r>
      <w:r>
        <w:rPr>
          <w:rFonts w:hint="eastAsia" w:ascii="仿宋_GB2312" w:eastAsia="仿宋_GB2312"/>
          <w:sz w:val="21"/>
        </w:rPr>
        <w:t>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07A190B4">
      <w:pPr>
        <w:pStyle w:val="40"/>
        <w:spacing w:after="157"/>
        <w:ind w:left="0"/>
        <w:rPr>
          <w:rFonts w:hint="eastAsia" w:ascii="仿宋_GB2312" w:eastAsia="仿宋_GB2312"/>
          <w:sz w:val="21"/>
        </w:rPr>
      </w:pPr>
      <w:r>
        <w:rPr>
          <w:rFonts w:hint="eastAsia" w:ascii="仿宋_GB2312" w:eastAsia="仿宋_GB2312"/>
          <w:sz w:val="21"/>
        </w:rPr>
        <w:t>3</w:t>
      </w:r>
      <w:r>
        <w:rPr>
          <w:rFonts w:ascii="仿宋_GB2312" w:eastAsia="仿宋_GB2312"/>
          <w:sz w:val="21"/>
        </w:rPr>
        <w:t xml:space="preserve">.4.2 </w:t>
      </w:r>
      <w:r>
        <w:rPr>
          <w:rFonts w:hint="eastAsia" w:ascii="仿宋_GB2312" w:eastAsia="仿宋_GB2312"/>
          <w:sz w:val="21"/>
        </w:rPr>
        <w:t>工程师可以授权其他人员负责执行其指派的一项或多项工作，但第</w:t>
      </w:r>
      <w:r>
        <w:rPr>
          <w:rFonts w:ascii="仿宋_GB2312" w:eastAsia="仿宋_GB2312"/>
          <w:sz w:val="21"/>
        </w:rPr>
        <w:t>3.6</w:t>
      </w:r>
      <w:r>
        <w:rPr>
          <w:rFonts w:hint="eastAsia" w:ascii="仿宋_GB2312" w:eastAsia="仿宋_GB2312"/>
          <w:sz w:val="21"/>
        </w:rPr>
        <w:t>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bookmarkEnd w:id="988"/>
    <w:bookmarkEnd w:id="989"/>
    <w:p w14:paraId="07CCE097">
      <w:pPr>
        <w:pStyle w:val="39"/>
        <w:widowControl/>
        <w:spacing w:afterLines="0"/>
        <w:ind w:left="0"/>
        <w:outlineLvl w:val="3"/>
        <w:rPr>
          <w:rFonts w:hint="eastAsia"/>
          <w:b w:val="0"/>
          <w:bCs/>
          <w:sz w:val="21"/>
          <w:szCs w:val="21"/>
        </w:rPr>
      </w:pPr>
      <w:bookmarkStart w:id="990" w:name="_Toc25386"/>
      <w:bookmarkEnd w:id="990"/>
      <w:bookmarkStart w:id="991" w:name="_Ref20165400"/>
      <w:bookmarkEnd w:id="991"/>
      <w:bookmarkStart w:id="992" w:name="_Toc54862208"/>
      <w:bookmarkEnd w:id="992"/>
      <w:bookmarkStart w:id="993" w:name="_Toc20584"/>
      <w:bookmarkEnd w:id="993"/>
      <w:r>
        <w:rPr>
          <w:rFonts w:hint="eastAsia"/>
          <w:b w:val="0"/>
          <w:bCs/>
          <w:sz w:val="21"/>
          <w:szCs w:val="21"/>
        </w:rPr>
        <w:t>3.5 指示</w:t>
      </w:r>
    </w:p>
    <w:p w14:paraId="05177A46">
      <w:pPr>
        <w:pStyle w:val="40"/>
        <w:spacing w:after="157"/>
        <w:ind w:left="0"/>
        <w:rPr>
          <w:rFonts w:hint="eastAsia" w:ascii="仿宋_GB2312" w:eastAsia="仿宋_GB2312"/>
          <w:sz w:val="21"/>
        </w:rPr>
      </w:pPr>
      <w:r>
        <w:rPr>
          <w:rFonts w:hint="eastAsia" w:ascii="仿宋_GB2312" w:eastAsia="仿宋_GB2312"/>
          <w:sz w:val="21"/>
        </w:rPr>
        <w:t>3</w:t>
      </w:r>
      <w:r>
        <w:rPr>
          <w:rFonts w:ascii="仿宋_GB2312" w:eastAsia="仿宋_GB2312"/>
          <w:sz w:val="21"/>
        </w:rPr>
        <w:t xml:space="preserve">.5.1 </w:t>
      </w:r>
      <w:r>
        <w:rPr>
          <w:rFonts w:hint="eastAsia" w:ascii="仿宋_GB2312" w:eastAsia="仿宋_GB2312"/>
          <w:sz w:val="21"/>
        </w:rPr>
        <w:t>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1533A85B">
      <w:pPr>
        <w:pStyle w:val="40"/>
        <w:spacing w:after="157"/>
        <w:ind w:left="0"/>
        <w:rPr>
          <w:rFonts w:hint="eastAsia" w:ascii="仿宋_GB2312" w:eastAsia="仿宋_GB2312"/>
          <w:sz w:val="21"/>
        </w:rPr>
      </w:pPr>
      <w:r>
        <w:rPr>
          <w:rFonts w:hint="eastAsia" w:ascii="仿宋_GB2312" w:eastAsia="仿宋_GB2312"/>
          <w:sz w:val="21"/>
        </w:rPr>
        <w:t>3</w:t>
      </w:r>
      <w:r>
        <w:rPr>
          <w:rFonts w:ascii="仿宋_GB2312" w:eastAsia="仿宋_GB2312"/>
          <w:sz w:val="21"/>
        </w:rPr>
        <w:t xml:space="preserve">.5.2 </w:t>
      </w:r>
      <w:r>
        <w:rPr>
          <w:rFonts w:hint="eastAsia" w:ascii="仿宋_GB2312" w:eastAsia="仿宋_GB2312"/>
          <w:sz w:val="21"/>
        </w:rPr>
        <w:t>承包人收到工程师作出的指示后应遵照执行。如果任何此类指示构成一项变更时，应按照第</w:t>
      </w:r>
      <w:r>
        <w:rPr>
          <w:rFonts w:ascii="仿宋_GB2312" w:eastAsia="仿宋_GB2312"/>
          <w:sz w:val="21"/>
        </w:rPr>
        <w:t>13条</w:t>
      </w:r>
      <w:r>
        <w:rPr>
          <w:rFonts w:hint="eastAsia" w:ascii="仿宋_GB2312" w:eastAsia="仿宋_GB2312"/>
          <w:sz w:val="21"/>
        </w:rPr>
        <w:t>[变更与调整]的约定办理。</w:t>
      </w:r>
    </w:p>
    <w:p w14:paraId="0630AB56">
      <w:pPr>
        <w:pStyle w:val="40"/>
        <w:spacing w:after="157"/>
        <w:ind w:left="0"/>
        <w:rPr>
          <w:rFonts w:hint="eastAsia" w:ascii="仿宋_GB2312" w:eastAsia="仿宋_GB2312"/>
          <w:sz w:val="21"/>
        </w:rPr>
      </w:pPr>
      <w:r>
        <w:rPr>
          <w:rFonts w:hint="eastAsia" w:ascii="仿宋_GB2312" w:eastAsia="仿宋_GB2312"/>
          <w:sz w:val="21"/>
        </w:rPr>
        <w:t>3</w:t>
      </w:r>
      <w:r>
        <w:rPr>
          <w:rFonts w:ascii="仿宋_GB2312" w:eastAsia="仿宋_GB2312"/>
          <w:sz w:val="21"/>
        </w:rPr>
        <w:t xml:space="preserve">.5.3 </w:t>
      </w:r>
      <w:r>
        <w:rPr>
          <w:rFonts w:hint="eastAsia" w:ascii="仿宋_GB2312" w:eastAsia="仿宋_GB2312"/>
          <w:sz w:val="21"/>
        </w:rPr>
        <w:t>由于工程师未能按合同约定发出指示、指示延误或指示错误而导致承包人费用增加和（或）工期延误的，发包人应承担由此增加的费用和（或）工期延误，并向承包人支付合理利润。</w:t>
      </w:r>
    </w:p>
    <w:p w14:paraId="59D286C6">
      <w:pPr>
        <w:pStyle w:val="39"/>
        <w:widowControl/>
        <w:spacing w:afterLines="0"/>
        <w:ind w:left="0"/>
        <w:outlineLvl w:val="3"/>
        <w:rPr>
          <w:rFonts w:hint="eastAsia"/>
          <w:b w:val="0"/>
          <w:bCs/>
          <w:sz w:val="21"/>
          <w:szCs w:val="21"/>
        </w:rPr>
      </w:pPr>
      <w:bookmarkStart w:id="994" w:name="_Toc29657"/>
      <w:bookmarkEnd w:id="994"/>
      <w:bookmarkStart w:id="995" w:name="_Toc54862209"/>
      <w:bookmarkEnd w:id="995"/>
      <w:bookmarkStart w:id="996" w:name="_Ref531951611"/>
      <w:bookmarkEnd w:id="996"/>
      <w:bookmarkStart w:id="997" w:name="_Toc12503"/>
      <w:bookmarkEnd w:id="997"/>
      <w:bookmarkStart w:id="998" w:name="_Ref531951609"/>
      <w:bookmarkEnd w:id="998"/>
      <w:r>
        <w:rPr>
          <w:rFonts w:hint="eastAsia"/>
          <w:b w:val="0"/>
          <w:bCs/>
          <w:sz w:val="21"/>
          <w:szCs w:val="21"/>
        </w:rPr>
        <w:t>3.6 商定或确定</w:t>
      </w:r>
    </w:p>
    <w:p w14:paraId="4FF769D5">
      <w:pPr>
        <w:pStyle w:val="40"/>
        <w:spacing w:after="157"/>
        <w:ind w:left="0"/>
        <w:rPr>
          <w:rFonts w:hint="eastAsia" w:ascii="仿宋_GB2312" w:eastAsia="仿宋_GB2312"/>
          <w:sz w:val="21"/>
        </w:rPr>
      </w:pPr>
      <w:r>
        <w:rPr>
          <w:rFonts w:hint="eastAsia" w:ascii="仿宋_GB2312" w:eastAsia="仿宋_GB2312"/>
          <w:sz w:val="21"/>
        </w:rPr>
        <w:t>3</w:t>
      </w:r>
      <w:r>
        <w:rPr>
          <w:rFonts w:ascii="仿宋_GB2312" w:eastAsia="仿宋_GB2312"/>
          <w:sz w:val="21"/>
        </w:rPr>
        <w:t xml:space="preserve">.6.1 </w:t>
      </w:r>
      <w:r>
        <w:rPr>
          <w:rFonts w:hint="eastAsia" w:ascii="仿宋_GB2312" w:eastAsia="仿宋_GB2312"/>
          <w:sz w:val="21"/>
        </w:rPr>
        <w:t>合同约定工程师应按照本款对任何事项进行商定或确定时，工程师应及时与合同当事人协商，尽量达成一致。工程师应将商定的结果以书面形式通知发包人和承包人，并由双方签署确认。</w:t>
      </w:r>
    </w:p>
    <w:p w14:paraId="157180DB">
      <w:pPr>
        <w:pStyle w:val="40"/>
        <w:spacing w:after="157"/>
        <w:ind w:left="0"/>
        <w:rPr>
          <w:rFonts w:hint="eastAsia" w:ascii="仿宋_GB2312" w:eastAsia="仿宋_GB2312"/>
          <w:sz w:val="21"/>
        </w:rPr>
      </w:pPr>
      <w:r>
        <w:rPr>
          <w:rFonts w:hint="eastAsia" w:ascii="仿宋_GB2312" w:eastAsia="仿宋_GB2312"/>
          <w:sz w:val="21"/>
        </w:rPr>
        <w:t>3</w:t>
      </w:r>
      <w:r>
        <w:rPr>
          <w:rFonts w:ascii="仿宋_GB2312" w:eastAsia="仿宋_GB2312"/>
          <w:sz w:val="21"/>
        </w:rPr>
        <w:t xml:space="preserve">.6.2 </w:t>
      </w:r>
      <w:r>
        <w:rPr>
          <w:rFonts w:hint="eastAsia" w:ascii="仿宋_GB2312" w:eastAsia="仿宋_GB2312"/>
          <w:sz w:val="21"/>
        </w:rPr>
        <w:t>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14:paraId="71304548">
      <w:pPr>
        <w:pStyle w:val="40"/>
        <w:spacing w:after="157"/>
        <w:ind w:left="0"/>
        <w:rPr>
          <w:rFonts w:hint="eastAsia" w:ascii="仿宋_GB2312" w:eastAsia="仿宋_GB2312"/>
          <w:sz w:val="21"/>
        </w:rPr>
      </w:pPr>
      <w:bookmarkStart w:id="999" w:name="_Ref532287856"/>
      <w:bookmarkEnd w:id="999"/>
      <w:r>
        <w:rPr>
          <w:rFonts w:hint="eastAsia" w:ascii="仿宋_GB2312" w:eastAsia="仿宋_GB2312"/>
          <w:sz w:val="21"/>
        </w:rPr>
        <w:t>3</w:t>
      </w:r>
      <w:r>
        <w:rPr>
          <w:rFonts w:ascii="仿宋_GB2312" w:eastAsia="仿宋_GB2312"/>
          <w:sz w:val="21"/>
        </w:rPr>
        <w:t xml:space="preserve">.6.3 </w:t>
      </w:r>
      <w:r>
        <w:rPr>
          <w:rFonts w:hint="eastAsia" w:ascii="仿宋_GB2312" w:eastAsia="仿宋_GB2312"/>
          <w:sz w:val="21"/>
        </w:rPr>
        <w:t>任何一方对工程师的确定有异议的，应在收到确定的结果后28天内向另一方发出书面异议通知并抄送工程师。除第</w:t>
      </w:r>
      <w:r>
        <w:rPr>
          <w:rFonts w:ascii="仿宋_GB2312" w:eastAsia="仿宋_GB2312"/>
          <w:sz w:val="21"/>
        </w:rPr>
        <w:t>19.2</w:t>
      </w:r>
      <w:r>
        <w:rPr>
          <w:rFonts w:hint="eastAsia" w:ascii="仿宋_GB2312" w:eastAsia="仿宋_GB2312"/>
          <w:sz w:val="21"/>
        </w:rPr>
        <w:t>款[</w:t>
      </w:r>
      <w:r>
        <w:rPr>
          <w:rFonts w:ascii="仿宋_GB2312" w:eastAsia="仿宋_GB2312"/>
          <w:sz w:val="21"/>
        </w:rPr>
        <w:t>承包人索赔的处理程序</w:t>
      </w:r>
      <w:r>
        <w:rPr>
          <w:rFonts w:hint="eastAsia" w:ascii="仿宋_GB2312" w:eastAsia="仿宋_GB2312"/>
          <w:sz w:val="21"/>
        </w:rPr>
        <w:t>]另有约定外，工程师未能在确定的期限内发出确定的结果通知的，或者任何一方发出对确定的结果有异议的通知的，则构成争议并应按照第</w:t>
      </w:r>
      <w:r>
        <w:rPr>
          <w:rFonts w:ascii="仿宋_GB2312" w:eastAsia="仿宋_GB2312"/>
          <w:sz w:val="21"/>
        </w:rPr>
        <w:t>20条</w:t>
      </w:r>
      <w:r>
        <w:rPr>
          <w:rFonts w:hint="eastAsia" w:ascii="仿宋_GB2312" w:eastAsia="仿宋_GB2312"/>
          <w:sz w:val="21"/>
        </w:rPr>
        <w:t>[争议解决]的约定处理。如未在28天内发出上述通知的，工程师的确定应被视为已被双方接受并对双方具有约束力，但专用合同条件另有约定的除外。</w:t>
      </w:r>
    </w:p>
    <w:p w14:paraId="042579FE">
      <w:pPr>
        <w:pStyle w:val="40"/>
        <w:spacing w:after="157"/>
        <w:ind w:left="0"/>
        <w:rPr>
          <w:rFonts w:hint="eastAsia" w:ascii="仿宋_GB2312" w:eastAsia="仿宋_GB2312"/>
          <w:sz w:val="21"/>
        </w:rPr>
      </w:pPr>
      <w:r>
        <w:rPr>
          <w:rFonts w:hint="eastAsia" w:ascii="仿宋_GB2312" w:eastAsia="仿宋_GB2312"/>
          <w:sz w:val="21"/>
        </w:rPr>
        <w:t>3</w:t>
      </w:r>
      <w:r>
        <w:rPr>
          <w:rFonts w:ascii="仿宋_GB2312" w:eastAsia="仿宋_GB2312"/>
          <w:sz w:val="21"/>
        </w:rPr>
        <w:t xml:space="preserve">.6.4 </w:t>
      </w:r>
      <w:r>
        <w:rPr>
          <w:rFonts w:hint="eastAsia" w:ascii="仿宋_GB2312" w:eastAsia="仿宋_GB2312"/>
          <w:sz w:val="21"/>
        </w:rPr>
        <w:t>在该争议解决前，双方应暂按工程师的确定执行。按照第</w:t>
      </w:r>
      <w:r>
        <w:rPr>
          <w:rFonts w:ascii="仿宋_GB2312" w:eastAsia="仿宋_GB2312"/>
          <w:sz w:val="21"/>
        </w:rPr>
        <w:t>20条</w:t>
      </w:r>
      <w:r>
        <w:rPr>
          <w:rFonts w:hint="eastAsia" w:ascii="仿宋_GB2312" w:eastAsia="仿宋_GB2312"/>
          <w:sz w:val="21"/>
        </w:rPr>
        <w:t>[争议解决]的约定对工程师的确定作出修改的，按修改后的结果执行，由此导致承包人增加的费用和延误的工期由责任方承担。</w:t>
      </w:r>
    </w:p>
    <w:p w14:paraId="092A034E">
      <w:pPr>
        <w:pStyle w:val="39"/>
        <w:widowControl/>
        <w:spacing w:afterLines="0"/>
        <w:ind w:left="0"/>
        <w:outlineLvl w:val="3"/>
        <w:rPr>
          <w:rFonts w:hint="eastAsia"/>
          <w:b w:val="0"/>
          <w:bCs/>
          <w:sz w:val="21"/>
          <w:szCs w:val="21"/>
        </w:rPr>
      </w:pPr>
      <w:bookmarkStart w:id="1000" w:name="_Toc29402"/>
      <w:bookmarkEnd w:id="1000"/>
      <w:bookmarkStart w:id="1001" w:name="_Ref531951749"/>
      <w:bookmarkEnd w:id="1001"/>
      <w:bookmarkStart w:id="1002" w:name="_Toc26539"/>
      <w:bookmarkEnd w:id="1002"/>
      <w:bookmarkStart w:id="1003" w:name="_Ref531951747"/>
      <w:bookmarkEnd w:id="1003"/>
      <w:bookmarkStart w:id="1004" w:name="_Toc54862210"/>
      <w:bookmarkEnd w:id="1004"/>
      <w:r>
        <w:rPr>
          <w:rFonts w:hint="eastAsia"/>
          <w:b w:val="0"/>
          <w:bCs/>
          <w:sz w:val="21"/>
          <w:szCs w:val="21"/>
        </w:rPr>
        <w:t>3.7 会议</w:t>
      </w:r>
    </w:p>
    <w:p w14:paraId="4C82ADE2">
      <w:pPr>
        <w:pStyle w:val="40"/>
        <w:spacing w:after="157"/>
        <w:ind w:left="0"/>
        <w:rPr>
          <w:rFonts w:hint="eastAsia" w:ascii="仿宋_GB2312" w:eastAsia="仿宋_GB2312"/>
          <w:sz w:val="21"/>
        </w:rPr>
      </w:pPr>
      <w:r>
        <w:rPr>
          <w:rFonts w:hint="eastAsia" w:ascii="仿宋_GB2312" w:eastAsia="仿宋_GB2312"/>
          <w:sz w:val="21"/>
        </w:rPr>
        <w:t>3</w:t>
      </w:r>
      <w:r>
        <w:rPr>
          <w:rFonts w:ascii="仿宋_GB2312" w:eastAsia="仿宋_GB2312"/>
          <w:sz w:val="21"/>
        </w:rPr>
        <w:t xml:space="preserve">.7.1 </w:t>
      </w:r>
      <w:r>
        <w:rPr>
          <w:rFonts w:hint="eastAsia" w:ascii="仿宋_GB2312" w:eastAsia="仿宋_GB2312"/>
          <w:sz w:val="21"/>
        </w:rPr>
        <w:t>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14:paraId="11CFD7DF">
      <w:pPr>
        <w:pStyle w:val="40"/>
        <w:spacing w:after="157"/>
        <w:ind w:left="0"/>
        <w:rPr>
          <w:rFonts w:hint="eastAsia" w:ascii="仿宋_GB2312" w:eastAsia="仿宋_GB2312"/>
          <w:sz w:val="21"/>
        </w:rPr>
      </w:pPr>
      <w:r>
        <w:rPr>
          <w:rFonts w:hint="eastAsia" w:ascii="仿宋_GB2312" w:eastAsia="仿宋_GB2312"/>
          <w:sz w:val="21"/>
        </w:rPr>
        <w:t>3</w:t>
      </w:r>
      <w:r>
        <w:rPr>
          <w:rFonts w:ascii="仿宋_GB2312" w:eastAsia="仿宋_GB2312"/>
          <w:sz w:val="21"/>
        </w:rPr>
        <w:t xml:space="preserve">.7.2 </w:t>
      </w:r>
      <w:r>
        <w:rPr>
          <w:rFonts w:hint="eastAsia" w:ascii="仿宋_GB2312" w:eastAsia="仿宋_GB2312"/>
          <w:sz w:val="21"/>
        </w:rPr>
        <w:t>除专用合同条件另有约定外，发包人应保存每次会议参加人签名的记录，并将会议纪要提供给出席会议的人员。任何根据此类会议以及会议纪要采取的行动应符合本合同的约定。</w:t>
      </w:r>
    </w:p>
    <w:p w14:paraId="09956DB2">
      <w:pPr>
        <w:pStyle w:val="39"/>
        <w:widowControl/>
        <w:spacing w:afterLines="0"/>
        <w:ind w:left="0"/>
        <w:rPr>
          <w:rFonts w:hint="eastAsia"/>
          <w:b w:val="0"/>
          <w:bCs/>
          <w:sz w:val="28"/>
          <w:szCs w:val="28"/>
        </w:rPr>
      </w:pPr>
      <w:bookmarkStart w:id="1005" w:name="_Toc21511"/>
      <w:bookmarkEnd w:id="1005"/>
      <w:bookmarkStart w:id="1006" w:name="_Toc54862211"/>
      <w:bookmarkEnd w:id="1006"/>
      <w:bookmarkStart w:id="1007" w:name="_Toc15120"/>
      <w:bookmarkEnd w:id="1007"/>
      <w:bookmarkStart w:id="1008" w:name="_Ref531952805"/>
      <w:bookmarkEnd w:id="1008"/>
      <w:r>
        <w:rPr>
          <w:rFonts w:hint="eastAsia"/>
          <w:b w:val="0"/>
          <w:bCs/>
          <w:sz w:val="28"/>
          <w:szCs w:val="28"/>
        </w:rPr>
        <w:t>第4条 承包人</w:t>
      </w:r>
    </w:p>
    <w:p w14:paraId="77E33AB6">
      <w:pPr>
        <w:pStyle w:val="39"/>
        <w:widowControl/>
        <w:spacing w:afterLines="0"/>
        <w:ind w:left="0"/>
        <w:outlineLvl w:val="3"/>
        <w:rPr>
          <w:rFonts w:hint="eastAsia"/>
          <w:b w:val="0"/>
          <w:bCs/>
          <w:sz w:val="21"/>
          <w:szCs w:val="21"/>
        </w:rPr>
      </w:pPr>
      <w:bookmarkStart w:id="1009" w:name="_Ref531951958"/>
      <w:bookmarkEnd w:id="1009"/>
      <w:bookmarkStart w:id="1010" w:name="_Toc20256"/>
      <w:bookmarkEnd w:id="1010"/>
      <w:bookmarkStart w:id="1011" w:name="_Ref531951945"/>
      <w:bookmarkEnd w:id="1011"/>
      <w:bookmarkStart w:id="1012" w:name="_Toc54862212"/>
      <w:bookmarkEnd w:id="1012"/>
      <w:bookmarkStart w:id="1013" w:name="_Toc19246"/>
      <w:bookmarkEnd w:id="1013"/>
      <w:bookmarkStart w:id="1014" w:name="_Ref531951975"/>
      <w:bookmarkEnd w:id="1014"/>
      <w:bookmarkStart w:id="1015" w:name="_Ref531951961"/>
      <w:bookmarkEnd w:id="1015"/>
      <w:bookmarkStart w:id="1016" w:name="_Ref531951941"/>
      <w:bookmarkEnd w:id="1016"/>
      <w:r>
        <w:rPr>
          <w:rFonts w:hint="eastAsia"/>
          <w:b w:val="0"/>
          <w:bCs/>
          <w:sz w:val="21"/>
          <w:szCs w:val="21"/>
        </w:rPr>
        <w:t>4.1 承包人的一般义务</w:t>
      </w:r>
    </w:p>
    <w:p w14:paraId="56001E17">
      <w:pPr>
        <w:spacing w:line="360" w:lineRule="auto"/>
        <w:ind w:firstLine="600"/>
        <w:rPr>
          <w:rFonts w:ascii="仿宋_GB2312" w:eastAsia="仿宋_GB2312"/>
        </w:rPr>
      </w:pPr>
      <w:r>
        <w:rPr>
          <w:rFonts w:hint="eastAsia" w:ascii="仿宋_GB2312" w:eastAsia="仿宋_GB2312"/>
        </w:rPr>
        <w:t>除专用合同条件另有约定外，承包人在履行合同过程中应遵守法律和工程建设标准规范，并履行以下义务：</w:t>
      </w:r>
    </w:p>
    <w:p w14:paraId="7E919597">
      <w:pPr>
        <w:spacing w:line="360" w:lineRule="auto"/>
        <w:ind w:firstLine="600"/>
        <w:rPr>
          <w:rFonts w:ascii="仿宋_GB2312" w:eastAsia="仿宋_GB2312"/>
        </w:rPr>
      </w:pPr>
      <w:r>
        <w:rPr>
          <w:rFonts w:hint="eastAsia" w:ascii="仿宋_GB2312" w:eastAsia="仿宋_GB2312"/>
        </w:rPr>
        <w:t>（1） 办理法律规定和合同约定由承包人办理的许可和批准，并将办理结果书面报送发包人留存，并承担因承包人违反法律或合同约定给发包人造成的任何费用和损失；</w:t>
      </w:r>
    </w:p>
    <w:p w14:paraId="182345D4">
      <w:pPr>
        <w:spacing w:line="360" w:lineRule="auto"/>
        <w:ind w:firstLine="600"/>
        <w:rPr>
          <w:rFonts w:ascii="仿宋_GB2312" w:eastAsia="仿宋_GB2312"/>
        </w:rPr>
      </w:pPr>
      <w:r>
        <w:rPr>
          <w:rFonts w:hint="eastAsia" w:ascii="仿宋_GB2312" w:eastAsia="仿宋_GB2312"/>
        </w:rPr>
        <w:t>（2） 按合同约定完成全部工作并在缺陷责任期和保修期内承担缺陷保证责任和保修义务，对工作中的任何缺陷进行整改、完善和修补，使其满足合同约定的目的；</w:t>
      </w:r>
    </w:p>
    <w:p w14:paraId="63E96DB8">
      <w:pPr>
        <w:spacing w:line="360" w:lineRule="auto"/>
        <w:ind w:firstLine="600"/>
        <w:rPr>
          <w:rFonts w:ascii="仿宋_GB2312" w:eastAsia="仿宋_GB2312"/>
        </w:rPr>
      </w:pPr>
      <w:r>
        <w:rPr>
          <w:rFonts w:hint="eastAsia" w:ascii="仿宋_GB2312" w:eastAsia="仿宋_GB2312"/>
        </w:rPr>
        <w:t>（3） 提供合同约定的工程设备和承包人文件，以及为完成合同工作所需的劳务、材料、施工设备和其他物品，并按合同约定负责临时设施的设计、施工、运行、维护、管理和拆除；</w:t>
      </w:r>
    </w:p>
    <w:p w14:paraId="657F662B">
      <w:pPr>
        <w:spacing w:line="360" w:lineRule="auto"/>
        <w:ind w:firstLine="600"/>
        <w:rPr>
          <w:rFonts w:ascii="仿宋_GB2312" w:eastAsia="仿宋_GB2312"/>
        </w:rPr>
      </w:pPr>
      <w:r>
        <w:rPr>
          <w:rFonts w:hint="eastAsia" w:ascii="仿宋_GB2312" w:eastAsia="仿宋_GB2312"/>
        </w:rPr>
        <w:t>（4） 按合同约定的工作内容和进度要求，编制设计、施工的组织和实施计划，保证项目进度计划的实现，并对所有设计、施工作业和施工方法，以及全部工程的完备性和安全可靠性负责；</w:t>
      </w:r>
    </w:p>
    <w:p w14:paraId="5C7A7924">
      <w:pPr>
        <w:spacing w:line="360" w:lineRule="auto"/>
        <w:ind w:firstLine="600"/>
        <w:rPr>
          <w:rFonts w:ascii="仿宋_GB2312" w:eastAsia="仿宋_GB2312"/>
        </w:rPr>
      </w:pPr>
      <w:r>
        <w:rPr>
          <w:rFonts w:hint="eastAsia" w:ascii="仿宋_GB2312" w:eastAsia="仿宋_GB2312"/>
        </w:rPr>
        <w:t>（5） 按法律规定和合同约定采取安全文明施工、职业健康和环境保护措施，办理员工工伤保险等相关保险，确保工程及人员、材料、设备和设施的安全，防止因工程实施造成的人身伤害和财产损失；</w:t>
      </w:r>
    </w:p>
    <w:p w14:paraId="2A6C2CF1">
      <w:pPr>
        <w:spacing w:line="360" w:lineRule="auto"/>
        <w:ind w:firstLine="600"/>
        <w:rPr>
          <w:rFonts w:ascii="仿宋_GB2312" w:eastAsia="仿宋_GB2312"/>
        </w:rPr>
      </w:pPr>
      <w:r>
        <w:rPr>
          <w:rFonts w:hint="eastAsia" w:ascii="仿宋_GB2312" w:eastAsia="仿宋_GB2312"/>
        </w:rPr>
        <w:t>（6） 将发包人按合同约定支付的各项价款专用于合同工程，且应及时支付其雇用人员（包括建筑工人）工资，并及时向分包人支付合同价款；</w:t>
      </w:r>
    </w:p>
    <w:p w14:paraId="5220580E">
      <w:pPr>
        <w:spacing w:line="360" w:lineRule="auto"/>
        <w:ind w:firstLine="600"/>
        <w:rPr>
          <w:rFonts w:ascii="仿宋_GB2312" w:eastAsia="仿宋_GB2312"/>
        </w:rPr>
      </w:pPr>
      <w:r>
        <w:rPr>
          <w:rFonts w:hint="eastAsia" w:ascii="仿宋_GB2312" w:eastAsia="仿宋_GB2312"/>
        </w:rPr>
        <w:t>（7） 在进行合同约定的各项工作时，不得侵害发包人与他人使用公用道路、水源、市政管网等公共设施的权利，避免对邻近的公共设施产生干扰。</w:t>
      </w:r>
    </w:p>
    <w:p w14:paraId="153EB1DA">
      <w:pPr>
        <w:pStyle w:val="39"/>
        <w:widowControl/>
        <w:spacing w:afterLines="0"/>
        <w:ind w:left="0"/>
        <w:outlineLvl w:val="3"/>
        <w:rPr>
          <w:rFonts w:hint="eastAsia"/>
          <w:b w:val="0"/>
          <w:bCs/>
          <w:sz w:val="21"/>
          <w:szCs w:val="21"/>
        </w:rPr>
      </w:pPr>
      <w:bookmarkStart w:id="1017" w:name="_Toc18057"/>
      <w:bookmarkEnd w:id="1017"/>
      <w:bookmarkStart w:id="1018" w:name="_Toc54862213"/>
      <w:bookmarkEnd w:id="1018"/>
      <w:bookmarkStart w:id="1019" w:name="_Toc13812"/>
      <w:bookmarkEnd w:id="1019"/>
      <w:bookmarkStart w:id="1020" w:name="_Ref4426803"/>
      <w:bookmarkEnd w:id="1020"/>
      <w:r>
        <w:rPr>
          <w:rFonts w:hint="eastAsia"/>
          <w:b w:val="0"/>
          <w:bCs/>
          <w:sz w:val="21"/>
          <w:szCs w:val="21"/>
        </w:rPr>
        <w:t>4.2 履约担保</w:t>
      </w:r>
    </w:p>
    <w:p w14:paraId="0144E9DA">
      <w:pPr>
        <w:spacing w:line="360" w:lineRule="auto"/>
        <w:ind w:firstLine="600"/>
        <w:rPr>
          <w:rFonts w:ascii="仿宋_GB2312" w:eastAsia="仿宋_GB2312"/>
        </w:rPr>
      </w:pPr>
      <w:r>
        <w:rPr>
          <w:rFonts w:hint="eastAsia" w:ascii="仿宋_GB2312" w:eastAsia="仿宋_GB2312"/>
        </w:rPr>
        <w:t>发包人需要承包人提供履约担保的，由合同当事人在专用合同条件中约定履约担保的方式、金额及提交的时间等，并应符合第</w:t>
      </w:r>
      <w:r>
        <w:rPr>
          <w:rFonts w:ascii="仿宋_GB2312" w:eastAsia="仿宋_GB2312"/>
        </w:rPr>
        <w:t>2.5</w:t>
      </w:r>
      <w:r>
        <w:rPr>
          <w:rFonts w:hint="eastAsia" w:ascii="仿宋_GB2312" w:eastAsia="仿宋_GB2312"/>
        </w:rPr>
        <w:t>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03E55610">
      <w:pPr>
        <w:spacing w:line="360" w:lineRule="auto"/>
        <w:ind w:firstLine="600"/>
        <w:rPr>
          <w:rFonts w:ascii="仿宋_GB2312" w:eastAsia="仿宋_GB2312"/>
        </w:rPr>
      </w:pPr>
      <w:r>
        <w:rPr>
          <w:rFonts w:hint="eastAsia" w:ascii="仿宋_GB2312" w:eastAsia="仿宋_GB2312"/>
        </w:rPr>
        <w:t>承包人应保证其履约担保在发包人竣工验收前一直有效，发包人应在竣工验收合格后</w:t>
      </w:r>
      <w:r>
        <w:rPr>
          <w:rFonts w:ascii="仿宋_GB2312" w:eastAsia="仿宋_GB2312"/>
        </w:rPr>
        <w:t>7</w:t>
      </w:r>
      <w:r>
        <w:rPr>
          <w:rFonts w:hint="eastAsia" w:ascii="仿宋_GB2312" w:eastAsia="仿宋_GB2312"/>
        </w:rPr>
        <w:t>天内将履约担保款项退还给承包人或者解除履约担保。</w:t>
      </w:r>
    </w:p>
    <w:p w14:paraId="35224246">
      <w:pPr>
        <w:spacing w:line="360" w:lineRule="auto"/>
        <w:ind w:firstLine="600"/>
        <w:rPr>
          <w:rFonts w:ascii="仿宋_GB2312" w:eastAsia="仿宋_GB2312"/>
        </w:rPr>
      </w:pPr>
      <w:r>
        <w:rPr>
          <w:rFonts w:hint="eastAsia" w:ascii="仿宋_GB2312" w:eastAsia="仿宋_GB2312"/>
        </w:rPr>
        <w:t>因承包人原因导致工期延长的，继续提供履约担保所增加的费用由承包人承担；非因承包人原因导致工期延长的，继续提供履约担保所增加的费用由发包人承担。</w:t>
      </w:r>
    </w:p>
    <w:p w14:paraId="7C167A7F">
      <w:pPr>
        <w:pStyle w:val="39"/>
        <w:widowControl/>
        <w:spacing w:afterLines="0"/>
        <w:ind w:left="0"/>
        <w:outlineLvl w:val="3"/>
        <w:rPr>
          <w:rFonts w:hint="eastAsia"/>
          <w:b w:val="0"/>
          <w:bCs/>
          <w:sz w:val="21"/>
          <w:szCs w:val="21"/>
        </w:rPr>
      </w:pPr>
      <w:bookmarkStart w:id="1021" w:name="_Toc54862214"/>
      <w:bookmarkEnd w:id="1021"/>
      <w:bookmarkStart w:id="1022" w:name="_Ref532689108"/>
      <w:bookmarkEnd w:id="1022"/>
      <w:bookmarkStart w:id="1023" w:name="_Ref532689105"/>
      <w:bookmarkEnd w:id="1023"/>
      <w:bookmarkStart w:id="1024" w:name="_Toc6262"/>
      <w:bookmarkEnd w:id="1024"/>
      <w:bookmarkStart w:id="1025" w:name="_Toc13858"/>
      <w:bookmarkEnd w:id="1025"/>
      <w:r>
        <w:rPr>
          <w:rFonts w:hint="eastAsia"/>
          <w:b w:val="0"/>
          <w:bCs/>
          <w:sz w:val="21"/>
          <w:szCs w:val="21"/>
        </w:rPr>
        <w:t>4.3 工程总承包项目经理</w:t>
      </w:r>
    </w:p>
    <w:p w14:paraId="6A98E85A">
      <w:pPr>
        <w:pStyle w:val="40"/>
        <w:spacing w:after="157"/>
        <w:ind w:left="0"/>
        <w:rPr>
          <w:rFonts w:hint="eastAsia" w:ascii="仿宋_GB2312" w:eastAsia="仿宋_GB2312"/>
          <w:sz w:val="21"/>
        </w:rPr>
      </w:pPr>
      <w:bookmarkStart w:id="1026" w:name="_Ref532351726"/>
      <w:bookmarkEnd w:id="1026"/>
      <w:r>
        <w:rPr>
          <w:rFonts w:hint="eastAsia" w:ascii="仿宋_GB2312" w:eastAsia="仿宋_GB2312"/>
          <w:sz w:val="21"/>
        </w:rPr>
        <w:t>4</w:t>
      </w:r>
      <w:r>
        <w:rPr>
          <w:rFonts w:ascii="仿宋_GB2312" w:eastAsia="仿宋_GB2312"/>
          <w:sz w:val="21"/>
        </w:rPr>
        <w:t xml:space="preserve">.3.1 </w:t>
      </w:r>
      <w:r>
        <w:rPr>
          <w:rFonts w:hint="eastAsia" w:ascii="仿宋_GB2312" w:eastAsia="仿宋_GB2312"/>
          <w:sz w:val="21"/>
        </w:rPr>
        <w:t>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p>
    <w:p w14:paraId="01488CBE">
      <w:pPr>
        <w:pStyle w:val="40"/>
        <w:spacing w:after="157"/>
        <w:ind w:left="0"/>
        <w:rPr>
          <w:rFonts w:hint="eastAsia" w:ascii="仿宋_GB2312" w:eastAsia="仿宋_GB2312"/>
          <w:sz w:val="21"/>
        </w:rPr>
      </w:pPr>
      <w:bookmarkStart w:id="1027" w:name="_Ref532689263"/>
      <w:bookmarkEnd w:id="1027"/>
      <w:r>
        <w:rPr>
          <w:rFonts w:hint="eastAsia" w:ascii="仿宋_GB2312" w:eastAsia="仿宋_GB2312"/>
          <w:sz w:val="21"/>
        </w:rPr>
        <w:t>4</w:t>
      </w:r>
      <w:r>
        <w:rPr>
          <w:rFonts w:ascii="仿宋_GB2312" w:eastAsia="仿宋_GB2312"/>
          <w:sz w:val="21"/>
        </w:rPr>
        <w:t xml:space="preserve">.3.2 </w:t>
      </w:r>
      <w:r>
        <w:rPr>
          <w:rFonts w:hint="eastAsia" w:ascii="仿宋_GB2312" w:eastAsia="仿宋_GB2312"/>
          <w:sz w:val="21"/>
        </w:rPr>
        <w:t>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p>
    <w:p w14:paraId="5BF16D7B">
      <w:pPr>
        <w:pStyle w:val="40"/>
        <w:spacing w:after="157"/>
        <w:ind w:left="0"/>
        <w:rPr>
          <w:rFonts w:hint="eastAsia" w:ascii="仿宋_GB2312" w:eastAsia="仿宋_GB2312"/>
          <w:sz w:val="21"/>
        </w:rPr>
      </w:pPr>
      <w:bookmarkStart w:id="1028" w:name="_Ref532689178"/>
      <w:bookmarkEnd w:id="1028"/>
      <w:r>
        <w:rPr>
          <w:rFonts w:hint="eastAsia" w:ascii="仿宋_GB2312" w:eastAsia="仿宋_GB2312"/>
          <w:sz w:val="21"/>
        </w:rPr>
        <w:t>4</w:t>
      </w:r>
      <w:r>
        <w:rPr>
          <w:rFonts w:ascii="仿宋_GB2312" w:eastAsia="仿宋_GB2312"/>
          <w:sz w:val="21"/>
        </w:rPr>
        <w:t xml:space="preserve">.3.3 </w:t>
      </w:r>
      <w:r>
        <w:rPr>
          <w:rFonts w:hint="eastAsia" w:ascii="仿宋_GB2312" w:eastAsia="仿宋_GB2312"/>
          <w:sz w:val="21"/>
        </w:rPr>
        <w:t>承包人应根据本合同的约定授予工程总承包项目经理代表承包人履行合同所需的权利，工程总承包项目经理权限以专用合同条件中约定的权限为准。经承包人授权后，工程总承包项目经理应按合同约定以及工程师按第</w:t>
      </w:r>
      <w:r>
        <w:rPr>
          <w:rFonts w:ascii="仿宋_GB2312" w:eastAsia="仿宋_GB2312"/>
          <w:sz w:val="21"/>
        </w:rPr>
        <w:t>3.5</w:t>
      </w:r>
      <w:r>
        <w:rPr>
          <w:rFonts w:hint="eastAsia" w:ascii="仿宋_GB2312" w:eastAsia="仿宋_GB2312"/>
          <w:sz w:val="21"/>
        </w:rPr>
        <w:t>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p>
    <w:p w14:paraId="67ADE04A">
      <w:pPr>
        <w:pStyle w:val="40"/>
        <w:spacing w:after="157"/>
        <w:ind w:left="0"/>
        <w:rPr>
          <w:rFonts w:hint="eastAsia" w:ascii="仿宋_GB2312" w:eastAsia="仿宋_GB2312"/>
          <w:sz w:val="21"/>
        </w:rPr>
      </w:pPr>
      <w:bookmarkStart w:id="1029" w:name="_Hlk55056591"/>
      <w:bookmarkEnd w:id="1029"/>
      <w:bookmarkStart w:id="1030" w:name="_Ref4426412"/>
      <w:bookmarkEnd w:id="1030"/>
      <w:r>
        <w:rPr>
          <w:rFonts w:hint="eastAsia" w:ascii="仿宋_GB2312" w:eastAsia="仿宋_GB2312"/>
          <w:sz w:val="21"/>
        </w:rPr>
        <w:t>4</w:t>
      </w:r>
      <w:r>
        <w:rPr>
          <w:rFonts w:ascii="仿宋_GB2312" w:eastAsia="仿宋_GB2312"/>
          <w:sz w:val="21"/>
        </w:rPr>
        <w:t xml:space="preserve">.3.4 </w:t>
      </w:r>
      <w:r>
        <w:rPr>
          <w:rFonts w:hint="eastAsia" w:ascii="仿宋_GB2312" w:eastAsia="仿宋_GB2312"/>
          <w:sz w:val="21"/>
        </w:rPr>
        <w:t>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应按照专用合同条件的约定承担违约责任。</w:t>
      </w:r>
    </w:p>
    <w:p w14:paraId="4322109E">
      <w:pPr>
        <w:pStyle w:val="40"/>
        <w:spacing w:after="157"/>
        <w:ind w:left="0"/>
        <w:rPr>
          <w:rFonts w:hint="eastAsia" w:ascii="仿宋_GB2312" w:eastAsia="仿宋_GB2312"/>
          <w:sz w:val="21"/>
        </w:rPr>
      </w:pPr>
      <w:bookmarkStart w:id="1031" w:name="_Ref531952137"/>
      <w:bookmarkEnd w:id="1031"/>
      <w:r>
        <w:rPr>
          <w:rFonts w:hint="eastAsia" w:ascii="仿宋_GB2312" w:eastAsia="仿宋_GB2312"/>
          <w:sz w:val="21"/>
        </w:rPr>
        <w:t>4</w:t>
      </w:r>
      <w:r>
        <w:rPr>
          <w:rFonts w:ascii="仿宋_GB2312" w:eastAsia="仿宋_GB2312"/>
          <w:sz w:val="21"/>
        </w:rPr>
        <w:t xml:space="preserve">.3.5 </w:t>
      </w:r>
      <w:r>
        <w:rPr>
          <w:rFonts w:hint="eastAsia" w:ascii="仿宋_GB2312" w:eastAsia="仿宋_GB2312"/>
          <w:sz w:val="21"/>
        </w:rPr>
        <w:t>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w:t>
      </w:r>
      <w:r>
        <w:rPr>
          <w:rFonts w:ascii="仿宋_GB2312" w:eastAsia="仿宋_GB2312"/>
          <w:sz w:val="21"/>
        </w:rPr>
        <w:t>28天内更换项目经理。</w:t>
      </w:r>
      <w:r>
        <w:rPr>
          <w:rFonts w:hint="eastAsia" w:ascii="仿宋_GB2312" w:eastAsia="仿宋_GB2312"/>
          <w:sz w:val="21"/>
        </w:rPr>
        <w:t>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p>
    <w:p w14:paraId="08998858">
      <w:pPr>
        <w:pStyle w:val="40"/>
        <w:spacing w:after="157"/>
        <w:ind w:left="0"/>
        <w:rPr>
          <w:rFonts w:hint="eastAsia" w:ascii="仿宋_GB2312" w:eastAsia="仿宋_GB2312"/>
          <w:sz w:val="21"/>
        </w:rPr>
      </w:pPr>
      <w:bookmarkStart w:id="1032" w:name="_Ref122620"/>
      <w:bookmarkEnd w:id="1032"/>
      <w:r>
        <w:rPr>
          <w:rFonts w:hint="eastAsia" w:ascii="仿宋_GB2312" w:eastAsia="仿宋_GB2312"/>
          <w:sz w:val="21"/>
        </w:rPr>
        <w:t>4</w:t>
      </w:r>
      <w:r>
        <w:rPr>
          <w:rFonts w:ascii="仿宋_GB2312" w:eastAsia="仿宋_GB2312"/>
          <w:sz w:val="21"/>
        </w:rPr>
        <w:t xml:space="preserve">.3.6 </w:t>
      </w:r>
      <w:r>
        <w:rPr>
          <w:rFonts w:hint="eastAsia" w:ascii="仿宋_GB2312" w:eastAsia="仿宋_GB2312"/>
          <w:sz w:val="21"/>
        </w:rPr>
        <w:t>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p>
    <w:p w14:paraId="5FC39E53">
      <w:pPr>
        <w:pStyle w:val="39"/>
        <w:widowControl/>
        <w:spacing w:afterLines="0"/>
        <w:ind w:left="0"/>
        <w:outlineLvl w:val="3"/>
        <w:rPr>
          <w:rFonts w:hint="eastAsia"/>
          <w:b w:val="0"/>
          <w:bCs/>
          <w:sz w:val="21"/>
          <w:szCs w:val="21"/>
        </w:rPr>
      </w:pPr>
      <w:bookmarkStart w:id="1033" w:name="_Toc8326"/>
      <w:bookmarkEnd w:id="1033"/>
      <w:bookmarkStart w:id="1034" w:name="_Ref531952172"/>
      <w:bookmarkEnd w:id="1034"/>
      <w:bookmarkStart w:id="1035" w:name="_Toc16742"/>
      <w:bookmarkEnd w:id="1035"/>
      <w:bookmarkStart w:id="1036" w:name="_Toc54862215"/>
      <w:bookmarkEnd w:id="1036"/>
      <w:bookmarkStart w:id="1037" w:name="_Ref531952175"/>
      <w:bookmarkEnd w:id="1037"/>
      <w:r>
        <w:rPr>
          <w:rFonts w:hint="eastAsia"/>
          <w:b w:val="0"/>
          <w:bCs/>
          <w:sz w:val="21"/>
          <w:szCs w:val="21"/>
        </w:rPr>
        <w:t>4.4 承包人人员</w:t>
      </w:r>
    </w:p>
    <w:p w14:paraId="3D01C2BC">
      <w:pPr>
        <w:pStyle w:val="40"/>
        <w:spacing w:after="157"/>
        <w:ind w:left="0"/>
        <w:outlineLvl w:val="4"/>
        <w:rPr>
          <w:rFonts w:hint="eastAsia" w:ascii="仿宋_GB2312" w:eastAsia="仿宋_GB2312"/>
          <w:sz w:val="21"/>
        </w:rPr>
      </w:pPr>
      <w:bookmarkStart w:id="1038" w:name="_Ref531952185"/>
      <w:bookmarkEnd w:id="1038"/>
      <w:r>
        <w:rPr>
          <w:rFonts w:hint="eastAsia" w:ascii="仿宋_GB2312" w:eastAsia="仿宋_GB2312"/>
          <w:sz w:val="21"/>
        </w:rPr>
        <w:t>4</w:t>
      </w:r>
      <w:r>
        <w:rPr>
          <w:rFonts w:ascii="仿宋_GB2312" w:eastAsia="仿宋_GB2312"/>
          <w:sz w:val="21"/>
        </w:rPr>
        <w:t xml:space="preserve">.4.1 </w:t>
      </w:r>
      <w:r>
        <w:rPr>
          <w:rFonts w:hint="eastAsia" w:ascii="仿宋_GB2312" w:eastAsia="仿宋_GB2312"/>
          <w:sz w:val="21"/>
        </w:rPr>
        <w:t>人员安排</w:t>
      </w:r>
    </w:p>
    <w:p w14:paraId="011CCDDF">
      <w:pPr>
        <w:spacing w:line="360" w:lineRule="auto"/>
        <w:ind w:firstLine="600"/>
        <w:rPr>
          <w:rFonts w:ascii="仿宋_GB2312" w:eastAsia="仿宋_GB2312"/>
        </w:rPr>
      </w:pPr>
      <w:r>
        <w:rPr>
          <w:rFonts w:hint="eastAsia" w:ascii="仿宋_GB2312" w:eastAsia="仿宋_GB2312"/>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7F496C44">
      <w:pPr>
        <w:spacing w:line="360" w:lineRule="auto"/>
        <w:ind w:firstLine="600"/>
        <w:rPr>
          <w:rFonts w:ascii="仿宋_GB2312" w:eastAsia="仿宋_GB2312"/>
        </w:rPr>
      </w:pPr>
      <w:r>
        <w:rPr>
          <w:rFonts w:hint="eastAsia" w:ascii="仿宋_GB2312" w:eastAsia="仿宋_GB2312"/>
        </w:rPr>
        <w:t>关键人员是发包人及承包人一致认为对工程建设起重要作用的承包人主要管理人员或技术人员。关键人员的具体范围由发包人及承包人在附件</w:t>
      </w:r>
      <w:r>
        <w:rPr>
          <w:rFonts w:ascii="仿宋_GB2312" w:eastAsia="仿宋_GB2312"/>
        </w:rPr>
        <w:t>5[承包人主要管理人员表]</w:t>
      </w:r>
      <w:r>
        <w:rPr>
          <w:rFonts w:hint="eastAsia" w:ascii="仿宋_GB2312" w:eastAsia="仿宋_GB2312"/>
        </w:rPr>
        <w:t>中另行约定。</w:t>
      </w:r>
    </w:p>
    <w:p w14:paraId="233AB103">
      <w:pPr>
        <w:pStyle w:val="40"/>
        <w:spacing w:after="157"/>
        <w:ind w:left="0"/>
        <w:outlineLvl w:val="4"/>
        <w:rPr>
          <w:rFonts w:hint="eastAsia" w:ascii="仿宋_GB2312" w:eastAsia="仿宋_GB2312"/>
          <w:sz w:val="21"/>
        </w:rPr>
      </w:pPr>
      <w:bookmarkStart w:id="1039" w:name="_Ref531952211"/>
      <w:bookmarkEnd w:id="1039"/>
      <w:bookmarkStart w:id="1040" w:name="_Ref4426641"/>
      <w:bookmarkEnd w:id="1040"/>
      <w:r>
        <w:rPr>
          <w:rFonts w:hint="eastAsia" w:ascii="仿宋_GB2312" w:eastAsia="仿宋_GB2312"/>
          <w:sz w:val="21"/>
        </w:rPr>
        <w:t>4</w:t>
      </w:r>
      <w:r>
        <w:rPr>
          <w:rFonts w:ascii="仿宋_GB2312" w:eastAsia="仿宋_GB2312"/>
          <w:sz w:val="21"/>
        </w:rPr>
        <w:t xml:space="preserve">.4.2 </w:t>
      </w:r>
      <w:r>
        <w:rPr>
          <w:rFonts w:hint="eastAsia" w:ascii="仿宋_GB2312" w:eastAsia="仿宋_GB2312"/>
          <w:sz w:val="21"/>
        </w:rPr>
        <w:t>关键人员更换</w:t>
      </w:r>
    </w:p>
    <w:p w14:paraId="685767D2">
      <w:pPr>
        <w:spacing w:line="360" w:lineRule="auto"/>
        <w:ind w:firstLine="600"/>
        <w:rPr>
          <w:rFonts w:ascii="仿宋_GB2312" w:eastAsia="仿宋_GB2312"/>
        </w:rPr>
      </w:pPr>
      <w:r>
        <w:rPr>
          <w:rFonts w:hint="eastAsia" w:ascii="仿宋_GB2312" w:eastAsia="仿宋_GB2312"/>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14:paraId="52C2A54C">
      <w:pPr>
        <w:spacing w:line="360" w:lineRule="auto"/>
        <w:ind w:firstLine="600"/>
        <w:rPr>
          <w:rFonts w:ascii="仿宋_GB2312" w:eastAsia="仿宋_GB2312"/>
        </w:rPr>
      </w:pPr>
      <w:r>
        <w:rPr>
          <w:rFonts w:hint="eastAsia" w:ascii="仿宋_GB2312" w:eastAsia="仿宋_GB2312"/>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06E609D0">
      <w:pPr>
        <w:pStyle w:val="40"/>
        <w:spacing w:after="157"/>
        <w:ind w:left="0"/>
        <w:outlineLvl w:val="4"/>
        <w:rPr>
          <w:rFonts w:hint="eastAsia" w:ascii="仿宋_GB2312" w:eastAsia="仿宋_GB2312"/>
          <w:sz w:val="21"/>
        </w:rPr>
      </w:pPr>
      <w:bookmarkStart w:id="1041" w:name="_Ref531952227"/>
      <w:bookmarkEnd w:id="1041"/>
      <w:r>
        <w:rPr>
          <w:rFonts w:hint="eastAsia" w:ascii="仿宋_GB2312" w:eastAsia="仿宋_GB2312"/>
          <w:sz w:val="21"/>
        </w:rPr>
        <w:t>4</w:t>
      </w:r>
      <w:r>
        <w:rPr>
          <w:rFonts w:ascii="仿宋_GB2312" w:eastAsia="仿宋_GB2312"/>
          <w:sz w:val="21"/>
        </w:rPr>
        <w:t xml:space="preserve">.4.3 </w:t>
      </w:r>
      <w:r>
        <w:rPr>
          <w:rFonts w:hint="eastAsia" w:ascii="仿宋_GB2312" w:eastAsia="仿宋_GB2312"/>
          <w:sz w:val="21"/>
        </w:rPr>
        <w:t>现场管理关键人员在岗要求</w:t>
      </w:r>
    </w:p>
    <w:p w14:paraId="55CE2F37">
      <w:pPr>
        <w:spacing w:line="360" w:lineRule="auto"/>
        <w:ind w:firstLine="600"/>
        <w:rPr>
          <w:rFonts w:ascii="仿宋_GB2312" w:eastAsia="仿宋_GB2312"/>
        </w:rPr>
      </w:pPr>
      <w:r>
        <w:rPr>
          <w:rFonts w:hint="eastAsia" w:ascii="仿宋_GB2312" w:eastAsia="仿宋_GB2312"/>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18E50C81">
      <w:pPr>
        <w:pStyle w:val="39"/>
        <w:widowControl/>
        <w:spacing w:afterLines="0"/>
        <w:ind w:left="0"/>
        <w:outlineLvl w:val="3"/>
        <w:rPr>
          <w:rFonts w:hint="eastAsia"/>
          <w:b w:val="0"/>
          <w:bCs/>
          <w:sz w:val="21"/>
          <w:szCs w:val="21"/>
        </w:rPr>
      </w:pPr>
      <w:bookmarkStart w:id="1042" w:name="_Toc23357"/>
      <w:bookmarkEnd w:id="1042"/>
      <w:bookmarkStart w:id="1043" w:name="_Ref531952259"/>
      <w:bookmarkEnd w:id="1043"/>
      <w:bookmarkStart w:id="1044" w:name="_Toc21726"/>
      <w:bookmarkEnd w:id="1044"/>
      <w:bookmarkStart w:id="1045" w:name="_Toc54862216"/>
      <w:bookmarkEnd w:id="1045"/>
      <w:bookmarkStart w:id="1046" w:name="_Ref531952262"/>
      <w:bookmarkEnd w:id="1046"/>
      <w:r>
        <w:rPr>
          <w:rFonts w:hint="eastAsia"/>
          <w:b w:val="0"/>
          <w:bCs/>
          <w:sz w:val="21"/>
          <w:szCs w:val="21"/>
        </w:rPr>
        <w:t>4.5 分包</w:t>
      </w:r>
    </w:p>
    <w:p w14:paraId="563B91A9">
      <w:pPr>
        <w:pStyle w:val="40"/>
        <w:spacing w:after="157"/>
        <w:ind w:left="0"/>
        <w:outlineLvl w:val="4"/>
        <w:rPr>
          <w:rFonts w:hint="eastAsia" w:ascii="仿宋_GB2312" w:eastAsia="仿宋_GB2312"/>
          <w:sz w:val="21"/>
        </w:rPr>
      </w:pPr>
      <w:bookmarkStart w:id="1047" w:name="_Ref531952273"/>
      <w:bookmarkEnd w:id="1047"/>
      <w:r>
        <w:rPr>
          <w:rFonts w:hint="eastAsia" w:ascii="仿宋_GB2312" w:eastAsia="仿宋_GB2312"/>
          <w:sz w:val="21"/>
        </w:rPr>
        <w:t>4</w:t>
      </w:r>
      <w:r>
        <w:rPr>
          <w:rFonts w:ascii="仿宋_GB2312" w:eastAsia="仿宋_GB2312"/>
          <w:sz w:val="21"/>
        </w:rPr>
        <w:t xml:space="preserve">.5.1 </w:t>
      </w:r>
      <w:r>
        <w:rPr>
          <w:rFonts w:hint="eastAsia" w:ascii="仿宋_GB2312" w:eastAsia="仿宋_GB2312"/>
          <w:sz w:val="21"/>
        </w:rPr>
        <w:t>一般约定</w:t>
      </w:r>
    </w:p>
    <w:p w14:paraId="1CC433DF">
      <w:pPr>
        <w:spacing w:line="360" w:lineRule="auto"/>
        <w:ind w:firstLine="600"/>
        <w:rPr>
          <w:rFonts w:ascii="仿宋_GB2312" w:eastAsia="仿宋_GB2312"/>
        </w:rPr>
      </w:pPr>
      <w:r>
        <w:rPr>
          <w:rFonts w:hint="eastAsia" w:ascii="仿宋_GB2312" w:eastAsia="仿宋_GB2312"/>
        </w:rPr>
        <w:t>承包人不得将其承包的全部工程转包给第三人，或将其承包的全部工程</w:t>
      </w:r>
      <w:r>
        <w:rPr>
          <w:rFonts w:hint="eastAsia" w:ascii="仿宋_GB2312" w:eastAsia="仿宋_GB2312"/>
          <w:lang w:eastAsia="zh-CN"/>
        </w:rPr>
        <w:t>肢解</w:t>
      </w:r>
      <w:r>
        <w:rPr>
          <w:rFonts w:hint="eastAsia" w:ascii="仿宋_GB2312" w:eastAsia="仿宋_GB2312"/>
        </w:rPr>
        <w:t>后以分包的名义转包给第三人。承包人不得将法律或专用合同条件中禁止分包的工作事项分包给第三人，不得以劳务分包的名义转包或违法分包工程。</w:t>
      </w:r>
    </w:p>
    <w:p w14:paraId="519C92F6">
      <w:pPr>
        <w:pStyle w:val="40"/>
        <w:spacing w:after="157"/>
        <w:ind w:left="0"/>
        <w:outlineLvl w:val="4"/>
        <w:rPr>
          <w:rFonts w:hint="eastAsia" w:ascii="仿宋_GB2312" w:eastAsia="仿宋_GB2312"/>
          <w:sz w:val="21"/>
        </w:rPr>
      </w:pPr>
      <w:bookmarkStart w:id="1048" w:name="_Ref531952286"/>
      <w:bookmarkEnd w:id="1048"/>
      <w:r>
        <w:rPr>
          <w:rFonts w:hint="eastAsia" w:ascii="仿宋_GB2312" w:eastAsia="仿宋_GB2312"/>
          <w:sz w:val="21"/>
        </w:rPr>
        <w:t>4</w:t>
      </w:r>
      <w:r>
        <w:rPr>
          <w:rFonts w:ascii="仿宋_GB2312" w:eastAsia="仿宋_GB2312"/>
          <w:sz w:val="21"/>
        </w:rPr>
        <w:t xml:space="preserve">.5.2 </w:t>
      </w:r>
      <w:r>
        <w:rPr>
          <w:rFonts w:hint="eastAsia" w:ascii="仿宋_GB2312" w:eastAsia="仿宋_GB2312"/>
          <w:sz w:val="21"/>
        </w:rPr>
        <w:t>分包的确定</w:t>
      </w:r>
    </w:p>
    <w:p w14:paraId="22DC3A73">
      <w:pPr>
        <w:spacing w:line="360" w:lineRule="auto"/>
        <w:ind w:firstLine="600"/>
        <w:rPr>
          <w:rFonts w:ascii="仿宋_GB2312" w:eastAsia="仿宋_GB2312"/>
        </w:rPr>
      </w:pPr>
      <w:r>
        <w:rPr>
          <w:rFonts w:hint="eastAsia" w:ascii="仿宋_GB2312" w:eastAsia="仿宋_GB2312"/>
        </w:rPr>
        <w:t>承包人应按照专用合同条件约定对工作事项进行分包，确定分包人。</w:t>
      </w:r>
    </w:p>
    <w:p w14:paraId="5F7F0CEB">
      <w:pPr>
        <w:spacing w:line="360" w:lineRule="auto"/>
        <w:ind w:firstLine="600"/>
        <w:rPr>
          <w:rFonts w:ascii="仿宋_GB2312" w:eastAsia="仿宋_GB2312"/>
        </w:rPr>
      </w:pPr>
      <w:r>
        <w:rPr>
          <w:rFonts w:hint="eastAsia" w:ascii="仿宋_GB2312" w:eastAsia="仿宋_GB2312"/>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3344B10E">
      <w:pPr>
        <w:pStyle w:val="40"/>
        <w:spacing w:after="157"/>
        <w:ind w:left="0"/>
        <w:outlineLvl w:val="4"/>
        <w:rPr>
          <w:rFonts w:hint="eastAsia" w:ascii="仿宋_GB2312" w:eastAsia="仿宋_GB2312"/>
          <w:sz w:val="21"/>
        </w:rPr>
      </w:pPr>
      <w:r>
        <w:rPr>
          <w:rFonts w:hint="eastAsia" w:ascii="仿宋_GB2312" w:eastAsia="仿宋_GB2312"/>
          <w:sz w:val="21"/>
        </w:rPr>
        <w:t>4</w:t>
      </w:r>
      <w:r>
        <w:rPr>
          <w:rFonts w:ascii="仿宋_GB2312" w:eastAsia="仿宋_GB2312"/>
          <w:sz w:val="21"/>
        </w:rPr>
        <w:t xml:space="preserve">.5.3 </w:t>
      </w:r>
      <w:r>
        <w:rPr>
          <w:rFonts w:hint="eastAsia" w:ascii="仿宋_GB2312" w:eastAsia="仿宋_GB2312"/>
          <w:sz w:val="21"/>
        </w:rPr>
        <w:t>分包人资质</w:t>
      </w:r>
    </w:p>
    <w:p w14:paraId="37746AA2">
      <w:pPr>
        <w:spacing w:line="360" w:lineRule="auto"/>
        <w:ind w:firstLine="600"/>
        <w:rPr>
          <w:rFonts w:ascii="仿宋_GB2312" w:eastAsia="仿宋_GB2312"/>
        </w:rPr>
      </w:pPr>
      <w:r>
        <w:rPr>
          <w:rFonts w:hint="eastAsia" w:ascii="仿宋_GB2312" w:eastAsia="仿宋_GB2312"/>
        </w:rPr>
        <w:t>分包人应符合国家法律规定的资质等级，否则不能作为分包人。承包人有义务对分包人的资质进行审查。</w:t>
      </w:r>
    </w:p>
    <w:p w14:paraId="724973F2">
      <w:pPr>
        <w:pStyle w:val="40"/>
        <w:spacing w:after="157"/>
        <w:ind w:left="0"/>
        <w:outlineLvl w:val="4"/>
        <w:rPr>
          <w:rFonts w:hint="eastAsia" w:ascii="仿宋_GB2312" w:eastAsia="仿宋_GB2312"/>
          <w:sz w:val="21"/>
        </w:rPr>
      </w:pPr>
      <w:r>
        <w:rPr>
          <w:rFonts w:hint="eastAsia" w:ascii="仿宋_GB2312" w:eastAsia="仿宋_GB2312"/>
          <w:sz w:val="21"/>
        </w:rPr>
        <w:t>4</w:t>
      </w:r>
      <w:r>
        <w:rPr>
          <w:rFonts w:ascii="仿宋_GB2312" w:eastAsia="仿宋_GB2312"/>
          <w:sz w:val="21"/>
        </w:rPr>
        <w:t xml:space="preserve">.5.4 </w:t>
      </w:r>
      <w:r>
        <w:rPr>
          <w:rFonts w:hint="eastAsia" w:ascii="仿宋_GB2312" w:eastAsia="仿宋_GB2312"/>
          <w:sz w:val="21"/>
        </w:rPr>
        <w:t>分包管理</w:t>
      </w:r>
    </w:p>
    <w:p w14:paraId="6D9F8573">
      <w:pPr>
        <w:spacing w:line="360" w:lineRule="auto"/>
        <w:ind w:firstLine="600"/>
        <w:rPr>
          <w:rFonts w:ascii="仿宋_GB2312" w:eastAsia="仿宋_GB2312"/>
        </w:rPr>
      </w:pPr>
      <w:r>
        <w:rPr>
          <w:rFonts w:hint="eastAsia" w:ascii="仿宋_GB2312" w:eastAsia="仿宋_GB2312"/>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79037CD9">
      <w:pPr>
        <w:pStyle w:val="40"/>
        <w:spacing w:after="157"/>
        <w:ind w:left="0"/>
        <w:outlineLvl w:val="4"/>
        <w:rPr>
          <w:rFonts w:hint="eastAsia" w:ascii="仿宋_GB2312" w:eastAsia="仿宋_GB2312"/>
          <w:sz w:val="21"/>
        </w:rPr>
      </w:pPr>
      <w:bookmarkStart w:id="1049" w:name="_Ref531952298"/>
      <w:bookmarkEnd w:id="1049"/>
      <w:r>
        <w:rPr>
          <w:rFonts w:hint="eastAsia" w:ascii="仿宋_GB2312" w:eastAsia="仿宋_GB2312"/>
          <w:sz w:val="21"/>
        </w:rPr>
        <w:t>4</w:t>
      </w:r>
      <w:r>
        <w:rPr>
          <w:rFonts w:ascii="仿宋_GB2312" w:eastAsia="仿宋_GB2312"/>
          <w:sz w:val="21"/>
        </w:rPr>
        <w:t xml:space="preserve">.5.5 </w:t>
      </w:r>
      <w:r>
        <w:rPr>
          <w:rFonts w:hint="eastAsia" w:ascii="仿宋_GB2312" w:eastAsia="仿宋_GB2312"/>
          <w:sz w:val="21"/>
        </w:rPr>
        <w:t>分包合同价款支付</w:t>
      </w:r>
    </w:p>
    <w:p w14:paraId="259BC31C">
      <w:pPr>
        <w:spacing w:line="360" w:lineRule="auto"/>
        <w:ind w:firstLine="600"/>
        <w:rPr>
          <w:rFonts w:ascii="仿宋_GB2312" w:eastAsia="仿宋_GB2312"/>
        </w:rPr>
      </w:pPr>
      <w:r>
        <w:rPr>
          <w:rFonts w:hint="eastAsia" w:ascii="仿宋_GB2312" w:eastAsia="仿宋_GB2312"/>
        </w:rPr>
        <w:t>（1） 除本项第（2）目约定的情况或专用合同条件另有约定外，分包合同价款由承包人与分包人结算，未经承包人同意，发包人不得向分包人支付分包合同价款；</w:t>
      </w:r>
    </w:p>
    <w:p w14:paraId="1B73127E">
      <w:pPr>
        <w:spacing w:line="360" w:lineRule="auto"/>
        <w:ind w:firstLine="600"/>
        <w:rPr>
          <w:rFonts w:ascii="仿宋_GB2312" w:eastAsia="仿宋_GB2312"/>
        </w:rPr>
      </w:pPr>
      <w:bookmarkStart w:id="1050" w:name="_Ref4613798"/>
      <w:bookmarkEnd w:id="1050"/>
      <w:r>
        <w:rPr>
          <w:rFonts w:hint="eastAsia" w:ascii="仿宋_GB2312" w:eastAsia="仿宋_GB2312"/>
        </w:rPr>
        <w:t>（2） 生效法律文书要求发包人向分包人支付分包合同价款的，发包人有权从应付承包人工程款中扣除该部分款项，将扣款直接支付给分包人，并书面通知承包人。</w:t>
      </w:r>
    </w:p>
    <w:p w14:paraId="00E9D9BB">
      <w:pPr>
        <w:pStyle w:val="40"/>
        <w:spacing w:after="157"/>
        <w:ind w:left="0"/>
        <w:outlineLvl w:val="4"/>
        <w:rPr>
          <w:rFonts w:hint="eastAsia" w:ascii="仿宋_GB2312" w:eastAsia="仿宋_GB2312"/>
          <w:sz w:val="21"/>
        </w:rPr>
      </w:pPr>
      <w:r>
        <w:rPr>
          <w:rFonts w:hint="eastAsia" w:ascii="仿宋_GB2312" w:eastAsia="仿宋_GB2312"/>
          <w:sz w:val="21"/>
        </w:rPr>
        <w:t>4</w:t>
      </w:r>
      <w:r>
        <w:rPr>
          <w:rFonts w:ascii="仿宋_GB2312" w:eastAsia="仿宋_GB2312"/>
          <w:sz w:val="21"/>
        </w:rPr>
        <w:t xml:space="preserve">.5.6 </w:t>
      </w:r>
      <w:r>
        <w:rPr>
          <w:rFonts w:hint="eastAsia" w:ascii="仿宋_GB2312" w:eastAsia="仿宋_GB2312"/>
          <w:sz w:val="21"/>
        </w:rPr>
        <w:t>责任承担</w:t>
      </w:r>
    </w:p>
    <w:p w14:paraId="3FE05A58">
      <w:pPr>
        <w:spacing w:line="360" w:lineRule="auto"/>
        <w:ind w:firstLine="600"/>
        <w:rPr>
          <w:rFonts w:ascii="仿宋_GB2312" w:eastAsia="仿宋_GB2312"/>
        </w:rPr>
      </w:pPr>
      <w:r>
        <w:rPr>
          <w:rFonts w:hint="eastAsia" w:ascii="仿宋_GB2312" w:eastAsia="仿宋_GB2312"/>
        </w:rPr>
        <w:t>承包人对分包人的行为向发包人负责，承包人和分包人就分包工作向发包人承担连带责任。</w:t>
      </w:r>
    </w:p>
    <w:p w14:paraId="37492C17">
      <w:pPr>
        <w:pStyle w:val="39"/>
        <w:widowControl/>
        <w:spacing w:afterLines="0"/>
        <w:ind w:left="0"/>
        <w:outlineLvl w:val="3"/>
        <w:rPr>
          <w:rFonts w:hint="eastAsia"/>
          <w:b w:val="0"/>
          <w:bCs/>
          <w:sz w:val="21"/>
          <w:szCs w:val="21"/>
        </w:rPr>
      </w:pPr>
      <w:bookmarkStart w:id="1051" w:name="_Toc28749"/>
      <w:bookmarkEnd w:id="1051"/>
      <w:bookmarkStart w:id="1052" w:name="_Toc19808"/>
      <w:bookmarkEnd w:id="1052"/>
      <w:bookmarkStart w:id="1053" w:name="_Toc54862217"/>
      <w:bookmarkEnd w:id="1053"/>
      <w:bookmarkStart w:id="1054" w:name="_Ref4426916"/>
      <w:bookmarkEnd w:id="1054"/>
      <w:bookmarkStart w:id="1055" w:name="_Ref531952317"/>
      <w:bookmarkStart w:id="1056" w:name="_Ref4768805"/>
      <w:bookmarkStart w:id="1057" w:name="_Ref531952321"/>
      <w:r>
        <w:rPr>
          <w:rFonts w:hint="eastAsia"/>
          <w:b w:val="0"/>
          <w:bCs/>
          <w:sz w:val="21"/>
          <w:szCs w:val="21"/>
        </w:rPr>
        <w:t>4.6 联合体</w:t>
      </w:r>
    </w:p>
    <w:p w14:paraId="21AF6E74">
      <w:pPr>
        <w:pStyle w:val="40"/>
        <w:spacing w:after="157"/>
        <w:ind w:left="0"/>
        <w:rPr>
          <w:rFonts w:hint="eastAsia" w:ascii="仿宋_GB2312" w:eastAsia="仿宋_GB2312"/>
          <w:sz w:val="21"/>
        </w:rPr>
      </w:pPr>
      <w:bookmarkStart w:id="1058" w:name="_Hlk16235129"/>
      <w:bookmarkEnd w:id="1058"/>
      <w:r>
        <w:rPr>
          <w:rFonts w:hint="eastAsia" w:ascii="仿宋_GB2312" w:eastAsia="仿宋_GB2312"/>
          <w:sz w:val="21"/>
        </w:rPr>
        <w:t>4</w:t>
      </w:r>
      <w:r>
        <w:rPr>
          <w:rFonts w:ascii="仿宋_GB2312" w:eastAsia="仿宋_GB2312"/>
          <w:sz w:val="21"/>
        </w:rPr>
        <w:t xml:space="preserve">.6.1 </w:t>
      </w:r>
      <w:r>
        <w:rPr>
          <w:rFonts w:hint="eastAsia" w:ascii="仿宋_GB2312" w:eastAsia="仿宋_GB2312"/>
          <w:sz w:val="21"/>
        </w:rPr>
        <w:t>经发包人同意，以联合体方式承包工程的，联合体各方应共同与发包人订立合同协议书。联合体各方应为履行合同向发包人承担连带责任。</w:t>
      </w:r>
    </w:p>
    <w:p w14:paraId="0C4B747C">
      <w:pPr>
        <w:pStyle w:val="40"/>
        <w:spacing w:after="157"/>
        <w:ind w:left="0"/>
        <w:rPr>
          <w:rFonts w:hint="eastAsia" w:ascii="仿宋_GB2312" w:eastAsia="仿宋_GB2312"/>
          <w:sz w:val="21"/>
        </w:rPr>
      </w:pPr>
      <w:r>
        <w:rPr>
          <w:rFonts w:hint="eastAsia" w:ascii="仿宋_GB2312" w:eastAsia="仿宋_GB2312"/>
          <w:sz w:val="21"/>
        </w:rPr>
        <w:t>4</w:t>
      </w:r>
      <w:r>
        <w:rPr>
          <w:rFonts w:ascii="仿宋_GB2312" w:eastAsia="仿宋_GB2312"/>
          <w:sz w:val="21"/>
        </w:rPr>
        <w:t xml:space="preserve">.6.2 </w:t>
      </w:r>
      <w:r>
        <w:rPr>
          <w:rFonts w:hint="eastAsia" w:ascii="仿宋_GB2312" w:eastAsia="仿宋_GB2312"/>
          <w:sz w:val="21"/>
        </w:rPr>
        <w:t>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01DB7334">
      <w:pPr>
        <w:pStyle w:val="40"/>
        <w:spacing w:after="157"/>
        <w:ind w:left="0"/>
        <w:rPr>
          <w:rFonts w:hint="eastAsia" w:ascii="仿宋_GB2312" w:eastAsia="仿宋_GB2312"/>
          <w:sz w:val="21"/>
        </w:rPr>
      </w:pPr>
      <w:r>
        <w:rPr>
          <w:rFonts w:hint="eastAsia" w:ascii="仿宋_GB2312" w:eastAsia="仿宋_GB2312"/>
          <w:sz w:val="21"/>
        </w:rPr>
        <w:t>4</w:t>
      </w:r>
      <w:r>
        <w:rPr>
          <w:rFonts w:ascii="仿宋_GB2312" w:eastAsia="仿宋_GB2312"/>
          <w:sz w:val="21"/>
        </w:rPr>
        <w:t xml:space="preserve">.6.3 </w:t>
      </w:r>
      <w:r>
        <w:rPr>
          <w:rFonts w:hint="eastAsia" w:ascii="仿宋_GB2312" w:eastAsia="仿宋_GB2312"/>
          <w:sz w:val="21"/>
        </w:rPr>
        <w:t>联合体协议经发包人确认后作为合同附件。在履行合同过程中，未经发包人同意，不得变更联合体成员和其负责的工作范围，或者修改联合体协议中与本合同履行相关的内容。</w:t>
      </w:r>
    </w:p>
    <w:p w14:paraId="0D53AA4C">
      <w:pPr>
        <w:pStyle w:val="39"/>
        <w:widowControl/>
        <w:spacing w:afterLines="0"/>
        <w:ind w:left="0"/>
        <w:outlineLvl w:val="3"/>
        <w:rPr>
          <w:rFonts w:hint="eastAsia"/>
          <w:b w:val="0"/>
          <w:bCs/>
          <w:sz w:val="21"/>
          <w:szCs w:val="21"/>
        </w:rPr>
      </w:pPr>
      <w:bookmarkStart w:id="1059" w:name="_Toc8276"/>
      <w:bookmarkEnd w:id="1059"/>
      <w:bookmarkStart w:id="1060" w:name="_Ref11926629"/>
      <w:bookmarkEnd w:id="1060"/>
      <w:bookmarkStart w:id="1061" w:name="_Ref11926631"/>
      <w:bookmarkEnd w:id="1061"/>
      <w:bookmarkStart w:id="1062" w:name="_Toc54862218"/>
      <w:bookmarkEnd w:id="1062"/>
      <w:bookmarkStart w:id="1063" w:name="_Toc23146"/>
      <w:bookmarkEnd w:id="1063"/>
      <w:r>
        <w:rPr>
          <w:rFonts w:hint="eastAsia"/>
          <w:b w:val="0"/>
          <w:bCs/>
          <w:sz w:val="21"/>
          <w:szCs w:val="21"/>
        </w:rPr>
        <w:t>4.7 承包人现场查勘</w:t>
      </w:r>
    </w:p>
    <w:p w14:paraId="75D88A88">
      <w:pPr>
        <w:pStyle w:val="40"/>
        <w:spacing w:after="157"/>
        <w:ind w:left="0"/>
        <w:rPr>
          <w:rFonts w:hint="eastAsia" w:ascii="仿宋_GB2312" w:eastAsia="仿宋_GB2312"/>
          <w:sz w:val="21"/>
        </w:rPr>
      </w:pPr>
      <w:r>
        <w:rPr>
          <w:rFonts w:hint="eastAsia" w:ascii="仿宋_GB2312" w:eastAsia="仿宋_GB2312"/>
          <w:sz w:val="21"/>
        </w:rPr>
        <w:t>4</w:t>
      </w:r>
      <w:r>
        <w:rPr>
          <w:rFonts w:ascii="仿宋_GB2312" w:eastAsia="仿宋_GB2312"/>
          <w:sz w:val="21"/>
        </w:rPr>
        <w:t xml:space="preserve">.7.1 </w:t>
      </w:r>
      <w:r>
        <w:rPr>
          <w:rFonts w:hint="eastAsia" w:ascii="仿宋_GB2312" w:eastAsia="仿宋_GB2312"/>
          <w:sz w:val="21"/>
        </w:rPr>
        <w:t>除专用合同条件另有约定外，承包人应对基于发包人提交的基础资料所做出的解释和推断负责，因基础资料存在错误、遗漏导致承包人解释或推断失实的，按照第</w:t>
      </w:r>
      <w:r>
        <w:rPr>
          <w:rFonts w:ascii="仿宋_GB2312" w:eastAsia="仿宋_GB2312"/>
          <w:sz w:val="21"/>
        </w:rPr>
        <w:t>2.3</w:t>
      </w:r>
      <w:r>
        <w:rPr>
          <w:rFonts w:hint="eastAsia" w:ascii="仿宋_GB2312" w:eastAsia="仿宋_GB2312"/>
          <w:sz w:val="21"/>
        </w:rPr>
        <w:t>项[</w:t>
      </w:r>
      <w:r>
        <w:rPr>
          <w:rFonts w:ascii="仿宋_GB2312" w:eastAsia="仿宋_GB2312"/>
          <w:sz w:val="21"/>
        </w:rPr>
        <w:t>提供基础资料</w:t>
      </w:r>
      <w:r>
        <w:rPr>
          <w:rFonts w:hint="eastAsia" w:ascii="仿宋_GB2312" w:eastAsia="仿宋_GB2312"/>
          <w:sz w:val="21"/>
        </w:rPr>
        <w:t>]的规定承担责任。承包人发现基础资料中存在明显错误或疏忽的，应及时书面通知发包人。</w:t>
      </w:r>
    </w:p>
    <w:p w14:paraId="2BD4D00E">
      <w:pPr>
        <w:pStyle w:val="40"/>
        <w:spacing w:after="157"/>
        <w:ind w:left="0"/>
        <w:rPr>
          <w:rFonts w:hint="eastAsia" w:ascii="仿宋_GB2312" w:eastAsia="仿宋_GB2312"/>
          <w:sz w:val="21"/>
        </w:rPr>
      </w:pPr>
      <w:r>
        <w:rPr>
          <w:rFonts w:hint="eastAsia" w:ascii="仿宋_GB2312" w:eastAsia="仿宋_GB2312"/>
          <w:sz w:val="21"/>
        </w:rPr>
        <w:t>4</w:t>
      </w:r>
      <w:r>
        <w:rPr>
          <w:rFonts w:ascii="仿宋_GB2312" w:eastAsia="仿宋_GB2312"/>
          <w:sz w:val="21"/>
        </w:rPr>
        <w:t xml:space="preserve">.7.2 </w:t>
      </w:r>
      <w:r>
        <w:rPr>
          <w:rFonts w:hint="eastAsia" w:ascii="仿宋_GB2312" w:eastAsia="仿宋_GB2312"/>
          <w:sz w:val="21"/>
        </w:rPr>
        <w:t>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w:t>
      </w:r>
      <w:r>
        <w:rPr>
          <w:rFonts w:ascii="仿宋_GB2312" w:eastAsia="仿宋_GB2312"/>
          <w:sz w:val="21"/>
        </w:rPr>
        <w:t>4.8</w:t>
      </w:r>
      <w:r>
        <w:rPr>
          <w:rFonts w:hint="eastAsia" w:ascii="仿宋_GB2312" w:eastAsia="仿宋_GB2312"/>
          <w:sz w:val="21"/>
        </w:rPr>
        <w:t>款</w:t>
      </w:r>
      <w:r>
        <w:rPr>
          <w:rFonts w:ascii="仿宋_GB2312" w:eastAsia="仿宋_GB2312"/>
          <w:sz w:val="21"/>
        </w:rPr>
        <w:t>[</w:t>
      </w:r>
      <w:r>
        <w:rPr>
          <w:rFonts w:hint="eastAsia" w:ascii="仿宋_GB2312" w:eastAsia="仿宋_GB2312"/>
          <w:sz w:val="21"/>
        </w:rPr>
        <w:t>不可预见的困难</w:t>
      </w:r>
      <w:r>
        <w:rPr>
          <w:rFonts w:ascii="仿宋_GB2312" w:eastAsia="仿宋_GB2312"/>
          <w:sz w:val="21"/>
        </w:rPr>
        <w:t>]约定的情形除外</w:t>
      </w:r>
      <w:r>
        <w:rPr>
          <w:rFonts w:hint="eastAsia" w:ascii="仿宋_GB2312" w:eastAsia="仿宋_GB2312"/>
          <w:sz w:val="21"/>
        </w:rPr>
        <w:t>。</w:t>
      </w:r>
    </w:p>
    <w:bookmarkEnd w:id="1055"/>
    <w:bookmarkEnd w:id="1056"/>
    <w:bookmarkEnd w:id="1057"/>
    <w:p w14:paraId="4CF3B89E">
      <w:pPr>
        <w:pStyle w:val="39"/>
        <w:widowControl/>
        <w:spacing w:afterLines="0"/>
        <w:ind w:left="0"/>
        <w:outlineLvl w:val="3"/>
        <w:rPr>
          <w:rFonts w:hint="eastAsia"/>
          <w:b w:val="0"/>
          <w:bCs/>
          <w:sz w:val="21"/>
          <w:szCs w:val="21"/>
        </w:rPr>
      </w:pPr>
      <w:bookmarkStart w:id="1064" w:name="_Toc15057"/>
      <w:bookmarkEnd w:id="1064"/>
      <w:bookmarkStart w:id="1065" w:name="_Toc27905"/>
      <w:bookmarkEnd w:id="1065"/>
      <w:bookmarkStart w:id="1066" w:name="_Ref11918626"/>
      <w:bookmarkEnd w:id="1066"/>
      <w:bookmarkStart w:id="1067" w:name="_Ref11918789"/>
      <w:bookmarkEnd w:id="1067"/>
      <w:bookmarkStart w:id="1068" w:name="_Ref11918693"/>
      <w:bookmarkEnd w:id="1068"/>
      <w:bookmarkStart w:id="1069" w:name="_Toc54862219"/>
      <w:bookmarkEnd w:id="1069"/>
      <w:bookmarkStart w:id="1070" w:name="不可预见的困难"/>
      <w:bookmarkEnd w:id="1070"/>
      <w:r>
        <w:rPr>
          <w:rFonts w:hint="eastAsia"/>
          <w:b w:val="0"/>
          <w:bCs/>
          <w:sz w:val="21"/>
          <w:szCs w:val="21"/>
        </w:rPr>
        <w:t>4.8 不可预见的困难</w:t>
      </w:r>
    </w:p>
    <w:p w14:paraId="4ED353C4">
      <w:pPr>
        <w:spacing w:line="360" w:lineRule="auto"/>
        <w:ind w:firstLine="600"/>
        <w:rPr>
          <w:rFonts w:ascii="仿宋_GB2312" w:eastAsia="仿宋_GB2312"/>
        </w:rPr>
      </w:pPr>
      <w:r>
        <w:rPr>
          <w:rFonts w:hint="eastAsia" w:ascii="仿宋_GB2312" w:eastAsia="仿宋_GB2312"/>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20C244C0">
      <w:pPr>
        <w:spacing w:line="360" w:lineRule="auto"/>
        <w:ind w:firstLine="600"/>
        <w:rPr>
          <w:rFonts w:ascii="仿宋_GB2312" w:eastAsia="仿宋_GB2312"/>
        </w:rPr>
      </w:pPr>
      <w:r>
        <w:rPr>
          <w:rFonts w:hint="eastAsia" w:ascii="仿宋_GB2312" w:eastAsia="仿宋_GB2312"/>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w:t>
      </w:r>
      <w:r>
        <w:rPr>
          <w:rFonts w:ascii="仿宋_GB2312" w:eastAsia="仿宋_GB2312"/>
        </w:rPr>
        <w:t>13条</w:t>
      </w:r>
      <w:r>
        <w:rPr>
          <w:rFonts w:hint="eastAsia" w:ascii="仿宋_GB2312" w:eastAsia="仿宋_GB2312"/>
        </w:rPr>
        <w:t>[变更与调整]约定执行。承包人因采取合理措施而增加的费用和（或）延误的工期由发包人承担。</w:t>
      </w:r>
    </w:p>
    <w:p w14:paraId="16D5C48A">
      <w:pPr>
        <w:pStyle w:val="39"/>
        <w:widowControl/>
        <w:spacing w:afterLines="0"/>
        <w:ind w:left="0"/>
        <w:outlineLvl w:val="3"/>
        <w:rPr>
          <w:rFonts w:hint="eastAsia"/>
          <w:b w:val="0"/>
          <w:bCs/>
          <w:sz w:val="21"/>
          <w:szCs w:val="21"/>
        </w:rPr>
      </w:pPr>
      <w:bookmarkStart w:id="1071" w:name="_Ref11926570"/>
      <w:bookmarkEnd w:id="1071"/>
      <w:bookmarkStart w:id="1072" w:name="_Toc17151"/>
      <w:bookmarkEnd w:id="1072"/>
      <w:bookmarkStart w:id="1073" w:name="_Toc28648"/>
      <w:bookmarkEnd w:id="1073"/>
      <w:bookmarkStart w:id="1074" w:name="_Toc54862220"/>
      <w:bookmarkEnd w:id="1074"/>
      <w:bookmarkStart w:id="1075" w:name="_Ref11926566"/>
      <w:bookmarkEnd w:id="1075"/>
      <w:r>
        <w:rPr>
          <w:rFonts w:hint="eastAsia"/>
          <w:b w:val="0"/>
          <w:bCs/>
          <w:sz w:val="21"/>
          <w:szCs w:val="21"/>
        </w:rPr>
        <w:t>4.9 工程质量管理</w:t>
      </w:r>
    </w:p>
    <w:p w14:paraId="21960B25">
      <w:pPr>
        <w:pStyle w:val="40"/>
        <w:spacing w:after="157"/>
        <w:ind w:left="0"/>
        <w:rPr>
          <w:rFonts w:hint="eastAsia" w:ascii="仿宋_GB2312" w:eastAsia="仿宋_GB2312"/>
          <w:sz w:val="21"/>
        </w:rPr>
      </w:pPr>
      <w:r>
        <w:rPr>
          <w:rFonts w:hint="eastAsia" w:ascii="仿宋_GB2312" w:eastAsia="仿宋_GB2312"/>
          <w:sz w:val="21"/>
        </w:rPr>
        <w:t>4</w:t>
      </w:r>
      <w:r>
        <w:rPr>
          <w:rFonts w:ascii="仿宋_GB2312" w:eastAsia="仿宋_GB2312"/>
          <w:sz w:val="21"/>
        </w:rPr>
        <w:t xml:space="preserve">.9.1 </w:t>
      </w:r>
      <w:r>
        <w:rPr>
          <w:rFonts w:hint="eastAsia" w:ascii="仿宋_GB2312" w:eastAsia="仿宋_GB2312"/>
          <w:sz w:val="21"/>
        </w:rPr>
        <w:t>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5290E266">
      <w:pPr>
        <w:pStyle w:val="40"/>
        <w:spacing w:after="157"/>
        <w:ind w:left="0"/>
        <w:rPr>
          <w:rFonts w:hint="eastAsia" w:ascii="仿宋_GB2312" w:eastAsia="仿宋_GB2312"/>
          <w:sz w:val="21"/>
        </w:rPr>
      </w:pPr>
      <w:r>
        <w:rPr>
          <w:rFonts w:ascii="仿宋_GB2312" w:eastAsia="仿宋_GB2312"/>
          <w:sz w:val="21"/>
        </w:rPr>
        <w:t xml:space="preserve">4.9.2 </w:t>
      </w:r>
      <w:r>
        <w:rPr>
          <w:rFonts w:hint="eastAsia" w:ascii="仿宋_GB2312" w:eastAsia="仿宋_GB2312"/>
          <w:sz w:val="21"/>
        </w:rPr>
        <w:t>承包人按照第</w:t>
      </w:r>
      <w:r>
        <w:rPr>
          <w:rFonts w:ascii="仿宋_GB2312" w:eastAsia="仿宋_GB2312"/>
          <w:sz w:val="21"/>
        </w:rPr>
        <w:t>8.4</w:t>
      </w:r>
      <w:r>
        <w:rPr>
          <w:rFonts w:hint="eastAsia" w:ascii="仿宋_GB2312" w:eastAsia="仿宋_GB2312"/>
          <w:sz w:val="21"/>
        </w:rPr>
        <w:t>款[项目进度计划]约定向工程师提交工程质量保证体系及措施文件，建立完善的质量检查制度，并提交相应的工程质量文件。对于发包人和工程师违反法律规定和合同约定的错误指示，承包人有权拒绝实施。</w:t>
      </w:r>
    </w:p>
    <w:p w14:paraId="45215D22">
      <w:pPr>
        <w:pStyle w:val="40"/>
        <w:spacing w:after="157"/>
        <w:ind w:left="0"/>
        <w:rPr>
          <w:rFonts w:hint="eastAsia" w:ascii="仿宋_GB2312" w:eastAsia="仿宋_GB2312"/>
          <w:sz w:val="21"/>
        </w:rPr>
      </w:pPr>
      <w:r>
        <w:rPr>
          <w:rFonts w:hint="eastAsia" w:ascii="仿宋_GB2312" w:eastAsia="仿宋_GB2312"/>
          <w:sz w:val="21"/>
        </w:rPr>
        <w:t>4</w:t>
      </w:r>
      <w:r>
        <w:rPr>
          <w:rFonts w:ascii="仿宋_GB2312" w:eastAsia="仿宋_GB2312"/>
          <w:sz w:val="21"/>
        </w:rPr>
        <w:t xml:space="preserve">.9.3 </w:t>
      </w:r>
      <w:r>
        <w:rPr>
          <w:rFonts w:hint="eastAsia" w:ascii="仿宋_GB2312" w:eastAsia="仿宋_GB2312"/>
          <w:sz w:val="21"/>
        </w:rPr>
        <w:t>承包人应对其人员进行质量教育和技术培训，定期考核人员的劳动技能，严格执行相关规范和操作规程。</w:t>
      </w:r>
    </w:p>
    <w:p w14:paraId="20B49181">
      <w:pPr>
        <w:pStyle w:val="40"/>
        <w:spacing w:after="157"/>
        <w:ind w:left="0"/>
        <w:rPr>
          <w:rFonts w:hint="eastAsia" w:ascii="仿宋_GB2312" w:eastAsia="仿宋_GB2312"/>
          <w:sz w:val="21"/>
        </w:rPr>
      </w:pPr>
      <w:r>
        <w:rPr>
          <w:rFonts w:hint="eastAsia" w:ascii="仿宋_GB2312" w:eastAsia="仿宋_GB2312"/>
          <w:sz w:val="21"/>
        </w:rPr>
        <w:t>4</w:t>
      </w:r>
      <w:r>
        <w:rPr>
          <w:rFonts w:ascii="仿宋_GB2312" w:eastAsia="仿宋_GB2312"/>
          <w:sz w:val="21"/>
        </w:rPr>
        <w:t xml:space="preserve">.9.4 </w:t>
      </w:r>
      <w:r>
        <w:rPr>
          <w:rFonts w:hint="eastAsia" w:ascii="仿宋_GB2312" w:eastAsia="仿宋_GB2312"/>
          <w:sz w:val="21"/>
        </w:rPr>
        <w:t>承包人应按照法律规定和合同约定，对设计、材料、工程设备以及全部工程内容及其施工工艺进行全过程的质量检查和检验，并做详细记录，编制工程质量报表，报送工程师审查。此外，承包人还应按照法律规定和合同约定，进行施工现场取样试验、工程复核测量和设备性能检测，提供试验样品、提交试验报告和测量成果以及其他工作。</w:t>
      </w:r>
    </w:p>
    <w:p w14:paraId="06A44A5C">
      <w:pPr>
        <w:pStyle w:val="39"/>
        <w:widowControl/>
        <w:spacing w:afterLines="0"/>
        <w:ind w:left="0"/>
        <w:rPr>
          <w:rFonts w:hint="eastAsia"/>
          <w:b w:val="0"/>
          <w:bCs/>
          <w:sz w:val="28"/>
          <w:szCs w:val="28"/>
        </w:rPr>
      </w:pPr>
      <w:bookmarkStart w:id="1076" w:name="_Toc54862221"/>
      <w:bookmarkEnd w:id="1076"/>
      <w:bookmarkStart w:id="1077" w:name="_Toc11891"/>
      <w:bookmarkEnd w:id="1077"/>
      <w:bookmarkStart w:id="1078" w:name="_Ref531952837"/>
      <w:bookmarkEnd w:id="1078"/>
      <w:bookmarkStart w:id="1079" w:name="_Toc28388"/>
      <w:bookmarkEnd w:id="1079"/>
      <w:r>
        <w:rPr>
          <w:rFonts w:hint="eastAsia"/>
          <w:b w:val="0"/>
          <w:bCs/>
          <w:sz w:val="28"/>
          <w:szCs w:val="28"/>
        </w:rPr>
        <w:t>第5条 设计</w:t>
      </w:r>
    </w:p>
    <w:p w14:paraId="47EF0865">
      <w:pPr>
        <w:pStyle w:val="39"/>
        <w:widowControl/>
        <w:spacing w:afterLines="0"/>
        <w:ind w:left="0"/>
        <w:outlineLvl w:val="3"/>
        <w:rPr>
          <w:rFonts w:hint="eastAsia"/>
          <w:b w:val="0"/>
          <w:bCs/>
          <w:sz w:val="21"/>
          <w:szCs w:val="21"/>
        </w:rPr>
      </w:pPr>
      <w:bookmarkStart w:id="1080" w:name="_Ref531952863"/>
      <w:bookmarkEnd w:id="1080"/>
      <w:bookmarkStart w:id="1081" w:name="_Toc29642"/>
      <w:bookmarkEnd w:id="1081"/>
      <w:bookmarkStart w:id="1082" w:name="_Ref531952860"/>
      <w:bookmarkEnd w:id="1082"/>
      <w:bookmarkStart w:id="1083" w:name="_Toc54862222"/>
      <w:bookmarkEnd w:id="1083"/>
      <w:bookmarkStart w:id="1084" w:name="_Toc32588"/>
      <w:bookmarkEnd w:id="1084"/>
      <w:r>
        <w:rPr>
          <w:rFonts w:hint="eastAsia"/>
          <w:b w:val="0"/>
          <w:bCs/>
          <w:sz w:val="21"/>
          <w:szCs w:val="21"/>
        </w:rPr>
        <w:t>5.1 承包人的设计义务</w:t>
      </w:r>
    </w:p>
    <w:p w14:paraId="003ECDCF">
      <w:pPr>
        <w:pStyle w:val="40"/>
        <w:spacing w:after="157"/>
        <w:ind w:left="0"/>
        <w:outlineLvl w:val="4"/>
        <w:rPr>
          <w:rFonts w:hint="eastAsia" w:ascii="仿宋_GB2312" w:eastAsia="仿宋_GB2312"/>
          <w:sz w:val="21"/>
        </w:rPr>
      </w:pPr>
      <w:bookmarkStart w:id="1085" w:name="_Ref531952881"/>
      <w:bookmarkEnd w:id="1085"/>
      <w:r>
        <w:rPr>
          <w:rFonts w:hint="eastAsia" w:ascii="仿宋_GB2312" w:eastAsia="仿宋_GB2312"/>
          <w:sz w:val="21"/>
        </w:rPr>
        <w:t>5</w:t>
      </w:r>
      <w:r>
        <w:rPr>
          <w:rFonts w:ascii="仿宋_GB2312" w:eastAsia="仿宋_GB2312"/>
          <w:sz w:val="21"/>
        </w:rPr>
        <w:t xml:space="preserve">.1.1 </w:t>
      </w:r>
      <w:r>
        <w:rPr>
          <w:rFonts w:hint="eastAsia" w:ascii="仿宋_GB2312" w:eastAsia="仿宋_GB2312"/>
          <w:sz w:val="21"/>
        </w:rPr>
        <w:t>设计义务的一般要求</w:t>
      </w:r>
    </w:p>
    <w:p w14:paraId="5BFDF6DF">
      <w:pPr>
        <w:spacing w:line="360" w:lineRule="auto"/>
        <w:ind w:firstLine="600"/>
        <w:rPr>
          <w:rFonts w:ascii="仿宋_GB2312" w:eastAsia="仿宋_GB2312"/>
        </w:rPr>
      </w:pPr>
      <w:r>
        <w:rPr>
          <w:rFonts w:hint="eastAsia" w:ascii="仿宋_GB2312" w:eastAsia="仿宋_GB2312"/>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20DD1058">
      <w:pPr>
        <w:pStyle w:val="40"/>
        <w:spacing w:after="157"/>
        <w:ind w:left="0"/>
        <w:outlineLvl w:val="4"/>
        <w:rPr>
          <w:rFonts w:hint="eastAsia" w:ascii="仿宋_GB2312" w:eastAsia="仿宋_GB2312"/>
          <w:sz w:val="21"/>
        </w:rPr>
      </w:pPr>
      <w:bookmarkStart w:id="1086" w:name="_Ref531952952"/>
      <w:bookmarkEnd w:id="1086"/>
      <w:r>
        <w:rPr>
          <w:rFonts w:hint="eastAsia" w:ascii="仿宋_GB2312" w:eastAsia="仿宋_GB2312"/>
          <w:sz w:val="21"/>
        </w:rPr>
        <w:t>5</w:t>
      </w:r>
      <w:r>
        <w:rPr>
          <w:rFonts w:ascii="仿宋_GB2312" w:eastAsia="仿宋_GB2312"/>
          <w:sz w:val="21"/>
        </w:rPr>
        <w:t xml:space="preserve">.1.2 </w:t>
      </w:r>
      <w:r>
        <w:rPr>
          <w:rFonts w:hint="eastAsia" w:ascii="仿宋_GB2312" w:eastAsia="仿宋_GB2312"/>
          <w:sz w:val="21"/>
        </w:rPr>
        <w:t>对设计人员的要求</w:t>
      </w:r>
    </w:p>
    <w:p w14:paraId="5B43E7CC">
      <w:pPr>
        <w:spacing w:line="360" w:lineRule="auto"/>
        <w:ind w:firstLine="600"/>
        <w:rPr>
          <w:rFonts w:ascii="仿宋_GB2312" w:eastAsia="仿宋_GB2312"/>
        </w:rPr>
      </w:pPr>
      <w:r>
        <w:rPr>
          <w:rFonts w:hint="eastAsia" w:ascii="仿宋_GB2312" w:eastAsia="仿宋_GB2312"/>
        </w:rPr>
        <w:t>承包人应保证其或其设计分包人的设计资质在合同有效期内满足法律法规、行业标准或合同约定的相关要求，并指派符合法律法规、行业标准或合同约定的资质要求并具有从事设计所必需的经验与能力的设计人员完成设计工作。承包人应保证其设计人员（包括分包人的设计人员）在合同期限内，都能按时参加发包人或工程师组织的工作会议。</w:t>
      </w:r>
    </w:p>
    <w:p w14:paraId="3A03C8B5">
      <w:pPr>
        <w:pStyle w:val="40"/>
        <w:spacing w:after="157"/>
        <w:ind w:left="0"/>
        <w:outlineLvl w:val="4"/>
        <w:rPr>
          <w:rFonts w:hint="eastAsia" w:ascii="仿宋_GB2312" w:eastAsia="仿宋_GB2312"/>
          <w:sz w:val="21"/>
        </w:rPr>
      </w:pPr>
      <w:r>
        <w:rPr>
          <w:rFonts w:hint="eastAsia" w:ascii="仿宋_GB2312" w:eastAsia="仿宋_GB2312"/>
          <w:sz w:val="21"/>
        </w:rPr>
        <w:t>5</w:t>
      </w:r>
      <w:r>
        <w:rPr>
          <w:rFonts w:ascii="仿宋_GB2312" w:eastAsia="仿宋_GB2312"/>
          <w:sz w:val="21"/>
        </w:rPr>
        <w:t xml:space="preserve">.1.3 </w:t>
      </w:r>
      <w:r>
        <w:rPr>
          <w:rFonts w:hint="eastAsia" w:ascii="仿宋_GB2312" w:eastAsia="仿宋_GB2312"/>
          <w:sz w:val="21"/>
        </w:rPr>
        <w:t>法律和标准的变化</w:t>
      </w:r>
    </w:p>
    <w:p w14:paraId="452A2FEC">
      <w:pPr>
        <w:spacing w:line="360" w:lineRule="auto"/>
        <w:ind w:firstLine="600"/>
        <w:rPr>
          <w:rFonts w:ascii="仿宋_GB2312" w:eastAsia="仿宋_GB2312"/>
        </w:rPr>
      </w:pPr>
      <w:r>
        <w:rPr>
          <w:rFonts w:hint="eastAsia" w:ascii="仿宋_GB2312" w:eastAsia="仿宋_GB2312"/>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w:t>
      </w:r>
      <w:r>
        <w:rPr>
          <w:rFonts w:ascii="仿宋_GB2312" w:eastAsia="仿宋_GB2312"/>
        </w:rPr>
        <w:t>13.2</w:t>
      </w:r>
      <w:r>
        <w:rPr>
          <w:rFonts w:hint="eastAsia" w:ascii="仿宋_GB2312" w:eastAsia="仿宋_GB2312"/>
        </w:rPr>
        <w:t>款[承包人的合理化建议]的约定执行。</w:t>
      </w:r>
    </w:p>
    <w:p w14:paraId="54F6A240">
      <w:pPr>
        <w:spacing w:line="360" w:lineRule="auto"/>
        <w:ind w:firstLine="600"/>
        <w:rPr>
          <w:rFonts w:ascii="仿宋_GB2312" w:eastAsia="仿宋_GB2312"/>
        </w:rPr>
      </w:pPr>
      <w:r>
        <w:rPr>
          <w:rFonts w:hint="eastAsia" w:ascii="仿宋_GB2312" w:eastAsia="仿宋_GB2312"/>
        </w:rPr>
        <w:t>在基准日期之后，因国家颁布新的强制性规范、标准导致承包人的费用变化的，发包人应合理调整合同价格；导致工期延误的，发包人应合理延长工期。</w:t>
      </w:r>
    </w:p>
    <w:p w14:paraId="15DF2677">
      <w:pPr>
        <w:pStyle w:val="39"/>
        <w:widowControl/>
        <w:spacing w:afterLines="0"/>
        <w:ind w:left="0"/>
        <w:outlineLvl w:val="3"/>
        <w:rPr>
          <w:rFonts w:hint="eastAsia"/>
          <w:b w:val="0"/>
          <w:bCs/>
          <w:sz w:val="21"/>
          <w:szCs w:val="21"/>
        </w:rPr>
      </w:pPr>
      <w:bookmarkStart w:id="1087" w:name="_Toc54862223"/>
      <w:bookmarkEnd w:id="1087"/>
      <w:bookmarkStart w:id="1088" w:name="_Ref531953051"/>
      <w:bookmarkEnd w:id="1088"/>
      <w:bookmarkStart w:id="1089" w:name="_Ref531953054"/>
      <w:bookmarkEnd w:id="1089"/>
      <w:bookmarkStart w:id="1090" w:name="_Toc21687"/>
      <w:bookmarkEnd w:id="1090"/>
      <w:bookmarkStart w:id="1091" w:name="_Toc13711"/>
      <w:bookmarkEnd w:id="1091"/>
      <w:r>
        <w:rPr>
          <w:rFonts w:hint="eastAsia"/>
          <w:b w:val="0"/>
          <w:bCs/>
          <w:sz w:val="21"/>
          <w:szCs w:val="21"/>
        </w:rPr>
        <w:t>5.2 承包人文件审查</w:t>
      </w:r>
    </w:p>
    <w:p w14:paraId="31C031BC">
      <w:pPr>
        <w:pStyle w:val="40"/>
        <w:spacing w:after="157"/>
        <w:ind w:left="0"/>
        <w:rPr>
          <w:rFonts w:hint="eastAsia" w:ascii="仿宋_GB2312" w:eastAsia="仿宋_GB2312"/>
          <w:sz w:val="21"/>
        </w:rPr>
      </w:pPr>
      <w:bookmarkStart w:id="1092" w:name="_Ref531953064"/>
      <w:bookmarkEnd w:id="1092"/>
      <w:r>
        <w:rPr>
          <w:rFonts w:hint="eastAsia" w:ascii="仿宋_GB2312" w:eastAsia="仿宋_GB2312"/>
          <w:sz w:val="21"/>
        </w:rPr>
        <w:t>5</w:t>
      </w:r>
      <w:r>
        <w:rPr>
          <w:rFonts w:ascii="仿宋_GB2312" w:eastAsia="仿宋_GB2312"/>
          <w:sz w:val="21"/>
        </w:rPr>
        <w:t xml:space="preserve">.2.1 </w:t>
      </w:r>
      <w:r>
        <w:rPr>
          <w:rFonts w:hint="eastAsia" w:ascii="仿宋_GB2312" w:eastAsia="仿宋_GB2312"/>
          <w:sz w:val="21"/>
        </w:rPr>
        <w:t>根据《发包人要求》应当通过工程师报发包人审查同意的承包人文件，承包人应当按照《发包人要求》约定的范围和内容及时报送审查。</w:t>
      </w:r>
    </w:p>
    <w:p w14:paraId="15E28B01">
      <w:pPr>
        <w:spacing w:line="360" w:lineRule="auto"/>
        <w:ind w:firstLine="600"/>
        <w:rPr>
          <w:rFonts w:ascii="仿宋_GB2312" w:eastAsia="仿宋_GB2312"/>
        </w:rPr>
      </w:pPr>
      <w:r>
        <w:rPr>
          <w:rFonts w:hint="eastAsia" w:ascii="仿宋_GB2312" w:eastAsia="仿宋_GB2312"/>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1EF12798">
      <w:pPr>
        <w:spacing w:line="360" w:lineRule="auto"/>
        <w:ind w:firstLine="600"/>
        <w:rPr>
          <w:rFonts w:ascii="仿宋_GB2312" w:eastAsia="仿宋_GB2312"/>
        </w:rPr>
      </w:pPr>
      <w:r>
        <w:rPr>
          <w:rFonts w:hint="eastAsia" w:ascii="仿宋_GB2312" w:eastAsia="仿宋_GB2312"/>
        </w:rPr>
        <w:t>发包人同意承包人文件的，应及时通知承包人，发包人不同意承包人文件的，应在审查期限内通过工程师以书面形式通知承包人，并说明不同意的具体内容和理由。</w:t>
      </w:r>
    </w:p>
    <w:p w14:paraId="7290D085">
      <w:pPr>
        <w:spacing w:line="360" w:lineRule="auto"/>
        <w:ind w:firstLine="600"/>
        <w:rPr>
          <w:rFonts w:ascii="仿宋_GB2312" w:eastAsia="仿宋_GB2312"/>
        </w:rPr>
      </w:pPr>
      <w:r>
        <w:rPr>
          <w:rFonts w:hint="eastAsia" w:ascii="仿宋_GB2312" w:eastAsia="仿宋_GB2312"/>
        </w:rPr>
        <w:t>承包人对发包人的意见按以下方式处理：</w:t>
      </w:r>
    </w:p>
    <w:p w14:paraId="6FEEE050">
      <w:pPr>
        <w:spacing w:line="360" w:lineRule="auto"/>
        <w:ind w:firstLine="600"/>
        <w:rPr>
          <w:rFonts w:ascii="仿宋_GB2312" w:eastAsia="仿宋_GB2312"/>
        </w:rPr>
      </w:pPr>
      <w:r>
        <w:rPr>
          <w:rFonts w:hint="eastAsia" w:ascii="仿宋_GB2312" w:eastAsia="仿宋_GB2312"/>
        </w:rPr>
        <w:t>（1） 发包人的意见构成变更的，承包人应在7天内通知发包人按照第1</w:t>
      </w:r>
      <w:r>
        <w:rPr>
          <w:rFonts w:ascii="仿宋_GB2312" w:eastAsia="仿宋_GB2312"/>
        </w:rPr>
        <w:t>3</w:t>
      </w:r>
      <w:r>
        <w:rPr>
          <w:rFonts w:hint="eastAsia" w:ascii="仿宋_GB2312" w:eastAsia="仿宋_GB2312"/>
        </w:rPr>
        <w:t>条</w:t>
      </w:r>
      <w:r>
        <w:rPr>
          <w:rFonts w:ascii="仿宋_GB2312" w:eastAsia="仿宋_GB2312"/>
        </w:rPr>
        <w:t>[</w:t>
      </w:r>
      <w:r>
        <w:rPr>
          <w:rFonts w:hint="eastAsia" w:ascii="仿宋_GB2312" w:eastAsia="仿宋_GB2312"/>
        </w:rPr>
        <w:t>变更与调整</w:t>
      </w:r>
      <w:r>
        <w:rPr>
          <w:rFonts w:ascii="仿宋_GB2312" w:eastAsia="仿宋_GB2312"/>
        </w:rPr>
        <w:t>]</w:t>
      </w:r>
      <w:r>
        <w:rPr>
          <w:rFonts w:hint="eastAsia" w:ascii="仿宋_GB2312" w:eastAsia="仿宋_GB2312"/>
        </w:rPr>
        <w:t>中关于发包人指示变更的约定执行，双方对是否构成变更无法达成一致的，按照第</w:t>
      </w:r>
      <w:r>
        <w:rPr>
          <w:rFonts w:ascii="仿宋_GB2312" w:eastAsia="仿宋_GB2312"/>
        </w:rPr>
        <w:t>20条[</w:t>
      </w:r>
      <w:r>
        <w:rPr>
          <w:rFonts w:hint="eastAsia" w:ascii="仿宋_GB2312" w:eastAsia="仿宋_GB2312"/>
        </w:rPr>
        <w:t>争议解决</w:t>
      </w:r>
      <w:r>
        <w:rPr>
          <w:rFonts w:ascii="仿宋_GB2312" w:eastAsia="仿宋_GB2312"/>
        </w:rPr>
        <w:t>]</w:t>
      </w:r>
      <w:r>
        <w:rPr>
          <w:rFonts w:hint="eastAsia" w:ascii="仿宋_GB2312" w:eastAsia="仿宋_GB2312"/>
        </w:rPr>
        <w:t>的约定执行；</w:t>
      </w:r>
    </w:p>
    <w:p w14:paraId="6B5E4DB0">
      <w:pPr>
        <w:spacing w:line="360" w:lineRule="auto"/>
        <w:ind w:firstLine="600"/>
        <w:rPr>
          <w:rFonts w:ascii="仿宋_GB2312" w:eastAsia="仿宋_GB2312"/>
        </w:rPr>
      </w:pPr>
      <w:r>
        <w:rPr>
          <w:rFonts w:hint="eastAsia" w:ascii="仿宋_GB2312" w:eastAsia="仿宋_GB2312"/>
        </w:rPr>
        <w:t>（2） 因承包人原因导致无法通过审查的，承包人应根据发包人的书面说明，对承包人文件进行修改后重新报送发包人审查，审查期重新起算。因此引起的工期延长和必要的工程费用增加，由承包人负责。</w:t>
      </w:r>
    </w:p>
    <w:p w14:paraId="5090D186">
      <w:pPr>
        <w:spacing w:line="360" w:lineRule="auto"/>
        <w:ind w:firstLine="600"/>
        <w:rPr>
          <w:rFonts w:ascii="仿宋_GB2312" w:eastAsia="仿宋_GB2312"/>
        </w:rPr>
      </w:pPr>
      <w:r>
        <w:rPr>
          <w:rFonts w:hint="eastAsia" w:ascii="仿宋_GB2312" w:eastAsia="仿宋_GB2312"/>
        </w:rPr>
        <w:t>合同约定的审查期满，发包人没有做出审查结论也没有提出异议的，视为承包人文件已获发包人同意。</w:t>
      </w:r>
    </w:p>
    <w:p w14:paraId="21111BEF">
      <w:pPr>
        <w:spacing w:line="360" w:lineRule="auto"/>
        <w:ind w:firstLine="600"/>
        <w:rPr>
          <w:rFonts w:ascii="仿宋_GB2312" w:eastAsia="仿宋_GB2312"/>
        </w:rPr>
      </w:pPr>
      <w:r>
        <w:rPr>
          <w:rFonts w:hint="eastAsia" w:ascii="仿宋_GB2312" w:eastAsia="仿宋_GB2312"/>
        </w:rPr>
        <w:t>发包人对承包人文件的审查和同意不得被理解为对合同的修改或改变，也并不减轻或免除承包人任何责任和义务。</w:t>
      </w:r>
    </w:p>
    <w:p w14:paraId="6A11B4D0">
      <w:pPr>
        <w:pStyle w:val="40"/>
        <w:spacing w:after="157"/>
        <w:ind w:left="0"/>
        <w:rPr>
          <w:rFonts w:hint="eastAsia" w:ascii="仿宋_GB2312" w:eastAsia="仿宋_GB2312"/>
          <w:sz w:val="21"/>
        </w:rPr>
      </w:pPr>
      <w:r>
        <w:rPr>
          <w:rFonts w:hint="eastAsia" w:ascii="仿宋_GB2312" w:eastAsia="仿宋_GB2312"/>
          <w:sz w:val="21"/>
        </w:rPr>
        <w:t>5</w:t>
      </w:r>
      <w:r>
        <w:rPr>
          <w:rFonts w:ascii="仿宋_GB2312" w:eastAsia="仿宋_GB2312"/>
          <w:sz w:val="21"/>
        </w:rPr>
        <w:t xml:space="preserve">.2.2 </w:t>
      </w:r>
      <w:r>
        <w:rPr>
          <w:rFonts w:hint="eastAsia" w:ascii="仿宋_GB2312" w:eastAsia="仿宋_GB2312"/>
          <w:sz w:val="21"/>
        </w:rPr>
        <w:t>承包人文件不需要政府有关部门或专用合同条件约定的第三方审查单位审查或批准的，承包人应当严格按照经发包人审查同意的承包人文件设计和实施工程。</w:t>
      </w:r>
    </w:p>
    <w:p w14:paraId="22394B47">
      <w:pPr>
        <w:spacing w:line="360" w:lineRule="auto"/>
        <w:ind w:firstLine="600"/>
        <w:rPr>
          <w:rFonts w:ascii="仿宋_GB2312" w:eastAsia="仿宋_GB2312"/>
        </w:rPr>
      </w:pPr>
      <w:r>
        <w:rPr>
          <w:rFonts w:hint="eastAsia" w:ascii="仿宋_GB2312" w:eastAsia="仿宋_GB2312"/>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7301DCE0">
      <w:pPr>
        <w:spacing w:line="360" w:lineRule="auto"/>
        <w:ind w:firstLine="600"/>
        <w:rPr>
          <w:rFonts w:ascii="仿宋_GB2312" w:eastAsia="仿宋_GB2312"/>
        </w:rPr>
      </w:pPr>
      <w:r>
        <w:rPr>
          <w:rFonts w:hint="eastAsia" w:ascii="仿宋_GB2312" w:eastAsia="仿宋_GB2312"/>
        </w:rPr>
        <w:t>发包人有义务向承包人提供审查会议的批准文件和纪要。承包人有义务按照相关审查会议批准的文件和纪要，并依据合同约定及相关技术标准，对承包人文件进行修改、补充和完善。</w:t>
      </w:r>
    </w:p>
    <w:p w14:paraId="6C93040A">
      <w:pPr>
        <w:pStyle w:val="40"/>
        <w:spacing w:after="157"/>
        <w:ind w:left="0"/>
        <w:rPr>
          <w:rFonts w:hint="eastAsia" w:ascii="仿宋_GB2312" w:eastAsia="仿宋_GB2312"/>
          <w:sz w:val="21"/>
        </w:rPr>
      </w:pPr>
      <w:bookmarkStart w:id="1093" w:name="_Ref531953074"/>
      <w:bookmarkEnd w:id="1093"/>
      <w:r>
        <w:rPr>
          <w:rFonts w:hint="eastAsia" w:ascii="仿宋_GB2312" w:eastAsia="仿宋_GB2312"/>
          <w:sz w:val="21"/>
        </w:rPr>
        <w:t>5</w:t>
      </w:r>
      <w:r>
        <w:rPr>
          <w:rFonts w:ascii="仿宋_GB2312" w:eastAsia="仿宋_GB2312"/>
          <w:sz w:val="21"/>
        </w:rPr>
        <w:t xml:space="preserve">.2.3 </w:t>
      </w:r>
      <w:r>
        <w:rPr>
          <w:rFonts w:hint="eastAsia" w:ascii="仿宋_GB2312" w:eastAsia="仿宋_GB2312"/>
          <w:sz w:val="21"/>
        </w:rPr>
        <w:t>承包人文件需政府有关部门或专用合同条件约定的第三方审查单位审查或批准的，发包人应在发包人审查同意承包人文件后7天内，向政府有关部门或第三方报送承包人文件，承包人应予以协助。</w:t>
      </w:r>
    </w:p>
    <w:p w14:paraId="2241F5EF">
      <w:pPr>
        <w:spacing w:line="360" w:lineRule="auto"/>
        <w:ind w:firstLine="600"/>
        <w:rPr>
          <w:rFonts w:ascii="仿宋_GB2312" w:eastAsia="仿宋_GB2312"/>
        </w:rPr>
      </w:pPr>
      <w:r>
        <w:rPr>
          <w:rFonts w:hint="eastAsia" w:ascii="仿宋_GB2312" w:eastAsia="仿宋_GB2312"/>
        </w:rPr>
        <w:t>对于政府有关部门或第三方审查单位的审查意见，不需要修改《发包人要求》的，承包人需按该审查意见修改承包人的设计文件；需要修改《发包人要求》的，承包人应按第</w:t>
      </w:r>
      <w:r>
        <w:rPr>
          <w:rFonts w:ascii="仿宋_GB2312" w:eastAsia="仿宋_GB2312"/>
        </w:rPr>
        <w:t>13.2</w:t>
      </w:r>
      <w:r>
        <w:rPr>
          <w:rFonts w:hint="eastAsia" w:ascii="仿宋_GB2312" w:eastAsia="仿宋_GB2312"/>
        </w:rPr>
        <w:t>款[承包人的合理化建议]的约定执行。上述情形还应适用第</w:t>
      </w:r>
      <w:r>
        <w:rPr>
          <w:rFonts w:ascii="仿宋_GB2312" w:eastAsia="仿宋_GB2312"/>
        </w:rPr>
        <w:t>5.1</w:t>
      </w:r>
      <w:r>
        <w:rPr>
          <w:rFonts w:hint="eastAsia" w:ascii="仿宋_GB2312" w:eastAsia="仿宋_GB2312"/>
        </w:rPr>
        <w:t>款[承包人的设计义务]和第</w:t>
      </w:r>
      <w:r>
        <w:rPr>
          <w:rFonts w:ascii="仿宋_GB2312" w:eastAsia="仿宋_GB2312"/>
        </w:rPr>
        <w:t>13条</w:t>
      </w:r>
      <w:r>
        <w:rPr>
          <w:rFonts w:hint="eastAsia" w:ascii="仿宋_GB2312" w:eastAsia="仿宋_GB2312"/>
        </w:rPr>
        <w:t>[变更与调整]的有关约定。</w:t>
      </w:r>
    </w:p>
    <w:p w14:paraId="1B4BFCF6">
      <w:pPr>
        <w:spacing w:line="360" w:lineRule="auto"/>
        <w:ind w:firstLine="600"/>
        <w:rPr>
          <w:rFonts w:ascii="仿宋_GB2312" w:eastAsia="仿宋_GB2312"/>
        </w:rPr>
      </w:pPr>
      <w:r>
        <w:rPr>
          <w:rFonts w:hint="eastAsia" w:ascii="仿宋_GB2312" w:eastAsia="仿宋_GB2312"/>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2A38D744">
      <w:pPr>
        <w:pStyle w:val="39"/>
        <w:widowControl/>
        <w:spacing w:afterLines="0"/>
        <w:ind w:left="0"/>
        <w:outlineLvl w:val="3"/>
        <w:rPr>
          <w:rFonts w:hint="eastAsia"/>
          <w:b w:val="0"/>
          <w:bCs/>
          <w:sz w:val="21"/>
          <w:szCs w:val="21"/>
        </w:rPr>
      </w:pPr>
      <w:bookmarkStart w:id="1094" w:name="_Ref531953097"/>
      <w:bookmarkEnd w:id="1094"/>
      <w:bookmarkStart w:id="1095" w:name="_Toc17286"/>
      <w:bookmarkEnd w:id="1095"/>
      <w:bookmarkStart w:id="1096" w:name="_Ref531953095"/>
      <w:bookmarkEnd w:id="1096"/>
      <w:bookmarkStart w:id="1097" w:name="_Toc12555"/>
      <w:bookmarkEnd w:id="1097"/>
      <w:bookmarkStart w:id="1098" w:name="_Toc54862224"/>
      <w:bookmarkEnd w:id="1098"/>
      <w:r>
        <w:rPr>
          <w:rFonts w:hint="eastAsia"/>
          <w:b w:val="0"/>
          <w:bCs/>
          <w:sz w:val="21"/>
          <w:szCs w:val="21"/>
        </w:rPr>
        <w:t>5.3 培训</w:t>
      </w:r>
    </w:p>
    <w:p w14:paraId="5FFA0A3A">
      <w:pPr>
        <w:spacing w:line="360" w:lineRule="auto"/>
        <w:ind w:firstLine="600"/>
        <w:rPr>
          <w:rFonts w:ascii="仿宋_GB2312" w:eastAsia="仿宋_GB2312"/>
        </w:rPr>
      </w:pPr>
      <w:r>
        <w:rPr>
          <w:rFonts w:hint="eastAsia" w:ascii="仿宋_GB2312" w:eastAsia="仿宋_GB2312"/>
        </w:rPr>
        <w:t>承包人应按照《发包人要求》，对发包人的雇员或其他发包人指定的人员进行工程操作、维修或其他合同中约定的培训。合同约定接收之前进行培训的，应在第</w:t>
      </w:r>
      <w:r>
        <w:rPr>
          <w:rFonts w:ascii="仿宋_GB2312" w:eastAsia="仿宋_GB2312"/>
        </w:rPr>
        <w:t>10.1</w:t>
      </w:r>
      <w:r>
        <w:rPr>
          <w:rFonts w:hint="eastAsia" w:ascii="仿宋_GB2312" w:eastAsia="仿宋_GB2312"/>
        </w:rPr>
        <w:t>款[</w:t>
      </w:r>
      <w:r>
        <w:rPr>
          <w:rFonts w:ascii="仿宋_GB2312" w:eastAsia="仿宋_GB2312"/>
        </w:rPr>
        <w:t>竣工验收</w:t>
      </w:r>
      <w:r>
        <w:rPr>
          <w:rFonts w:hint="eastAsia" w:ascii="仿宋_GB2312" w:eastAsia="仿宋_GB2312"/>
        </w:rPr>
        <w:t>]约定的竣工验收前或试运行结束前完成培训。</w:t>
      </w:r>
    </w:p>
    <w:p w14:paraId="18BE833D">
      <w:pPr>
        <w:spacing w:line="360" w:lineRule="auto"/>
        <w:ind w:firstLine="600"/>
        <w:rPr>
          <w:rFonts w:ascii="仿宋_GB2312" w:eastAsia="仿宋_GB2312"/>
        </w:rPr>
      </w:pPr>
      <w:r>
        <w:rPr>
          <w:rFonts w:hint="eastAsia" w:ascii="仿宋_GB2312" w:eastAsia="仿宋_GB2312"/>
        </w:rPr>
        <w:t>培训的时长应由双方在专用合同条件中约定，承包人应为培训提供有经验的人员、设施和其他必要条件。</w:t>
      </w:r>
    </w:p>
    <w:p w14:paraId="4D51C4D2">
      <w:pPr>
        <w:pStyle w:val="39"/>
        <w:widowControl/>
        <w:spacing w:afterLines="0"/>
        <w:ind w:left="0"/>
        <w:outlineLvl w:val="3"/>
        <w:rPr>
          <w:rFonts w:hint="eastAsia"/>
          <w:b w:val="0"/>
          <w:bCs/>
          <w:sz w:val="21"/>
          <w:szCs w:val="21"/>
        </w:rPr>
      </w:pPr>
      <w:bookmarkStart w:id="1099" w:name="_Toc24835"/>
      <w:bookmarkEnd w:id="1099"/>
      <w:bookmarkStart w:id="1100" w:name="_Ref531953108"/>
      <w:bookmarkEnd w:id="1100"/>
      <w:bookmarkStart w:id="1101" w:name="_Ref531953105"/>
      <w:bookmarkEnd w:id="1101"/>
      <w:bookmarkStart w:id="1102" w:name="_Toc54862225"/>
      <w:bookmarkEnd w:id="1102"/>
      <w:bookmarkStart w:id="1103" w:name="_Toc22969"/>
      <w:bookmarkEnd w:id="1103"/>
      <w:r>
        <w:rPr>
          <w:rFonts w:hint="eastAsia"/>
          <w:b w:val="0"/>
          <w:bCs/>
          <w:sz w:val="21"/>
          <w:szCs w:val="21"/>
        </w:rPr>
        <w:t>5.4 竣工文件</w:t>
      </w:r>
    </w:p>
    <w:p w14:paraId="2A5E6909">
      <w:pPr>
        <w:pStyle w:val="40"/>
        <w:spacing w:after="157"/>
        <w:ind w:left="0"/>
        <w:rPr>
          <w:rFonts w:hint="eastAsia" w:ascii="仿宋_GB2312" w:eastAsia="仿宋_GB2312"/>
          <w:sz w:val="21"/>
        </w:rPr>
      </w:pPr>
      <w:bookmarkStart w:id="1104" w:name="_Ref531953134"/>
      <w:bookmarkEnd w:id="1104"/>
      <w:r>
        <w:rPr>
          <w:rFonts w:hint="eastAsia" w:ascii="仿宋_GB2312" w:eastAsia="仿宋_GB2312"/>
          <w:sz w:val="21"/>
        </w:rPr>
        <w:t>5</w:t>
      </w:r>
      <w:r>
        <w:rPr>
          <w:rFonts w:ascii="仿宋_GB2312" w:eastAsia="仿宋_GB2312"/>
          <w:sz w:val="21"/>
        </w:rPr>
        <w:t xml:space="preserve">.4.1 </w:t>
      </w:r>
      <w:r>
        <w:rPr>
          <w:rFonts w:hint="eastAsia" w:ascii="仿宋_GB2312" w:eastAsia="仿宋_GB2312"/>
          <w:sz w:val="21"/>
        </w:rPr>
        <w:t>承包人应编制并及时更新反映工程实施结果的竣工记录，如实记载竣工工程的确切位置、尺寸和已实施工作的详细说明。竣工文件的形式、技术标准以及其他相关内容应按照相关法律法规、行业标准与《发包人要求》执行。竣工记录应保存在施工现场，并在竣工试验开始前，按照专用合同条件约定的份数提交给工程师。</w:t>
      </w:r>
    </w:p>
    <w:p w14:paraId="7EAEFA1F">
      <w:pPr>
        <w:pStyle w:val="40"/>
        <w:spacing w:after="157"/>
        <w:ind w:left="0"/>
        <w:rPr>
          <w:rFonts w:hint="eastAsia" w:ascii="仿宋_GB2312" w:eastAsia="仿宋_GB2312"/>
          <w:sz w:val="21"/>
        </w:rPr>
      </w:pPr>
      <w:r>
        <w:rPr>
          <w:rFonts w:hint="eastAsia" w:ascii="仿宋_GB2312" w:eastAsia="仿宋_GB2312"/>
          <w:sz w:val="21"/>
        </w:rPr>
        <w:t>5</w:t>
      </w:r>
      <w:r>
        <w:rPr>
          <w:rFonts w:ascii="仿宋_GB2312" w:eastAsia="仿宋_GB2312"/>
          <w:sz w:val="21"/>
        </w:rPr>
        <w:t xml:space="preserve">.4.2 </w:t>
      </w:r>
      <w:r>
        <w:rPr>
          <w:rFonts w:hint="eastAsia" w:ascii="仿宋_GB2312" w:eastAsia="仿宋_GB2312"/>
          <w:sz w:val="21"/>
        </w:rPr>
        <w:t>在颁发工程接收证书之前，承包人应按照《发包人要求》的份数和形式向工程师提交相应竣工图纸，并取得工程师对尺寸、参照系统及其他有关细节的认可。工程师应按照第</w:t>
      </w:r>
      <w:r>
        <w:rPr>
          <w:rFonts w:ascii="仿宋_GB2312" w:eastAsia="仿宋_GB2312"/>
          <w:sz w:val="21"/>
        </w:rPr>
        <w:t>5.2</w:t>
      </w:r>
      <w:r>
        <w:rPr>
          <w:rFonts w:hint="eastAsia" w:ascii="仿宋_GB2312" w:eastAsia="仿宋_GB2312"/>
          <w:sz w:val="21"/>
        </w:rPr>
        <w:t>款[</w:t>
      </w:r>
      <w:r>
        <w:rPr>
          <w:rFonts w:ascii="仿宋_GB2312" w:eastAsia="仿宋_GB2312"/>
          <w:sz w:val="21"/>
        </w:rPr>
        <w:t>承包人文件审查</w:t>
      </w:r>
      <w:r>
        <w:rPr>
          <w:rFonts w:hint="eastAsia" w:ascii="仿宋_GB2312" w:eastAsia="仿宋_GB2312"/>
          <w:sz w:val="21"/>
        </w:rPr>
        <w:t>]的约定进行审查。</w:t>
      </w:r>
    </w:p>
    <w:p w14:paraId="7F2F0BF3">
      <w:pPr>
        <w:pStyle w:val="40"/>
        <w:spacing w:after="157"/>
        <w:ind w:left="0"/>
        <w:rPr>
          <w:rFonts w:hint="eastAsia" w:ascii="仿宋_GB2312" w:eastAsia="仿宋_GB2312"/>
          <w:sz w:val="21"/>
        </w:rPr>
      </w:pPr>
      <w:r>
        <w:rPr>
          <w:rFonts w:hint="eastAsia" w:ascii="仿宋_GB2312" w:eastAsia="仿宋_GB2312"/>
          <w:sz w:val="21"/>
        </w:rPr>
        <w:t>5</w:t>
      </w:r>
      <w:r>
        <w:rPr>
          <w:rFonts w:ascii="仿宋_GB2312" w:eastAsia="仿宋_GB2312"/>
          <w:sz w:val="21"/>
        </w:rPr>
        <w:t xml:space="preserve">.4.3 </w:t>
      </w:r>
      <w:r>
        <w:rPr>
          <w:rFonts w:hint="eastAsia" w:ascii="仿宋_GB2312" w:eastAsia="仿宋_GB2312"/>
          <w:sz w:val="21"/>
        </w:rPr>
        <w:t>除专用合同条件另有约定外，在工程师收到本款下的文件前，不应认为工程已根据第</w:t>
      </w:r>
      <w:r>
        <w:rPr>
          <w:rFonts w:ascii="仿宋_GB2312" w:eastAsia="仿宋_GB2312"/>
          <w:sz w:val="21"/>
        </w:rPr>
        <w:t>10.1</w:t>
      </w:r>
      <w:r>
        <w:rPr>
          <w:rFonts w:hint="eastAsia" w:ascii="仿宋_GB2312" w:eastAsia="仿宋_GB2312"/>
          <w:sz w:val="21"/>
        </w:rPr>
        <w:t>款[竣工验收]和第</w:t>
      </w:r>
      <w:r>
        <w:rPr>
          <w:rFonts w:ascii="仿宋_GB2312" w:eastAsia="仿宋_GB2312"/>
          <w:sz w:val="21"/>
        </w:rPr>
        <w:t>10.2</w:t>
      </w:r>
      <w:r>
        <w:rPr>
          <w:rFonts w:hint="eastAsia" w:ascii="仿宋_GB2312" w:eastAsia="仿宋_GB2312"/>
          <w:sz w:val="21"/>
        </w:rPr>
        <w:t>款[</w:t>
      </w:r>
      <w:r>
        <w:rPr>
          <w:rFonts w:ascii="仿宋_GB2312" w:eastAsia="仿宋_GB2312"/>
          <w:sz w:val="21"/>
        </w:rPr>
        <w:t>单位/区段工程的验收</w:t>
      </w:r>
      <w:r>
        <w:rPr>
          <w:rFonts w:hint="eastAsia" w:ascii="仿宋_GB2312" w:eastAsia="仿宋_GB2312"/>
          <w:sz w:val="21"/>
        </w:rPr>
        <w:t>]的约定完成验收。</w:t>
      </w:r>
    </w:p>
    <w:p w14:paraId="3114E4CB">
      <w:pPr>
        <w:pStyle w:val="39"/>
        <w:widowControl/>
        <w:spacing w:afterLines="0"/>
        <w:ind w:left="0"/>
        <w:outlineLvl w:val="3"/>
        <w:rPr>
          <w:rFonts w:hint="eastAsia"/>
          <w:b w:val="0"/>
          <w:bCs/>
          <w:sz w:val="21"/>
          <w:szCs w:val="21"/>
        </w:rPr>
      </w:pPr>
      <w:bookmarkStart w:id="1105" w:name="_Toc54862226"/>
      <w:bookmarkEnd w:id="1105"/>
      <w:bookmarkStart w:id="1106" w:name="_Ref531953117"/>
      <w:bookmarkEnd w:id="1106"/>
      <w:bookmarkStart w:id="1107" w:name="_Ref531953119"/>
      <w:bookmarkEnd w:id="1107"/>
      <w:bookmarkStart w:id="1108" w:name="_Toc11972"/>
      <w:bookmarkEnd w:id="1108"/>
      <w:bookmarkStart w:id="1109" w:name="_Toc27770"/>
      <w:bookmarkEnd w:id="1109"/>
      <w:r>
        <w:rPr>
          <w:rFonts w:hint="eastAsia"/>
          <w:b w:val="0"/>
          <w:bCs/>
          <w:sz w:val="21"/>
          <w:szCs w:val="21"/>
        </w:rPr>
        <w:t>5.5 操作和维修手册</w:t>
      </w:r>
    </w:p>
    <w:p w14:paraId="1B16DE5A">
      <w:pPr>
        <w:pStyle w:val="40"/>
        <w:spacing w:after="157"/>
        <w:ind w:left="0"/>
        <w:rPr>
          <w:rFonts w:hint="eastAsia" w:ascii="仿宋_GB2312" w:eastAsia="仿宋_GB2312"/>
          <w:sz w:val="21"/>
        </w:rPr>
      </w:pPr>
      <w:bookmarkStart w:id="1110" w:name="_Ref531953145"/>
      <w:bookmarkEnd w:id="1110"/>
      <w:r>
        <w:rPr>
          <w:rFonts w:hint="eastAsia" w:ascii="仿宋_GB2312" w:eastAsia="仿宋_GB2312"/>
          <w:sz w:val="21"/>
        </w:rPr>
        <w:t>5</w:t>
      </w:r>
      <w:r>
        <w:rPr>
          <w:rFonts w:ascii="仿宋_GB2312" w:eastAsia="仿宋_GB2312"/>
          <w:sz w:val="21"/>
        </w:rPr>
        <w:t xml:space="preserve">.5.1 </w:t>
      </w:r>
      <w:r>
        <w:rPr>
          <w:rFonts w:hint="eastAsia" w:ascii="仿宋_GB2312" w:eastAsia="仿宋_GB2312"/>
          <w:sz w:val="21"/>
        </w:rPr>
        <w:t>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p>
    <w:p w14:paraId="19F8C698">
      <w:pPr>
        <w:pStyle w:val="40"/>
        <w:spacing w:after="157"/>
        <w:ind w:left="0"/>
        <w:rPr>
          <w:rFonts w:hint="eastAsia" w:ascii="仿宋_GB2312" w:eastAsia="仿宋_GB2312"/>
          <w:sz w:val="21"/>
        </w:rPr>
      </w:pPr>
      <w:r>
        <w:rPr>
          <w:rFonts w:hint="eastAsia" w:ascii="仿宋_GB2312" w:eastAsia="仿宋_GB2312"/>
          <w:sz w:val="21"/>
        </w:rPr>
        <w:t>5</w:t>
      </w:r>
      <w:r>
        <w:rPr>
          <w:rFonts w:ascii="仿宋_GB2312" w:eastAsia="仿宋_GB2312"/>
          <w:sz w:val="21"/>
        </w:rPr>
        <w:t xml:space="preserve">.5.2 </w:t>
      </w:r>
      <w:r>
        <w:rPr>
          <w:rFonts w:hint="eastAsia" w:ascii="仿宋_GB2312" w:eastAsia="仿宋_GB2312"/>
          <w:sz w:val="21"/>
        </w:rPr>
        <w:t>工程师收到承包人提交的文件后，应依据第</w:t>
      </w:r>
      <w:r>
        <w:rPr>
          <w:rFonts w:ascii="仿宋_GB2312" w:eastAsia="仿宋_GB2312"/>
          <w:sz w:val="21"/>
        </w:rPr>
        <w:t>5.2</w:t>
      </w:r>
      <w:r>
        <w:rPr>
          <w:rFonts w:hint="eastAsia" w:ascii="仿宋_GB2312" w:eastAsia="仿宋_GB2312"/>
          <w:sz w:val="21"/>
        </w:rPr>
        <w:t>款[</w:t>
      </w:r>
      <w:r>
        <w:rPr>
          <w:rFonts w:ascii="仿宋_GB2312" w:eastAsia="仿宋_GB2312"/>
          <w:sz w:val="21"/>
        </w:rPr>
        <w:t>承包人文件审查</w:t>
      </w:r>
      <w:r>
        <w:rPr>
          <w:rFonts w:hint="eastAsia" w:ascii="仿宋_GB2312" w:eastAsia="仿宋_GB2312"/>
          <w:sz w:val="21"/>
        </w:rPr>
        <w:t>]的约定对操作和维修手册进行审查，在竣工试验工程中，承包人应为任何因操作和维修手册错误或遗漏引起的风险或损失承担责任。</w:t>
      </w:r>
    </w:p>
    <w:p w14:paraId="3AB1ED84">
      <w:pPr>
        <w:pStyle w:val="40"/>
        <w:spacing w:after="157"/>
        <w:ind w:left="0"/>
        <w:rPr>
          <w:rFonts w:hint="eastAsia" w:ascii="仿宋_GB2312" w:eastAsia="仿宋_GB2312"/>
          <w:sz w:val="21"/>
        </w:rPr>
      </w:pPr>
      <w:r>
        <w:rPr>
          <w:rFonts w:hint="eastAsia" w:ascii="仿宋_GB2312" w:eastAsia="仿宋_GB2312"/>
          <w:sz w:val="21"/>
        </w:rPr>
        <w:t>5</w:t>
      </w:r>
      <w:r>
        <w:rPr>
          <w:rFonts w:ascii="仿宋_GB2312" w:eastAsia="仿宋_GB2312"/>
          <w:sz w:val="21"/>
        </w:rPr>
        <w:t xml:space="preserve">.5.3 </w:t>
      </w:r>
      <w:r>
        <w:rPr>
          <w:rFonts w:hint="eastAsia" w:ascii="仿宋_GB2312" w:eastAsia="仿宋_GB2312"/>
          <w:sz w:val="21"/>
        </w:rPr>
        <w:t>除专用合同条件另有约定外，承包人应提交足够详细的最终操作和维修手册，以及在《发包人要求》中明确的相关操作和维修手册。除专用合同条件另有约定外，在工程师收到上述文件前，不应认为工程已根据第</w:t>
      </w:r>
      <w:r>
        <w:rPr>
          <w:rFonts w:ascii="仿宋_GB2312" w:eastAsia="仿宋_GB2312"/>
          <w:sz w:val="21"/>
        </w:rPr>
        <w:t>10.1</w:t>
      </w:r>
      <w:r>
        <w:rPr>
          <w:rFonts w:hint="eastAsia" w:ascii="仿宋_GB2312" w:eastAsia="仿宋_GB2312"/>
          <w:sz w:val="21"/>
        </w:rPr>
        <w:t>款[竣工验收]和第</w:t>
      </w:r>
      <w:r>
        <w:rPr>
          <w:rFonts w:ascii="仿宋_GB2312" w:eastAsia="仿宋_GB2312"/>
          <w:sz w:val="21"/>
        </w:rPr>
        <w:t>10.2</w:t>
      </w:r>
      <w:r>
        <w:rPr>
          <w:rFonts w:hint="eastAsia" w:ascii="仿宋_GB2312" w:eastAsia="仿宋_GB2312"/>
          <w:sz w:val="21"/>
        </w:rPr>
        <w:t>款[</w:t>
      </w:r>
      <w:r>
        <w:rPr>
          <w:rFonts w:ascii="仿宋_GB2312" w:eastAsia="仿宋_GB2312"/>
          <w:sz w:val="21"/>
        </w:rPr>
        <w:t>单位/区段工程的验收</w:t>
      </w:r>
      <w:r>
        <w:rPr>
          <w:rFonts w:hint="eastAsia" w:ascii="仿宋_GB2312" w:eastAsia="仿宋_GB2312"/>
          <w:sz w:val="21"/>
        </w:rPr>
        <w:t>]的约定完成验收。</w:t>
      </w:r>
    </w:p>
    <w:p w14:paraId="15C00C18">
      <w:pPr>
        <w:pStyle w:val="39"/>
        <w:widowControl/>
        <w:spacing w:afterLines="0"/>
        <w:ind w:left="0"/>
        <w:outlineLvl w:val="3"/>
        <w:rPr>
          <w:rFonts w:hint="eastAsia"/>
          <w:b w:val="0"/>
          <w:bCs/>
          <w:sz w:val="21"/>
          <w:szCs w:val="21"/>
        </w:rPr>
      </w:pPr>
      <w:bookmarkStart w:id="1111" w:name="_Toc26378"/>
      <w:bookmarkEnd w:id="1111"/>
      <w:bookmarkStart w:id="1112" w:name="_Toc54862227"/>
      <w:bookmarkEnd w:id="1112"/>
      <w:bookmarkStart w:id="1113" w:name="_Toc13129"/>
      <w:bookmarkEnd w:id="1113"/>
      <w:r>
        <w:rPr>
          <w:rFonts w:hint="eastAsia"/>
          <w:b w:val="0"/>
          <w:bCs/>
          <w:sz w:val="21"/>
          <w:szCs w:val="21"/>
        </w:rPr>
        <w:t>5.6 承包人文件错误</w:t>
      </w:r>
    </w:p>
    <w:p w14:paraId="0368E527">
      <w:pPr>
        <w:spacing w:line="360" w:lineRule="auto"/>
        <w:ind w:firstLine="600"/>
        <w:rPr>
          <w:rFonts w:ascii="仿宋_GB2312" w:eastAsia="仿宋_GB2312"/>
        </w:rPr>
      </w:pPr>
      <w:r>
        <w:rPr>
          <w:rFonts w:hint="eastAsia" w:ascii="仿宋_GB2312" w:eastAsia="仿宋_GB2312"/>
        </w:rPr>
        <w:t>承包人文件存在错误、遗漏、含混、矛盾、不充分之处或其他缺陷，无论承包人是否根据本款获得了同意，承包人均应自费对前述问题带来的缺陷和工程问题进行改正，并按照第</w:t>
      </w:r>
      <w:r>
        <w:rPr>
          <w:rFonts w:ascii="仿宋_GB2312" w:eastAsia="仿宋_GB2312"/>
        </w:rPr>
        <w:t>5.2</w:t>
      </w:r>
      <w:r>
        <w:rPr>
          <w:rFonts w:hint="eastAsia" w:ascii="仿宋_GB2312" w:eastAsia="仿宋_GB2312"/>
        </w:rPr>
        <w:t>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261A7943">
      <w:pPr>
        <w:pStyle w:val="39"/>
        <w:widowControl/>
        <w:spacing w:afterLines="0"/>
        <w:ind w:left="0"/>
        <w:rPr>
          <w:rFonts w:hint="eastAsia"/>
          <w:b w:val="0"/>
          <w:bCs/>
          <w:sz w:val="28"/>
          <w:szCs w:val="28"/>
        </w:rPr>
      </w:pPr>
      <w:bookmarkStart w:id="1114" w:name="_Ref531953761"/>
      <w:bookmarkEnd w:id="1114"/>
      <w:bookmarkStart w:id="1115" w:name="_Toc23817"/>
      <w:bookmarkEnd w:id="1115"/>
      <w:bookmarkStart w:id="1116" w:name="_Ref531953765"/>
      <w:bookmarkEnd w:id="1116"/>
      <w:bookmarkStart w:id="1117" w:name="_Toc54862228"/>
      <w:bookmarkEnd w:id="1117"/>
      <w:bookmarkStart w:id="1118" w:name="_Toc12635"/>
      <w:bookmarkEnd w:id="1118"/>
      <w:r>
        <w:rPr>
          <w:rFonts w:hint="eastAsia"/>
          <w:b w:val="0"/>
          <w:bCs/>
          <w:sz w:val="28"/>
          <w:szCs w:val="28"/>
        </w:rPr>
        <w:t>第6条 材料、工程设备</w:t>
      </w:r>
    </w:p>
    <w:p w14:paraId="6B2E64B5">
      <w:pPr>
        <w:pStyle w:val="39"/>
        <w:widowControl/>
        <w:spacing w:afterLines="0"/>
        <w:ind w:left="0"/>
        <w:outlineLvl w:val="3"/>
        <w:rPr>
          <w:rFonts w:hint="eastAsia"/>
          <w:b w:val="0"/>
          <w:bCs/>
          <w:sz w:val="21"/>
          <w:szCs w:val="21"/>
        </w:rPr>
      </w:pPr>
      <w:bookmarkStart w:id="1119" w:name="_Ref531953832"/>
      <w:bookmarkEnd w:id="1119"/>
      <w:bookmarkStart w:id="1120" w:name="_Ref531953828"/>
      <w:bookmarkEnd w:id="1120"/>
      <w:bookmarkStart w:id="1121" w:name="_Toc54862229"/>
      <w:bookmarkEnd w:id="1121"/>
      <w:bookmarkStart w:id="1122" w:name="_Toc21576"/>
      <w:bookmarkEnd w:id="1122"/>
      <w:bookmarkStart w:id="1123" w:name="_Toc4247"/>
      <w:bookmarkEnd w:id="1123"/>
      <w:r>
        <w:rPr>
          <w:rFonts w:hint="eastAsia"/>
          <w:b w:val="0"/>
          <w:bCs/>
          <w:sz w:val="21"/>
          <w:szCs w:val="21"/>
        </w:rPr>
        <w:t>6.1 实施方法</w:t>
      </w:r>
    </w:p>
    <w:p w14:paraId="359D63C2">
      <w:pPr>
        <w:spacing w:line="360" w:lineRule="auto"/>
        <w:ind w:firstLine="600"/>
        <w:rPr>
          <w:rFonts w:ascii="仿宋_GB2312" w:eastAsia="仿宋_GB2312"/>
        </w:rPr>
      </w:pPr>
      <w:r>
        <w:rPr>
          <w:rFonts w:hint="eastAsia" w:ascii="仿宋_GB2312" w:eastAsia="仿宋_GB2312"/>
        </w:rPr>
        <w:t>承包人应按以下方法进行材料的加工、工程设备的采购、制造和安装，以及工程的所有其他实施作业：</w:t>
      </w:r>
    </w:p>
    <w:p w14:paraId="1436606C">
      <w:pPr>
        <w:spacing w:line="360" w:lineRule="auto"/>
        <w:ind w:firstLine="600"/>
        <w:rPr>
          <w:rFonts w:ascii="仿宋_GB2312" w:eastAsia="仿宋_GB2312"/>
        </w:rPr>
      </w:pPr>
      <w:bookmarkStart w:id="1124" w:name="_Ref531953847"/>
      <w:bookmarkEnd w:id="1124"/>
      <w:r>
        <w:rPr>
          <w:rFonts w:hint="eastAsia" w:ascii="仿宋_GB2312" w:eastAsia="仿宋_GB2312"/>
        </w:rPr>
        <w:t>（1） 按照法律规定和合同约定的方法；</w:t>
      </w:r>
    </w:p>
    <w:p w14:paraId="63EA2182">
      <w:pPr>
        <w:spacing w:line="360" w:lineRule="auto"/>
        <w:ind w:firstLine="600"/>
        <w:rPr>
          <w:rFonts w:ascii="仿宋_GB2312" w:eastAsia="仿宋_GB2312"/>
        </w:rPr>
      </w:pPr>
      <w:r>
        <w:rPr>
          <w:rFonts w:hint="eastAsia" w:ascii="仿宋_GB2312" w:eastAsia="仿宋_GB2312"/>
        </w:rPr>
        <w:t>（2） 按照公认的良好行业习惯，使用恰当、审慎、先进的方法；</w:t>
      </w:r>
    </w:p>
    <w:p w14:paraId="50082E50">
      <w:pPr>
        <w:spacing w:line="360" w:lineRule="auto"/>
        <w:ind w:firstLine="600"/>
        <w:rPr>
          <w:rFonts w:ascii="仿宋_GB2312" w:eastAsia="仿宋_GB2312"/>
        </w:rPr>
      </w:pPr>
      <w:r>
        <w:rPr>
          <w:rFonts w:hint="eastAsia" w:ascii="仿宋_GB2312" w:eastAsia="仿宋_GB2312"/>
        </w:rPr>
        <w:t>（3） 除专用合同条件另有规定外，应使用适当配备的实施方法、设备、设施和无危险的材料。</w:t>
      </w:r>
    </w:p>
    <w:p w14:paraId="68034BA6">
      <w:pPr>
        <w:pStyle w:val="39"/>
        <w:widowControl/>
        <w:spacing w:afterLines="0"/>
        <w:ind w:left="0"/>
        <w:outlineLvl w:val="3"/>
        <w:rPr>
          <w:rFonts w:hint="eastAsia"/>
          <w:b w:val="0"/>
          <w:bCs/>
          <w:sz w:val="21"/>
          <w:szCs w:val="21"/>
        </w:rPr>
      </w:pPr>
      <w:bookmarkStart w:id="1125" w:name="_Toc13245"/>
      <w:bookmarkEnd w:id="1125"/>
      <w:bookmarkStart w:id="1126" w:name="_Toc54862230"/>
      <w:bookmarkEnd w:id="1126"/>
      <w:bookmarkStart w:id="1127" w:name="_Toc458"/>
      <w:bookmarkEnd w:id="1127"/>
      <w:bookmarkStart w:id="1128" w:name="_Ref11926422"/>
      <w:bookmarkEnd w:id="1128"/>
      <w:bookmarkStart w:id="1129" w:name="_Ref4427594"/>
      <w:r>
        <w:rPr>
          <w:rFonts w:hint="eastAsia"/>
          <w:b w:val="0"/>
          <w:bCs/>
          <w:sz w:val="21"/>
          <w:szCs w:val="21"/>
        </w:rPr>
        <w:t>6.2 材料和工程设备</w:t>
      </w:r>
    </w:p>
    <w:bookmarkEnd w:id="1129"/>
    <w:p w14:paraId="0051E741">
      <w:pPr>
        <w:pStyle w:val="40"/>
        <w:spacing w:after="157"/>
        <w:ind w:left="0"/>
        <w:outlineLvl w:val="4"/>
        <w:rPr>
          <w:rFonts w:hint="eastAsia" w:ascii="仿宋_GB2312" w:eastAsia="仿宋_GB2312"/>
          <w:sz w:val="21"/>
        </w:rPr>
      </w:pPr>
      <w:bookmarkStart w:id="1130" w:name="_Ref11960295"/>
      <w:bookmarkEnd w:id="1130"/>
      <w:r>
        <w:rPr>
          <w:rFonts w:hint="eastAsia" w:ascii="仿宋_GB2312" w:eastAsia="仿宋_GB2312"/>
          <w:sz w:val="21"/>
        </w:rPr>
        <w:t>6</w:t>
      </w:r>
      <w:r>
        <w:rPr>
          <w:rFonts w:ascii="仿宋_GB2312" w:eastAsia="仿宋_GB2312"/>
          <w:sz w:val="21"/>
        </w:rPr>
        <w:t xml:space="preserve">.2.1 </w:t>
      </w:r>
      <w:r>
        <w:rPr>
          <w:rFonts w:hint="eastAsia" w:ascii="仿宋_GB2312" w:eastAsia="仿宋_GB2312"/>
          <w:sz w:val="21"/>
        </w:rPr>
        <w:t>发包人提供的材料和工程设备</w:t>
      </w:r>
    </w:p>
    <w:p w14:paraId="2A5F1E2A">
      <w:pPr>
        <w:spacing w:line="360" w:lineRule="auto"/>
        <w:ind w:firstLine="600"/>
        <w:rPr>
          <w:rFonts w:ascii="仿宋_GB2312" w:eastAsia="仿宋_GB2312"/>
        </w:rPr>
      </w:pPr>
      <w:r>
        <w:rPr>
          <w:rFonts w:hint="eastAsia" w:ascii="仿宋_GB2312" w:eastAsia="仿宋_GB2312"/>
        </w:rPr>
        <w:t>发包人自行供应材料、工程设备的，应在订立合同时在专用合同条件的附件《发包人供应材料设备一览表》中明确材料、工程设备的品种、规格、型号、主要参数、数量、单价、质量等级和交接地点等。</w:t>
      </w:r>
    </w:p>
    <w:p w14:paraId="544E55DB">
      <w:pPr>
        <w:spacing w:line="360" w:lineRule="auto"/>
        <w:ind w:firstLine="600"/>
        <w:rPr>
          <w:rFonts w:ascii="仿宋_GB2312" w:eastAsia="仿宋_GB2312"/>
        </w:rPr>
      </w:pPr>
      <w:r>
        <w:rPr>
          <w:rFonts w:hint="eastAsia" w:ascii="仿宋_GB2312" w:eastAsia="仿宋_GB2312"/>
        </w:rPr>
        <w:t>承包人应根据项目进度计划的安排，提前28天以书面形式通知工程师供应材料与工程设备的进场计划。承包人按照第</w:t>
      </w:r>
      <w:r>
        <w:rPr>
          <w:rFonts w:ascii="仿宋_GB2312" w:eastAsia="仿宋_GB2312"/>
        </w:rPr>
        <w:t>8.4</w:t>
      </w:r>
      <w:r>
        <w:rPr>
          <w:rFonts w:hint="eastAsia" w:ascii="仿宋_GB2312" w:eastAsia="仿宋_GB2312"/>
        </w:rPr>
        <w:t>款[项目进度计划]约定修订项目进度计划时，需同时提交经修订后的发包人供应材料与工程设备的进场计划。发包人应按照上述进场计划，向承包人提交材料和工程设备。</w:t>
      </w:r>
    </w:p>
    <w:p w14:paraId="74E29256">
      <w:pPr>
        <w:spacing w:line="360" w:lineRule="auto"/>
        <w:ind w:firstLine="600"/>
        <w:rPr>
          <w:rFonts w:ascii="仿宋_GB2312" w:eastAsia="仿宋_GB2312"/>
        </w:rPr>
      </w:pPr>
      <w:r>
        <w:rPr>
          <w:rFonts w:hint="eastAsia" w:ascii="仿宋_GB2312" w:eastAsia="仿宋_GB2312"/>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64DEC73E">
      <w:pPr>
        <w:spacing w:line="360" w:lineRule="auto"/>
        <w:ind w:firstLine="600"/>
        <w:rPr>
          <w:rFonts w:ascii="仿宋_GB2312" w:eastAsia="仿宋_GB2312"/>
        </w:rPr>
      </w:pPr>
      <w:r>
        <w:rPr>
          <w:rFonts w:hint="eastAsia" w:ascii="仿宋_GB2312" w:eastAsia="仿宋_GB2312"/>
        </w:rPr>
        <w:t>发包人需要对进场计划进行变更的，承包人不得拒绝，应根据第1</w:t>
      </w:r>
      <w:r>
        <w:rPr>
          <w:rFonts w:ascii="仿宋_GB2312" w:eastAsia="仿宋_GB2312"/>
        </w:rPr>
        <w:t>3</w:t>
      </w:r>
      <w:r>
        <w:rPr>
          <w:rFonts w:hint="eastAsia" w:ascii="仿宋_GB2312" w:eastAsia="仿宋_GB2312"/>
        </w:rPr>
        <w:t>条[变更与调整]的规定执行，并由发包人承担承包人由此增加的费用，以及引起的工期延误。承包人需要对进场计划进行变更的，应事先报请工程师批准，由此增加的费用和（或）工期延误由承包人承担。</w:t>
      </w:r>
    </w:p>
    <w:p w14:paraId="70514E67">
      <w:pPr>
        <w:spacing w:line="360" w:lineRule="auto"/>
        <w:ind w:firstLine="600"/>
        <w:rPr>
          <w:rFonts w:ascii="仿宋_GB2312" w:eastAsia="仿宋_GB2312"/>
        </w:rPr>
      </w:pPr>
      <w:r>
        <w:rPr>
          <w:rFonts w:hint="eastAsia" w:ascii="仿宋_GB2312" w:eastAsia="仿宋_GB2312"/>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12808ECC">
      <w:pPr>
        <w:pStyle w:val="40"/>
        <w:spacing w:after="157"/>
        <w:ind w:left="0"/>
        <w:outlineLvl w:val="4"/>
        <w:rPr>
          <w:rFonts w:hint="eastAsia" w:ascii="仿宋_GB2312" w:eastAsia="仿宋_GB2312"/>
          <w:sz w:val="21"/>
        </w:rPr>
      </w:pPr>
      <w:bookmarkStart w:id="1131" w:name="_Ref531953918"/>
      <w:bookmarkEnd w:id="1131"/>
      <w:r>
        <w:rPr>
          <w:rFonts w:hint="eastAsia" w:ascii="仿宋_GB2312" w:eastAsia="仿宋_GB2312"/>
          <w:sz w:val="21"/>
        </w:rPr>
        <w:t>6</w:t>
      </w:r>
      <w:r>
        <w:rPr>
          <w:rFonts w:ascii="仿宋_GB2312" w:eastAsia="仿宋_GB2312"/>
          <w:sz w:val="21"/>
        </w:rPr>
        <w:t xml:space="preserve">.2.2 </w:t>
      </w:r>
      <w:r>
        <w:rPr>
          <w:rFonts w:hint="eastAsia" w:ascii="仿宋_GB2312" w:eastAsia="仿宋_GB2312"/>
          <w:sz w:val="21"/>
        </w:rPr>
        <w:t>承包人提供的材料和工程设备</w:t>
      </w:r>
    </w:p>
    <w:p w14:paraId="190A0AC2">
      <w:pPr>
        <w:spacing w:line="360" w:lineRule="auto"/>
        <w:ind w:firstLine="600"/>
        <w:rPr>
          <w:rFonts w:ascii="仿宋_GB2312" w:eastAsia="仿宋_GB2312"/>
        </w:rPr>
      </w:pPr>
      <w:r>
        <w:rPr>
          <w:rFonts w:hint="eastAsia" w:ascii="仿宋_GB2312" w:eastAsia="仿宋_GB2312"/>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1A4CA555">
      <w:pPr>
        <w:spacing w:line="360" w:lineRule="auto"/>
        <w:ind w:firstLine="600"/>
        <w:rPr>
          <w:rFonts w:ascii="仿宋_GB2312" w:eastAsia="仿宋_GB2312"/>
        </w:rPr>
      </w:pPr>
      <w:r>
        <w:rPr>
          <w:rFonts w:hint="eastAsia" w:ascii="仿宋_GB2312" w:eastAsia="仿宋_GB2312"/>
        </w:rPr>
        <w:t>承包人应按照已被批准的第</w:t>
      </w:r>
      <w:r>
        <w:rPr>
          <w:rFonts w:ascii="仿宋_GB2312" w:eastAsia="仿宋_GB2312"/>
        </w:rPr>
        <w:t>8.4</w:t>
      </w:r>
      <w:r>
        <w:rPr>
          <w:rFonts w:hint="eastAsia" w:ascii="仿宋_GB2312" w:eastAsia="仿宋_GB2312"/>
        </w:rPr>
        <w:t>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78AFCCD2">
      <w:pPr>
        <w:spacing w:line="360" w:lineRule="auto"/>
        <w:ind w:firstLine="600"/>
        <w:rPr>
          <w:rFonts w:ascii="仿宋_GB2312" w:eastAsia="仿宋_GB2312"/>
        </w:rPr>
      </w:pPr>
      <w:r>
        <w:rPr>
          <w:rFonts w:hint="eastAsia" w:ascii="仿宋_GB2312" w:eastAsia="仿宋_GB2312"/>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7A2A4F06">
      <w:pPr>
        <w:spacing w:line="360" w:lineRule="auto"/>
        <w:ind w:firstLine="600"/>
        <w:rPr>
          <w:rFonts w:ascii="仿宋_GB2312" w:eastAsia="仿宋_GB2312"/>
        </w:rPr>
      </w:pPr>
      <w:r>
        <w:rPr>
          <w:rFonts w:hint="eastAsia" w:ascii="仿宋_GB2312" w:eastAsia="仿宋_GB2312"/>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090D5D68">
      <w:pPr>
        <w:pStyle w:val="40"/>
        <w:spacing w:after="157"/>
        <w:ind w:left="0"/>
        <w:outlineLvl w:val="4"/>
        <w:rPr>
          <w:rFonts w:hint="eastAsia" w:ascii="仿宋_GB2312" w:eastAsia="仿宋_GB2312"/>
          <w:sz w:val="21"/>
        </w:rPr>
      </w:pPr>
      <w:bookmarkStart w:id="1132" w:name="_Ref531953991"/>
      <w:bookmarkEnd w:id="1132"/>
      <w:bookmarkStart w:id="1133" w:name="_Ref531953999"/>
      <w:bookmarkEnd w:id="1133"/>
      <w:r>
        <w:rPr>
          <w:rFonts w:hint="eastAsia" w:ascii="仿宋_GB2312" w:eastAsia="仿宋_GB2312"/>
          <w:sz w:val="21"/>
        </w:rPr>
        <w:t>6</w:t>
      </w:r>
      <w:r>
        <w:rPr>
          <w:rFonts w:ascii="仿宋_GB2312" w:eastAsia="仿宋_GB2312"/>
          <w:sz w:val="21"/>
        </w:rPr>
        <w:t xml:space="preserve">.2.3 </w:t>
      </w:r>
      <w:r>
        <w:rPr>
          <w:rFonts w:hint="eastAsia" w:ascii="仿宋_GB2312" w:eastAsia="仿宋_GB2312"/>
          <w:sz w:val="21"/>
        </w:rPr>
        <w:t>材料和工程设备的保管</w:t>
      </w:r>
    </w:p>
    <w:p w14:paraId="0AF6D13C">
      <w:pPr>
        <w:spacing w:line="360" w:lineRule="auto"/>
        <w:ind w:firstLine="600"/>
        <w:outlineLvl w:val="5"/>
        <w:rPr>
          <w:rFonts w:ascii="仿宋_GB2312" w:eastAsia="仿宋_GB2312"/>
        </w:rPr>
      </w:pPr>
      <w:r>
        <w:rPr>
          <w:rFonts w:hint="eastAsia" w:ascii="仿宋_GB2312" w:eastAsia="仿宋_GB2312"/>
        </w:rPr>
        <w:t>（1） 发包人供应材料与工程设备的保管与使用</w:t>
      </w:r>
    </w:p>
    <w:p w14:paraId="544F8C18">
      <w:pPr>
        <w:spacing w:line="360" w:lineRule="auto"/>
        <w:ind w:firstLine="600"/>
        <w:rPr>
          <w:rFonts w:ascii="仿宋_GB2312" w:eastAsia="仿宋_GB2312"/>
        </w:rPr>
      </w:pPr>
      <w:r>
        <w:rPr>
          <w:rFonts w:hint="eastAsia" w:ascii="仿宋_GB2312" w:eastAsia="仿宋_GB2312"/>
        </w:rPr>
        <w:t>发包人供应的材料和工程设备，承包人清点并接收后由承包人妥善保管，保管费用由承包人承担，但专用合同条件另有约定除外。因承包人原因发生丢失毁损的，由承包人负责赔偿。</w:t>
      </w:r>
    </w:p>
    <w:p w14:paraId="7DABAAFB">
      <w:pPr>
        <w:spacing w:line="360" w:lineRule="auto"/>
        <w:ind w:firstLine="600"/>
        <w:rPr>
          <w:rFonts w:ascii="仿宋_GB2312" w:eastAsia="仿宋_GB2312"/>
        </w:rPr>
      </w:pPr>
      <w:r>
        <w:rPr>
          <w:rFonts w:hint="eastAsia" w:ascii="仿宋_GB2312" w:eastAsia="仿宋_GB2312"/>
        </w:rPr>
        <w:t>发包人供应的材料和工程设备使用前，由承包人负责必要的检验，检验费用由发包人承担，不合格的不得使用。</w:t>
      </w:r>
    </w:p>
    <w:p w14:paraId="1FD10187">
      <w:pPr>
        <w:spacing w:line="360" w:lineRule="auto"/>
        <w:ind w:firstLine="600"/>
        <w:outlineLvl w:val="5"/>
        <w:rPr>
          <w:rFonts w:ascii="仿宋_GB2312" w:eastAsia="仿宋_GB2312"/>
        </w:rPr>
      </w:pPr>
      <w:r>
        <w:rPr>
          <w:rFonts w:hint="eastAsia" w:ascii="仿宋_GB2312" w:eastAsia="仿宋_GB2312"/>
        </w:rPr>
        <w:t>（2） 承包人采购材料与工程设备的保管与使用</w:t>
      </w:r>
    </w:p>
    <w:p w14:paraId="2FA5E14D">
      <w:pPr>
        <w:spacing w:line="360" w:lineRule="auto"/>
        <w:ind w:firstLine="600"/>
        <w:rPr>
          <w:rFonts w:ascii="仿宋_GB2312" w:eastAsia="仿宋_GB2312"/>
        </w:rPr>
      </w:pPr>
      <w:r>
        <w:rPr>
          <w:rFonts w:hint="eastAsia" w:ascii="仿宋_GB2312" w:eastAsia="仿宋_GB2312"/>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55344186">
      <w:pPr>
        <w:spacing w:line="360" w:lineRule="auto"/>
        <w:ind w:firstLine="600"/>
        <w:rPr>
          <w:rFonts w:ascii="仿宋_GB2312" w:eastAsia="仿宋_GB2312"/>
        </w:rPr>
      </w:pPr>
      <w:r>
        <w:rPr>
          <w:rFonts w:hint="eastAsia" w:ascii="仿宋_GB2312" w:eastAsia="仿宋_GB2312"/>
        </w:rPr>
        <w:t>工程师发现承包人使用不符合设计或有关标准要求的材料和工程设备时，有权要求承包人进行修复、拆除或重新采购，由此增加的费用和（或）延误的工期，由承包人承担。</w:t>
      </w:r>
    </w:p>
    <w:p w14:paraId="290FCED7">
      <w:pPr>
        <w:pStyle w:val="40"/>
        <w:spacing w:after="157"/>
        <w:ind w:left="0"/>
        <w:outlineLvl w:val="4"/>
        <w:rPr>
          <w:rFonts w:hint="eastAsia" w:ascii="仿宋_GB2312" w:eastAsia="仿宋_GB2312"/>
          <w:sz w:val="21"/>
        </w:rPr>
      </w:pPr>
      <w:r>
        <w:rPr>
          <w:rFonts w:hint="eastAsia" w:ascii="仿宋_GB2312" w:eastAsia="仿宋_GB2312"/>
          <w:sz w:val="21"/>
        </w:rPr>
        <w:t>6</w:t>
      </w:r>
      <w:r>
        <w:rPr>
          <w:rFonts w:ascii="仿宋_GB2312" w:eastAsia="仿宋_GB2312"/>
          <w:sz w:val="21"/>
        </w:rPr>
        <w:t xml:space="preserve">.2.4 </w:t>
      </w:r>
      <w:r>
        <w:rPr>
          <w:rFonts w:hint="eastAsia" w:ascii="仿宋_GB2312" w:eastAsia="仿宋_GB2312"/>
          <w:sz w:val="21"/>
        </w:rPr>
        <w:t>材料和工程设备的所有权</w:t>
      </w:r>
    </w:p>
    <w:p w14:paraId="36F3FBBC">
      <w:pPr>
        <w:spacing w:line="360" w:lineRule="auto"/>
        <w:ind w:firstLine="600"/>
        <w:rPr>
          <w:rFonts w:ascii="仿宋_GB2312" w:eastAsia="仿宋_GB2312"/>
        </w:rPr>
      </w:pPr>
      <w:r>
        <w:rPr>
          <w:rFonts w:hint="eastAsia" w:ascii="仿宋_GB2312" w:eastAsia="仿宋_GB2312"/>
        </w:rPr>
        <w:t>除本合同另有约定外，承包人根据第</w:t>
      </w:r>
      <w:r>
        <w:rPr>
          <w:rFonts w:ascii="仿宋_GB2312" w:eastAsia="仿宋_GB2312"/>
        </w:rPr>
        <w:t>6.2.2</w:t>
      </w:r>
      <w:r>
        <w:rPr>
          <w:rFonts w:hint="eastAsia" w:ascii="仿宋_GB2312" w:eastAsia="仿宋_GB2312"/>
        </w:rPr>
        <w:t>项[承包人提供的材料和工程设备]约定提供的材料和工程设备后，材料及工程设备的价款应列入第1</w:t>
      </w:r>
      <w:r>
        <w:rPr>
          <w:rFonts w:ascii="仿宋_GB2312" w:eastAsia="仿宋_GB2312"/>
        </w:rPr>
        <w:t>4.3.1</w:t>
      </w:r>
      <w:r>
        <w:rPr>
          <w:rFonts w:hint="eastAsia" w:ascii="仿宋_GB2312" w:eastAsia="仿宋_GB2312"/>
        </w:rPr>
        <w:t>项第（2）目的进度款金额中，发包人支付当期进度款之后，其所有权转为发包人所有（周转性材料除外）；在发包人接收工程前，承包人有义务对材料和工程设备进行保管、维护和保养，未经发包人批准不得运出现场。</w:t>
      </w:r>
    </w:p>
    <w:p w14:paraId="7A440A9C">
      <w:pPr>
        <w:spacing w:line="360" w:lineRule="auto"/>
        <w:ind w:firstLine="600"/>
        <w:rPr>
          <w:rFonts w:ascii="仿宋_GB2312" w:eastAsia="仿宋_GB2312"/>
        </w:rPr>
      </w:pPr>
      <w:r>
        <w:rPr>
          <w:rFonts w:hint="eastAsia" w:ascii="仿宋_GB2312" w:eastAsia="仿宋_GB2312"/>
        </w:rPr>
        <w:t>承包人按第</w:t>
      </w:r>
      <w:r>
        <w:rPr>
          <w:rFonts w:ascii="仿宋_GB2312" w:eastAsia="仿宋_GB2312"/>
        </w:rPr>
        <w:t>6.2.2项提供的材料和工程设备</w:t>
      </w:r>
      <w:r>
        <w:rPr>
          <w:rFonts w:hint="eastAsia" w:ascii="仿宋_GB2312" w:eastAsia="仿宋_GB2312"/>
        </w:rPr>
        <w:t>，承包人应确保发包人取得无权利负担的材料及工程设备所有权，因承包人与第三人的物权争议导致的增加的费用和（或）延误的工期，由承包人承担。</w:t>
      </w:r>
    </w:p>
    <w:p w14:paraId="17EAF9C2">
      <w:pPr>
        <w:pStyle w:val="39"/>
        <w:widowControl/>
        <w:spacing w:afterLines="0"/>
        <w:ind w:left="0"/>
        <w:outlineLvl w:val="3"/>
        <w:rPr>
          <w:rFonts w:hint="eastAsia"/>
          <w:b w:val="0"/>
          <w:bCs/>
          <w:sz w:val="21"/>
          <w:szCs w:val="21"/>
        </w:rPr>
      </w:pPr>
      <w:bookmarkStart w:id="1134" w:name="_Toc54862231"/>
      <w:bookmarkEnd w:id="1134"/>
      <w:bookmarkStart w:id="1135" w:name="_Toc8885"/>
      <w:bookmarkEnd w:id="1135"/>
      <w:bookmarkStart w:id="1136" w:name="_Ref4428239"/>
      <w:bookmarkEnd w:id="1136"/>
      <w:bookmarkStart w:id="1137" w:name="_Toc24617"/>
      <w:bookmarkEnd w:id="1137"/>
      <w:r>
        <w:rPr>
          <w:rFonts w:hint="eastAsia"/>
          <w:b w:val="0"/>
          <w:bCs/>
          <w:sz w:val="21"/>
          <w:szCs w:val="21"/>
        </w:rPr>
        <w:t>6.3 样品</w:t>
      </w:r>
    </w:p>
    <w:p w14:paraId="27FDB356">
      <w:pPr>
        <w:pStyle w:val="40"/>
        <w:spacing w:after="157"/>
        <w:ind w:left="0"/>
        <w:outlineLvl w:val="4"/>
        <w:rPr>
          <w:rFonts w:hint="eastAsia" w:ascii="仿宋_GB2312" w:eastAsia="仿宋_GB2312"/>
          <w:sz w:val="21"/>
        </w:rPr>
      </w:pPr>
      <w:r>
        <w:rPr>
          <w:rFonts w:hint="eastAsia" w:ascii="仿宋_GB2312" w:eastAsia="仿宋_GB2312"/>
          <w:sz w:val="21"/>
        </w:rPr>
        <w:t>6</w:t>
      </w:r>
      <w:r>
        <w:rPr>
          <w:rFonts w:ascii="仿宋_GB2312" w:eastAsia="仿宋_GB2312"/>
          <w:sz w:val="21"/>
        </w:rPr>
        <w:t xml:space="preserve">.3.1 </w:t>
      </w:r>
      <w:r>
        <w:rPr>
          <w:rFonts w:hint="eastAsia" w:ascii="仿宋_GB2312" w:eastAsia="仿宋_GB2312"/>
          <w:sz w:val="21"/>
        </w:rPr>
        <w:t>样品的报送与封存</w:t>
      </w:r>
    </w:p>
    <w:p w14:paraId="10DBAAF9">
      <w:pPr>
        <w:spacing w:line="360" w:lineRule="auto"/>
        <w:ind w:firstLine="600"/>
        <w:rPr>
          <w:rFonts w:ascii="仿宋_GB2312" w:eastAsia="仿宋_GB2312"/>
        </w:rPr>
      </w:pPr>
      <w:r>
        <w:rPr>
          <w:rFonts w:hint="eastAsia" w:ascii="仿宋_GB2312" w:eastAsia="仿宋_GB2312"/>
        </w:rPr>
        <w:t>需要承包人报送样品的材料或工程设备，样品的种类、名称、规格、数量等要求均应在专用合同条件中约定。样品的报送程序如下：</w:t>
      </w:r>
    </w:p>
    <w:p w14:paraId="5A62D904">
      <w:pPr>
        <w:spacing w:line="360" w:lineRule="auto"/>
        <w:ind w:firstLine="600"/>
        <w:rPr>
          <w:rFonts w:ascii="仿宋_GB2312" w:eastAsia="仿宋_GB2312"/>
        </w:rPr>
      </w:pPr>
      <w:r>
        <w:rPr>
          <w:rFonts w:hint="eastAsia" w:ascii="仿宋_GB2312" w:eastAsia="仿宋_GB2312"/>
        </w:rPr>
        <w:t>（1） 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5DF541BF">
      <w:pPr>
        <w:spacing w:line="360" w:lineRule="auto"/>
        <w:ind w:firstLine="600"/>
        <w:rPr>
          <w:rFonts w:ascii="仿宋_GB2312" w:eastAsia="仿宋_GB2312"/>
        </w:rPr>
      </w:pPr>
      <w:r>
        <w:rPr>
          <w:rFonts w:hint="eastAsia" w:ascii="仿宋_GB2312" w:eastAsia="仿宋_GB2312"/>
        </w:rPr>
        <w:t>（2） 承包人每次报送样品时应随附申报单，申报单应载明报送样品的相关数据和资料，并标明每件样品对应的图纸号，预留工程师审批意见栏。工程师应在收到承包人报送的样品后7天内向承包人回复经发包人签认的样品审批意见。</w:t>
      </w:r>
    </w:p>
    <w:p w14:paraId="51775479">
      <w:pPr>
        <w:spacing w:line="360" w:lineRule="auto"/>
        <w:ind w:firstLine="600"/>
        <w:rPr>
          <w:rFonts w:ascii="仿宋_GB2312" w:eastAsia="仿宋_GB2312"/>
        </w:rPr>
      </w:pPr>
      <w:r>
        <w:rPr>
          <w:rFonts w:hint="eastAsia" w:ascii="仿宋_GB2312" w:eastAsia="仿宋_GB2312"/>
        </w:rPr>
        <w:t>（3） 经工程师审批确认的样品应按约定的方法封样，封存的样品作为检验工程相关部分的标准之一。承包人在施工过程中不得使用与样品不符的材料或工程设备。</w:t>
      </w:r>
    </w:p>
    <w:p w14:paraId="74D9A1B3">
      <w:pPr>
        <w:spacing w:line="360" w:lineRule="auto"/>
        <w:ind w:firstLine="600"/>
        <w:rPr>
          <w:rFonts w:ascii="仿宋_GB2312" w:eastAsia="仿宋_GB2312"/>
        </w:rPr>
      </w:pPr>
      <w:r>
        <w:rPr>
          <w:rFonts w:hint="eastAsia" w:ascii="仿宋_GB2312" w:eastAsia="仿宋_GB2312"/>
        </w:rPr>
        <w:t>（4） 工程师对样品的审批确认仅为确认相关材料或工程设备的特征或用途，不得被理解为对合同的修改或改变，也并不减轻或免除承包人任何责任和义务。如果封存的样品修改或改变了合同约定，合同当事人应当以书面协议予以确认。</w:t>
      </w:r>
    </w:p>
    <w:p w14:paraId="1EAFDD02">
      <w:pPr>
        <w:pStyle w:val="40"/>
        <w:spacing w:after="157"/>
        <w:ind w:left="0"/>
        <w:outlineLvl w:val="4"/>
        <w:rPr>
          <w:rFonts w:hint="eastAsia" w:ascii="仿宋_GB2312" w:eastAsia="仿宋_GB2312"/>
          <w:sz w:val="21"/>
        </w:rPr>
      </w:pPr>
      <w:r>
        <w:rPr>
          <w:rFonts w:hint="eastAsia" w:ascii="仿宋_GB2312" w:eastAsia="仿宋_GB2312"/>
          <w:sz w:val="21"/>
        </w:rPr>
        <w:t>6</w:t>
      </w:r>
      <w:r>
        <w:rPr>
          <w:rFonts w:ascii="仿宋_GB2312" w:eastAsia="仿宋_GB2312"/>
          <w:sz w:val="21"/>
        </w:rPr>
        <w:t xml:space="preserve">.3.2 </w:t>
      </w:r>
      <w:r>
        <w:rPr>
          <w:rFonts w:hint="eastAsia" w:ascii="仿宋_GB2312" w:eastAsia="仿宋_GB2312"/>
          <w:sz w:val="21"/>
        </w:rPr>
        <w:t>样品的保管</w:t>
      </w:r>
    </w:p>
    <w:p w14:paraId="496E68C5">
      <w:pPr>
        <w:spacing w:line="360" w:lineRule="auto"/>
        <w:ind w:firstLine="600"/>
        <w:rPr>
          <w:rFonts w:ascii="仿宋_GB2312" w:eastAsia="仿宋_GB2312"/>
        </w:rPr>
      </w:pPr>
      <w:r>
        <w:rPr>
          <w:rFonts w:hint="eastAsia" w:ascii="仿宋_GB2312" w:eastAsia="仿宋_GB2312"/>
        </w:rPr>
        <w:t>经批准的样品应由工程师负责封存于现场，承包人应在现场为保存样品提供适当和固定的场所并保持适当和良好的存储环境条件。</w:t>
      </w:r>
    </w:p>
    <w:p w14:paraId="4A301BB5">
      <w:pPr>
        <w:pStyle w:val="39"/>
        <w:widowControl/>
        <w:spacing w:afterLines="0"/>
        <w:ind w:left="0"/>
        <w:outlineLvl w:val="3"/>
        <w:rPr>
          <w:rFonts w:hint="eastAsia"/>
          <w:b w:val="0"/>
          <w:bCs/>
          <w:sz w:val="21"/>
          <w:szCs w:val="21"/>
        </w:rPr>
      </w:pPr>
      <w:bookmarkStart w:id="1138" w:name="_Toc23052"/>
      <w:bookmarkEnd w:id="1138"/>
      <w:bookmarkStart w:id="1139" w:name="_Toc54862232"/>
      <w:bookmarkEnd w:id="1139"/>
      <w:bookmarkStart w:id="1140" w:name="_Toc20476"/>
      <w:bookmarkEnd w:id="1140"/>
      <w:bookmarkStart w:id="1141" w:name="_Ref11959210"/>
      <w:bookmarkEnd w:id="1141"/>
      <w:bookmarkStart w:id="1142" w:name="_Ref11959204"/>
      <w:bookmarkEnd w:id="1142"/>
      <w:r>
        <w:rPr>
          <w:rFonts w:hint="eastAsia"/>
          <w:b w:val="0"/>
          <w:bCs/>
          <w:sz w:val="21"/>
          <w:szCs w:val="21"/>
        </w:rPr>
        <w:t>6.4 质量检查</w:t>
      </w:r>
    </w:p>
    <w:p w14:paraId="3A5138DC">
      <w:pPr>
        <w:pStyle w:val="40"/>
        <w:spacing w:after="157"/>
        <w:ind w:left="0"/>
        <w:outlineLvl w:val="4"/>
        <w:rPr>
          <w:rFonts w:hint="eastAsia" w:ascii="仿宋_GB2312" w:eastAsia="仿宋_GB2312"/>
          <w:sz w:val="21"/>
        </w:rPr>
      </w:pPr>
      <w:bookmarkStart w:id="1143" w:name="_Ref18990699"/>
      <w:bookmarkEnd w:id="1143"/>
      <w:r>
        <w:rPr>
          <w:rFonts w:hint="eastAsia" w:ascii="仿宋_GB2312" w:eastAsia="仿宋_GB2312"/>
          <w:sz w:val="21"/>
        </w:rPr>
        <w:t>6</w:t>
      </w:r>
      <w:r>
        <w:rPr>
          <w:rFonts w:ascii="仿宋_GB2312" w:eastAsia="仿宋_GB2312"/>
          <w:sz w:val="21"/>
        </w:rPr>
        <w:t xml:space="preserve">.4.1 </w:t>
      </w:r>
      <w:r>
        <w:rPr>
          <w:rFonts w:hint="eastAsia" w:ascii="仿宋_GB2312" w:eastAsia="仿宋_GB2312"/>
          <w:sz w:val="21"/>
        </w:rPr>
        <w:t>工程质量要求</w:t>
      </w:r>
    </w:p>
    <w:p w14:paraId="01DCF920">
      <w:pPr>
        <w:spacing w:line="360" w:lineRule="auto"/>
        <w:ind w:firstLine="600"/>
        <w:rPr>
          <w:rFonts w:ascii="仿宋_GB2312" w:eastAsia="仿宋_GB2312"/>
        </w:rPr>
      </w:pPr>
      <w:r>
        <w:rPr>
          <w:rFonts w:hint="eastAsia" w:ascii="仿宋_GB2312" w:eastAsia="仿宋_GB2312"/>
        </w:rPr>
        <w:t>工程质量标准必须符合现行国家有关工程施工质量验收规范和标准的要求。有关工程质量的特殊标准或要求由合同当事人在专用合同条件中约定。</w:t>
      </w:r>
    </w:p>
    <w:p w14:paraId="573E72FD">
      <w:pPr>
        <w:spacing w:line="360" w:lineRule="auto"/>
        <w:ind w:firstLine="600"/>
        <w:rPr>
          <w:rFonts w:ascii="仿宋_GB2312" w:eastAsia="仿宋_GB2312"/>
        </w:rPr>
      </w:pPr>
      <w:r>
        <w:rPr>
          <w:rFonts w:hint="eastAsia" w:ascii="仿宋_GB2312" w:eastAsia="仿宋_GB2312"/>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285F092C">
      <w:pPr>
        <w:pStyle w:val="40"/>
        <w:spacing w:after="157"/>
        <w:ind w:left="0"/>
        <w:outlineLvl w:val="4"/>
        <w:rPr>
          <w:rFonts w:hint="eastAsia" w:ascii="仿宋_GB2312" w:eastAsia="仿宋_GB2312"/>
          <w:sz w:val="21"/>
        </w:rPr>
      </w:pPr>
      <w:bookmarkStart w:id="1144" w:name="_Ref18990717"/>
      <w:bookmarkEnd w:id="1144"/>
      <w:r>
        <w:rPr>
          <w:rFonts w:hint="eastAsia" w:ascii="仿宋_GB2312" w:eastAsia="仿宋_GB2312"/>
          <w:sz w:val="21"/>
        </w:rPr>
        <w:t>6</w:t>
      </w:r>
      <w:r>
        <w:rPr>
          <w:rFonts w:ascii="仿宋_GB2312" w:eastAsia="仿宋_GB2312"/>
          <w:sz w:val="21"/>
        </w:rPr>
        <w:t xml:space="preserve">.4.2 </w:t>
      </w:r>
      <w:r>
        <w:rPr>
          <w:rFonts w:hint="eastAsia" w:ascii="仿宋_GB2312" w:eastAsia="仿宋_GB2312"/>
          <w:sz w:val="21"/>
        </w:rPr>
        <w:t>质量检查</w:t>
      </w:r>
    </w:p>
    <w:p w14:paraId="09D9018C">
      <w:pPr>
        <w:spacing w:line="360" w:lineRule="auto"/>
        <w:ind w:firstLine="600"/>
        <w:rPr>
          <w:rFonts w:ascii="仿宋_GB2312" w:eastAsia="仿宋_GB2312"/>
        </w:rPr>
      </w:pPr>
      <w:r>
        <w:rPr>
          <w:rFonts w:hint="eastAsia" w:ascii="仿宋_GB2312" w:eastAsia="仿宋_GB2312"/>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查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41E8BCD0">
      <w:pPr>
        <w:pStyle w:val="40"/>
        <w:spacing w:after="157"/>
        <w:ind w:left="0"/>
        <w:outlineLvl w:val="4"/>
        <w:rPr>
          <w:rFonts w:hint="eastAsia" w:ascii="仿宋_GB2312" w:eastAsia="仿宋_GB2312"/>
          <w:sz w:val="21"/>
        </w:rPr>
      </w:pPr>
      <w:bookmarkStart w:id="1145" w:name="_Ref11959222"/>
      <w:bookmarkEnd w:id="1145"/>
      <w:r>
        <w:rPr>
          <w:rFonts w:hint="eastAsia" w:ascii="仿宋_GB2312" w:eastAsia="仿宋_GB2312"/>
          <w:sz w:val="21"/>
        </w:rPr>
        <w:t>6</w:t>
      </w:r>
      <w:r>
        <w:rPr>
          <w:rFonts w:ascii="仿宋_GB2312" w:eastAsia="仿宋_GB2312"/>
          <w:sz w:val="21"/>
        </w:rPr>
        <w:t xml:space="preserve">.4.3 </w:t>
      </w:r>
      <w:r>
        <w:rPr>
          <w:rFonts w:hint="eastAsia" w:ascii="仿宋_GB2312" w:eastAsia="仿宋_GB2312"/>
          <w:sz w:val="21"/>
        </w:rPr>
        <w:t>隐蔽工程检查</w:t>
      </w:r>
    </w:p>
    <w:p w14:paraId="573755D2">
      <w:pPr>
        <w:spacing w:line="360" w:lineRule="auto"/>
        <w:ind w:firstLine="600"/>
        <w:rPr>
          <w:rFonts w:ascii="仿宋_GB2312" w:eastAsia="仿宋_GB2312"/>
        </w:rPr>
      </w:pPr>
      <w:r>
        <w:rPr>
          <w:rFonts w:hint="eastAsia" w:ascii="仿宋_GB2312" w:eastAsia="仿宋_GB2312"/>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38FF2D19">
      <w:pPr>
        <w:spacing w:line="360" w:lineRule="auto"/>
        <w:ind w:firstLine="600"/>
        <w:rPr>
          <w:rFonts w:ascii="仿宋_GB2312" w:eastAsia="仿宋_GB2312"/>
        </w:rPr>
      </w:pPr>
      <w:r>
        <w:rPr>
          <w:rFonts w:hint="eastAsia" w:ascii="仿宋_GB2312" w:eastAsia="仿宋_GB2312"/>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4FC9357C">
      <w:pPr>
        <w:spacing w:line="360" w:lineRule="auto"/>
        <w:ind w:firstLine="600"/>
        <w:rPr>
          <w:rFonts w:ascii="仿宋_GB2312" w:eastAsia="仿宋_GB2312"/>
        </w:rPr>
      </w:pPr>
      <w:r>
        <w:rPr>
          <w:rFonts w:hint="eastAsia" w:ascii="仿宋_GB2312" w:eastAsia="仿宋_GB2312"/>
        </w:rPr>
        <w:t>除专用合同条件另有约定外，工程师不能按时进行检查的，应提前向承包人提交书面延期要求，顺延时间不得超过</w:t>
      </w:r>
      <w:r>
        <w:rPr>
          <w:rFonts w:ascii="仿宋_GB2312" w:eastAsia="仿宋_GB2312"/>
        </w:rPr>
        <w:t>48小时，</w:t>
      </w:r>
      <w:r>
        <w:rPr>
          <w:rFonts w:hint="eastAsia" w:ascii="仿宋_GB2312" w:eastAsia="仿宋_GB2312"/>
        </w:rPr>
        <w:t>由此导致工期延误的，工期应予以顺延，顺延超过</w:t>
      </w:r>
      <w:r>
        <w:rPr>
          <w:rFonts w:ascii="仿宋_GB2312" w:eastAsia="仿宋_GB2312"/>
        </w:rPr>
        <w:t>48小时的，由此导致的工期延误及费用增加由发包人承担</w:t>
      </w:r>
      <w:r>
        <w:rPr>
          <w:rFonts w:hint="eastAsia" w:ascii="仿宋_GB2312" w:eastAsia="仿宋_GB2312"/>
        </w:rPr>
        <w:t>。工程师未按时进行检查，也未提出延期要求的，视为隐蔽工程检查合格，承包人可自行完成覆盖工作，并</w:t>
      </w:r>
      <w:r>
        <w:rPr>
          <w:rFonts w:hint="eastAsia" w:ascii="仿宋_GB2312" w:eastAsia="仿宋_GB2312"/>
          <w:lang w:eastAsia="zh-CN"/>
        </w:rPr>
        <w:t>做</w:t>
      </w:r>
      <w:r>
        <w:rPr>
          <w:rFonts w:hint="eastAsia" w:ascii="仿宋_GB2312" w:eastAsia="仿宋_GB2312"/>
        </w:rPr>
        <w:t>相应记录报送工程师，工程师应签字确认。工程师事后对检查记录有疑问的，可按下列约定重新检查。</w:t>
      </w:r>
    </w:p>
    <w:p w14:paraId="371C477B">
      <w:pPr>
        <w:spacing w:line="360" w:lineRule="auto"/>
        <w:ind w:firstLine="600"/>
        <w:rPr>
          <w:rFonts w:ascii="仿宋_GB2312" w:eastAsia="仿宋_GB2312"/>
        </w:rPr>
      </w:pPr>
      <w:r>
        <w:rPr>
          <w:rFonts w:hint="eastAsia" w:ascii="仿宋_GB2312" w:eastAsia="仿宋_GB2312"/>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063DA342">
      <w:pPr>
        <w:spacing w:line="360" w:lineRule="auto"/>
        <w:ind w:firstLine="600"/>
        <w:rPr>
          <w:rFonts w:ascii="仿宋_GB2312" w:eastAsia="仿宋_GB2312"/>
        </w:rPr>
      </w:pPr>
      <w:r>
        <w:rPr>
          <w:rFonts w:hint="eastAsia" w:ascii="仿宋_GB2312" w:eastAsia="仿宋_GB2312"/>
        </w:rPr>
        <w:t>承包人未通知工程师到场检查，私自将工程隐蔽部位覆盖的，工程师有权指示承包人钻孔探测或揭开检查，无论工程隐蔽部位质量是否合格，由此增加的费用和（或）延误的工期均由承包人承担。</w:t>
      </w:r>
    </w:p>
    <w:p w14:paraId="0CE72ECF">
      <w:pPr>
        <w:pStyle w:val="39"/>
        <w:widowControl/>
        <w:spacing w:afterLines="0"/>
        <w:ind w:left="0"/>
        <w:outlineLvl w:val="3"/>
        <w:rPr>
          <w:rFonts w:hint="eastAsia"/>
          <w:b w:val="0"/>
          <w:bCs/>
          <w:sz w:val="21"/>
          <w:szCs w:val="21"/>
        </w:rPr>
      </w:pPr>
      <w:bookmarkStart w:id="1146" w:name="_Ref11959158"/>
      <w:bookmarkEnd w:id="1146"/>
      <w:bookmarkStart w:id="1147" w:name="_Ref11959175"/>
      <w:bookmarkEnd w:id="1147"/>
      <w:bookmarkStart w:id="1148" w:name="_Ref11927389"/>
      <w:bookmarkEnd w:id="1148"/>
      <w:bookmarkStart w:id="1149" w:name="_Ref11927403"/>
      <w:bookmarkEnd w:id="1149"/>
      <w:bookmarkStart w:id="1150" w:name="_Toc15662"/>
      <w:bookmarkEnd w:id="1150"/>
      <w:bookmarkStart w:id="1151" w:name="_Toc54862233"/>
      <w:bookmarkEnd w:id="1151"/>
      <w:bookmarkStart w:id="1152" w:name="_Toc25201"/>
      <w:bookmarkEnd w:id="1152"/>
      <w:bookmarkStart w:id="1153" w:name="_Ref11927398"/>
      <w:bookmarkEnd w:id="1153"/>
      <w:r>
        <w:rPr>
          <w:rFonts w:hint="eastAsia"/>
          <w:b w:val="0"/>
          <w:bCs/>
          <w:sz w:val="21"/>
          <w:szCs w:val="21"/>
        </w:rPr>
        <w:t>6.5 由承包人试验和检验</w:t>
      </w:r>
    </w:p>
    <w:p w14:paraId="53B0FA53">
      <w:pPr>
        <w:pStyle w:val="40"/>
        <w:spacing w:after="157"/>
        <w:ind w:left="0"/>
        <w:outlineLvl w:val="4"/>
        <w:rPr>
          <w:rFonts w:hint="eastAsia" w:ascii="仿宋_GB2312" w:eastAsia="仿宋_GB2312"/>
          <w:sz w:val="21"/>
        </w:rPr>
      </w:pPr>
      <w:r>
        <w:rPr>
          <w:rFonts w:hint="eastAsia" w:ascii="仿宋_GB2312" w:eastAsia="仿宋_GB2312"/>
          <w:sz w:val="21"/>
        </w:rPr>
        <w:t>6</w:t>
      </w:r>
      <w:r>
        <w:rPr>
          <w:rFonts w:ascii="仿宋_GB2312" w:eastAsia="仿宋_GB2312"/>
          <w:sz w:val="21"/>
        </w:rPr>
        <w:t xml:space="preserve">.5.1 </w:t>
      </w:r>
      <w:r>
        <w:rPr>
          <w:rFonts w:hint="eastAsia" w:ascii="仿宋_GB2312" w:eastAsia="仿宋_GB2312"/>
          <w:sz w:val="21"/>
        </w:rPr>
        <w:t>试验设备与试验人员</w:t>
      </w:r>
    </w:p>
    <w:p w14:paraId="54DC2A4D">
      <w:pPr>
        <w:spacing w:line="360" w:lineRule="auto"/>
        <w:ind w:firstLine="600"/>
        <w:rPr>
          <w:rFonts w:ascii="仿宋_GB2312" w:eastAsia="仿宋_GB2312"/>
        </w:rPr>
      </w:pPr>
      <w:r>
        <w:rPr>
          <w:rFonts w:hint="eastAsia" w:ascii="仿宋_GB2312" w:eastAsia="仿宋_GB2312"/>
        </w:rPr>
        <w:t>（1）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591C9E67">
      <w:pPr>
        <w:spacing w:line="360" w:lineRule="auto"/>
        <w:ind w:firstLine="600"/>
        <w:rPr>
          <w:rFonts w:ascii="仿宋_GB2312" w:eastAsia="仿宋_GB2312"/>
        </w:rPr>
      </w:pPr>
      <w:r>
        <w:rPr>
          <w:rFonts w:hint="eastAsia" w:ascii="仿宋_GB2312" w:eastAsia="仿宋_GB2312"/>
        </w:rPr>
        <w:t>（2） 承包人应按专用合同条件约定的试验内容、时间和地点提供试验设备、取样装置、试验场所和试验条件，并向工程师提交相应进场计划表。</w:t>
      </w:r>
    </w:p>
    <w:p w14:paraId="24D68539">
      <w:pPr>
        <w:spacing w:line="360" w:lineRule="auto"/>
        <w:ind w:firstLine="600"/>
        <w:rPr>
          <w:rFonts w:ascii="仿宋_GB2312" w:eastAsia="仿宋_GB2312"/>
        </w:rPr>
      </w:pPr>
      <w:r>
        <w:rPr>
          <w:rFonts w:hint="eastAsia" w:ascii="仿宋_GB2312" w:eastAsia="仿宋_GB2312"/>
        </w:rPr>
        <w:t>承包人配置的试验设备要符合相应试验规程的要求并经过具有资质的检测单位检测，且在正式使用该试验设备前，需要经过工程师与承包人共同校定。</w:t>
      </w:r>
    </w:p>
    <w:p w14:paraId="35C1FD2C">
      <w:pPr>
        <w:spacing w:line="360" w:lineRule="auto"/>
        <w:ind w:firstLine="600"/>
        <w:rPr>
          <w:rFonts w:ascii="仿宋_GB2312" w:eastAsia="仿宋_GB2312"/>
        </w:rPr>
      </w:pPr>
      <w:r>
        <w:rPr>
          <w:rFonts w:hint="eastAsia" w:ascii="仿宋_GB2312" w:eastAsia="仿宋_GB2312"/>
        </w:rPr>
        <w:t>（3） 承包人应向工程师提交试验人员的名单及其岗位、资格等证明资料，试验人员必须能够熟练进行相应的检测试验，承包人对试验人员的试验程序和试验结果的正确性负责。</w:t>
      </w:r>
    </w:p>
    <w:p w14:paraId="61419C21">
      <w:pPr>
        <w:pStyle w:val="40"/>
        <w:spacing w:after="157"/>
        <w:ind w:left="0"/>
        <w:outlineLvl w:val="4"/>
        <w:rPr>
          <w:rFonts w:hint="eastAsia" w:ascii="仿宋_GB2312" w:eastAsia="仿宋_GB2312"/>
          <w:sz w:val="21"/>
        </w:rPr>
      </w:pPr>
      <w:r>
        <w:rPr>
          <w:rFonts w:hint="eastAsia" w:ascii="仿宋_GB2312" w:eastAsia="仿宋_GB2312"/>
          <w:sz w:val="21"/>
        </w:rPr>
        <w:t>6</w:t>
      </w:r>
      <w:r>
        <w:rPr>
          <w:rFonts w:ascii="仿宋_GB2312" w:eastAsia="仿宋_GB2312"/>
          <w:sz w:val="21"/>
        </w:rPr>
        <w:t xml:space="preserve">.5.2 </w:t>
      </w:r>
      <w:r>
        <w:rPr>
          <w:rFonts w:hint="eastAsia" w:ascii="仿宋_GB2312" w:eastAsia="仿宋_GB2312"/>
          <w:sz w:val="21"/>
        </w:rPr>
        <w:t>取样</w:t>
      </w:r>
    </w:p>
    <w:p w14:paraId="6FF53430">
      <w:pPr>
        <w:spacing w:line="360" w:lineRule="auto"/>
        <w:ind w:firstLine="600"/>
        <w:rPr>
          <w:rFonts w:ascii="仿宋_GB2312" w:eastAsia="仿宋_GB2312"/>
        </w:rPr>
      </w:pPr>
      <w:r>
        <w:rPr>
          <w:rFonts w:hint="eastAsia" w:ascii="仿宋_GB2312" w:eastAsia="仿宋_GB2312"/>
        </w:rPr>
        <w:t>试验属于自检性质的，承包人可以单独取样。试验属于工程师抽检性质的，可由工程师取样，也可由承包人的试验人员在工程师的监督下取样。</w:t>
      </w:r>
    </w:p>
    <w:p w14:paraId="217292CD">
      <w:pPr>
        <w:pStyle w:val="40"/>
        <w:spacing w:after="157"/>
        <w:ind w:left="0"/>
        <w:outlineLvl w:val="4"/>
        <w:rPr>
          <w:rFonts w:hint="eastAsia" w:ascii="仿宋_GB2312" w:eastAsia="仿宋_GB2312"/>
          <w:sz w:val="21"/>
        </w:rPr>
      </w:pPr>
      <w:r>
        <w:rPr>
          <w:rFonts w:hint="eastAsia" w:ascii="仿宋_GB2312" w:eastAsia="仿宋_GB2312"/>
          <w:sz w:val="21"/>
        </w:rPr>
        <w:t>6</w:t>
      </w:r>
      <w:r>
        <w:rPr>
          <w:rFonts w:ascii="仿宋_GB2312" w:eastAsia="仿宋_GB2312"/>
          <w:sz w:val="21"/>
        </w:rPr>
        <w:t xml:space="preserve">.5.3 </w:t>
      </w:r>
      <w:r>
        <w:rPr>
          <w:rFonts w:hint="eastAsia" w:ascii="仿宋_GB2312" w:eastAsia="仿宋_GB2312"/>
          <w:sz w:val="21"/>
        </w:rPr>
        <w:t>材料、工程设备和工程的试验和检验</w:t>
      </w:r>
    </w:p>
    <w:p w14:paraId="1E436CAF">
      <w:pPr>
        <w:spacing w:line="360" w:lineRule="auto"/>
        <w:ind w:firstLine="600"/>
        <w:rPr>
          <w:rFonts w:ascii="仿宋_GB2312" w:eastAsia="仿宋_GB2312"/>
        </w:rPr>
      </w:pPr>
      <w:r>
        <w:rPr>
          <w:rFonts w:hint="eastAsia" w:ascii="仿宋_GB2312" w:eastAsia="仿宋_GB2312"/>
        </w:rPr>
        <w:t>（1）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56A25109">
      <w:pPr>
        <w:spacing w:line="360" w:lineRule="auto"/>
        <w:ind w:firstLine="600"/>
        <w:rPr>
          <w:rFonts w:ascii="仿宋_GB2312" w:eastAsia="仿宋_GB2312"/>
        </w:rPr>
      </w:pPr>
      <w:r>
        <w:rPr>
          <w:rFonts w:hint="eastAsia" w:ascii="仿宋_GB2312" w:eastAsia="仿宋_GB2312"/>
        </w:rPr>
        <w:t>（2）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3D33625C">
      <w:pPr>
        <w:spacing w:line="360" w:lineRule="auto"/>
        <w:ind w:firstLine="600"/>
        <w:rPr>
          <w:rFonts w:ascii="仿宋_GB2312" w:eastAsia="仿宋_GB2312"/>
        </w:rPr>
      </w:pPr>
      <w:r>
        <w:rPr>
          <w:rFonts w:hint="eastAsia" w:ascii="仿宋_GB2312" w:eastAsia="仿宋_GB2312"/>
        </w:rPr>
        <w:t>（3）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56554A14">
      <w:pPr>
        <w:pStyle w:val="40"/>
        <w:spacing w:after="157"/>
        <w:ind w:left="0"/>
        <w:outlineLvl w:val="4"/>
        <w:rPr>
          <w:rFonts w:hint="eastAsia" w:ascii="仿宋_GB2312" w:eastAsia="仿宋_GB2312"/>
          <w:sz w:val="21"/>
        </w:rPr>
      </w:pPr>
      <w:bookmarkStart w:id="1154" w:name="_Toc351203566"/>
      <w:bookmarkEnd w:id="1154"/>
      <w:r>
        <w:rPr>
          <w:rFonts w:hint="eastAsia" w:ascii="仿宋_GB2312" w:eastAsia="仿宋_GB2312"/>
          <w:sz w:val="21"/>
        </w:rPr>
        <w:t>6</w:t>
      </w:r>
      <w:r>
        <w:rPr>
          <w:rFonts w:ascii="仿宋_GB2312" w:eastAsia="仿宋_GB2312"/>
          <w:sz w:val="21"/>
        </w:rPr>
        <w:t xml:space="preserve">.5.4 </w:t>
      </w:r>
      <w:r>
        <w:rPr>
          <w:rFonts w:hint="eastAsia" w:ascii="仿宋_GB2312" w:eastAsia="仿宋_GB2312"/>
          <w:sz w:val="21"/>
        </w:rPr>
        <w:t>现场工艺试验</w:t>
      </w:r>
    </w:p>
    <w:p w14:paraId="38291D2F">
      <w:pPr>
        <w:spacing w:line="360" w:lineRule="auto"/>
        <w:ind w:firstLine="600"/>
        <w:rPr>
          <w:rFonts w:ascii="仿宋_GB2312" w:eastAsia="仿宋_GB2312"/>
        </w:rPr>
      </w:pPr>
      <w:r>
        <w:rPr>
          <w:rFonts w:hint="eastAsia" w:ascii="仿宋_GB2312" w:eastAsia="仿宋_GB2312"/>
        </w:rPr>
        <w:t>承包人应按合同约定进行现场工艺试验。对大型的现场工艺试验，发包人认为必要时，承包人应根据发包人提出的工艺试验要求，编制工艺试验措施计划，报送发包人审查。</w:t>
      </w:r>
    </w:p>
    <w:p w14:paraId="19616A12">
      <w:pPr>
        <w:pStyle w:val="39"/>
        <w:widowControl/>
        <w:spacing w:afterLines="0"/>
        <w:ind w:left="0"/>
        <w:outlineLvl w:val="3"/>
        <w:rPr>
          <w:rFonts w:hint="eastAsia"/>
          <w:b w:val="0"/>
          <w:bCs/>
          <w:sz w:val="21"/>
          <w:szCs w:val="21"/>
        </w:rPr>
      </w:pPr>
      <w:bookmarkStart w:id="1155" w:name="_Toc54862234"/>
      <w:bookmarkEnd w:id="1155"/>
      <w:bookmarkStart w:id="1156" w:name="_Ref532592784"/>
      <w:bookmarkEnd w:id="1156"/>
      <w:bookmarkStart w:id="1157" w:name="_Ref532592787"/>
      <w:bookmarkEnd w:id="1157"/>
      <w:bookmarkStart w:id="1158" w:name="_Toc2036"/>
      <w:bookmarkEnd w:id="1158"/>
      <w:bookmarkStart w:id="1159" w:name="_Toc11201"/>
      <w:bookmarkEnd w:id="1159"/>
      <w:r>
        <w:rPr>
          <w:rFonts w:hint="eastAsia"/>
          <w:b w:val="0"/>
          <w:bCs/>
          <w:sz w:val="21"/>
          <w:szCs w:val="21"/>
        </w:rPr>
        <w:t>6.6 缺陷和修补</w:t>
      </w:r>
    </w:p>
    <w:p w14:paraId="4F5AC6C3">
      <w:pPr>
        <w:pStyle w:val="40"/>
        <w:spacing w:after="157"/>
        <w:ind w:left="0"/>
        <w:outlineLvl w:val="4"/>
        <w:rPr>
          <w:rFonts w:hint="eastAsia" w:ascii="仿宋_GB2312" w:eastAsia="仿宋_GB2312"/>
          <w:sz w:val="21"/>
        </w:rPr>
      </w:pPr>
      <w:bookmarkStart w:id="1160" w:name="_Ref16875551"/>
      <w:bookmarkEnd w:id="1160"/>
      <w:r>
        <w:rPr>
          <w:rFonts w:hint="eastAsia" w:ascii="仿宋_GB2312" w:eastAsia="仿宋_GB2312"/>
          <w:sz w:val="21"/>
        </w:rPr>
        <w:t>6</w:t>
      </w:r>
      <w:r>
        <w:rPr>
          <w:rFonts w:ascii="仿宋_GB2312" w:eastAsia="仿宋_GB2312"/>
          <w:sz w:val="21"/>
        </w:rPr>
        <w:t xml:space="preserve">.6.1 </w:t>
      </w:r>
      <w:r>
        <w:rPr>
          <w:rFonts w:hint="eastAsia" w:ascii="仿宋_GB2312" w:eastAsia="仿宋_GB2312"/>
          <w:sz w:val="21"/>
        </w:rPr>
        <w:t>发包人可在颁发接收证书前随时指示承包人：</w:t>
      </w:r>
    </w:p>
    <w:p w14:paraId="5606E1A1">
      <w:pPr>
        <w:spacing w:line="360" w:lineRule="auto"/>
        <w:ind w:firstLine="600"/>
        <w:rPr>
          <w:rFonts w:ascii="仿宋_GB2312" w:eastAsia="仿宋_GB2312"/>
        </w:rPr>
      </w:pPr>
      <w:r>
        <w:rPr>
          <w:rFonts w:hint="eastAsia" w:ascii="仿宋_GB2312" w:eastAsia="仿宋_GB2312"/>
        </w:rPr>
        <w:t>（1） 对不符合合同要求的任何工程设备或材料进行修补，或者将其移出现场并进行更换；</w:t>
      </w:r>
    </w:p>
    <w:p w14:paraId="18E844C9">
      <w:pPr>
        <w:spacing w:line="360" w:lineRule="auto"/>
        <w:ind w:firstLine="600"/>
        <w:rPr>
          <w:rFonts w:ascii="仿宋_GB2312" w:eastAsia="仿宋_GB2312"/>
        </w:rPr>
      </w:pPr>
      <w:r>
        <w:rPr>
          <w:rFonts w:hint="eastAsia" w:ascii="仿宋_GB2312" w:eastAsia="仿宋_GB2312"/>
        </w:rPr>
        <w:t xml:space="preserve">（2） 对不符合合同的其他工作进行修补，或者将其去除并重新实施； </w:t>
      </w:r>
    </w:p>
    <w:p w14:paraId="59056D66">
      <w:pPr>
        <w:spacing w:line="360" w:lineRule="auto"/>
        <w:ind w:firstLine="600"/>
        <w:rPr>
          <w:rFonts w:ascii="仿宋_GB2312" w:eastAsia="仿宋_GB2312"/>
        </w:rPr>
      </w:pPr>
      <w:bookmarkStart w:id="1161" w:name="_Ref4708991"/>
      <w:bookmarkEnd w:id="1161"/>
      <w:r>
        <w:rPr>
          <w:rFonts w:hint="eastAsia" w:ascii="仿宋_GB2312" w:eastAsia="仿宋_GB2312"/>
        </w:rPr>
        <w:t>（3） 实施因意外、不可预见的事件或其他原因引起的、为工程的安全迫切需要的任何修补工作。</w:t>
      </w:r>
    </w:p>
    <w:p w14:paraId="7C6E1265">
      <w:pPr>
        <w:pStyle w:val="40"/>
        <w:spacing w:after="157"/>
        <w:ind w:left="0"/>
        <w:rPr>
          <w:rFonts w:hint="eastAsia" w:ascii="仿宋_GB2312" w:eastAsia="仿宋_GB2312"/>
          <w:sz w:val="21"/>
        </w:rPr>
      </w:pPr>
      <w:bookmarkStart w:id="1162" w:name="_Ref11956964"/>
      <w:bookmarkEnd w:id="1162"/>
      <w:r>
        <w:rPr>
          <w:rFonts w:hint="eastAsia" w:ascii="仿宋_GB2312" w:eastAsia="仿宋_GB2312"/>
          <w:sz w:val="21"/>
        </w:rPr>
        <w:t>6</w:t>
      </w:r>
      <w:r>
        <w:rPr>
          <w:rFonts w:ascii="仿宋_GB2312" w:eastAsia="仿宋_GB2312"/>
          <w:sz w:val="21"/>
        </w:rPr>
        <w:t xml:space="preserve">.6.2 </w:t>
      </w:r>
      <w:r>
        <w:rPr>
          <w:rFonts w:hint="eastAsia" w:ascii="仿宋_GB2312" w:eastAsia="仿宋_GB2312"/>
          <w:sz w:val="21"/>
        </w:rPr>
        <w:t>承包人应遵守第</w:t>
      </w:r>
      <w:r>
        <w:rPr>
          <w:rFonts w:ascii="仿宋_GB2312" w:eastAsia="仿宋_GB2312"/>
          <w:sz w:val="21"/>
        </w:rPr>
        <w:t>6.6.1项下</w:t>
      </w:r>
      <w:r>
        <w:rPr>
          <w:rFonts w:hint="eastAsia" w:ascii="仿宋_GB2312" w:eastAsia="仿宋_GB2312"/>
          <w:sz w:val="21"/>
        </w:rPr>
        <w:t>指示，并在合理可行的情况下，根据上述指示中规定的时间完成修补工作。除因下列原因引起的第</w:t>
      </w:r>
      <w:r>
        <w:rPr>
          <w:rFonts w:ascii="仿宋_GB2312" w:eastAsia="仿宋_GB2312"/>
          <w:sz w:val="21"/>
        </w:rPr>
        <w:t>6.6.1</w:t>
      </w:r>
      <w:r>
        <w:rPr>
          <w:rFonts w:hint="eastAsia" w:ascii="仿宋_GB2312" w:eastAsia="仿宋_GB2312"/>
          <w:sz w:val="21"/>
        </w:rPr>
        <w:t>项第（3）目下的情形外，承包人应承担所有修补工作的费用：</w:t>
      </w:r>
    </w:p>
    <w:p w14:paraId="758C3448">
      <w:pPr>
        <w:spacing w:line="360" w:lineRule="auto"/>
        <w:ind w:firstLine="600"/>
        <w:rPr>
          <w:rFonts w:ascii="仿宋_GB2312" w:eastAsia="仿宋_GB2312"/>
        </w:rPr>
      </w:pPr>
      <w:r>
        <w:rPr>
          <w:rFonts w:hint="eastAsia" w:ascii="仿宋_GB2312" w:eastAsia="仿宋_GB2312"/>
        </w:rPr>
        <w:t>（1） 因发包人或其人员的任何行为导致的情形，且在此情况下发包人应承担因此引起的工期延误和承包人费用损失，并向承包人支付合理的利润。</w:t>
      </w:r>
    </w:p>
    <w:p w14:paraId="78E7B7A2">
      <w:pPr>
        <w:spacing w:line="360" w:lineRule="auto"/>
        <w:ind w:firstLine="600"/>
        <w:rPr>
          <w:rFonts w:ascii="仿宋_GB2312" w:eastAsia="仿宋_GB2312"/>
        </w:rPr>
      </w:pPr>
      <w:r>
        <w:rPr>
          <w:rFonts w:hint="eastAsia" w:ascii="仿宋_GB2312" w:eastAsia="仿宋_GB2312"/>
        </w:rPr>
        <w:t>（2） 第</w:t>
      </w:r>
      <w:r>
        <w:rPr>
          <w:rFonts w:ascii="仿宋_GB2312" w:eastAsia="仿宋_GB2312"/>
        </w:rPr>
        <w:t>17.4</w:t>
      </w:r>
      <w:r>
        <w:rPr>
          <w:rFonts w:hint="eastAsia" w:ascii="仿宋_GB2312" w:eastAsia="仿宋_GB2312"/>
        </w:rPr>
        <w:t>款[</w:t>
      </w:r>
      <w:r>
        <w:rPr>
          <w:rFonts w:ascii="仿宋_GB2312" w:eastAsia="仿宋_GB2312"/>
        </w:rPr>
        <w:t>不可抗力后果</w:t>
      </w:r>
      <w:r>
        <w:rPr>
          <w:rFonts w:hint="eastAsia" w:ascii="仿宋_GB2312" w:eastAsia="仿宋_GB2312"/>
        </w:rPr>
        <w:t>的</w:t>
      </w:r>
      <w:r>
        <w:rPr>
          <w:rFonts w:ascii="仿宋_GB2312" w:eastAsia="仿宋_GB2312"/>
        </w:rPr>
        <w:t>承担</w:t>
      </w:r>
      <w:r>
        <w:rPr>
          <w:rFonts w:hint="eastAsia" w:ascii="仿宋_GB2312" w:eastAsia="仿宋_GB2312"/>
        </w:rPr>
        <w:t>]中适用的不可抗力事件的情形。</w:t>
      </w:r>
    </w:p>
    <w:p w14:paraId="3946B8F7">
      <w:pPr>
        <w:pStyle w:val="40"/>
        <w:spacing w:after="157"/>
        <w:ind w:left="0"/>
        <w:rPr>
          <w:rFonts w:hint="eastAsia" w:ascii="仿宋_GB2312" w:eastAsia="仿宋_GB2312"/>
          <w:sz w:val="21"/>
        </w:rPr>
      </w:pPr>
      <w:r>
        <w:rPr>
          <w:rFonts w:hint="eastAsia" w:ascii="仿宋_GB2312" w:eastAsia="仿宋_GB2312"/>
          <w:sz w:val="21"/>
        </w:rPr>
        <w:t>6</w:t>
      </w:r>
      <w:r>
        <w:rPr>
          <w:rFonts w:ascii="仿宋_GB2312" w:eastAsia="仿宋_GB2312"/>
          <w:sz w:val="21"/>
        </w:rPr>
        <w:t xml:space="preserve">.6.3 </w:t>
      </w:r>
      <w:r>
        <w:rPr>
          <w:rFonts w:hint="eastAsia" w:ascii="仿宋_GB2312" w:eastAsia="仿宋_GB2312"/>
          <w:sz w:val="21"/>
        </w:rPr>
        <w:t>如果承包人未能遵守发包人的指示，发包人可以自行决定请第三方完成上述修补工作，并有权要求承包人支付因未履行指示而产生的所有费用，但承包人根据第</w:t>
      </w:r>
      <w:r>
        <w:rPr>
          <w:rFonts w:ascii="仿宋_GB2312" w:eastAsia="仿宋_GB2312"/>
          <w:sz w:val="21"/>
        </w:rPr>
        <w:t>6.6.2</w:t>
      </w:r>
      <w:r>
        <w:rPr>
          <w:rFonts w:hint="eastAsia" w:ascii="仿宋_GB2312" w:eastAsia="仿宋_GB2312"/>
          <w:sz w:val="21"/>
        </w:rPr>
        <w:t>项有权就修补工作获得支付的情况除外。</w:t>
      </w:r>
    </w:p>
    <w:p w14:paraId="657BDF1B">
      <w:pPr>
        <w:pStyle w:val="39"/>
        <w:widowControl/>
        <w:spacing w:afterLines="0"/>
        <w:ind w:left="0"/>
        <w:rPr>
          <w:rFonts w:hint="eastAsia"/>
          <w:b w:val="0"/>
          <w:bCs/>
          <w:sz w:val="28"/>
          <w:szCs w:val="28"/>
        </w:rPr>
      </w:pPr>
      <w:bookmarkStart w:id="1163" w:name="_Toc14593"/>
      <w:bookmarkEnd w:id="1163"/>
      <w:bookmarkStart w:id="1164" w:name="_Toc15749"/>
      <w:bookmarkEnd w:id="1164"/>
      <w:bookmarkStart w:id="1165" w:name="_Toc54862235"/>
      <w:bookmarkEnd w:id="1165"/>
      <w:bookmarkStart w:id="1166" w:name="_Ref531954214"/>
      <w:bookmarkEnd w:id="1166"/>
      <w:r>
        <w:rPr>
          <w:rFonts w:hint="eastAsia"/>
          <w:b w:val="0"/>
          <w:bCs/>
          <w:sz w:val="28"/>
          <w:szCs w:val="28"/>
        </w:rPr>
        <w:t>第7条 施工</w:t>
      </w:r>
    </w:p>
    <w:p w14:paraId="5E111848">
      <w:pPr>
        <w:pStyle w:val="39"/>
        <w:widowControl/>
        <w:spacing w:afterLines="0"/>
        <w:ind w:left="0"/>
        <w:outlineLvl w:val="3"/>
        <w:rPr>
          <w:rFonts w:hint="eastAsia"/>
          <w:b w:val="0"/>
          <w:bCs/>
          <w:sz w:val="21"/>
          <w:szCs w:val="21"/>
        </w:rPr>
      </w:pPr>
      <w:bookmarkStart w:id="1167" w:name="_Ref531954276"/>
      <w:bookmarkEnd w:id="1167"/>
      <w:bookmarkStart w:id="1168" w:name="_Toc17402"/>
      <w:bookmarkEnd w:id="1168"/>
      <w:bookmarkStart w:id="1169" w:name="_Toc54862236"/>
      <w:bookmarkEnd w:id="1169"/>
      <w:bookmarkStart w:id="1170" w:name="_Toc21514"/>
      <w:bookmarkEnd w:id="1170"/>
      <w:bookmarkStart w:id="1171" w:name="_Ref531954272"/>
      <w:bookmarkEnd w:id="1171"/>
      <w:bookmarkStart w:id="1172" w:name="_Ref531954246"/>
      <w:bookmarkStart w:id="1173" w:name="_Ref531954260"/>
      <w:r>
        <w:rPr>
          <w:rFonts w:hint="eastAsia"/>
          <w:b w:val="0"/>
          <w:bCs/>
          <w:sz w:val="21"/>
          <w:szCs w:val="21"/>
        </w:rPr>
        <w:t>7.1 交通运输</w:t>
      </w:r>
    </w:p>
    <w:p w14:paraId="38C0B241">
      <w:pPr>
        <w:pStyle w:val="40"/>
        <w:spacing w:after="157"/>
        <w:ind w:left="0"/>
        <w:outlineLvl w:val="4"/>
        <w:rPr>
          <w:rFonts w:hint="eastAsia" w:ascii="仿宋_GB2312" w:eastAsia="仿宋_GB2312"/>
          <w:sz w:val="21"/>
        </w:rPr>
      </w:pPr>
      <w:bookmarkStart w:id="1174" w:name="_Ref4422645"/>
      <w:bookmarkEnd w:id="1174"/>
      <w:r>
        <w:rPr>
          <w:rFonts w:hint="eastAsia" w:ascii="仿宋_GB2312" w:eastAsia="仿宋_GB2312"/>
          <w:sz w:val="21"/>
        </w:rPr>
        <w:t>7</w:t>
      </w:r>
      <w:r>
        <w:rPr>
          <w:rFonts w:ascii="仿宋_GB2312" w:eastAsia="仿宋_GB2312"/>
          <w:sz w:val="21"/>
        </w:rPr>
        <w:t xml:space="preserve">.1.1 </w:t>
      </w:r>
      <w:r>
        <w:rPr>
          <w:rFonts w:hint="eastAsia" w:ascii="仿宋_GB2312" w:eastAsia="仿宋_GB2312"/>
          <w:sz w:val="21"/>
        </w:rPr>
        <w:t>出入现场的权利</w:t>
      </w:r>
    </w:p>
    <w:p w14:paraId="033E90B1">
      <w:pPr>
        <w:spacing w:line="360" w:lineRule="auto"/>
        <w:ind w:firstLine="600"/>
        <w:rPr>
          <w:rFonts w:ascii="仿宋_GB2312" w:eastAsia="仿宋_GB2312"/>
        </w:rPr>
      </w:pPr>
      <w:r>
        <w:rPr>
          <w:rFonts w:hint="eastAsia" w:ascii="仿宋_GB2312" w:eastAsia="仿宋_GB2312"/>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43179AEA">
      <w:pPr>
        <w:pStyle w:val="40"/>
        <w:spacing w:after="157"/>
        <w:ind w:left="0"/>
        <w:outlineLvl w:val="4"/>
        <w:rPr>
          <w:rFonts w:hint="eastAsia" w:ascii="仿宋_GB2312" w:eastAsia="仿宋_GB2312"/>
          <w:sz w:val="21"/>
        </w:rPr>
      </w:pPr>
      <w:bookmarkStart w:id="1175" w:name="_Ref18957045"/>
      <w:bookmarkEnd w:id="1175"/>
      <w:r>
        <w:rPr>
          <w:rFonts w:hint="eastAsia" w:ascii="仿宋_GB2312" w:eastAsia="仿宋_GB2312"/>
          <w:sz w:val="21"/>
        </w:rPr>
        <w:t>7</w:t>
      </w:r>
      <w:r>
        <w:rPr>
          <w:rFonts w:ascii="仿宋_GB2312" w:eastAsia="仿宋_GB2312"/>
          <w:sz w:val="21"/>
        </w:rPr>
        <w:t xml:space="preserve">.1.2 </w:t>
      </w:r>
      <w:r>
        <w:rPr>
          <w:rFonts w:hint="eastAsia" w:ascii="仿宋_GB2312" w:eastAsia="仿宋_GB2312"/>
          <w:sz w:val="21"/>
        </w:rPr>
        <w:t>场外交通</w:t>
      </w:r>
    </w:p>
    <w:p w14:paraId="1F80C0CC">
      <w:pPr>
        <w:spacing w:line="360" w:lineRule="auto"/>
        <w:ind w:firstLine="600"/>
        <w:rPr>
          <w:rFonts w:ascii="仿宋_GB2312" w:eastAsia="仿宋_GB2312"/>
        </w:rPr>
      </w:pPr>
      <w:r>
        <w:rPr>
          <w:rFonts w:hint="eastAsia" w:ascii="仿宋_GB2312" w:eastAsia="仿宋_GB2312"/>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5A825FB0">
      <w:pPr>
        <w:pStyle w:val="40"/>
        <w:spacing w:after="157"/>
        <w:ind w:left="0"/>
        <w:outlineLvl w:val="4"/>
        <w:rPr>
          <w:rFonts w:hint="eastAsia" w:ascii="仿宋_GB2312" w:eastAsia="仿宋_GB2312"/>
          <w:sz w:val="21"/>
        </w:rPr>
      </w:pPr>
      <w:bookmarkStart w:id="1176" w:name="_Ref4622358"/>
      <w:bookmarkEnd w:id="1176"/>
      <w:r>
        <w:rPr>
          <w:rFonts w:hint="eastAsia" w:ascii="仿宋_GB2312" w:eastAsia="仿宋_GB2312"/>
          <w:sz w:val="21"/>
        </w:rPr>
        <w:t>7</w:t>
      </w:r>
      <w:r>
        <w:rPr>
          <w:rFonts w:ascii="仿宋_GB2312" w:eastAsia="仿宋_GB2312"/>
          <w:sz w:val="21"/>
        </w:rPr>
        <w:t xml:space="preserve">.1.3 </w:t>
      </w:r>
      <w:r>
        <w:rPr>
          <w:rFonts w:hint="eastAsia" w:ascii="仿宋_GB2312" w:eastAsia="仿宋_GB2312"/>
          <w:sz w:val="21"/>
        </w:rPr>
        <w:t>场内交通</w:t>
      </w:r>
    </w:p>
    <w:p w14:paraId="6D71E623">
      <w:pPr>
        <w:spacing w:line="360" w:lineRule="auto"/>
        <w:ind w:firstLine="600"/>
        <w:rPr>
          <w:rFonts w:ascii="仿宋_GB2312" w:eastAsia="仿宋_GB2312"/>
        </w:rPr>
      </w:pPr>
      <w:r>
        <w:rPr>
          <w:rFonts w:hint="eastAsia" w:ascii="仿宋_GB2312" w:eastAsia="仿宋_GB2312"/>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7966AEAF">
      <w:pPr>
        <w:pStyle w:val="40"/>
        <w:spacing w:after="157"/>
        <w:ind w:left="0"/>
        <w:outlineLvl w:val="4"/>
        <w:rPr>
          <w:rFonts w:hint="eastAsia" w:ascii="仿宋_GB2312" w:eastAsia="仿宋_GB2312"/>
          <w:sz w:val="21"/>
        </w:rPr>
      </w:pPr>
      <w:bookmarkStart w:id="1177" w:name="_Ref4622376"/>
      <w:bookmarkEnd w:id="1177"/>
      <w:r>
        <w:rPr>
          <w:rFonts w:hint="eastAsia" w:ascii="仿宋_GB2312" w:eastAsia="仿宋_GB2312"/>
          <w:sz w:val="21"/>
        </w:rPr>
        <w:t>7</w:t>
      </w:r>
      <w:r>
        <w:rPr>
          <w:rFonts w:ascii="仿宋_GB2312" w:eastAsia="仿宋_GB2312"/>
          <w:sz w:val="21"/>
        </w:rPr>
        <w:t xml:space="preserve">.1.4 </w:t>
      </w:r>
      <w:r>
        <w:rPr>
          <w:rFonts w:hint="eastAsia" w:ascii="仿宋_GB2312" w:eastAsia="仿宋_GB2312"/>
          <w:sz w:val="21"/>
        </w:rPr>
        <w:t>超大件和超重件的运输</w:t>
      </w:r>
    </w:p>
    <w:p w14:paraId="28283F40">
      <w:pPr>
        <w:spacing w:line="360" w:lineRule="auto"/>
        <w:ind w:firstLine="600"/>
        <w:rPr>
          <w:rFonts w:ascii="仿宋_GB2312" w:eastAsia="仿宋_GB2312"/>
        </w:rPr>
      </w:pPr>
      <w:r>
        <w:rPr>
          <w:rFonts w:hint="eastAsia" w:ascii="仿宋_GB2312" w:eastAsia="仿宋_GB2312"/>
        </w:rPr>
        <w:t>由承包人负责运输的超大件或超重件，应由承包人负责向交通管理部门办理申请手续，由发包人给予协助。运输超大件或超重件所需的道路和桥梁临时加固改造费用和其他有关费用，由承包人承担，但专用合同条件另有约定的除外。</w:t>
      </w:r>
    </w:p>
    <w:p w14:paraId="3497F421">
      <w:pPr>
        <w:pStyle w:val="40"/>
        <w:spacing w:after="157"/>
        <w:ind w:left="0"/>
        <w:outlineLvl w:val="4"/>
        <w:rPr>
          <w:rFonts w:hint="eastAsia" w:ascii="仿宋_GB2312" w:eastAsia="仿宋_GB2312"/>
          <w:sz w:val="21"/>
        </w:rPr>
      </w:pPr>
      <w:r>
        <w:rPr>
          <w:rFonts w:hint="eastAsia" w:ascii="仿宋_GB2312" w:eastAsia="仿宋_GB2312"/>
          <w:sz w:val="21"/>
        </w:rPr>
        <w:t>7</w:t>
      </w:r>
      <w:r>
        <w:rPr>
          <w:rFonts w:ascii="仿宋_GB2312" w:eastAsia="仿宋_GB2312"/>
          <w:sz w:val="21"/>
        </w:rPr>
        <w:t xml:space="preserve">.1.5 </w:t>
      </w:r>
      <w:r>
        <w:rPr>
          <w:rFonts w:hint="eastAsia" w:ascii="仿宋_GB2312" w:eastAsia="仿宋_GB2312"/>
          <w:sz w:val="21"/>
        </w:rPr>
        <w:t>道路和桥梁的损坏责任</w:t>
      </w:r>
    </w:p>
    <w:p w14:paraId="4AF1F9DF">
      <w:pPr>
        <w:spacing w:line="360" w:lineRule="auto"/>
        <w:ind w:firstLine="600"/>
        <w:rPr>
          <w:rFonts w:ascii="仿宋_GB2312" w:eastAsia="仿宋_GB2312"/>
        </w:rPr>
      </w:pPr>
      <w:r>
        <w:rPr>
          <w:rFonts w:hint="eastAsia" w:ascii="仿宋_GB2312" w:eastAsia="仿宋_GB2312"/>
        </w:rPr>
        <w:t>因承包人运输造成施工现场内外公共道路和桥梁损坏的，由承包人承担修复损坏的全部费用和可能引起的赔偿。</w:t>
      </w:r>
    </w:p>
    <w:p w14:paraId="4EAA4E6D">
      <w:pPr>
        <w:pStyle w:val="40"/>
        <w:spacing w:after="157"/>
        <w:ind w:left="0"/>
        <w:outlineLvl w:val="4"/>
        <w:rPr>
          <w:rFonts w:hint="eastAsia" w:ascii="仿宋_GB2312" w:eastAsia="仿宋_GB2312"/>
          <w:sz w:val="21"/>
        </w:rPr>
      </w:pPr>
      <w:r>
        <w:rPr>
          <w:rFonts w:hint="eastAsia" w:ascii="仿宋_GB2312" w:eastAsia="仿宋_GB2312"/>
          <w:sz w:val="21"/>
        </w:rPr>
        <w:t>7</w:t>
      </w:r>
      <w:r>
        <w:rPr>
          <w:rFonts w:ascii="仿宋_GB2312" w:eastAsia="仿宋_GB2312"/>
          <w:sz w:val="21"/>
        </w:rPr>
        <w:t xml:space="preserve">.1.6 </w:t>
      </w:r>
      <w:r>
        <w:rPr>
          <w:rFonts w:hint="eastAsia" w:ascii="仿宋_GB2312" w:eastAsia="仿宋_GB2312"/>
          <w:sz w:val="21"/>
        </w:rPr>
        <w:t>水路和航空运输</w:t>
      </w:r>
    </w:p>
    <w:p w14:paraId="1600FF33">
      <w:pPr>
        <w:spacing w:line="360" w:lineRule="auto"/>
        <w:ind w:firstLine="600"/>
        <w:rPr>
          <w:rFonts w:ascii="仿宋_GB2312" w:eastAsia="仿宋_GB2312"/>
        </w:rPr>
      </w:pPr>
      <w:r>
        <w:rPr>
          <w:rFonts w:hint="eastAsia" w:ascii="仿宋_GB2312" w:eastAsia="仿宋_GB2312"/>
        </w:rPr>
        <w:t>本条上述各款的内容适用于水路运输和航空运输，其中“道路”一词的含义包括河道、航线、船闸、机场、码头、堤防以及水路或航空运输中其他相似结构物；“车辆”一词的含义包括船舶和飞机等。</w:t>
      </w:r>
    </w:p>
    <w:bookmarkEnd w:id="1172"/>
    <w:bookmarkEnd w:id="1173"/>
    <w:p w14:paraId="7D921B71">
      <w:pPr>
        <w:pStyle w:val="39"/>
        <w:widowControl/>
        <w:spacing w:afterLines="0"/>
        <w:ind w:left="0"/>
        <w:outlineLvl w:val="3"/>
        <w:rPr>
          <w:rFonts w:hint="eastAsia"/>
          <w:b w:val="0"/>
          <w:bCs/>
          <w:sz w:val="21"/>
          <w:szCs w:val="21"/>
        </w:rPr>
      </w:pPr>
      <w:bookmarkStart w:id="1178" w:name="_Ref11919459"/>
      <w:bookmarkEnd w:id="1178"/>
      <w:bookmarkStart w:id="1179" w:name="_Toc11984"/>
      <w:bookmarkEnd w:id="1179"/>
      <w:bookmarkStart w:id="1180" w:name="_Toc4482"/>
      <w:bookmarkEnd w:id="1180"/>
      <w:bookmarkStart w:id="1181" w:name="_Ref11919294"/>
      <w:bookmarkEnd w:id="1181"/>
      <w:bookmarkStart w:id="1182" w:name="_Toc54862237"/>
      <w:bookmarkEnd w:id="1182"/>
      <w:r>
        <w:rPr>
          <w:rFonts w:hint="eastAsia"/>
          <w:b w:val="0"/>
          <w:bCs/>
          <w:sz w:val="21"/>
          <w:szCs w:val="21"/>
        </w:rPr>
        <w:t>7.2 施工设备和临时设施</w:t>
      </w:r>
    </w:p>
    <w:p w14:paraId="17E959F3">
      <w:pPr>
        <w:pStyle w:val="40"/>
        <w:spacing w:after="157"/>
        <w:ind w:left="0"/>
        <w:outlineLvl w:val="4"/>
        <w:rPr>
          <w:rFonts w:hint="eastAsia" w:ascii="仿宋_GB2312" w:eastAsia="仿宋_GB2312"/>
          <w:sz w:val="21"/>
        </w:rPr>
      </w:pPr>
      <w:bookmarkStart w:id="1183" w:name="_Ref18990767"/>
      <w:bookmarkEnd w:id="1183"/>
      <w:r>
        <w:rPr>
          <w:rFonts w:hint="eastAsia" w:ascii="仿宋_GB2312" w:eastAsia="仿宋_GB2312"/>
          <w:sz w:val="21"/>
        </w:rPr>
        <w:t>7</w:t>
      </w:r>
      <w:r>
        <w:rPr>
          <w:rFonts w:ascii="仿宋_GB2312" w:eastAsia="仿宋_GB2312"/>
          <w:sz w:val="21"/>
        </w:rPr>
        <w:t xml:space="preserve">.2.1 </w:t>
      </w:r>
      <w:r>
        <w:rPr>
          <w:rFonts w:hint="eastAsia" w:ascii="仿宋_GB2312" w:eastAsia="仿宋_GB2312"/>
          <w:sz w:val="21"/>
        </w:rPr>
        <w:t>承包人提供的施工设备和临时设施</w:t>
      </w:r>
    </w:p>
    <w:p w14:paraId="0EC97E86">
      <w:pPr>
        <w:spacing w:line="360" w:lineRule="auto"/>
        <w:ind w:firstLine="600"/>
        <w:rPr>
          <w:rFonts w:ascii="仿宋_GB2312" w:eastAsia="仿宋_GB2312"/>
        </w:rPr>
      </w:pPr>
      <w:r>
        <w:rPr>
          <w:rFonts w:hint="eastAsia" w:ascii="仿宋_GB2312" w:eastAsia="仿宋_GB2312"/>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17E7641F">
      <w:pPr>
        <w:spacing w:line="360" w:lineRule="auto"/>
        <w:ind w:firstLine="600"/>
        <w:rPr>
          <w:rFonts w:ascii="仿宋_GB2312" w:eastAsia="仿宋_GB2312"/>
        </w:rPr>
      </w:pPr>
      <w:r>
        <w:rPr>
          <w:rFonts w:hint="eastAsia" w:ascii="仿宋_GB2312" w:eastAsia="仿宋_GB2312"/>
        </w:rPr>
        <w:t>除专用合同条件另有约定外，承包人应自行承担修建临时设施的费用，需要临时占地的，应由发包人办理申请手续并承担相应费用。承包人应在专用合同条件</w:t>
      </w:r>
      <w:r>
        <w:rPr>
          <w:rFonts w:ascii="仿宋_GB2312" w:eastAsia="仿宋_GB2312"/>
        </w:rPr>
        <w:t>7.2</w:t>
      </w:r>
      <w:r>
        <w:rPr>
          <w:rFonts w:hint="eastAsia" w:ascii="仿宋_GB2312" w:eastAsia="仿宋_GB2312"/>
        </w:rPr>
        <w:t>款</w:t>
      </w:r>
      <w:r>
        <w:rPr>
          <w:rFonts w:ascii="仿宋_GB2312" w:eastAsia="仿宋_GB2312"/>
        </w:rPr>
        <w:t>约定的时间内向发包人提交临时占地资料，因承包人未能按时提交资料，导致工期延误的，由此增加的费用和（或）竣工日期延误，由承包人负责。</w:t>
      </w:r>
    </w:p>
    <w:p w14:paraId="16017070">
      <w:pPr>
        <w:pStyle w:val="40"/>
        <w:spacing w:after="157"/>
        <w:ind w:left="0"/>
        <w:outlineLvl w:val="4"/>
        <w:rPr>
          <w:rFonts w:hint="eastAsia" w:ascii="仿宋_GB2312" w:eastAsia="仿宋_GB2312"/>
          <w:sz w:val="21"/>
        </w:rPr>
      </w:pPr>
      <w:bookmarkStart w:id="1184" w:name="_Ref18990784"/>
      <w:bookmarkEnd w:id="1184"/>
      <w:r>
        <w:rPr>
          <w:rFonts w:hint="eastAsia" w:ascii="仿宋_GB2312" w:eastAsia="仿宋_GB2312"/>
          <w:sz w:val="21"/>
        </w:rPr>
        <w:t>7</w:t>
      </w:r>
      <w:r>
        <w:rPr>
          <w:rFonts w:ascii="仿宋_GB2312" w:eastAsia="仿宋_GB2312"/>
          <w:sz w:val="21"/>
        </w:rPr>
        <w:t xml:space="preserve">.2.2 </w:t>
      </w:r>
      <w:r>
        <w:rPr>
          <w:rFonts w:hint="eastAsia" w:ascii="仿宋_GB2312" w:eastAsia="仿宋_GB2312"/>
          <w:sz w:val="21"/>
        </w:rPr>
        <w:t>发包人提供的施工设备和临时设施</w:t>
      </w:r>
    </w:p>
    <w:p w14:paraId="0671AFCF">
      <w:pPr>
        <w:spacing w:line="360" w:lineRule="auto"/>
        <w:ind w:firstLine="600"/>
        <w:rPr>
          <w:rFonts w:ascii="仿宋_GB2312" w:eastAsia="仿宋_GB2312"/>
        </w:rPr>
      </w:pPr>
      <w:r>
        <w:rPr>
          <w:rFonts w:hint="eastAsia" w:ascii="仿宋_GB2312" w:eastAsia="仿宋_GB2312"/>
        </w:rPr>
        <w:t>发包人提供的施工设备或临时设施在专用合同条件中约定。</w:t>
      </w:r>
    </w:p>
    <w:p w14:paraId="2A7044E9">
      <w:pPr>
        <w:pStyle w:val="40"/>
        <w:spacing w:after="157"/>
        <w:ind w:left="0"/>
        <w:outlineLvl w:val="4"/>
        <w:rPr>
          <w:rFonts w:hint="eastAsia" w:ascii="仿宋_GB2312" w:eastAsia="仿宋_GB2312"/>
          <w:sz w:val="21"/>
        </w:rPr>
      </w:pPr>
      <w:r>
        <w:rPr>
          <w:rFonts w:hint="eastAsia" w:ascii="仿宋_GB2312" w:eastAsia="仿宋_GB2312"/>
          <w:sz w:val="21"/>
        </w:rPr>
        <w:t>7</w:t>
      </w:r>
      <w:r>
        <w:rPr>
          <w:rFonts w:ascii="仿宋_GB2312" w:eastAsia="仿宋_GB2312"/>
          <w:sz w:val="21"/>
        </w:rPr>
        <w:t xml:space="preserve">.2.3 </w:t>
      </w:r>
      <w:r>
        <w:rPr>
          <w:rFonts w:hint="eastAsia" w:ascii="仿宋_GB2312" w:eastAsia="仿宋_GB2312"/>
          <w:sz w:val="21"/>
        </w:rPr>
        <w:t>要求承包人增加或更换施工设备</w:t>
      </w:r>
    </w:p>
    <w:p w14:paraId="33EB61C3">
      <w:pPr>
        <w:spacing w:line="360" w:lineRule="auto"/>
        <w:ind w:firstLine="600"/>
        <w:rPr>
          <w:rFonts w:ascii="仿宋_GB2312" w:eastAsia="仿宋_GB2312"/>
        </w:rPr>
      </w:pPr>
      <w:r>
        <w:rPr>
          <w:rFonts w:hint="eastAsia" w:ascii="仿宋_GB2312" w:eastAsia="仿宋_GB2312"/>
        </w:rPr>
        <w:t>承包人使用的施工设备不能满足项目进度计划和（或）质量要求时，工程师有权要求承包人增加或更换施工设备，承包人应及时增加或更换，由此增加的费用和（或）延误的工期由承包人承担。</w:t>
      </w:r>
    </w:p>
    <w:p w14:paraId="2A919FE8">
      <w:pPr>
        <w:pStyle w:val="40"/>
        <w:spacing w:after="157"/>
        <w:ind w:left="0"/>
        <w:outlineLvl w:val="4"/>
        <w:rPr>
          <w:rFonts w:hint="eastAsia" w:ascii="仿宋_GB2312" w:eastAsia="仿宋_GB2312"/>
          <w:sz w:val="21"/>
        </w:rPr>
      </w:pPr>
      <w:r>
        <w:rPr>
          <w:rFonts w:hint="eastAsia" w:ascii="仿宋_GB2312" w:eastAsia="仿宋_GB2312"/>
          <w:sz w:val="21"/>
        </w:rPr>
        <w:t>7</w:t>
      </w:r>
      <w:r>
        <w:rPr>
          <w:rFonts w:ascii="仿宋_GB2312" w:eastAsia="仿宋_GB2312"/>
          <w:sz w:val="21"/>
        </w:rPr>
        <w:t xml:space="preserve">.2.4 </w:t>
      </w:r>
      <w:r>
        <w:rPr>
          <w:rFonts w:hint="eastAsia" w:ascii="仿宋_GB2312" w:eastAsia="仿宋_GB2312"/>
          <w:sz w:val="21"/>
        </w:rPr>
        <w:t>施工设备和临时设施专用于合同工程</w:t>
      </w:r>
    </w:p>
    <w:p w14:paraId="49781B37">
      <w:pPr>
        <w:spacing w:line="360" w:lineRule="auto"/>
        <w:ind w:firstLine="600"/>
        <w:rPr>
          <w:rFonts w:ascii="仿宋_GB2312" w:eastAsia="仿宋_GB2312"/>
        </w:rPr>
      </w:pPr>
      <w:r>
        <w:rPr>
          <w:rFonts w:hint="eastAsia" w:ascii="仿宋_GB2312" w:eastAsia="仿宋_GB2312"/>
        </w:rPr>
        <w:t>承包人进入施工现场的施工设备以及在施工现场建设的临时设施必须专用于工程。未经发包人批准，承包人不得运出施工现场或挪作他用；经发包人批准，承包人可以根据施工进度计划撤走闲置的施工设备和其他物品。</w:t>
      </w:r>
    </w:p>
    <w:p w14:paraId="11DEE653">
      <w:pPr>
        <w:pStyle w:val="39"/>
        <w:widowControl/>
        <w:spacing w:afterLines="0"/>
        <w:ind w:left="0"/>
        <w:outlineLvl w:val="3"/>
        <w:rPr>
          <w:rFonts w:hint="eastAsia"/>
          <w:b w:val="0"/>
          <w:bCs/>
          <w:sz w:val="21"/>
          <w:szCs w:val="21"/>
        </w:rPr>
      </w:pPr>
      <w:bookmarkStart w:id="1185" w:name="_Toc54862238"/>
      <w:bookmarkEnd w:id="1185"/>
      <w:bookmarkStart w:id="1186" w:name="_Toc26763"/>
      <w:bookmarkEnd w:id="1186"/>
      <w:bookmarkStart w:id="1187" w:name="_Toc22687"/>
      <w:bookmarkEnd w:id="1187"/>
      <w:bookmarkStart w:id="1188" w:name="_Ref11874352"/>
      <w:bookmarkEnd w:id="1188"/>
      <w:r>
        <w:rPr>
          <w:rFonts w:hint="eastAsia"/>
          <w:b w:val="0"/>
          <w:bCs/>
          <w:sz w:val="21"/>
          <w:szCs w:val="21"/>
        </w:rPr>
        <w:t>7.3 现场合作</w:t>
      </w:r>
    </w:p>
    <w:p w14:paraId="113F1F00">
      <w:pPr>
        <w:spacing w:line="360" w:lineRule="auto"/>
        <w:ind w:firstLine="600"/>
        <w:rPr>
          <w:rFonts w:ascii="仿宋_GB2312" w:eastAsia="仿宋_GB2312"/>
        </w:rPr>
      </w:pPr>
      <w:r>
        <w:rPr>
          <w:rFonts w:hint="eastAsia" w:ascii="仿宋_GB2312" w:eastAsia="仿宋_GB2312"/>
        </w:rPr>
        <w:t>承包人应按合同约定或发包人的指示，与发包人人员、发包人的其他承包人等人员就在现场或附近实施与工程有关的各项工作进行合作并提供适当条件，包括使用承包人设备、临时工程或进入现场等。</w:t>
      </w:r>
    </w:p>
    <w:p w14:paraId="4E45BDD9">
      <w:pPr>
        <w:spacing w:line="360" w:lineRule="auto"/>
        <w:ind w:firstLine="600"/>
        <w:rPr>
          <w:rFonts w:ascii="仿宋_GB2312" w:eastAsia="仿宋_GB2312"/>
        </w:rPr>
      </w:pPr>
      <w:r>
        <w:rPr>
          <w:rFonts w:hint="eastAsia" w:ascii="仿宋_GB2312" w:eastAsia="仿宋_GB2312"/>
        </w:rPr>
        <w:t>承包人应对其在现场的施工活动负责，并应尽合理努力按合同约定或发包人的指示，协调自身与发包人人员、发包人的其他承包人等人员的活动。</w:t>
      </w:r>
    </w:p>
    <w:p w14:paraId="6AA2DBA4">
      <w:pPr>
        <w:spacing w:line="360" w:lineRule="auto"/>
        <w:ind w:firstLine="600"/>
        <w:rPr>
          <w:rFonts w:ascii="仿宋_GB2312" w:eastAsia="仿宋_GB2312"/>
        </w:rPr>
      </w:pPr>
      <w:r>
        <w:rPr>
          <w:rFonts w:hint="eastAsia" w:ascii="仿宋_GB2312" w:eastAsia="仿宋_GB2312"/>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2BF26027">
      <w:pPr>
        <w:pStyle w:val="39"/>
        <w:widowControl/>
        <w:spacing w:afterLines="0"/>
        <w:ind w:left="0"/>
        <w:outlineLvl w:val="3"/>
        <w:rPr>
          <w:rFonts w:hint="eastAsia"/>
          <w:b w:val="0"/>
          <w:bCs/>
          <w:sz w:val="21"/>
          <w:szCs w:val="21"/>
        </w:rPr>
      </w:pPr>
      <w:bookmarkStart w:id="1189" w:name="_Ref531954287"/>
      <w:bookmarkEnd w:id="1189"/>
      <w:bookmarkStart w:id="1190" w:name="_Ref531954285"/>
      <w:bookmarkEnd w:id="1190"/>
      <w:bookmarkStart w:id="1191" w:name="_Toc54862239"/>
      <w:bookmarkEnd w:id="1191"/>
      <w:bookmarkStart w:id="1192" w:name="_Toc17294"/>
      <w:bookmarkEnd w:id="1192"/>
      <w:bookmarkStart w:id="1193" w:name="_Toc11626"/>
      <w:bookmarkEnd w:id="1193"/>
      <w:r>
        <w:rPr>
          <w:rFonts w:hint="eastAsia"/>
          <w:b w:val="0"/>
          <w:bCs/>
          <w:sz w:val="21"/>
          <w:szCs w:val="21"/>
        </w:rPr>
        <w:t>7.4 测量放线</w:t>
      </w:r>
    </w:p>
    <w:p w14:paraId="2FD44040">
      <w:pPr>
        <w:pStyle w:val="40"/>
        <w:spacing w:after="157"/>
        <w:ind w:left="0"/>
        <w:rPr>
          <w:rFonts w:hint="eastAsia" w:ascii="仿宋_GB2312" w:eastAsia="仿宋_GB2312"/>
          <w:sz w:val="21"/>
        </w:rPr>
      </w:pPr>
      <w:r>
        <w:rPr>
          <w:rFonts w:hint="eastAsia" w:ascii="仿宋_GB2312" w:eastAsia="仿宋_GB2312"/>
          <w:sz w:val="21"/>
        </w:rPr>
        <w:t>7</w:t>
      </w:r>
      <w:r>
        <w:rPr>
          <w:rFonts w:ascii="仿宋_GB2312" w:eastAsia="仿宋_GB2312"/>
          <w:sz w:val="21"/>
        </w:rPr>
        <w:t xml:space="preserve">.4.1 </w:t>
      </w:r>
      <w:r>
        <w:rPr>
          <w:rFonts w:hint="eastAsia" w:ascii="仿宋_GB2312" w:eastAsia="仿宋_GB2312"/>
          <w:sz w:val="21"/>
        </w:rPr>
        <w:t>除专用合同条件另有约定外，承包人应根据国家测绘基准、测绘系统和工程测量技术规范，按基准点（线）以及合同工程精度要求，测设施工控制网，并在专用合同条件约定的期限内，将施工控制网资料报送工程师。</w:t>
      </w:r>
    </w:p>
    <w:p w14:paraId="4C9A60BF">
      <w:pPr>
        <w:pStyle w:val="40"/>
        <w:spacing w:after="157"/>
        <w:ind w:left="0"/>
        <w:rPr>
          <w:rFonts w:hint="eastAsia" w:ascii="仿宋_GB2312" w:eastAsia="仿宋_GB2312"/>
          <w:sz w:val="21"/>
        </w:rPr>
      </w:pPr>
      <w:r>
        <w:rPr>
          <w:rFonts w:hint="eastAsia" w:ascii="仿宋_GB2312" w:eastAsia="仿宋_GB2312"/>
          <w:sz w:val="21"/>
        </w:rPr>
        <w:t>7</w:t>
      </w:r>
      <w:r>
        <w:rPr>
          <w:rFonts w:ascii="仿宋_GB2312" w:eastAsia="仿宋_GB2312"/>
          <w:sz w:val="21"/>
        </w:rPr>
        <w:t xml:space="preserve">.4.2 </w:t>
      </w:r>
      <w:r>
        <w:rPr>
          <w:rFonts w:hint="eastAsia" w:ascii="仿宋_GB2312" w:eastAsia="仿宋_GB2312"/>
          <w:sz w:val="21"/>
        </w:rPr>
        <w:t>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0ACE83FC">
      <w:pPr>
        <w:pStyle w:val="40"/>
        <w:spacing w:after="157"/>
        <w:ind w:left="0"/>
        <w:rPr>
          <w:rFonts w:hint="eastAsia" w:ascii="仿宋_GB2312" w:eastAsia="仿宋_GB2312"/>
          <w:sz w:val="21"/>
        </w:rPr>
      </w:pPr>
      <w:r>
        <w:rPr>
          <w:rFonts w:hint="eastAsia" w:ascii="仿宋_GB2312" w:eastAsia="仿宋_GB2312"/>
          <w:sz w:val="21"/>
        </w:rPr>
        <w:t>7</w:t>
      </w:r>
      <w:r>
        <w:rPr>
          <w:rFonts w:ascii="仿宋_GB2312" w:eastAsia="仿宋_GB2312"/>
          <w:sz w:val="21"/>
        </w:rPr>
        <w:t xml:space="preserve">.4.3 </w:t>
      </w:r>
      <w:r>
        <w:rPr>
          <w:rFonts w:hint="eastAsia" w:ascii="仿宋_GB2312" w:eastAsia="仿宋_GB2312"/>
          <w:sz w:val="21"/>
        </w:rPr>
        <w:t>承包人负责施工过程中的全部施工测量放线工作，并配置具有相应资质的人员、合格的仪器、设备和其他物品。承包人应</w:t>
      </w:r>
      <w:r>
        <w:rPr>
          <w:rFonts w:hint="eastAsia" w:ascii="仿宋_GB2312" w:eastAsia="仿宋_GB2312"/>
          <w:sz w:val="21"/>
          <w:lang w:eastAsia="zh-CN"/>
        </w:rPr>
        <w:t>校正</w:t>
      </w:r>
      <w:r>
        <w:rPr>
          <w:rFonts w:hint="eastAsia" w:ascii="仿宋_GB2312" w:eastAsia="仿宋_GB2312"/>
          <w:sz w:val="21"/>
        </w:rPr>
        <w:t>工程的位置、标高、尺寸或基准线中出现的任何差错，并对工程各部分的定位负责。施工过程中对施工现场内水准点等测量标志物的保护工作由承包人负责。</w:t>
      </w:r>
    </w:p>
    <w:p w14:paraId="774B57D8">
      <w:pPr>
        <w:pStyle w:val="39"/>
        <w:widowControl/>
        <w:spacing w:afterLines="0"/>
        <w:ind w:left="0"/>
        <w:outlineLvl w:val="3"/>
        <w:rPr>
          <w:rFonts w:hint="eastAsia"/>
          <w:b w:val="0"/>
          <w:bCs/>
          <w:sz w:val="21"/>
          <w:szCs w:val="21"/>
        </w:rPr>
      </w:pPr>
      <w:bookmarkStart w:id="1194" w:name="_Toc17616"/>
      <w:bookmarkEnd w:id="1194"/>
      <w:bookmarkStart w:id="1195" w:name="_Toc54862240"/>
      <w:bookmarkEnd w:id="1195"/>
      <w:bookmarkStart w:id="1196" w:name="_Toc9948"/>
      <w:bookmarkEnd w:id="1196"/>
      <w:bookmarkStart w:id="1197" w:name="_Ref531954329"/>
      <w:bookmarkStart w:id="1198" w:name="_Ref531954323"/>
      <w:bookmarkStart w:id="1199" w:name="_Ref4770992"/>
      <w:r>
        <w:rPr>
          <w:rFonts w:hint="eastAsia"/>
          <w:b w:val="0"/>
          <w:bCs/>
          <w:sz w:val="21"/>
          <w:szCs w:val="21"/>
        </w:rPr>
        <w:t>7.5 现场劳动用工</w:t>
      </w:r>
    </w:p>
    <w:p w14:paraId="3AA8A9DB">
      <w:pPr>
        <w:pStyle w:val="40"/>
        <w:spacing w:after="157"/>
        <w:ind w:left="0"/>
        <w:rPr>
          <w:rFonts w:hint="eastAsia" w:ascii="仿宋_GB2312" w:eastAsia="仿宋_GB2312"/>
          <w:sz w:val="21"/>
        </w:rPr>
      </w:pPr>
      <w:r>
        <w:rPr>
          <w:rFonts w:ascii="仿宋_GB2312" w:eastAsia="仿宋_GB2312"/>
          <w:sz w:val="21"/>
        </w:rPr>
        <w:t>7.5.1 承包人及其分包人招用建筑工人的，</w:t>
      </w:r>
      <w:r>
        <w:rPr>
          <w:rFonts w:hint="eastAsia" w:ascii="仿宋_GB2312" w:eastAsia="仿宋_GB2312"/>
          <w:sz w:val="21"/>
        </w:rPr>
        <w:t>应当依法与所招用的建筑工人订立</w:t>
      </w:r>
      <w:r>
        <w:rPr>
          <w:rFonts w:ascii="仿宋_GB2312" w:eastAsia="仿宋_GB2312"/>
          <w:sz w:val="21"/>
        </w:rPr>
        <w:t>劳动合同，实行建筑工人劳动用工实名制管理，</w:t>
      </w:r>
      <w:r>
        <w:rPr>
          <w:rFonts w:hint="eastAsia" w:ascii="仿宋_GB2312" w:eastAsia="仿宋_GB2312"/>
          <w:sz w:val="21"/>
        </w:rPr>
        <w:t>承包人</w:t>
      </w:r>
      <w:r>
        <w:rPr>
          <w:rFonts w:ascii="仿宋_GB2312" w:eastAsia="仿宋_GB2312"/>
          <w:sz w:val="21"/>
        </w:rPr>
        <w:t>应当按照有关规定开设建筑工人工资专用账户、存储工资保证金，专项用于支付和保障该工程建设项目建筑工人工资。</w:t>
      </w:r>
    </w:p>
    <w:p w14:paraId="162A1445">
      <w:pPr>
        <w:pStyle w:val="40"/>
        <w:spacing w:after="157"/>
        <w:ind w:left="0"/>
        <w:rPr>
          <w:rFonts w:hint="eastAsia" w:ascii="仿宋_GB2312" w:eastAsia="仿宋_GB2312"/>
          <w:sz w:val="21"/>
        </w:rPr>
      </w:pPr>
      <w:r>
        <w:rPr>
          <w:rFonts w:ascii="仿宋_GB2312" w:eastAsia="仿宋_GB2312"/>
          <w:sz w:val="21"/>
        </w:rPr>
        <w:t>7.5.2 承包人应当在工程项目部配备劳资专管员，对分包单位劳动用工及工资发放实施监督管理。</w:t>
      </w:r>
      <w:r>
        <w:rPr>
          <w:rFonts w:hint="eastAsia" w:ascii="仿宋_GB2312" w:eastAsia="仿宋_GB2312"/>
          <w:sz w:val="21"/>
        </w:rPr>
        <w:t>承包人拖欠建筑工人工资的，</w:t>
      </w:r>
      <w:r>
        <w:rPr>
          <w:rFonts w:ascii="仿宋_GB2312" w:eastAsia="仿宋_GB2312"/>
          <w:sz w:val="21"/>
        </w:rPr>
        <w:t>应当依法予以清偿。分包人拖欠建筑工人工资的</w:t>
      </w:r>
      <w:r>
        <w:rPr>
          <w:rFonts w:hint="eastAsia" w:ascii="仿宋_GB2312" w:eastAsia="仿宋_GB2312"/>
          <w:sz w:val="21"/>
        </w:rPr>
        <w:t>，</w:t>
      </w:r>
      <w:r>
        <w:rPr>
          <w:rFonts w:ascii="仿宋_GB2312" w:eastAsia="仿宋_GB2312"/>
          <w:sz w:val="21"/>
        </w:rPr>
        <w:t>由承包人先行清偿</w:t>
      </w:r>
      <w:r>
        <w:rPr>
          <w:rFonts w:hint="eastAsia" w:ascii="仿宋_GB2312" w:eastAsia="仿宋_GB2312"/>
          <w:sz w:val="21"/>
        </w:rPr>
        <w:t>，</w:t>
      </w:r>
      <w:r>
        <w:rPr>
          <w:rFonts w:ascii="仿宋_GB2312" w:eastAsia="仿宋_GB2312"/>
          <w:sz w:val="21"/>
        </w:rPr>
        <w:t>再依法进行追偿。</w:t>
      </w:r>
      <w:r>
        <w:rPr>
          <w:rFonts w:hint="eastAsia" w:ascii="仿宋_GB2312" w:eastAsia="仿宋_GB2312"/>
          <w:sz w:val="21"/>
        </w:rPr>
        <w:t>因发包人未按照合同约定及时拨付工程款导致建筑工人工资拖欠的，发包人应当以未结清的工程款为限先行垫付被拖欠的建筑工人工资。合同当事人可在专用合同条件中约定具体的清偿事宜和违约责任。</w:t>
      </w:r>
    </w:p>
    <w:p w14:paraId="00A3A053">
      <w:pPr>
        <w:pStyle w:val="40"/>
        <w:spacing w:after="157"/>
        <w:ind w:left="0"/>
        <w:rPr>
          <w:rFonts w:hint="eastAsia" w:ascii="仿宋_GB2312" w:eastAsia="仿宋_GB2312"/>
          <w:sz w:val="21"/>
        </w:rPr>
      </w:pPr>
      <w:r>
        <w:rPr>
          <w:rFonts w:hint="eastAsia" w:ascii="仿宋_GB2312" w:eastAsia="仿宋_GB2312"/>
          <w:sz w:val="21"/>
        </w:rPr>
        <w:t>7.5.3 承包人应当按照相关法律法规的要求，进行劳动用工管理和建筑工人工资支付。</w:t>
      </w:r>
    </w:p>
    <w:bookmarkEnd w:id="1197"/>
    <w:bookmarkEnd w:id="1198"/>
    <w:bookmarkEnd w:id="1199"/>
    <w:p w14:paraId="31618822">
      <w:pPr>
        <w:pStyle w:val="39"/>
        <w:widowControl/>
        <w:spacing w:afterLines="0"/>
        <w:ind w:left="0"/>
        <w:outlineLvl w:val="3"/>
        <w:rPr>
          <w:rFonts w:hint="eastAsia"/>
          <w:b w:val="0"/>
          <w:bCs/>
          <w:sz w:val="21"/>
          <w:szCs w:val="21"/>
        </w:rPr>
      </w:pPr>
      <w:bookmarkStart w:id="1200" w:name="_Toc8668"/>
      <w:bookmarkEnd w:id="1200"/>
      <w:bookmarkStart w:id="1201" w:name="_Toc54862241"/>
      <w:bookmarkEnd w:id="1201"/>
      <w:bookmarkStart w:id="1202" w:name="_Toc22522"/>
      <w:bookmarkEnd w:id="1202"/>
      <w:bookmarkStart w:id="1203" w:name="_Ref41554059"/>
      <w:bookmarkEnd w:id="1203"/>
      <w:r>
        <w:rPr>
          <w:rFonts w:hint="eastAsia"/>
          <w:b w:val="0"/>
          <w:bCs/>
          <w:sz w:val="21"/>
          <w:szCs w:val="21"/>
        </w:rPr>
        <w:t>7.6 安全文明施工</w:t>
      </w:r>
    </w:p>
    <w:p w14:paraId="022DBFC2">
      <w:pPr>
        <w:pStyle w:val="40"/>
        <w:spacing w:after="157"/>
        <w:ind w:left="0"/>
        <w:outlineLvl w:val="4"/>
        <w:rPr>
          <w:rFonts w:hint="eastAsia" w:ascii="仿宋_GB2312" w:eastAsia="仿宋_GB2312"/>
          <w:sz w:val="21"/>
        </w:rPr>
      </w:pPr>
      <w:bookmarkStart w:id="1204" w:name="_Ref18990822"/>
      <w:bookmarkEnd w:id="1204"/>
      <w:r>
        <w:rPr>
          <w:rFonts w:hint="eastAsia" w:ascii="仿宋_GB2312" w:eastAsia="仿宋_GB2312"/>
          <w:sz w:val="21"/>
        </w:rPr>
        <w:t>7</w:t>
      </w:r>
      <w:r>
        <w:rPr>
          <w:rFonts w:ascii="仿宋_GB2312" w:eastAsia="仿宋_GB2312"/>
          <w:sz w:val="21"/>
        </w:rPr>
        <w:t xml:space="preserve">.6.1 </w:t>
      </w:r>
      <w:r>
        <w:rPr>
          <w:rFonts w:hint="eastAsia" w:ascii="仿宋_GB2312" w:eastAsia="仿宋_GB2312"/>
          <w:sz w:val="21"/>
        </w:rPr>
        <w:t>安全生产要求</w:t>
      </w:r>
    </w:p>
    <w:p w14:paraId="3D16365B">
      <w:pPr>
        <w:spacing w:line="360" w:lineRule="auto"/>
        <w:ind w:firstLine="600"/>
        <w:rPr>
          <w:rFonts w:ascii="仿宋_GB2312" w:eastAsia="仿宋_GB2312"/>
        </w:rPr>
      </w:pPr>
      <w:r>
        <w:rPr>
          <w:rFonts w:hint="eastAsia" w:ascii="仿宋_GB2312" w:eastAsia="仿宋_GB2312"/>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1F3DE39A">
      <w:pPr>
        <w:spacing w:line="360" w:lineRule="auto"/>
        <w:ind w:firstLine="600"/>
        <w:rPr>
          <w:rFonts w:ascii="仿宋_GB2312" w:eastAsia="仿宋_GB2312"/>
        </w:rPr>
      </w:pPr>
      <w:r>
        <w:rPr>
          <w:rFonts w:hint="eastAsia" w:ascii="仿宋_GB2312" w:eastAsia="仿宋_GB2312"/>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43B05634">
      <w:pPr>
        <w:spacing w:line="360" w:lineRule="auto"/>
        <w:ind w:firstLine="600"/>
        <w:rPr>
          <w:rFonts w:ascii="仿宋_GB2312" w:eastAsia="仿宋_GB2312"/>
        </w:rPr>
      </w:pPr>
      <w:r>
        <w:rPr>
          <w:rFonts w:hint="eastAsia" w:ascii="仿宋_GB2312" w:eastAsia="仿宋_GB2312"/>
        </w:rPr>
        <w:t>因安全生产需要暂停施工的，按照第</w:t>
      </w:r>
      <w:r>
        <w:rPr>
          <w:rFonts w:ascii="仿宋_GB2312" w:eastAsia="仿宋_GB2312"/>
        </w:rPr>
        <w:t>8.9</w:t>
      </w:r>
      <w:r>
        <w:rPr>
          <w:rFonts w:hint="eastAsia" w:ascii="仿宋_GB2312" w:eastAsia="仿宋_GB2312"/>
        </w:rPr>
        <w:t>款[暂停工作]的约定执行。</w:t>
      </w:r>
    </w:p>
    <w:p w14:paraId="08F0A3A6">
      <w:pPr>
        <w:pStyle w:val="40"/>
        <w:spacing w:after="157"/>
        <w:ind w:left="0"/>
        <w:outlineLvl w:val="4"/>
        <w:rPr>
          <w:rFonts w:hint="eastAsia" w:ascii="仿宋_GB2312" w:eastAsia="仿宋_GB2312"/>
          <w:sz w:val="21"/>
        </w:rPr>
      </w:pPr>
      <w:r>
        <w:rPr>
          <w:rFonts w:hint="eastAsia" w:ascii="仿宋_GB2312" w:eastAsia="仿宋_GB2312"/>
          <w:sz w:val="21"/>
        </w:rPr>
        <w:t>7</w:t>
      </w:r>
      <w:r>
        <w:rPr>
          <w:rFonts w:ascii="仿宋_GB2312" w:eastAsia="仿宋_GB2312"/>
          <w:sz w:val="21"/>
        </w:rPr>
        <w:t xml:space="preserve">.6.2 </w:t>
      </w:r>
      <w:r>
        <w:rPr>
          <w:rFonts w:hint="eastAsia" w:ascii="仿宋_GB2312" w:eastAsia="仿宋_GB2312"/>
          <w:sz w:val="21"/>
        </w:rPr>
        <w:t>安全生产保证措施</w:t>
      </w:r>
    </w:p>
    <w:p w14:paraId="00BAE636">
      <w:pPr>
        <w:spacing w:line="360" w:lineRule="auto"/>
        <w:ind w:firstLine="600"/>
        <w:rPr>
          <w:rFonts w:ascii="仿宋_GB2312" w:eastAsia="仿宋_GB2312"/>
        </w:rPr>
      </w:pPr>
      <w:r>
        <w:rPr>
          <w:rFonts w:hint="eastAsia" w:ascii="仿宋_GB2312" w:eastAsia="仿宋_GB2312"/>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2A2252BA">
      <w:pPr>
        <w:spacing w:line="360" w:lineRule="auto"/>
        <w:ind w:firstLine="600"/>
        <w:rPr>
          <w:rFonts w:ascii="仿宋_GB2312" w:eastAsia="仿宋_GB2312"/>
        </w:rPr>
      </w:pPr>
      <w:r>
        <w:rPr>
          <w:rFonts w:hint="eastAsia" w:ascii="仿宋_GB2312" w:eastAsia="仿宋_GB2312"/>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0CA3978F">
      <w:pPr>
        <w:spacing w:line="360" w:lineRule="auto"/>
        <w:ind w:firstLine="600"/>
        <w:rPr>
          <w:rFonts w:ascii="仿宋_GB2312" w:eastAsia="仿宋_GB2312"/>
        </w:rPr>
      </w:pPr>
      <w:r>
        <w:rPr>
          <w:rFonts w:hint="eastAsia" w:ascii="仿宋_GB2312" w:eastAsia="仿宋_GB2312"/>
        </w:rPr>
        <w:t>承包人应按照法律规定进行施工，开工前做好安全技术交底工作，在施工过程中做好各项安全防护措施。承包人为实施合同而雇用的特殊工种的人员应受过专门的培训并已取得政府有关管理机构颁发的上岗证书。承包人应加强施工作业安全管理，特别应加强对易燃、易爆材料、火工器材、有毒与腐蚀性材料和其他危险品的管理，以及对爆破作业和地下工程施工等危险作业的管理。</w:t>
      </w:r>
    </w:p>
    <w:p w14:paraId="79152592">
      <w:pPr>
        <w:pStyle w:val="40"/>
        <w:spacing w:after="157"/>
        <w:ind w:left="0"/>
        <w:outlineLvl w:val="4"/>
        <w:rPr>
          <w:rFonts w:hint="eastAsia" w:ascii="仿宋_GB2312" w:eastAsia="仿宋_GB2312"/>
          <w:sz w:val="21"/>
        </w:rPr>
      </w:pPr>
      <w:bookmarkStart w:id="1205" w:name="_Ref18990840"/>
      <w:bookmarkEnd w:id="1205"/>
      <w:r>
        <w:rPr>
          <w:rFonts w:hint="eastAsia" w:ascii="仿宋_GB2312" w:eastAsia="仿宋_GB2312"/>
          <w:sz w:val="21"/>
        </w:rPr>
        <w:t>7</w:t>
      </w:r>
      <w:r>
        <w:rPr>
          <w:rFonts w:ascii="仿宋_GB2312" w:eastAsia="仿宋_GB2312"/>
          <w:sz w:val="21"/>
        </w:rPr>
        <w:t xml:space="preserve">.6.3 </w:t>
      </w:r>
      <w:r>
        <w:rPr>
          <w:rFonts w:hint="eastAsia" w:ascii="仿宋_GB2312" w:eastAsia="仿宋_GB2312"/>
          <w:sz w:val="21"/>
        </w:rPr>
        <w:t>文明施工</w:t>
      </w:r>
    </w:p>
    <w:p w14:paraId="3B0325EA">
      <w:pPr>
        <w:spacing w:line="360" w:lineRule="auto"/>
        <w:ind w:firstLine="600"/>
        <w:rPr>
          <w:rFonts w:ascii="仿宋_GB2312" w:eastAsia="仿宋_GB2312"/>
        </w:rPr>
      </w:pPr>
      <w:r>
        <w:rPr>
          <w:rFonts w:hint="eastAsia" w:ascii="仿宋_GB2312" w:eastAsia="仿宋_GB2312"/>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5545A2E2">
      <w:pPr>
        <w:spacing w:line="360" w:lineRule="auto"/>
        <w:ind w:firstLine="600"/>
        <w:rPr>
          <w:rFonts w:ascii="仿宋_GB2312" w:eastAsia="仿宋_GB2312"/>
        </w:rPr>
      </w:pPr>
      <w:r>
        <w:rPr>
          <w:rFonts w:hint="eastAsia" w:ascii="仿宋_GB2312" w:eastAsia="仿宋_GB2312"/>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3122E940">
      <w:pPr>
        <w:pStyle w:val="40"/>
        <w:spacing w:after="157"/>
        <w:ind w:left="0"/>
        <w:outlineLvl w:val="4"/>
        <w:rPr>
          <w:rFonts w:hint="eastAsia" w:ascii="仿宋_GB2312" w:eastAsia="仿宋_GB2312"/>
          <w:sz w:val="21"/>
        </w:rPr>
      </w:pPr>
      <w:r>
        <w:rPr>
          <w:rFonts w:hint="eastAsia" w:ascii="仿宋_GB2312" w:eastAsia="仿宋_GB2312"/>
          <w:sz w:val="21"/>
        </w:rPr>
        <w:t>7</w:t>
      </w:r>
      <w:r>
        <w:rPr>
          <w:rFonts w:ascii="仿宋_GB2312" w:eastAsia="仿宋_GB2312"/>
          <w:sz w:val="21"/>
        </w:rPr>
        <w:t xml:space="preserve">.6.4 </w:t>
      </w:r>
      <w:r>
        <w:rPr>
          <w:rFonts w:hint="eastAsia" w:ascii="仿宋_GB2312" w:eastAsia="仿宋_GB2312"/>
          <w:sz w:val="21"/>
        </w:rPr>
        <w:t>事故处理</w:t>
      </w:r>
    </w:p>
    <w:p w14:paraId="29A36969">
      <w:pPr>
        <w:spacing w:line="360" w:lineRule="auto"/>
        <w:ind w:firstLine="600"/>
        <w:rPr>
          <w:rFonts w:ascii="仿宋_GB2312" w:eastAsia="仿宋_GB2312"/>
        </w:rPr>
      </w:pPr>
      <w:r>
        <w:rPr>
          <w:rFonts w:hint="eastAsia" w:ascii="仿宋_GB2312" w:eastAsia="仿宋_GB2312"/>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25A6F4D6">
      <w:pPr>
        <w:spacing w:line="360" w:lineRule="auto"/>
        <w:ind w:firstLine="600"/>
        <w:rPr>
          <w:rFonts w:ascii="仿宋_GB2312" w:eastAsia="仿宋_GB2312"/>
        </w:rPr>
      </w:pPr>
      <w:r>
        <w:rPr>
          <w:rFonts w:hint="eastAsia" w:ascii="仿宋_GB2312" w:eastAsia="仿宋_GB2312"/>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42E73897">
      <w:pPr>
        <w:pStyle w:val="40"/>
        <w:spacing w:after="157"/>
        <w:ind w:left="0"/>
        <w:outlineLvl w:val="4"/>
        <w:rPr>
          <w:rFonts w:hint="eastAsia" w:ascii="仿宋_GB2312" w:eastAsia="仿宋_GB2312"/>
          <w:sz w:val="21"/>
        </w:rPr>
      </w:pPr>
      <w:r>
        <w:rPr>
          <w:rFonts w:hint="eastAsia" w:ascii="仿宋_GB2312" w:eastAsia="仿宋_GB2312"/>
          <w:sz w:val="21"/>
        </w:rPr>
        <w:t>7</w:t>
      </w:r>
      <w:r>
        <w:rPr>
          <w:rFonts w:ascii="仿宋_GB2312" w:eastAsia="仿宋_GB2312"/>
          <w:sz w:val="21"/>
        </w:rPr>
        <w:t xml:space="preserve">.6.5 </w:t>
      </w:r>
      <w:r>
        <w:rPr>
          <w:rFonts w:hint="eastAsia" w:ascii="仿宋_GB2312" w:eastAsia="仿宋_GB2312"/>
          <w:sz w:val="21"/>
        </w:rPr>
        <w:t>安全生产责任</w:t>
      </w:r>
    </w:p>
    <w:p w14:paraId="3BBC12A6">
      <w:pPr>
        <w:spacing w:line="360" w:lineRule="auto"/>
        <w:ind w:firstLine="600"/>
        <w:rPr>
          <w:rFonts w:ascii="仿宋_GB2312" w:eastAsia="仿宋_GB2312"/>
        </w:rPr>
      </w:pPr>
      <w:r>
        <w:rPr>
          <w:rFonts w:hint="eastAsia" w:ascii="仿宋_GB2312" w:eastAsia="仿宋_GB2312"/>
        </w:rPr>
        <w:t>发包人应负责赔偿以下各种情况造成的损失：</w:t>
      </w:r>
    </w:p>
    <w:p w14:paraId="63DCB182">
      <w:pPr>
        <w:spacing w:line="360" w:lineRule="auto"/>
        <w:ind w:firstLine="600"/>
        <w:rPr>
          <w:rFonts w:ascii="仿宋_GB2312" w:eastAsia="仿宋_GB2312"/>
        </w:rPr>
      </w:pPr>
      <w:r>
        <w:rPr>
          <w:rFonts w:hint="eastAsia" w:ascii="仿宋_GB2312" w:eastAsia="仿宋_GB2312"/>
        </w:rPr>
        <w:t>（1） 工程或工程的任何部分对土地的占用所造成的第三者财产损失；</w:t>
      </w:r>
    </w:p>
    <w:p w14:paraId="071873EE">
      <w:pPr>
        <w:spacing w:line="360" w:lineRule="auto"/>
        <w:ind w:firstLine="600"/>
        <w:rPr>
          <w:rFonts w:ascii="仿宋_GB2312" w:eastAsia="仿宋_GB2312"/>
        </w:rPr>
      </w:pPr>
      <w:r>
        <w:rPr>
          <w:rFonts w:hint="eastAsia" w:ascii="仿宋_GB2312" w:eastAsia="仿宋_GB2312"/>
        </w:rPr>
        <w:t>（2） 由于发包人原因在施工现场及其毗邻地带、履行合同工作中造成的第三者人身伤亡和财产损失；</w:t>
      </w:r>
    </w:p>
    <w:p w14:paraId="7FACCA33">
      <w:pPr>
        <w:spacing w:line="360" w:lineRule="auto"/>
        <w:ind w:firstLine="600"/>
        <w:rPr>
          <w:rFonts w:ascii="仿宋_GB2312" w:eastAsia="仿宋_GB2312"/>
        </w:rPr>
      </w:pPr>
      <w:r>
        <w:rPr>
          <w:rFonts w:hint="eastAsia" w:ascii="仿宋_GB2312" w:eastAsia="仿宋_GB2312"/>
        </w:rPr>
        <w:t>（3） 由于发包人原因对发包人自身、承包人、工程师造成的人身伤害和财产损失。</w:t>
      </w:r>
    </w:p>
    <w:p w14:paraId="51898832">
      <w:pPr>
        <w:spacing w:line="360" w:lineRule="auto"/>
        <w:ind w:firstLine="600"/>
        <w:rPr>
          <w:rFonts w:ascii="仿宋_GB2312" w:eastAsia="仿宋_GB2312"/>
        </w:rPr>
      </w:pPr>
      <w:r>
        <w:rPr>
          <w:rFonts w:hint="eastAsia" w:ascii="仿宋_GB2312" w:eastAsia="仿宋_GB2312"/>
        </w:rPr>
        <w:t>承包人应负责赔偿由于承包人原因在施工现场及其毗邻地带、履行合同工作中造成的第三者人身伤亡和财产损失。</w:t>
      </w:r>
    </w:p>
    <w:p w14:paraId="66EC62C3">
      <w:pPr>
        <w:spacing w:line="360" w:lineRule="auto"/>
        <w:ind w:firstLine="600"/>
        <w:rPr>
          <w:rFonts w:ascii="仿宋_GB2312" w:eastAsia="仿宋_GB2312"/>
        </w:rPr>
      </w:pPr>
      <w:r>
        <w:rPr>
          <w:rFonts w:hint="eastAsia" w:ascii="仿宋_GB2312" w:eastAsia="仿宋_GB2312"/>
        </w:rPr>
        <w:t>如果上述损失是由于发包人和承包人共同原因导致的，则双方应根据过错情况按比例承担。</w:t>
      </w:r>
    </w:p>
    <w:p w14:paraId="6BEB9E56">
      <w:pPr>
        <w:pStyle w:val="39"/>
        <w:widowControl/>
        <w:spacing w:afterLines="0"/>
        <w:ind w:left="0"/>
        <w:outlineLvl w:val="3"/>
        <w:rPr>
          <w:rFonts w:hint="eastAsia"/>
          <w:b w:val="0"/>
          <w:bCs/>
          <w:sz w:val="21"/>
          <w:szCs w:val="21"/>
        </w:rPr>
      </w:pPr>
      <w:bookmarkStart w:id="1206" w:name="_Toc54862242"/>
      <w:bookmarkEnd w:id="1206"/>
      <w:bookmarkStart w:id="1207" w:name="_Toc31826"/>
      <w:bookmarkEnd w:id="1207"/>
      <w:bookmarkStart w:id="1208" w:name="_Ref41554069"/>
      <w:bookmarkEnd w:id="1208"/>
      <w:bookmarkStart w:id="1209" w:name="_Ref11874562"/>
      <w:bookmarkEnd w:id="1209"/>
      <w:bookmarkStart w:id="1210" w:name="_Toc603"/>
      <w:bookmarkEnd w:id="1210"/>
      <w:r>
        <w:rPr>
          <w:rFonts w:hint="eastAsia"/>
          <w:b w:val="0"/>
          <w:bCs/>
          <w:sz w:val="21"/>
          <w:szCs w:val="21"/>
        </w:rPr>
        <w:t>7.7 职业健康</w:t>
      </w:r>
    </w:p>
    <w:p w14:paraId="67A0A700">
      <w:pPr>
        <w:spacing w:line="360" w:lineRule="auto"/>
        <w:ind w:firstLine="600"/>
        <w:rPr>
          <w:rFonts w:ascii="仿宋_GB2312" w:eastAsia="仿宋_GB2312"/>
        </w:rPr>
      </w:pPr>
      <w:r>
        <w:rPr>
          <w:rFonts w:hint="eastAsia" w:ascii="仿宋_GB2312" w:eastAsia="仿宋_GB2312"/>
        </w:rPr>
        <w:t>承包人应遵守适用的职业健康的法律和合同约定（包括对雇佣、职业健康、安全、福利等方面的规定），负责现场实施过程中其人员的职业健康和保护，包括：</w:t>
      </w:r>
    </w:p>
    <w:p w14:paraId="6A2FB720">
      <w:pPr>
        <w:spacing w:line="360" w:lineRule="auto"/>
        <w:ind w:firstLine="600"/>
        <w:rPr>
          <w:rFonts w:ascii="仿宋_GB2312" w:eastAsia="仿宋_GB2312"/>
        </w:rPr>
      </w:pPr>
      <w:r>
        <w:rPr>
          <w:rFonts w:hint="eastAsia" w:ascii="仿宋_GB2312" w:eastAsia="仿宋_GB2312"/>
        </w:rPr>
        <w:t>（1）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687DE46C">
      <w:pPr>
        <w:spacing w:line="360" w:lineRule="auto"/>
        <w:ind w:firstLine="600"/>
        <w:rPr>
          <w:rFonts w:ascii="仿宋_GB2312" w:eastAsia="仿宋_GB2312"/>
        </w:rPr>
      </w:pPr>
      <w:bookmarkStart w:id="1211" w:name="_Hlk46339538"/>
      <w:bookmarkEnd w:id="1211"/>
      <w:r>
        <w:rPr>
          <w:rFonts w:hint="eastAsia" w:ascii="仿宋_GB2312" w:eastAsia="仿宋_GB2312"/>
        </w:rPr>
        <w:t>（2） 承包人应依法为承包人员工及承包人聘用的第三方人员办理必要的证件、许可、保险和注册等，承包人应督促分包人为分包人员工及分包人聘用的第三方人员办理必要的证件、许可、保险和注册等。承包人应为其履行合同所雇用的人员提供必要的膳宿条件和生活环境，必要的现场食宿条件。</w:t>
      </w:r>
    </w:p>
    <w:p w14:paraId="5236B8D3">
      <w:pPr>
        <w:spacing w:line="360" w:lineRule="auto"/>
        <w:ind w:firstLine="600"/>
        <w:rPr>
          <w:rFonts w:ascii="仿宋_GB2312" w:eastAsia="仿宋_GB2312"/>
        </w:rPr>
      </w:pPr>
      <w:r>
        <w:rPr>
          <w:rFonts w:hint="eastAsia" w:ascii="仿宋_GB2312" w:eastAsia="仿宋_GB2312"/>
        </w:rPr>
        <w:t>（3） 承包人应对施工人员进行相关作业的职业健康知识培训、危险及危害因素交底、安全操作规程交底、采取有效措施，按有关规定为现场人员提供劳动保护用品、防护器具、防暑降温用品和安全生产设施。采取有效地防止粉尘、降低噪声、控制有害气体和保障高温、高寒、高空作业安全等劳动保护措施。</w:t>
      </w:r>
    </w:p>
    <w:p w14:paraId="07C9DC77">
      <w:pPr>
        <w:spacing w:line="360" w:lineRule="auto"/>
        <w:ind w:firstLine="600"/>
        <w:rPr>
          <w:rFonts w:ascii="仿宋_GB2312" w:eastAsia="仿宋_GB2312"/>
        </w:rPr>
      </w:pPr>
      <w:r>
        <w:rPr>
          <w:rFonts w:hint="eastAsia" w:ascii="仿宋_GB2312" w:eastAsia="仿宋_GB2312"/>
        </w:rPr>
        <w:t>（4）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5EEB47A8">
      <w:pPr>
        <w:spacing w:line="360" w:lineRule="auto"/>
        <w:ind w:firstLine="600"/>
        <w:rPr>
          <w:rFonts w:ascii="仿宋_GB2312" w:eastAsia="仿宋_GB2312"/>
        </w:rPr>
      </w:pPr>
      <w:r>
        <w:rPr>
          <w:rFonts w:hint="eastAsia" w:ascii="仿宋_GB2312" w:eastAsia="仿宋_GB2312"/>
        </w:rPr>
        <w:t>（5） 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p>
    <w:p w14:paraId="30132F5A">
      <w:pPr>
        <w:pStyle w:val="39"/>
        <w:widowControl/>
        <w:spacing w:afterLines="0"/>
        <w:ind w:left="0"/>
        <w:outlineLvl w:val="3"/>
        <w:rPr>
          <w:rFonts w:hint="eastAsia"/>
          <w:b w:val="0"/>
          <w:bCs/>
          <w:sz w:val="21"/>
          <w:szCs w:val="21"/>
        </w:rPr>
      </w:pPr>
      <w:bookmarkStart w:id="1212" w:name="_Ref11874570"/>
      <w:bookmarkEnd w:id="1212"/>
      <w:bookmarkStart w:id="1213" w:name="_Toc18382"/>
      <w:bookmarkEnd w:id="1213"/>
      <w:bookmarkStart w:id="1214" w:name="_Toc54862243"/>
      <w:bookmarkEnd w:id="1214"/>
      <w:bookmarkStart w:id="1215" w:name="_Toc7167"/>
      <w:bookmarkEnd w:id="1215"/>
      <w:r>
        <w:rPr>
          <w:rFonts w:hint="eastAsia"/>
          <w:b w:val="0"/>
          <w:bCs/>
          <w:sz w:val="21"/>
          <w:szCs w:val="21"/>
        </w:rPr>
        <w:t>7.8 环境保护</w:t>
      </w:r>
    </w:p>
    <w:p w14:paraId="0DA7A008">
      <w:pPr>
        <w:pStyle w:val="40"/>
        <w:spacing w:after="157"/>
        <w:ind w:left="0"/>
        <w:rPr>
          <w:rFonts w:hint="eastAsia" w:ascii="仿宋_GB2312" w:eastAsia="仿宋_GB2312"/>
          <w:sz w:val="21"/>
        </w:rPr>
      </w:pPr>
      <w:r>
        <w:rPr>
          <w:rFonts w:hint="eastAsia" w:ascii="仿宋_GB2312" w:eastAsia="仿宋_GB2312"/>
          <w:sz w:val="21"/>
        </w:rPr>
        <w:t>7</w:t>
      </w:r>
      <w:r>
        <w:rPr>
          <w:rFonts w:ascii="仿宋_GB2312" w:eastAsia="仿宋_GB2312"/>
          <w:sz w:val="21"/>
        </w:rPr>
        <w:t xml:space="preserve">.8.1 </w:t>
      </w:r>
      <w:r>
        <w:rPr>
          <w:rFonts w:hint="eastAsia" w:ascii="仿宋_GB2312" w:eastAsia="仿宋_GB2312"/>
          <w:sz w:val="21"/>
        </w:rPr>
        <w:t>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14:paraId="62456C8B">
      <w:pPr>
        <w:pStyle w:val="40"/>
        <w:spacing w:after="157"/>
        <w:ind w:left="0"/>
        <w:rPr>
          <w:rFonts w:hint="eastAsia" w:ascii="仿宋_GB2312" w:eastAsia="仿宋_GB2312"/>
          <w:sz w:val="21"/>
        </w:rPr>
      </w:pPr>
      <w:r>
        <w:rPr>
          <w:rFonts w:hint="eastAsia" w:ascii="仿宋_GB2312" w:eastAsia="仿宋_GB2312"/>
          <w:sz w:val="21"/>
        </w:rPr>
        <w:t>7</w:t>
      </w:r>
      <w:r>
        <w:rPr>
          <w:rFonts w:ascii="仿宋_GB2312" w:eastAsia="仿宋_GB2312"/>
          <w:sz w:val="21"/>
        </w:rPr>
        <w:t xml:space="preserve">.8.2 </w:t>
      </w:r>
      <w:r>
        <w:rPr>
          <w:rFonts w:hint="eastAsia" w:ascii="仿宋_GB2312" w:eastAsia="仿宋_GB2312"/>
          <w:sz w:val="21"/>
        </w:rPr>
        <w:t>承包人应采取措施，并负责控制和（或）处理现场的粉尘、废气、废水、固体废物和噪声对环境的污染和危害。因此发生的伤害、赔偿、罚款等费用增加，和（或）竣工日期延误，由承包人负责。</w:t>
      </w:r>
    </w:p>
    <w:p w14:paraId="57181B70">
      <w:pPr>
        <w:pStyle w:val="40"/>
        <w:spacing w:after="157"/>
        <w:ind w:left="0"/>
        <w:rPr>
          <w:rFonts w:hint="eastAsia" w:ascii="仿宋_GB2312" w:eastAsia="仿宋_GB2312"/>
          <w:sz w:val="21"/>
        </w:rPr>
      </w:pPr>
      <w:r>
        <w:rPr>
          <w:rFonts w:hint="eastAsia" w:ascii="仿宋_GB2312" w:eastAsia="仿宋_GB2312"/>
          <w:sz w:val="21"/>
        </w:rPr>
        <w:t>7</w:t>
      </w:r>
      <w:r>
        <w:rPr>
          <w:rFonts w:ascii="仿宋_GB2312" w:eastAsia="仿宋_GB2312"/>
          <w:sz w:val="21"/>
        </w:rPr>
        <w:t xml:space="preserve">.8.3 </w:t>
      </w:r>
      <w:r>
        <w:rPr>
          <w:rFonts w:hint="eastAsia" w:ascii="仿宋_GB2312" w:eastAsia="仿宋_GB2312"/>
          <w:sz w:val="21"/>
        </w:rPr>
        <w:t>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49D0FCDA">
      <w:pPr>
        <w:pStyle w:val="39"/>
        <w:widowControl/>
        <w:spacing w:afterLines="0"/>
        <w:ind w:left="0"/>
        <w:outlineLvl w:val="3"/>
        <w:rPr>
          <w:rFonts w:hint="eastAsia"/>
          <w:b w:val="0"/>
          <w:bCs/>
          <w:sz w:val="21"/>
          <w:szCs w:val="21"/>
        </w:rPr>
      </w:pPr>
      <w:bookmarkStart w:id="1216" w:name="_Ref4771116"/>
      <w:bookmarkEnd w:id="1216"/>
      <w:bookmarkStart w:id="1217" w:name="_Toc54862244"/>
      <w:bookmarkEnd w:id="1217"/>
      <w:bookmarkStart w:id="1218" w:name="_Ref531954344"/>
      <w:bookmarkEnd w:id="1218"/>
      <w:bookmarkStart w:id="1219" w:name="_Toc15228"/>
      <w:bookmarkEnd w:id="1219"/>
      <w:bookmarkStart w:id="1220" w:name="_Toc6436"/>
      <w:bookmarkEnd w:id="1220"/>
      <w:bookmarkStart w:id="1221" w:name="_Ref531954340"/>
      <w:bookmarkEnd w:id="1221"/>
      <w:r>
        <w:rPr>
          <w:rFonts w:hint="eastAsia"/>
          <w:b w:val="0"/>
          <w:bCs/>
          <w:sz w:val="21"/>
          <w:szCs w:val="21"/>
        </w:rPr>
        <w:t>7.9 临时性公用设施</w:t>
      </w:r>
    </w:p>
    <w:p w14:paraId="1386DEFA">
      <w:pPr>
        <w:pStyle w:val="40"/>
        <w:spacing w:after="157"/>
        <w:ind w:left="0"/>
        <w:outlineLvl w:val="4"/>
        <w:rPr>
          <w:rFonts w:hint="eastAsia" w:ascii="仿宋_GB2312" w:eastAsia="仿宋_GB2312"/>
          <w:sz w:val="21"/>
        </w:rPr>
      </w:pPr>
      <w:r>
        <w:rPr>
          <w:rFonts w:hint="eastAsia" w:ascii="仿宋_GB2312" w:eastAsia="仿宋_GB2312"/>
          <w:sz w:val="21"/>
        </w:rPr>
        <w:t>7</w:t>
      </w:r>
      <w:r>
        <w:rPr>
          <w:rFonts w:ascii="仿宋_GB2312" w:eastAsia="仿宋_GB2312"/>
          <w:sz w:val="21"/>
        </w:rPr>
        <w:t xml:space="preserve">.9.1 </w:t>
      </w:r>
      <w:r>
        <w:rPr>
          <w:rFonts w:hint="eastAsia" w:ascii="仿宋_GB2312" w:eastAsia="仿宋_GB2312"/>
          <w:sz w:val="21"/>
        </w:rPr>
        <w:t>提供临时用水、用电等节点铺设</w:t>
      </w:r>
    </w:p>
    <w:p w14:paraId="349CCFF1">
      <w:pPr>
        <w:spacing w:line="360" w:lineRule="auto"/>
        <w:ind w:firstLine="600"/>
        <w:rPr>
          <w:rFonts w:ascii="仿宋_GB2312" w:eastAsia="仿宋_GB2312"/>
        </w:rPr>
      </w:pPr>
      <w:r>
        <w:rPr>
          <w:rFonts w:hint="eastAsia" w:ascii="仿宋_GB2312" w:eastAsia="仿宋_GB2312"/>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7647EE0D">
      <w:pPr>
        <w:spacing w:line="360" w:lineRule="auto"/>
        <w:ind w:firstLine="600"/>
        <w:rPr>
          <w:rFonts w:ascii="仿宋_GB2312" w:eastAsia="仿宋_GB2312"/>
        </w:rPr>
      </w:pPr>
      <w:r>
        <w:rPr>
          <w:rFonts w:hint="eastAsia" w:ascii="仿宋_GB2312" w:eastAsia="仿宋_GB2312"/>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6D7F573F">
      <w:pPr>
        <w:pStyle w:val="40"/>
        <w:spacing w:after="157"/>
        <w:ind w:left="0"/>
        <w:outlineLvl w:val="4"/>
        <w:rPr>
          <w:rFonts w:hint="eastAsia" w:ascii="仿宋_GB2312" w:eastAsia="仿宋_GB2312"/>
          <w:sz w:val="21"/>
        </w:rPr>
      </w:pPr>
      <w:r>
        <w:rPr>
          <w:rFonts w:hint="eastAsia" w:ascii="仿宋_GB2312" w:eastAsia="仿宋_GB2312"/>
          <w:sz w:val="21"/>
        </w:rPr>
        <w:t>7</w:t>
      </w:r>
      <w:r>
        <w:rPr>
          <w:rFonts w:ascii="仿宋_GB2312" w:eastAsia="仿宋_GB2312"/>
          <w:sz w:val="21"/>
        </w:rPr>
        <w:t xml:space="preserve">.9.2 </w:t>
      </w:r>
      <w:r>
        <w:rPr>
          <w:rFonts w:hint="eastAsia" w:ascii="仿宋_GB2312" w:eastAsia="仿宋_GB2312"/>
          <w:sz w:val="21"/>
        </w:rPr>
        <w:t>临时用水、用电等</w:t>
      </w:r>
    </w:p>
    <w:p w14:paraId="757B222D">
      <w:pPr>
        <w:spacing w:line="360" w:lineRule="auto"/>
        <w:ind w:firstLine="600"/>
        <w:rPr>
          <w:rFonts w:ascii="仿宋_GB2312" w:eastAsia="仿宋_GB2312"/>
        </w:rPr>
      </w:pPr>
      <w:r>
        <w:rPr>
          <w:rFonts w:hint="eastAsia" w:ascii="仿宋_GB2312" w:eastAsia="仿宋_GB2312"/>
        </w:rPr>
        <w:t>承包人应在计划开始现场施工日期28天前或双方约定的其他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7D63B30E">
      <w:pPr>
        <w:spacing w:line="360" w:lineRule="auto"/>
        <w:ind w:firstLine="600"/>
        <w:rPr>
          <w:rFonts w:ascii="仿宋_GB2312" w:eastAsia="仿宋_GB2312"/>
        </w:rPr>
      </w:pPr>
      <w:bookmarkStart w:id="1222" w:name="_Ref508893743"/>
      <w:r>
        <w:rPr>
          <w:rFonts w:hint="eastAsia" w:ascii="仿宋_GB2312" w:eastAsia="仿宋_GB2312"/>
        </w:rPr>
        <w:t>因承包人未能按合同约定提交上述资料，造成发包人费用增加和竣工日期延误时，由承包人负责。</w:t>
      </w:r>
    </w:p>
    <w:p w14:paraId="455D4110">
      <w:pPr>
        <w:pStyle w:val="39"/>
        <w:widowControl/>
        <w:spacing w:afterLines="0"/>
        <w:ind w:left="0"/>
        <w:outlineLvl w:val="3"/>
        <w:rPr>
          <w:rFonts w:hint="eastAsia"/>
          <w:b w:val="0"/>
          <w:bCs/>
          <w:sz w:val="21"/>
          <w:szCs w:val="21"/>
        </w:rPr>
      </w:pPr>
      <w:bookmarkStart w:id="1223" w:name="_Toc54862245"/>
      <w:bookmarkEnd w:id="1223"/>
      <w:bookmarkStart w:id="1224" w:name="_Toc12736"/>
      <w:bookmarkEnd w:id="1224"/>
      <w:bookmarkStart w:id="1225" w:name="_Toc32365"/>
      <w:bookmarkEnd w:id="1225"/>
      <w:bookmarkStart w:id="1226" w:name="_Ref531952239"/>
      <w:bookmarkEnd w:id="1226"/>
      <w:bookmarkStart w:id="1227" w:name="_Ref531952248"/>
      <w:bookmarkEnd w:id="1227"/>
      <w:r>
        <w:rPr>
          <w:rFonts w:hint="eastAsia"/>
          <w:b w:val="0"/>
          <w:bCs/>
          <w:sz w:val="21"/>
          <w:szCs w:val="21"/>
        </w:rPr>
        <w:t>7.10 现场安保</w:t>
      </w:r>
    </w:p>
    <w:p w14:paraId="4AFE994D">
      <w:pPr>
        <w:spacing w:line="360" w:lineRule="auto"/>
        <w:ind w:firstLine="600"/>
        <w:rPr>
          <w:rFonts w:ascii="仿宋_GB2312" w:eastAsia="仿宋_GB2312"/>
        </w:rPr>
      </w:pPr>
      <w:r>
        <w:rPr>
          <w:rFonts w:hint="eastAsia" w:ascii="仿宋_GB2312" w:eastAsia="仿宋_GB2312"/>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2DD058BC">
      <w:pPr>
        <w:spacing w:line="360" w:lineRule="auto"/>
        <w:ind w:firstLine="600"/>
        <w:rPr>
          <w:rFonts w:ascii="仿宋_GB2312" w:eastAsia="仿宋_GB2312"/>
        </w:rPr>
      </w:pPr>
      <w:r>
        <w:rPr>
          <w:rFonts w:hint="eastAsia" w:ascii="仿宋_GB2312" w:eastAsia="仿宋_GB2312"/>
        </w:rPr>
        <w:t>承包人应将其作业限制在现场区域、合同约定的区域或为履行合同所需的区域内。承包人应采取一切必要的预防措施，以保持承包人的设备和人员处于现场区域内，避免其进入邻近地区。</w:t>
      </w:r>
    </w:p>
    <w:p w14:paraId="4CE9C1CC">
      <w:pPr>
        <w:spacing w:line="360" w:lineRule="auto"/>
        <w:ind w:firstLine="600"/>
        <w:rPr>
          <w:rFonts w:ascii="仿宋_GB2312" w:eastAsia="仿宋_GB2312"/>
        </w:rPr>
      </w:pPr>
      <w:r>
        <w:rPr>
          <w:rFonts w:hint="eastAsia" w:ascii="仿宋_GB2312" w:eastAsia="仿宋_GB2312"/>
        </w:rPr>
        <w:t>承包人为履行合同义务而占用的其他场所（如预制加工场所、办公及生活营区） 的安保适用本款前述关于现场安保的规定。</w:t>
      </w:r>
    </w:p>
    <w:p w14:paraId="510BBAEA">
      <w:pPr>
        <w:pStyle w:val="39"/>
        <w:widowControl/>
        <w:spacing w:afterLines="0"/>
        <w:ind w:left="0"/>
        <w:outlineLvl w:val="3"/>
        <w:rPr>
          <w:rFonts w:hint="eastAsia"/>
          <w:b w:val="0"/>
          <w:bCs/>
          <w:sz w:val="21"/>
          <w:szCs w:val="21"/>
        </w:rPr>
      </w:pPr>
      <w:bookmarkStart w:id="1228" w:name="_Toc14993"/>
      <w:bookmarkEnd w:id="1228"/>
      <w:bookmarkStart w:id="1229" w:name="_Toc11524"/>
      <w:bookmarkEnd w:id="1229"/>
      <w:bookmarkStart w:id="1230" w:name="_Toc54862246"/>
      <w:bookmarkEnd w:id="1230"/>
      <w:r>
        <w:rPr>
          <w:rFonts w:hint="eastAsia"/>
          <w:b w:val="0"/>
          <w:bCs/>
          <w:sz w:val="21"/>
          <w:szCs w:val="21"/>
        </w:rPr>
        <w:t>7.11 工程照管</w:t>
      </w:r>
    </w:p>
    <w:p w14:paraId="1AEF8C0B">
      <w:pPr>
        <w:spacing w:line="360" w:lineRule="auto"/>
        <w:ind w:firstLine="600"/>
        <w:rPr>
          <w:rFonts w:ascii="仿宋_GB2312" w:eastAsia="仿宋_GB2312"/>
        </w:rPr>
      </w:pPr>
      <w:r>
        <w:rPr>
          <w:rFonts w:hint="eastAsia" w:ascii="仿宋_GB2312" w:eastAsia="仿宋_GB2312"/>
        </w:rPr>
        <w:t>自开始现场施工日期起至发包人应当接收工程之日止，承包人应承担工程现场、材料、设备及承包人文件的照管和维护工作。</w:t>
      </w:r>
    </w:p>
    <w:p w14:paraId="1335B325">
      <w:pPr>
        <w:spacing w:line="360" w:lineRule="auto"/>
        <w:ind w:firstLine="600"/>
        <w:rPr>
          <w:rFonts w:ascii="仿宋_GB2312" w:eastAsia="仿宋_GB2312"/>
        </w:rPr>
      </w:pPr>
      <w:r>
        <w:rPr>
          <w:rFonts w:hint="eastAsia" w:ascii="仿宋_GB2312" w:eastAsia="仿宋_GB2312"/>
        </w:rPr>
        <w:t>如部分工程于竣工验收前提前交付发包人的，则自交付之日起，该部分工程照管及维护职责由发包人承担。</w:t>
      </w:r>
    </w:p>
    <w:p w14:paraId="2F067849">
      <w:pPr>
        <w:spacing w:line="360" w:lineRule="auto"/>
        <w:ind w:firstLine="600"/>
        <w:rPr>
          <w:rFonts w:ascii="仿宋_GB2312" w:eastAsia="仿宋_GB2312"/>
        </w:rPr>
      </w:pPr>
      <w:r>
        <w:rPr>
          <w:rFonts w:hint="eastAsia" w:ascii="仿宋_GB2312" w:eastAsia="仿宋_GB2312"/>
        </w:rPr>
        <w:t>如发包人及承包人进行竣工验收时尚有部分未竣工工程的，承包人应负责该未竣工工程的照管和维护工作，直至竣工后移交给发包人。</w:t>
      </w:r>
    </w:p>
    <w:p w14:paraId="41FBDBC2">
      <w:pPr>
        <w:spacing w:line="360" w:lineRule="auto"/>
        <w:ind w:firstLine="600"/>
        <w:rPr>
          <w:rFonts w:ascii="仿宋_GB2312" w:eastAsia="仿宋_GB2312"/>
        </w:rPr>
      </w:pPr>
      <w:r>
        <w:rPr>
          <w:rFonts w:hint="eastAsia" w:ascii="仿宋_GB2312" w:eastAsia="仿宋_GB2312"/>
        </w:rPr>
        <w:t>如合同解除或终止的，承包人自合同解除或终止之日起不再对工程承担照管和维护义务。</w:t>
      </w:r>
    </w:p>
    <w:p w14:paraId="15016837">
      <w:pPr>
        <w:pStyle w:val="39"/>
        <w:widowControl/>
        <w:spacing w:afterLines="0"/>
        <w:ind w:left="0"/>
        <w:rPr>
          <w:rFonts w:hint="eastAsia"/>
          <w:b w:val="0"/>
          <w:bCs/>
          <w:sz w:val="28"/>
          <w:szCs w:val="28"/>
        </w:rPr>
      </w:pPr>
      <w:bookmarkStart w:id="1231" w:name="_Ref508998009"/>
      <w:bookmarkEnd w:id="1231"/>
      <w:bookmarkStart w:id="1232" w:name="_Toc54862247"/>
      <w:bookmarkEnd w:id="1232"/>
      <w:bookmarkStart w:id="1233" w:name="_Toc31665"/>
      <w:bookmarkEnd w:id="1233"/>
      <w:bookmarkStart w:id="1234" w:name="_Toc27429"/>
      <w:bookmarkEnd w:id="1234"/>
      <w:bookmarkStart w:id="1235" w:name="_Ref531954505"/>
      <w:bookmarkStart w:id="1236" w:name="_Ref531954518"/>
      <w:r>
        <w:rPr>
          <w:rFonts w:hint="eastAsia"/>
          <w:b w:val="0"/>
          <w:bCs/>
          <w:sz w:val="28"/>
          <w:szCs w:val="28"/>
        </w:rPr>
        <w:t>第8条 工期和进度</w:t>
      </w:r>
    </w:p>
    <w:p w14:paraId="01540BEC">
      <w:pPr>
        <w:pStyle w:val="39"/>
        <w:widowControl/>
        <w:spacing w:afterLines="0"/>
        <w:ind w:left="0"/>
        <w:outlineLvl w:val="3"/>
        <w:rPr>
          <w:rFonts w:hint="eastAsia"/>
          <w:b w:val="0"/>
          <w:bCs/>
          <w:sz w:val="21"/>
          <w:szCs w:val="21"/>
        </w:rPr>
      </w:pPr>
      <w:bookmarkStart w:id="1237" w:name="_Ref532362072"/>
      <w:bookmarkEnd w:id="1237"/>
      <w:bookmarkStart w:id="1238" w:name="_Toc25447"/>
      <w:bookmarkEnd w:id="1238"/>
      <w:bookmarkStart w:id="1239" w:name="_Ref532362774"/>
      <w:bookmarkEnd w:id="1239"/>
      <w:bookmarkStart w:id="1240" w:name="_Ref532362777"/>
      <w:bookmarkEnd w:id="1240"/>
      <w:bookmarkStart w:id="1241" w:name="_Toc54862248"/>
      <w:bookmarkEnd w:id="1241"/>
      <w:bookmarkStart w:id="1242" w:name="_Toc2650"/>
      <w:bookmarkEnd w:id="1242"/>
      <w:bookmarkStart w:id="1243" w:name="_Ref532362075"/>
      <w:bookmarkEnd w:id="1243"/>
      <w:r>
        <w:rPr>
          <w:rFonts w:hint="eastAsia"/>
          <w:b w:val="0"/>
          <w:bCs/>
          <w:sz w:val="21"/>
          <w:szCs w:val="21"/>
        </w:rPr>
        <w:t>8.1 开始工作</w:t>
      </w:r>
    </w:p>
    <w:p w14:paraId="0B427644">
      <w:pPr>
        <w:pStyle w:val="40"/>
        <w:spacing w:after="157"/>
        <w:ind w:left="0"/>
        <w:outlineLvl w:val="4"/>
        <w:rPr>
          <w:rFonts w:hint="eastAsia" w:ascii="仿宋_GB2312" w:eastAsia="仿宋_GB2312"/>
          <w:sz w:val="21"/>
        </w:rPr>
      </w:pPr>
      <w:bookmarkStart w:id="1244" w:name="_Ref4428890"/>
      <w:bookmarkEnd w:id="1244"/>
      <w:r>
        <w:rPr>
          <w:rFonts w:hint="eastAsia" w:ascii="仿宋_GB2312" w:eastAsia="仿宋_GB2312"/>
          <w:sz w:val="21"/>
        </w:rPr>
        <w:t>8</w:t>
      </w:r>
      <w:r>
        <w:rPr>
          <w:rFonts w:ascii="仿宋_GB2312" w:eastAsia="仿宋_GB2312"/>
          <w:sz w:val="21"/>
        </w:rPr>
        <w:t xml:space="preserve">.1.1 </w:t>
      </w:r>
      <w:r>
        <w:rPr>
          <w:rFonts w:hint="eastAsia" w:ascii="仿宋_GB2312" w:eastAsia="仿宋_GB2312"/>
          <w:sz w:val="21"/>
        </w:rPr>
        <w:t>开始工作准备</w:t>
      </w:r>
    </w:p>
    <w:p w14:paraId="3DE93976">
      <w:pPr>
        <w:spacing w:line="360" w:lineRule="auto"/>
        <w:ind w:firstLine="600"/>
        <w:rPr>
          <w:rFonts w:ascii="仿宋_GB2312" w:eastAsia="仿宋_GB2312"/>
        </w:rPr>
      </w:pPr>
      <w:r>
        <w:rPr>
          <w:rFonts w:hint="eastAsia" w:ascii="仿宋_GB2312" w:eastAsia="仿宋_GB2312"/>
        </w:rPr>
        <w:t>合同当事人应按专用合同条件约定完成开始工作准备工作。</w:t>
      </w:r>
    </w:p>
    <w:p w14:paraId="0D8490BF">
      <w:pPr>
        <w:pStyle w:val="40"/>
        <w:spacing w:after="157"/>
        <w:ind w:left="0"/>
        <w:outlineLvl w:val="4"/>
        <w:rPr>
          <w:rFonts w:hint="eastAsia" w:ascii="仿宋_GB2312" w:eastAsia="仿宋_GB2312"/>
          <w:sz w:val="21"/>
        </w:rPr>
      </w:pPr>
      <w:bookmarkStart w:id="1245" w:name="_Ref536790534"/>
      <w:bookmarkEnd w:id="1245"/>
      <w:r>
        <w:rPr>
          <w:rFonts w:hint="eastAsia" w:ascii="仿宋_GB2312" w:eastAsia="仿宋_GB2312"/>
          <w:sz w:val="21"/>
        </w:rPr>
        <w:t>8</w:t>
      </w:r>
      <w:r>
        <w:rPr>
          <w:rFonts w:ascii="仿宋_GB2312" w:eastAsia="仿宋_GB2312"/>
          <w:sz w:val="21"/>
        </w:rPr>
        <w:t xml:space="preserve">.1.2 </w:t>
      </w:r>
      <w:r>
        <w:rPr>
          <w:rFonts w:hint="eastAsia" w:ascii="仿宋_GB2312" w:eastAsia="仿宋_GB2312"/>
          <w:sz w:val="21"/>
        </w:rPr>
        <w:t>开始工作通知</w:t>
      </w:r>
    </w:p>
    <w:p w14:paraId="27EC907A">
      <w:pPr>
        <w:spacing w:line="360" w:lineRule="auto"/>
        <w:ind w:firstLine="600"/>
        <w:rPr>
          <w:rFonts w:ascii="仿宋_GB2312" w:eastAsia="仿宋_GB2312"/>
        </w:rPr>
      </w:pPr>
      <w:r>
        <w:rPr>
          <w:rFonts w:hint="eastAsia" w:ascii="仿宋_GB2312" w:eastAsia="仿宋_GB2312"/>
        </w:rPr>
        <w:t>经发包人同意后，工程师应提前7天向承包人发出经发包人签认的开始工作通知，工期自开始工作通知中载明的开始工作日期起算。</w:t>
      </w:r>
    </w:p>
    <w:p w14:paraId="3FBBA992">
      <w:pPr>
        <w:spacing w:line="360" w:lineRule="auto"/>
        <w:ind w:firstLine="600"/>
        <w:rPr>
          <w:rFonts w:ascii="仿宋_GB2312" w:eastAsia="仿宋_GB2312"/>
        </w:rPr>
      </w:pPr>
      <w:bookmarkStart w:id="1246" w:name="_Hlk51506566"/>
      <w:bookmarkEnd w:id="1246"/>
      <w:r>
        <w:rPr>
          <w:rFonts w:hint="eastAsia" w:ascii="仿宋_GB2312" w:eastAsia="仿宋_GB2312"/>
        </w:rPr>
        <w:t>除专用合同条件另有约定外，因发包人原因造成实际开始现场施工日期迟于计划开始现场施工日期后第</w:t>
      </w:r>
      <w:r>
        <w:rPr>
          <w:rFonts w:ascii="仿宋_GB2312" w:eastAsia="仿宋_GB2312"/>
        </w:rPr>
        <w:t>84</w:t>
      </w:r>
      <w:r>
        <w:rPr>
          <w:rFonts w:hint="eastAsia" w:ascii="仿宋_GB2312" w:eastAsia="仿宋_GB2312"/>
        </w:rPr>
        <w:t>天的，承包人有权提出价格调整要求，或者解除合同。发包人应当承担由此增加的费用和（或）延误的工期，并向承包人支付合理利润。</w:t>
      </w:r>
    </w:p>
    <w:p w14:paraId="5DAA20F1">
      <w:pPr>
        <w:pStyle w:val="39"/>
        <w:widowControl/>
        <w:spacing w:afterLines="0"/>
        <w:ind w:left="0"/>
        <w:outlineLvl w:val="3"/>
        <w:rPr>
          <w:rFonts w:hint="eastAsia"/>
          <w:b w:val="0"/>
          <w:bCs/>
          <w:sz w:val="21"/>
          <w:szCs w:val="21"/>
        </w:rPr>
      </w:pPr>
      <w:bookmarkStart w:id="1247" w:name="_Toc4147"/>
      <w:bookmarkEnd w:id="1247"/>
      <w:bookmarkStart w:id="1248" w:name="_Toc54862249"/>
      <w:bookmarkEnd w:id="1248"/>
      <w:bookmarkStart w:id="1249" w:name="_Toc23392"/>
      <w:bookmarkEnd w:id="1249"/>
      <w:bookmarkStart w:id="1250" w:name="_Ref532362124"/>
      <w:bookmarkEnd w:id="1250"/>
      <w:r>
        <w:rPr>
          <w:rFonts w:hint="eastAsia"/>
          <w:b w:val="0"/>
          <w:bCs/>
          <w:sz w:val="21"/>
          <w:szCs w:val="21"/>
        </w:rPr>
        <w:t>8.2 竣工日期</w:t>
      </w:r>
    </w:p>
    <w:p w14:paraId="118FB941">
      <w:pPr>
        <w:spacing w:line="360" w:lineRule="auto"/>
        <w:ind w:firstLine="600"/>
        <w:rPr>
          <w:rFonts w:ascii="仿宋_GB2312" w:eastAsia="仿宋_GB2312"/>
        </w:rPr>
      </w:pPr>
      <w:r>
        <w:rPr>
          <w:rFonts w:hint="eastAsia" w:ascii="仿宋_GB2312" w:eastAsia="仿宋_GB2312"/>
        </w:rPr>
        <w:t>承包人应在合同协议书约定的工期内完成合同工作。除专用合同条件另有约定外，工程的竣工日期以第</w:t>
      </w:r>
      <w:r>
        <w:rPr>
          <w:rFonts w:ascii="仿宋_GB2312" w:eastAsia="仿宋_GB2312"/>
        </w:rPr>
        <w:t>10.1</w:t>
      </w:r>
      <w:r>
        <w:rPr>
          <w:rFonts w:hint="eastAsia" w:ascii="仿宋_GB2312" w:eastAsia="仿宋_GB2312"/>
        </w:rPr>
        <w:t>条[竣工验收]的约定为准，并在工程接收证书中写明。</w:t>
      </w:r>
    </w:p>
    <w:p w14:paraId="2620F89A">
      <w:pPr>
        <w:spacing w:line="360" w:lineRule="auto"/>
        <w:ind w:firstLine="600"/>
        <w:rPr>
          <w:rFonts w:ascii="仿宋_GB2312" w:eastAsia="仿宋_GB2312"/>
        </w:rPr>
      </w:pPr>
      <w:r>
        <w:rPr>
          <w:rFonts w:hint="eastAsia" w:ascii="仿宋_GB2312" w:eastAsia="仿宋_GB2312"/>
        </w:rPr>
        <w:t>因发包人原因，在工程师收到承包人竣工验收申请报告</w:t>
      </w:r>
      <w:r>
        <w:rPr>
          <w:rFonts w:ascii="仿宋_GB2312" w:eastAsia="仿宋_GB2312"/>
        </w:rPr>
        <w:t>42</w:t>
      </w:r>
      <w:r>
        <w:rPr>
          <w:rFonts w:hint="eastAsia" w:ascii="仿宋_GB2312" w:eastAsia="仿宋_GB2312"/>
        </w:rPr>
        <w:t>天后未进行验收的，视为验收合格，实际竣工日期以提交竣工验收申请报告的日期为准，但发包人由于不可抗力不能进行验收的除外。</w:t>
      </w:r>
    </w:p>
    <w:p w14:paraId="23BBCFF9">
      <w:pPr>
        <w:pStyle w:val="39"/>
        <w:widowControl/>
        <w:spacing w:afterLines="0"/>
        <w:ind w:left="0"/>
        <w:outlineLvl w:val="3"/>
        <w:rPr>
          <w:rFonts w:hint="eastAsia"/>
          <w:b w:val="0"/>
          <w:bCs/>
          <w:sz w:val="21"/>
          <w:szCs w:val="21"/>
        </w:rPr>
      </w:pPr>
      <w:bookmarkStart w:id="1251" w:name="_Toc54862250"/>
      <w:bookmarkEnd w:id="1251"/>
      <w:bookmarkStart w:id="1252" w:name="_Ref11863334"/>
      <w:bookmarkEnd w:id="1252"/>
      <w:bookmarkStart w:id="1253" w:name="_Toc10030"/>
      <w:bookmarkEnd w:id="1253"/>
      <w:bookmarkStart w:id="1254" w:name="_Toc12634"/>
      <w:bookmarkEnd w:id="1254"/>
      <w:bookmarkStart w:id="1255" w:name="_Ref532362204"/>
      <w:bookmarkStart w:id="1256" w:name="_Ref532352853"/>
      <w:bookmarkStart w:id="1257" w:name="_Ref532352856"/>
      <w:bookmarkStart w:id="1258" w:name="_Ref532362207"/>
      <w:r>
        <w:rPr>
          <w:rFonts w:hint="eastAsia"/>
          <w:b w:val="0"/>
          <w:bCs/>
          <w:sz w:val="21"/>
          <w:szCs w:val="21"/>
        </w:rPr>
        <w:t>8.3 项目实施计划</w:t>
      </w:r>
    </w:p>
    <w:p w14:paraId="31948C18">
      <w:pPr>
        <w:pStyle w:val="40"/>
        <w:spacing w:after="157"/>
        <w:ind w:left="0"/>
        <w:outlineLvl w:val="4"/>
        <w:rPr>
          <w:rFonts w:hint="eastAsia" w:ascii="仿宋_GB2312" w:eastAsia="仿宋_GB2312"/>
          <w:sz w:val="21"/>
        </w:rPr>
      </w:pPr>
      <w:bookmarkStart w:id="1259" w:name="_Ref18990904"/>
      <w:bookmarkEnd w:id="1259"/>
      <w:r>
        <w:rPr>
          <w:rFonts w:hint="eastAsia" w:ascii="仿宋_GB2312" w:eastAsia="仿宋_GB2312"/>
          <w:sz w:val="21"/>
        </w:rPr>
        <w:t>8</w:t>
      </w:r>
      <w:r>
        <w:rPr>
          <w:rFonts w:ascii="仿宋_GB2312" w:eastAsia="仿宋_GB2312"/>
          <w:sz w:val="21"/>
        </w:rPr>
        <w:t xml:space="preserve">.3.1 </w:t>
      </w:r>
      <w:r>
        <w:rPr>
          <w:rFonts w:hint="eastAsia" w:ascii="仿宋_GB2312" w:eastAsia="仿宋_GB2312"/>
          <w:sz w:val="21"/>
        </w:rPr>
        <w:t>项目实施计划的内容</w:t>
      </w:r>
    </w:p>
    <w:p w14:paraId="264EF1DB">
      <w:pPr>
        <w:spacing w:line="360" w:lineRule="auto"/>
        <w:ind w:firstLine="600"/>
        <w:rPr>
          <w:rFonts w:ascii="仿宋_GB2312" w:eastAsia="仿宋_GB2312"/>
        </w:rPr>
      </w:pPr>
      <w:r>
        <w:rPr>
          <w:rFonts w:hint="eastAsia" w:ascii="仿宋_GB2312" w:eastAsia="仿宋_GB2312"/>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65A7B3D6">
      <w:pPr>
        <w:pStyle w:val="40"/>
        <w:spacing w:after="157"/>
        <w:ind w:left="0"/>
        <w:outlineLvl w:val="4"/>
        <w:rPr>
          <w:rFonts w:hint="eastAsia" w:ascii="仿宋_GB2312" w:eastAsia="仿宋_GB2312"/>
          <w:sz w:val="21"/>
        </w:rPr>
      </w:pPr>
      <w:bookmarkStart w:id="1260" w:name="_Ref18990921"/>
      <w:bookmarkEnd w:id="1260"/>
      <w:r>
        <w:rPr>
          <w:rFonts w:hint="eastAsia" w:ascii="仿宋_GB2312" w:eastAsia="仿宋_GB2312"/>
          <w:sz w:val="21"/>
        </w:rPr>
        <w:t>8</w:t>
      </w:r>
      <w:r>
        <w:rPr>
          <w:rFonts w:ascii="仿宋_GB2312" w:eastAsia="仿宋_GB2312"/>
          <w:sz w:val="21"/>
        </w:rPr>
        <w:t xml:space="preserve">.3.2 </w:t>
      </w:r>
      <w:r>
        <w:rPr>
          <w:rFonts w:hint="eastAsia" w:ascii="仿宋_GB2312" w:eastAsia="仿宋_GB2312"/>
          <w:sz w:val="21"/>
        </w:rPr>
        <w:t>项目实施计划的提交和修改</w:t>
      </w:r>
    </w:p>
    <w:p w14:paraId="7B46475F">
      <w:pPr>
        <w:spacing w:line="360" w:lineRule="auto"/>
        <w:ind w:firstLine="600"/>
        <w:rPr>
          <w:rFonts w:ascii="仿宋_GB2312" w:eastAsia="仿宋_GB2312"/>
        </w:rPr>
      </w:pPr>
      <w:r>
        <w:rPr>
          <w:rFonts w:hint="eastAsia" w:ascii="仿宋_GB2312" w:eastAsia="仿宋_GB2312"/>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7E2C27A2">
      <w:pPr>
        <w:spacing w:line="360" w:lineRule="auto"/>
        <w:ind w:firstLine="600"/>
        <w:rPr>
          <w:rFonts w:ascii="仿宋_GB2312" w:eastAsia="仿宋_GB2312"/>
        </w:rPr>
      </w:pPr>
      <w:r>
        <w:rPr>
          <w:rFonts w:hint="eastAsia" w:ascii="仿宋_GB2312" w:eastAsia="仿宋_GB2312"/>
        </w:rPr>
        <w:t>项目进度计划的编制和修改按照第</w:t>
      </w:r>
      <w:r>
        <w:rPr>
          <w:rFonts w:ascii="仿宋_GB2312" w:eastAsia="仿宋_GB2312"/>
        </w:rPr>
        <w:t>8.4</w:t>
      </w:r>
      <w:r>
        <w:rPr>
          <w:rFonts w:hint="eastAsia" w:ascii="仿宋_GB2312" w:eastAsia="仿宋_GB2312"/>
        </w:rPr>
        <w:t>款[项目进度计划]执行。</w:t>
      </w:r>
    </w:p>
    <w:bookmarkEnd w:id="1255"/>
    <w:bookmarkEnd w:id="1256"/>
    <w:bookmarkEnd w:id="1257"/>
    <w:bookmarkEnd w:id="1258"/>
    <w:p w14:paraId="35952ED9">
      <w:pPr>
        <w:pStyle w:val="39"/>
        <w:widowControl/>
        <w:spacing w:afterLines="0"/>
        <w:ind w:left="0"/>
        <w:outlineLvl w:val="3"/>
        <w:rPr>
          <w:rFonts w:hint="eastAsia"/>
          <w:b w:val="0"/>
          <w:bCs/>
          <w:sz w:val="21"/>
          <w:szCs w:val="21"/>
        </w:rPr>
      </w:pPr>
      <w:bookmarkStart w:id="1261" w:name="_Toc26310"/>
      <w:bookmarkEnd w:id="1261"/>
      <w:bookmarkStart w:id="1262" w:name="_Toc54862251"/>
      <w:bookmarkEnd w:id="1262"/>
      <w:bookmarkStart w:id="1263" w:name="_Ref11865507"/>
      <w:bookmarkEnd w:id="1263"/>
      <w:bookmarkStart w:id="1264" w:name="_Toc7485"/>
      <w:bookmarkEnd w:id="1264"/>
      <w:r>
        <w:rPr>
          <w:rFonts w:hint="eastAsia"/>
          <w:b w:val="0"/>
          <w:bCs/>
          <w:sz w:val="21"/>
          <w:szCs w:val="21"/>
        </w:rPr>
        <w:t>8.4 项目进度计划</w:t>
      </w:r>
    </w:p>
    <w:p w14:paraId="5D44C6DA">
      <w:pPr>
        <w:pStyle w:val="40"/>
        <w:spacing w:after="157"/>
        <w:ind w:left="0"/>
        <w:outlineLvl w:val="4"/>
        <w:rPr>
          <w:rFonts w:hint="eastAsia" w:ascii="仿宋_GB2312" w:eastAsia="仿宋_GB2312"/>
          <w:sz w:val="21"/>
        </w:rPr>
      </w:pPr>
      <w:bookmarkStart w:id="1265" w:name="_Ref4681217"/>
      <w:bookmarkEnd w:id="1265"/>
      <w:r>
        <w:rPr>
          <w:rFonts w:hint="eastAsia" w:ascii="仿宋_GB2312" w:eastAsia="仿宋_GB2312"/>
          <w:sz w:val="21"/>
        </w:rPr>
        <w:t>8</w:t>
      </w:r>
      <w:r>
        <w:rPr>
          <w:rFonts w:ascii="仿宋_GB2312" w:eastAsia="仿宋_GB2312"/>
          <w:sz w:val="21"/>
        </w:rPr>
        <w:t xml:space="preserve">.4.1 </w:t>
      </w:r>
      <w:r>
        <w:rPr>
          <w:rFonts w:hint="eastAsia" w:ascii="仿宋_GB2312" w:eastAsia="仿宋_GB2312"/>
          <w:sz w:val="21"/>
        </w:rPr>
        <w:t>项目进度计划的提交和修改</w:t>
      </w:r>
    </w:p>
    <w:p w14:paraId="3951B7EF">
      <w:pPr>
        <w:spacing w:line="360" w:lineRule="auto"/>
        <w:ind w:firstLine="600"/>
        <w:rPr>
          <w:rFonts w:ascii="仿宋_GB2312" w:eastAsia="仿宋_GB2312"/>
        </w:rPr>
      </w:pPr>
      <w:r>
        <w:rPr>
          <w:rFonts w:hint="eastAsia" w:ascii="仿宋_GB2312" w:eastAsia="仿宋_GB2312"/>
        </w:rPr>
        <w:t>承包人应按照第</w:t>
      </w:r>
      <w:r>
        <w:rPr>
          <w:rFonts w:ascii="仿宋_GB2312" w:eastAsia="仿宋_GB2312"/>
        </w:rPr>
        <w:t>8.3</w:t>
      </w:r>
      <w:r>
        <w:rPr>
          <w:rFonts w:hint="eastAsia" w:ascii="仿宋_GB2312" w:eastAsia="仿宋_GB2312"/>
        </w:rPr>
        <w:t>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3564326C">
      <w:pPr>
        <w:spacing w:line="360" w:lineRule="auto"/>
        <w:ind w:firstLine="600"/>
        <w:rPr>
          <w:rFonts w:ascii="仿宋_GB2312" w:eastAsia="仿宋_GB2312"/>
        </w:rPr>
      </w:pPr>
      <w:r>
        <w:rPr>
          <w:rFonts w:hint="eastAsia" w:ascii="仿宋_GB2312" w:eastAsia="仿宋_GB2312"/>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6D6C3516">
      <w:pPr>
        <w:pStyle w:val="40"/>
        <w:spacing w:after="157"/>
        <w:ind w:left="0"/>
        <w:outlineLvl w:val="4"/>
        <w:rPr>
          <w:rFonts w:hint="eastAsia" w:ascii="仿宋_GB2312" w:eastAsia="仿宋_GB2312"/>
          <w:sz w:val="21"/>
        </w:rPr>
      </w:pPr>
      <w:bookmarkStart w:id="1266" w:name="_Ref4429079"/>
      <w:bookmarkEnd w:id="1266"/>
      <w:r>
        <w:rPr>
          <w:rFonts w:hint="eastAsia" w:ascii="仿宋_GB2312" w:eastAsia="仿宋_GB2312"/>
          <w:sz w:val="21"/>
        </w:rPr>
        <w:t>8</w:t>
      </w:r>
      <w:r>
        <w:rPr>
          <w:rFonts w:ascii="仿宋_GB2312" w:eastAsia="仿宋_GB2312"/>
          <w:sz w:val="21"/>
        </w:rPr>
        <w:t xml:space="preserve">.4.2 </w:t>
      </w:r>
      <w:r>
        <w:rPr>
          <w:rFonts w:hint="eastAsia" w:ascii="仿宋_GB2312" w:eastAsia="仿宋_GB2312"/>
          <w:sz w:val="21"/>
        </w:rPr>
        <w:t>项目进度计划的内容</w:t>
      </w:r>
    </w:p>
    <w:p w14:paraId="6DF5BEF5">
      <w:pPr>
        <w:spacing w:line="360" w:lineRule="auto"/>
        <w:ind w:firstLine="600"/>
        <w:rPr>
          <w:rFonts w:ascii="仿宋_GB2312" w:eastAsia="仿宋_GB2312"/>
        </w:rPr>
      </w:pPr>
      <w:r>
        <w:rPr>
          <w:rFonts w:hint="eastAsia" w:ascii="仿宋_GB2312" w:eastAsia="仿宋_GB2312"/>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4E64F0C3">
      <w:pPr>
        <w:pStyle w:val="40"/>
        <w:spacing w:after="157"/>
        <w:ind w:left="0"/>
        <w:outlineLvl w:val="4"/>
        <w:rPr>
          <w:rFonts w:hint="eastAsia" w:ascii="仿宋_GB2312" w:eastAsia="仿宋_GB2312"/>
          <w:sz w:val="21"/>
        </w:rPr>
      </w:pPr>
      <w:bookmarkStart w:id="1267" w:name="_Ref3848203"/>
      <w:bookmarkEnd w:id="1267"/>
      <w:r>
        <w:rPr>
          <w:rFonts w:hint="eastAsia" w:ascii="仿宋_GB2312" w:eastAsia="仿宋_GB2312"/>
          <w:sz w:val="21"/>
        </w:rPr>
        <w:t>8</w:t>
      </w:r>
      <w:r>
        <w:rPr>
          <w:rFonts w:ascii="仿宋_GB2312" w:eastAsia="仿宋_GB2312"/>
          <w:sz w:val="21"/>
        </w:rPr>
        <w:t xml:space="preserve">.4.3 </w:t>
      </w:r>
      <w:r>
        <w:rPr>
          <w:rFonts w:hint="eastAsia" w:ascii="仿宋_GB2312" w:eastAsia="仿宋_GB2312"/>
          <w:sz w:val="21"/>
        </w:rPr>
        <w:t>项目进度计划的修订</w:t>
      </w:r>
    </w:p>
    <w:p w14:paraId="01858373">
      <w:pPr>
        <w:spacing w:line="360" w:lineRule="auto"/>
        <w:ind w:firstLine="600"/>
        <w:rPr>
          <w:rFonts w:ascii="仿宋_GB2312" w:eastAsia="仿宋_GB2312"/>
        </w:rPr>
      </w:pPr>
      <w:r>
        <w:rPr>
          <w:rFonts w:hint="eastAsia" w:ascii="仿宋_GB2312" w:eastAsia="仿宋_GB2312"/>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4241CD97">
      <w:pPr>
        <w:spacing w:line="360" w:lineRule="auto"/>
        <w:ind w:firstLine="600"/>
        <w:rPr>
          <w:rFonts w:ascii="仿宋_GB2312" w:eastAsia="仿宋_GB2312"/>
        </w:rPr>
      </w:pPr>
      <w:r>
        <w:rPr>
          <w:rFonts w:hint="eastAsia" w:ascii="仿宋_GB2312" w:eastAsia="仿宋_GB2312"/>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4004CBF7">
      <w:pPr>
        <w:spacing w:line="360" w:lineRule="auto"/>
        <w:ind w:firstLine="600"/>
        <w:rPr>
          <w:rFonts w:ascii="仿宋_GB2312" w:eastAsia="仿宋_GB2312"/>
        </w:rPr>
      </w:pPr>
      <w:r>
        <w:rPr>
          <w:rFonts w:hint="eastAsia" w:ascii="仿宋_GB2312" w:eastAsia="仿宋_GB2312"/>
        </w:rPr>
        <w:t>除合同当事人另有约定外，项目进度计划的修订并不能减轻或者免除双方按第</w:t>
      </w:r>
      <w:r>
        <w:rPr>
          <w:rFonts w:ascii="仿宋_GB2312" w:eastAsia="仿宋_GB2312"/>
        </w:rPr>
        <w:t>8.7</w:t>
      </w:r>
      <w:r>
        <w:rPr>
          <w:rFonts w:hint="eastAsia" w:ascii="仿宋_GB2312" w:eastAsia="仿宋_GB2312"/>
        </w:rPr>
        <w:t>款[工期延误]、第</w:t>
      </w:r>
      <w:r>
        <w:rPr>
          <w:rFonts w:ascii="仿宋_GB2312" w:eastAsia="仿宋_GB2312"/>
        </w:rPr>
        <w:t>8.8</w:t>
      </w:r>
      <w:r>
        <w:rPr>
          <w:rFonts w:hint="eastAsia" w:ascii="仿宋_GB2312" w:eastAsia="仿宋_GB2312"/>
        </w:rPr>
        <w:t>款[工期提前]、第</w:t>
      </w:r>
      <w:r>
        <w:rPr>
          <w:rFonts w:ascii="仿宋_GB2312" w:eastAsia="仿宋_GB2312"/>
        </w:rPr>
        <w:t>8.9</w:t>
      </w:r>
      <w:r>
        <w:rPr>
          <w:rFonts w:hint="eastAsia" w:ascii="仿宋_GB2312" w:eastAsia="仿宋_GB2312"/>
        </w:rPr>
        <w:t>款[暂停工作]应承担的合同责任。</w:t>
      </w:r>
    </w:p>
    <w:p w14:paraId="3FA74191">
      <w:pPr>
        <w:pStyle w:val="39"/>
        <w:widowControl/>
        <w:spacing w:afterLines="0"/>
        <w:ind w:left="0"/>
        <w:outlineLvl w:val="3"/>
        <w:rPr>
          <w:rFonts w:hint="eastAsia"/>
          <w:b w:val="0"/>
          <w:bCs/>
          <w:sz w:val="21"/>
          <w:szCs w:val="21"/>
        </w:rPr>
      </w:pPr>
      <w:bookmarkStart w:id="1268" w:name="_Toc17511"/>
      <w:bookmarkEnd w:id="1268"/>
      <w:bookmarkStart w:id="1269" w:name="_Toc54862252"/>
      <w:bookmarkEnd w:id="1269"/>
      <w:bookmarkStart w:id="1270" w:name="_Ref532362278"/>
      <w:bookmarkEnd w:id="1270"/>
      <w:bookmarkStart w:id="1271" w:name="_Ref532362276"/>
      <w:bookmarkEnd w:id="1271"/>
      <w:bookmarkStart w:id="1272" w:name="_Toc30017"/>
      <w:bookmarkEnd w:id="1272"/>
      <w:r>
        <w:rPr>
          <w:rFonts w:hint="eastAsia"/>
          <w:b w:val="0"/>
          <w:bCs/>
          <w:sz w:val="21"/>
          <w:szCs w:val="21"/>
        </w:rPr>
        <w:t>8.5 进度报告</w:t>
      </w:r>
    </w:p>
    <w:p w14:paraId="474E91CE">
      <w:pPr>
        <w:spacing w:line="360" w:lineRule="auto"/>
        <w:ind w:firstLine="600"/>
        <w:rPr>
          <w:rFonts w:ascii="仿宋_GB2312" w:eastAsia="仿宋_GB2312"/>
        </w:rPr>
      </w:pPr>
      <w:r>
        <w:rPr>
          <w:rFonts w:hint="eastAsia" w:ascii="仿宋_GB2312" w:eastAsia="仿宋_GB2312"/>
        </w:rPr>
        <w:t>项目实施过程中，承包人应进行实际进度记录，并根据工程师的要求编制月进度报告，并提交给工程师。进度报告应包含以下主要内容：</w:t>
      </w:r>
    </w:p>
    <w:p w14:paraId="7ED49FED">
      <w:pPr>
        <w:spacing w:line="360" w:lineRule="auto"/>
        <w:ind w:firstLine="600"/>
        <w:rPr>
          <w:rFonts w:ascii="仿宋_GB2312" w:eastAsia="仿宋_GB2312"/>
        </w:rPr>
      </w:pPr>
      <w:r>
        <w:rPr>
          <w:rFonts w:hint="eastAsia" w:ascii="仿宋_GB2312" w:eastAsia="仿宋_GB2312"/>
        </w:rPr>
        <w:t>（1） 工程设计、采购、施工等各个工作内容的进展报告；</w:t>
      </w:r>
    </w:p>
    <w:p w14:paraId="178B430B">
      <w:pPr>
        <w:spacing w:line="360" w:lineRule="auto"/>
        <w:ind w:firstLine="600"/>
        <w:rPr>
          <w:rFonts w:ascii="仿宋_GB2312" w:eastAsia="仿宋_GB2312"/>
        </w:rPr>
      </w:pPr>
      <w:r>
        <w:rPr>
          <w:rFonts w:hint="eastAsia" w:ascii="仿宋_GB2312" w:eastAsia="仿宋_GB2312"/>
        </w:rPr>
        <w:t>（2） 工程施工方法的一般说明；</w:t>
      </w:r>
    </w:p>
    <w:p w14:paraId="27EC18AF">
      <w:pPr>
        <w:spacing w:line="360" w:lineRule="auto"/>
        <w:ind w:firstLine="600"/>
        <w:rPr>
          <w:rFonts w:ascii="仿宋_GB2312" w:eastAsia="仿宋_GB2312"/>
        </w:rPr>
      </w:pPr>
      <w:r>
        <w:rPr>
          <w:rFonts w:hint="eastAsia" w:ascii="仿宋_GB2312" w:eastAsia="仿宋_GB2312"/>
        </w:rPr>
        <w:t>（3） 当月工程实施介入的项目人员、设备和材料的预估明细报告；</w:t>
      </w:r>
    </w:p>
    <w:p w14:paraId="1D5C5E81">
      <w:pPr>
        <w:spacing w:line="360" w:lineRule="auto"/>
        <w:ind w:firstLine="600"/>
        <w:rPr>
          <w:rFonts w:ascii="仿宋_GB2312" w:eastAsia="仿宋_GB2312"/>
        </w:rPr>
      </w:pPr>
      <w:r>
        <w:rPr>
          <w:rFonts w:hint="eastAsia" w:ascii="仿宋_GB2312" w:eastAsia="仿宋_GB2312"/>
        </w:rPr>
        <w:t xml:space="preserve">（4） 当月实际进度与进度计划对比分析，以及提出未来可能引起工期延误的情形，同时提出应对措施；需要修订项目进度计划的，应对项目进度计划的修订部分进行说明； </w:t>
      </w:r>
    </w:p>
    <w:p w14:paraId="549E7702">
      <w:pPr>
        <w:spacing w:line="360" w:lineRule="auto"/>
        <w:ind w:firstLine="600"/>
        <w:rPr>
          <w:rFonts w:ascii="仿宋_GB2312" w:eastAsia="仿宋_GB2312"/>
        </w:rPr>
      </w:pPr>
      <w:r>
        <w:rPr>
          <w:rFonts w:hint="eastAsia" w:ascii="仿宋_GB2312" w:eastAsia="仿宋_GB2312"/>
        </w:rPr>
        <w:t>（5） 承包人</w:t>
      </w:r>
      <w:r>
        <w:rPr>
          <w:rFonts w:hint="eastAsia" w:ascii="仿宋_GB2312" w:eastAsia="仿宋_GB2312"/>
          <w:lang w:eastAsia="zh-CN"/>
        </w:rPr>
        <w:t>对</w:t>
      </w:r>
      <w:r>
        <w:rPr>
          <w:rFonts w:hint="eastAsia" w:ascii="仿宋_GB2312" w:eastAsia="仿宋_GB2312"/>
        </w:rPr>
        <w:t>解决工期延误所提出的建议；</w:t>
      </w:r>
    </w:p>
    <w:p w14:paraId="619F4B73">
      <w:pPr>
        <w:spacing w:line="360" w:lineRule="auto"/>
        <w:ind w:firstLine="600"/>
        <w:rPr>
          <w:rFonts w:ascii="仿宋_GB2312" w:eastAsia="仿宋_GB2312"/>
        </w:rPr>
      </w:pPr>
      <w:r>
        <w:rPr>
          <w:rFonts w:hint="eastAsia" w:ascii="仿宋_GB2312" w:eastAsia="仿宋_GB2312"/>
        </w:rPr>
        <w:t>（6） 其他与工程有关的重大事项。</w:t>
      </w:r>
    </w:p>
    <w:p w14:paraId="32075E2E">
      <w:pPr>
        <w:spacing w:line="360" w:lineRule="auto"/>
        <w:ind w:firstLine="600"/>
        <w:rPr>
          <w:rFonts w:ascii="仿宋_GB2312" w:eastAsia="仿宋_GB2312"/>
        </w:rPr>
      </w:pPr>
      <w:r>
        <w:rPr>
          <w:rFonts w:hint="eastAsia" w:ascii="仿宋_GB2312" w:eastAsia="仿宋_GB2312"/>
        </w:rPr>
        <w:t>进度报告的具体要求等，在专用合同条件约定。</w:t>
      </w:r>
    </w:p>
    <w:p w14:paraId="46124E99">
      <w:pPr>
        <w:pStyle w:val="39"/>
        <w:widowControl/>
        <w:spacing w:afterLines="0"/>
        <w:ind w:left="0"/>
        <w:outlineLvl w:val="3"/>
        <w:rPr>
          <w:rFonts w:hint="eastAsia"/>
          <w:b w:val="0"/>
          <w:bCs/>
          <w:sz w:val="21"/>
          <w:szCs w:val="21"/>
        </w:rPr>
      </w:pPr>
      <w:bookmarkStart w:id="1273" w:name="_Toc15649"/>
      <w:bookmarkEnd w:id="1273"/>
      <w:bookmarkStart w:id="1274" w:name="_Toc54862253"/>
      <w:bookmarkEnd w:id="1274"/>
      <w:bookmarkStart w:id="1275" w:name="_Toc1532"/>
      <w:bookmarkEnd w:id="1275"/>
      <w:r>
        <w:rPr>
          <w:rFonts w:hint="eastAsia"/>
          <w:b w:val="0"/>
          <w:bCs/>
          <w:sz w:val="21"/>
          <w:szCs w:val="21"/>
        </w:rPr>
        <w:t>8.6 提前预警</w:t>
      </w:r>
    </w:p>
    <w:p w14:paraId="58BFA613">
      <w:pPr>
        <w:spacing w:line="360" w:lineRule="auto"/>
        <w:ind w:firstLine="600"/>
        <w:rPr>
          <w:rFonts w:ascii="仿宋_GB2312" w:eastAsia="仿宋_GB2312"/>
        </w:rPr>
      </w:pPr>
      <w:r>
        <w:rPr>
          <w:rFonts w:hint="eastAsia" w:ascii="仿宋_GB2312" w:eastAsia="仿宋_GB2312"/>
        </w:rPr>
        <w:t>任何一方应当在下列情形发生时尽快书面通知另一方：</w:t>
      </w:r>
    </w:p>
    <w:p w14:paraId="2B1D4071">
      <w:pPr>
        <w:spacing w:line="360" w:lineRule="auto"/>
        <w:ind w:firstLine="600"/>
        <w:rPr>
          <w:rFonts w:ascii="仿宋_GB2312" w:eastAsia="仿宋_GB2312"/>
        </w:rPr>
      </w:pPr>
      <w:r>
        <w:rPr>
          <w:rFonts w:hint="eastAsia" w:ascii="仿宋_GB2312" w:eastAsia="仿宋_GB2312"/>
        </w:rPr>
        <w:t>（1） 该情形可能对合同的履行或实现合同目的产生不利影响；</w:t>
      </w:r>
    </w:p>
    <w:p w14:paraId="5DA35844">
      <w:pPr>
        <w:spacing w:line="360" w:lineRule="auto"/>
        <w:ind w:firstLine="600"/>
        <w:rPr>
          <w:rFonts w:ascii="仿宋_GB2312" w:eastAsia="仿宋_GB2312"/>
        </w:rPr>
      </w:pPr>
      <w:r>
        <w:rPr>
          <w:rFonts w:hint="eastAsia" w:ascii="仿宋_GB2312" w:eastAsia="仿宋_GB2312"/>
        </w:rPr>
        <w:t>（2） 该情形可能对工程完成后的使用产生不利影响；</w:t>
      </w:r>
    </w:p>
    <w:p w14:paraId="207C4207">
      <w:pPr>
        <w:spacing w:line="360" w:lineRule="auto"/>
        <w:ind w:firstLine="600"/>
        <w:rPr>
          <w:rFonts w:ascii="仿宋_GB2312" w:eastAsia="仿宋_GB2312"/>
        </w:rPr>
      </w:pPr>
      <w:r>
        <w:rPr>
          <w:rFonts w:hint="eastAsia" w:ascii="仿宋_GB2312" w:eastAsia="仿宋_GB2312"/>
        </w:rPr>
        <w:t>（3） 该情形可能导致合同价款增加；</w:t>
      </w:r>
    </w:p>
    <w:p w14:paraId="1A910894">
      <w:pPr>
        <w:spacing w:line="360" w:lineRule="auto"/>
        <w:ind w:firstLine="600"/>
        <w:rPr>
          <w:rFonts w:ascii="仿宋_GB2312" w:eastAsia="仿宋_GB2312"/>
        </w:rPr>
      </w:pPr>
      <w:r>
        <w:rPr>
          <w:rFonts w:hint="eastAsia" w:ascii="仿宋_GB2312" w:eastAsia="仿宋_GB2312"/>
        </w:rPr>
        <w:t>（4） 该情形可能导致整个工程或单位/区段工程的工期延长。</w:t>
      </w:r>
    </w:p>
    <w:p w14:paraId="358CC895">
      <w:pPr>
        <w:spacing w:line="360" w:lineRule="auto"/>
        <w:ind w:firstLine="600"/>
        <w:rPr>
          <w:rFonts w:ascii="仿宋_GB2312" w:eastAsia="仿宋_GB2312"/>
        </w:rPr>
      </w:pPr>
      <w:r>
        <w:rPr>
          <w:rFonts w:hint="eastAsia" w:ascii="仿宋_GB2312" w:eastAsia="仿宋_GB2312"/>
        </w:rPr>
        <w:t>发包人有权要求承包人根据第</w:t>
      </w:r>
      <w:r>
        <w:rPr>
          <w:rFonts w:ascii="仿宋_GB2312" w:eastAsia="仿宋_GB2312"/>
        </w:rPr>
        <w:t>13.2</w:t>
      </w:r>
      <w:r>
        <w:rPr>
          <w:rFonts w:hint="eastAsia" w:ascii="仿宋_GB2312" w:eastAsia="仿宋_GB2312"/>
        </w:rPr>
        <w:t>款[承包人的合理化建议]的约定提交变更建议，采取措施尽量避免或最小化上述情形的发生或影响。</w:t>
      </w:r>
    </w:p>
    <w:p w14:paraId="18F32BDF">
      <w:pPr>
        <w:pStyle w:val="39"/>
        <w:widowControl/>
        <w:spacing w:afterLines="0"/>
        <w:ind w:left="0"/>
        <w:outlineLvl w:val="3"/>
        <w:rPr>
          <w:rFonts w:hint="eastAsia"/>
          <w:b w:val="0"/>
          <w:bCs/>
          <w:sz w:val="21"/>
          <w:szCs w:val="21"/>
        </w:rPr>
      </w:pPr>
      <w:bookmarkStart w:id="1276" w:name="_Toc4784163"/>
      <w:bookmarkEnd w:id="1276"/>
      <w:bookmarkStart w:id="1277" w:name="_Toc25286"/>
      <w:bookmarkEnd w:id="1277"/>
      <w:bookmarkStart w:id="1278" w:name="_Toc4784168"/>
      <w:bookmarkEnd w:id="1278"/>
      <w:bookmarkStart w:id="1279" w:name="_Toc4784175"/>
      <w:bookmarkEnd w:id="1279"/>
      <w:bookmarkStart w:id="1280" w:name="_Toc4784164"/>
      <w:bookmarkEnd w:id="1280"/>
      <w:bookmarkStart w:id="1281" w:name="_Toc4784170"/>
      <w:bookmarkEnd w:id="1281"/>
      <w:bookmarkStart w:id="1282" w:name="_Toc4784169"/>
      <w:bookmarkEnd w:id="1282"/>
      <w:bookmarkStart w:id="1283" w:name="_Toc4784162"/>
      <w:bookmarkEnd w:id="1283"/>
      <w:bookmarkStart w:id="1284" w:name="_Toc54862254"/>
      <w:bookmarkEnd w:id="1284"/>
      <w:bookmarkStart w:id="1285" w:name="_Toc4784157"/>
      <w:bookmarkEnd w:id="1285"/>
      <w:bookmarkStart w:id="1286" w:name="_Toc4784166"/>
      <w:bookmarkEnd w:id="1286"/>
      <w:bookmarkStart w:id="1287" w:name="_Toc4784161"/>
      <w:bookmarkEnd w:id="1287"/>
      <w:bookmarkStart w:id="1288" w:name="_Toc4784160"/>
      <w:bookmarkEnd w:id="1288"/>
      <w:bookmarkStart w:id="1289" w:name="_Toc4784154"/>
      <w:bookmarkEnd w:id="1289"/>
      <w:bookmarkStart w:id="1290" w:name="_Toc4784155"/>
      <w:bookmarkEnd w:id="1290"/>
      <w:bookmarkStart w:id="1291" w:name="_Toc4784171"/>
      <w:bookmarkEnd w:id="1291"/>
      <w:bookmarkStart w:id="1292" w:name="_Toc4784158"/>
      <w:bookmarkEnd w:id="1292"/>
      <w:bookmarkStart w:id="1293" w:name="_Toc4784165"/>
      <w:bookmarkEnd w:id="1293"/>
      <w:bookmarkStart w:id="1294" w:name="_Toc4784159"/>
      <w:bookmarkEnd w:id="1294"/>
      <w:bookmarkStart w:id="1295" w:name="_Ref4770106"/>
      <w:bookmarkEnd w:id="1295"/>
      <w:bookmarkStart w:id="1296" w:name="_Toc4784167"/>
      <w:bookmarkEnd w:id="1296"/>
      <w:bookmarkStart w:id="1297" w:name="_Toc4784174"/>
      <w:bookmarkEnd w:id="1297"/>
      <w:bookmarkStart w:id="1298" w:name="_Toc4784172"/>
      <w:bookmarkEnd w:id="1298"/>
      <w:bookmarkStart w:id="1299" w:name="_Toc4784173"/>
      <w:bookmarkEnd w:id="1299"/>
      <w:bookmarkStart w:id="1300" w:name="_Toc19693"/>
      <w:bookmarkEnd w:id="1300"/>
      <w:bookmarkStart w:id="1301" w:name="_Toc4784156"/>
      <w:bookmarkEnd w:id="1301"/>
      <w:bookmarkStart w:id="1302" w:name="_Ref532362356"/>
      <w:bookmarkStart w:id="1303" w:name="_Ref532362359"/>
      <w:r>
        <w:rPr>
          <w:rFonts w:hint="eastAsia"/>
          <w:b w:val="0"/>
          <w:bCs/>
          <w:sz w:val="21"/>
          <w:szCs w:val="21"/>
        </w:rPr>
        <w:t>8.7 工期延误</w:t>
      </w:r>
    </w:p>
    <w:p w14:paraId="4B0DD4AA">
      <w:pPr>
        <w:pStyle w:val="40"/>
        <w:spacing w:after="157"/>
        <w:ind w:left="0"/>
        <w:outlineLvl w:val="4"/>
        <w:rPr>
          <w:rFonts w:hint="eastAsia" w:ascii="仿宋_GB2312" w:eastAsia="仿宋_GB2312"/>
          <w:sz w:val="21"/>
        </w:rPr>
      </w:pPr>
      <w:bookmarkStart w:id="1304" w:name="_Ref4796050"/>
      <w:bookmarkEnd w:id="1304"/>
      <w:r>
        <w:rPr>
          <w:rFonts w:hint="eastAsia" w:ascii="仿宋_GB2312" w:eastAsia="仿宋_GB2312"/>
          <w:sz w:val="21"/>
        </w:rPr>
        <w:t>8</w:t>
      </w:r>
      <w:r>
        <w:rPr>
          <w:rFonts w:ascii="仿宋_GB2312" w:eastAsia="仿宋_GB2312"/>
          <w:sz w:val="21"/>
        </w:rPr>
        <w:t xml:space="preserve">.7.1 </w:t>
      </w:r>
      <w:r>
        <w:rPr>
          <w:rFonts w:hint="eastAsia" w:ascii="仿宋_GB2312" w:eastAsia="仿宋_GB2312"/>
          <w:sz w:val="21"/>
        </w:rPr>
        <w:t>因发包人原因导致工期延误</w:t>
      </w:r>
    </w:p>
    <w:p w14:paraId="7B9E9AF9">
      <w:pPr>
        <w:spacing w:line="360" w:lineRule="auto"/>
        <w:ind w:firstLine="600"/>
        <w:rPr>
          <w:rFonts w:ascii="仿宋_GB2312" w:eastAsia="仿宋_GB2312"/>
        </w:rPr>
      </w:pPr>
      <w:r>
        <w:rPr>
          <w:rFonts w:hint="eastAsia" w:ascii="仿宋_GB2312" w:eastAsia="仿宋_GB2312"/>
        </w:rPr>
        <w:t>在合同履行过程中，因下列情况导致工期延误和（或）费用增加的，由发包人承担由此延误的工期和（或）增加的费用，且发包人应支付承包人合理的利润：</w:t>
      </w:r>
    </w:p>
    <w:p w14:paraId="09F05C2D">
      <w:pPr>
        <w:spacing w:line="360" w:lineRule="auto"/>
        <w:ind w:firstLine="600"/>
        <w:rPr>
          <w:rFonts w:ascii="仿宋_GB2312" w:eastAsia="仿宋_GB2312"/>
        </w:rPr>
      </w:pPr>
      <w:r>
        <w:rPr>
          <w:rFonts w:hint="eastAsia" w:ascii="仿宋_GB2312" w:eastAsia="仿宋_GB2312"/>
        </w:rPr>
        <w:t>（1） 根据第</w:t>
      </w:r>
      <w:r>
        <w:rPr>
          <w:rFonts w:ascii="仿宋_GB2312" w:eastAsia="仿宋_GB2312"/>
        </w:rPr>
        <w:t>13条</w:t>
      </w:r>
      <w:r>
        <w:rPr>
          <w:rFonts w:hint="eastAsia" w:ascii="仿宋_GB2312" w:eastAsia="仿宋_GB2312"/>
        </w:rPr>
        <w:t>[变更与调整]的约定构成一项变更的；</w:t>
      </w:r>
    </w:p>
    <w:p w14:paraId="0DE381FF">
      <w:pPr>
        <w:spacing w:line="360" w:lineRule="auto"/>
        <w:ind w:firstLine="600"/>
        <w:rPr>
          <w:rFonts w:ascii="仿宋_GB2312" w:eastAsia="仿宋_GB2312"/>
        </w:rPr>
      </w:pPr>
      <w:r>
        <w:rPr>
          <w:rFonts w:hint="eastAsia" w:ascii="仿宋_GB2312" w:eastAsia="仿宋_GB2312"/>
        </w:rPr>
        <w:t>（2） 发包人违反本合同约定，导致工期延误和（或）费用增加的；</w:t>
      </w:r>
    </w:p>
    <w:p w14:paraId="5F9B7084">
      <w:pPr>
        <w:spacing w:line="360" w:lineRule="auto"/>
        <w:ind w:firstLine="600"/>
        <w:rPr>
          <w:rFonts w:ascii="仿宋_GB2312" w:eastAsia="仿宋_GB2312"/>
        </w:rPr>
      </w:pPr>
      <w:r>
        <w:rPr>
          <w:rFonts w:hint="eastAsia" w:ascii="仿宋_GB2312" w:eastAsia="仿宋_GB2312"/>
        </w:rPr>
        <w:t>（3） 发包人、发包人代表、工程师或发包人聘请的任意第三方造成或引起的任何延误、妨碍和阻碍；</w:t>
      </w:r>
    </w:p>
    <w:p w14:paraId="0700F3F3">
      <w:pPr>
        <w:spacing w:line="360" w:lineRule="auto"/>
        <w:ind w:firstLine="600"/>
        <w:rPr>
          <w:rFonts w:ascii="仿宋_GB2312" w:eastAsia="仿宋_GB2312"/>
        </w:rPr>
      </w:pPr>
      <w:r>
        <w:rPr>
          <w:rFonts w:hint="eastAsia" w:ascii="仿宋_GB2312" w:eastAsia="仿宋_GB2312"/>
        </w:rPr>
        <w:t>（4） 发包人未能依据第</w:t>
      </w:r>
      <w:r>
        <w:rPr>
          <w:rFonts w:ascii="仿宋_GB2312" w:eastAsia="仿宋_GB2312"/>
        </w:rPr>
        <w:t>6.2.1</w:t>
      </w:r>
      <w:r>
        <w:rPr>
          <w:rFonts w:hint="eastAsia" w:ascii="仿宋_GB2312" w:eastAsia="仿宋_GB2312"/>
        </w:rPr>
        <w:t>项[发包人提供的材料和工程设备]的约定提供材料和工程设备导致工期延误和（或）费用增加的；</w:t>
      </w:r>
    </w:p>
    <w:p w14:paraId="1B4511B5">
      <w:pPr>
        <w:spacing w:line="360" w:lineRule="auto"/>
        <w:ind w:firstLine="600"/>
        <w:rPr>
          <w:rFonts w:ascii="仿宋_GB2312" w:eastAsia="仿宋_GB2312"/>
        </w:rPr>
      </w:pPr>
      <w:r>
        <w:rPr>
          <w:rFonts w:hint="eastAsia" w:ascii="仿宋_GB2312" w:eastAsia="仿宋_GB2312"/>
        </w:rPr>
        <w:t>（5） 因发包人原因导致的暂停施工；</w:t>
      </w:r>
    </w:p>
    <w:p w14:paraId="01956812">
      <w:pPr>
        <w:spacing w:line="360" w:lineRule="auto"/>
        <w:ind w:firstLine="600"/>
        <w:rPr>
          <w:rFonts w:ascii="仿宋_GB2312" w:eastAsia="仿宋_GB2312"/>
        </w:rPr>
      </w:pPr>
      <w:r>
        <w:rPr>
          <w:rFonts w:hint="eastAsia" w:ascii="仿宋_GB2312" w:eastAsia="仿宋_GB2312"/>
        </w:rPr>
        <w:t>（6） 发包人未及时履行相关合同义务，造成工期延误的其他原因。</w:t>
      </w:r>
    </w:p>
    <w:p w14:paraId="5C156930">
      <w:pPr>
        <w:pStyle w:val="40"/>
        <w:spacing w:after="157"/>
        <w:ind w:left="0"/>
        <w:outlineLvl w:val="4"/>
        <w:rPr>
          <w:rFonts w:hint="eastAsia" w:ascii="仿宋_GB2312" w:eastAsia="仿宋_GB2312"/>
          <w:sz w:val="21"/>
        </w:rPr>
      </w:pPr>
      <w:bookmarkStart w:id="1305" w:name="_Ref4770209"/>
      <w:bookmarkEnd w:id="1305"/>
      <w:r>
        <w:rPr>
          <w:rFonts w:hint="eastAsia" w:ascii="仿宋_GB2312" w:eastAsia="仿宋_GB2312"/>
          <w:sz w:val="21"/>
        </w:rPr>
        <w:t>8</w:t>
      </w:r>
      <w:r>
        <w:rPr>
          <w:rFonts w:ascii="仿宋_GB2312" w:eastAsia="仿宋_GB2312"/>
          <w:sz w:val="21"/>
        </w:rPr>
        <w:t xml:space="preserve">.7.2 </w:t>
      </w:r>
      <w:r>
        <w:rPr>
          <w:rFonts w:hint="eastAsia" w:ascii="仿宋_GB2312" w:eastAsia="仿宋_GB2312"/>
          <w:sz w:val="21"/>
        </w:rPr>
        <w:t>因承包人原因导致工期延误</w:t>
      </w:r>
    </w:p>
    <w:p w14:paraId="48AF9CD1">
      <w:pPr>
        <w:spacing w:line="360" w:lineRule="auto"/>
        <w:ind w:firstLine="600"/>
        <w:rPr>
          <w:rFonts w:ascii="仿宋_GB2312" w:eastAsia="仿宋_GB2312"/>
        </w:rPr>
      </w:pPr>
      <w:r>
        <w:rPr>
          <w:rFonts w:hint="eastAsia" w:ascii="仿宋_GB2312" w:eastAsia="仿宋_GB2312"/>
        </w:rPr>
        <w:t>由于承包人的原因，未能按项目进度计划完成工作，承包人应采取措施加快进度，并承担加快进度所增加的费用。</w:t>
      </w:r>
    </w:p>
    <w:p w14:paraId="0218D922">
      <w:pPr>
        <w:spacing w:line="360" w:lineRule="auto"/>
        <w:ind w:firstLine="600"/>
        <w:rPr>
          <w:rFonts w:ascii="仿宋_GB2312" w:eastAsia="仿宋_GB2312"/>
        </w:rPr>
      </w:pPr>
      <w:r>
        <w:rPr>
          <w:rFonts w:hint="eastAsia" w:ascii="仿宋_GB2312" w:eastAsia="仿宋_GB2312"/>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14:paraId="11DD242F">
      <w:pPr>
        <w:pStyle w:val="40"/>
        <w:spacing w:after="157"/>
        <w:ind w:left="0"/>
        <w:outlineLvl w:val="4"/>
        <w:rPr>
          <w:rFonts w:hint="eastAsia" w:ascii="仿宋_GB2312" w:eastAsia="仿宋_GB2312"/>
          <w:sz w:val="21"/>
        </w:rPr>
      </w:pPr>
      <w:bookmarkStart w:id="1306" w:name="_Ref4770872"/>
      <w:bookmarkEnd w:id="1306"/>
      <w:r>
        <w:rPr>
          <w:rFonts w:hint="eastAsia" w:ascii="仿宋_GB2312" w:eastAsia="仿宋_GB2312"/>
          <w:sz w:val="21"/>
        </w:rPr>
        <w:t>8</w:t>
      </w:r>
      <w:r>
        <w:rPr>
          <w:rFonts w:ascii="仿宋_GB2312" w:eastAsia="仿宋_GB2312"/>
          <w:sz w:val="21"/>
        </w:rPr>
        <w:t xml:space="preserve">.7.3 </w:t>
      </w:r>
      <w:r>
        <w:rPr>
          <w:rFonts w:hint="eastAsia" w:ascii="仿宋_GB2312" w:eastAsia="仿宋_GB2312"/>
          <w:sz w:val="21"/>
        </w:rPr>
        <w:t>行政审批迟延</w:t>
      </w:r>
    </w:p>
    <w:p w14:paraId="05A81AB2">
      <w:pPr>
        <w:spacing w:line="360" w:lineRule="auto"/>
        <w:ind w:firstLine="600"/>
        <w:rPr>
          <w:rFonts w:ascii="仿宋_GB2312" w:eastAsia="仿宋_GB2312"/>
        </w:rPr>
      </w:pPr>
      <w:r>
        <w:rPr>
          <w:rFonts w:hint="eastAsia" w:ascii="仿宋_GB2312" w:eastAsia="仿宋_GB2312"/>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1DEB4C08">
      <w:pPr>
        <w:pStyle w:val="40"/>
        <w:spacing w:after="157"/>
        <w:ind w:left="0"/>
        <w:outlineLvl w:val="4"/>
        <w:rPr>
          <w:rFonts w:hint="eastAsia" w:ascii="仿宋_GB2312" w:eastAsia="仿宋_GB2312"/>
          <w:sz w:val="21"/>
        </w:rPr>
      </w:pPr>
      <w:bookmarkStart w:id="1307" w:name="_Ref4770933"/>
      <w:bookmarkEnd w:id="1307"/>
      <w:r>
        <w:rPr>
          <w:rFonts w:hint="eastAsia" w:ascii="仿宋_GB2312" w:eastAsia="仿宋_GB2312"/>
          <w:sz w:val="21"/>
        </w:rPr>
        <w:t>8</w:t>
      </w:r>
      <w:r>
        <w:rPr>
          <w:rFonts w:ascii="仿宋_GB2312" w:eastAsia="仿宋_GB2312"/>
          <w:sz w:val="21"/>
        </w:rPr>
        <w:t xml:space="preserve">.7.4 </w:t>
      </w:r>
      <w:r>
        <w:rPr>
          <w:rFonts w:hint="eastAsia" w:ascii="仿宋_GB2312" w:eastAsia="仿宋_GB2312"/>
          <w:sz w:val="21"/>
        </w:rPr>
        <w:t>异常恶劣的气候条件</w:t>
      </w:r>
    </w:p>
    <w:p w14:paraId="39A165D7">
      <w:pPr>
        <w:spacing w:line="360" w:lineRule="auto"/>
        <w:ind w:firstLine="600"/>
        <w:rPr>
          <w:rFonts w:ascii="仿宋_GB2312" w:eastAsia="仿宋_GB2312"/>
        </w:rPr>
      </w:pPr>
      <w:r>
        <w:rPr>
          <w:rFonts w:hint="eastAsia" w:ascii="仿宋_GB2312" w:eastAsia="仿宋_GB2312"/>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7DCED128">
      <w:pPr>
        <w:spacing w:line="360" w:lineRule="auto"/>
        <w:ind w:firstLine="600"/>
        <w:rPr>
          <w:rFonts w:ascii="仿宋_GB2312" w:eastAsia="仿宋_GB2312"/>
        </w:rPr>
      </w:pPr>
      <w:r>
        <w:rPr>
          <w:rFonts w:hint="eastAsia" w:ascii="仿宋_GB2312" w:eastAsia="仿宋_GB2312"/>
        </w:rPr>
        <w:t>承包人应采取克服异常恶劣的气候条件的合理措施继续施工，并及时通知工程师。工程师应当及时发出指示，指示构成变更的，按第</w:t>
      </w:r>
      <w:r>
        <w:rPr>
          <w:rFonts w:ascii="仿宋_GB2312" w:eastAsia="仿宋_GB2312"/>
        </w:rPr>
        <w:t>13条</w:t>
      </w:r>
      <w:r>
        <w:rPr>
          <w:rFonts w:hint="eastAsia" w:ascii="仿宋_GB2312" w:eastAsia="仿宋_GB2312"/>
        </w:rPr>
        <w:t>[变更与调整]约定办理。承包人因采取合理措施而延误的工期由发包人承担。</w:t>
      </w:r>
    </w:p>
    <w:bookmarkEnd w:id="1302"/>
    <w:bookmarkEnd w:id="1303"/>
    <w:p w14:paraId="547F6C87">
      <w:pPr>
        <w:pStyle w:val="39"/>
        <w:widowControl/>
        <w:spacing w:afterLines="0"/>
        <w:ind w:left="0"/>
        <w:outlineLvl w:val="3"/>
        <w:rPr>
          <w:rFonts w:hint="eastAsia"/>
          <w:b w:val="0"/>
          <w:bCs/>
          <w:sz w:val="21"/>
          <w:szCs w:val="21"/>
        </w:rPr>
      </w:pPr>
      <w:bookmarkStart w:id="1308" w:name="_Toc5369"/>
      <w:bookmarkEnd w:id="1308"/>
      <w:bookmarkStart w:id="1309" w:name="_Ref4781828"/>
      <w:bookmarkEnd w:id="1309"/>
      <w:bookmarkStart w:id="1310" w:name="_Toc8628"/>
      <w:bookmarkEnd w:id="1310"/>
      <w:bookmarkStart w:id="1311" w:name="_Toc54862255"/>
      <w:bookmarkEnd w:id="1311"/>
      <w:r>
        <w:rPr>
          <w:rFonts w:hint="eastAsia"/>
          <w:b w:val="0"/>
          <w:bCs/>
          <w:sz w:val="21"/>
          <w:szCs w:val="21"/>
        </w:rPr>
        <w:t>8.8 工期提前</w:t>
      </w:r>
    </w:p>
    <w:p w14:paraId="2391FF6B">
      <w:pPr>
        <w:pStyle w:val="40"/>
        <w:spacing w:after="157"/>
        <w:ind w:left="0"/>
        <w:rPr>
          <w:rFonts w:hint="eastAsia" w:ascii="仿宋_GB2312" w:eastAsia="仿宋_GB2312"/>
          <w:sz w:val="21"/>
        </w:rPr>
      </w:pPr>
      <w:r>
        <w:rPr>
          <w:rFonts w:hint="eastAsia" w:ascii="仿宋_GB2312" w:eastAsia="仿宋_GB2312"/>
          <w:sz w:val="21"/>
        </w:rPr>
        <w:t>8</w:t>
      </w:r>
      <w:r>
        <w:rPr>
          <w:rFonts w:ascii="仿宋_GB2312" w:eastAsia="仿宋_GB2312"/>
          <w:sz w:val="21"/>
        </w:rPr>
        <w:t xml:space="preserve">.8.1 </w:t>
      </w:r>
      <w:r>
        <w:rPr>
          <w:rFonts w:hint="eastAsia" w:ascii="仿宋_GB2312" w:eastAsia="仿宋_GB2312"/>
          <w:sz w:val="21"/>
        </w:rPr>
        <w:t>发包人指示承包人提前竣工且被承包人接受的，应与承包人</w:t>
      </w:r>
      <w:r>
        <w:rPr>
          <w:rFonts w:hint="eastAsia" w:ascii="仿宋_GB2312" w:eastAsia="仿宋_GB2312"/>
          <w:sz w:val="21"/>
          <w:lang w:eastAsia="zh-CN"/>
        </w:rPr>
        <w:t>协商</w:t>
      </w:r>
      <w:r>
        <w:rPr>
          <w:rFonts w:hint="eastAsia" w:ascii="仿宋_GB2312" w:eastAsia="仿宋_GB2312"/>
          <w:sz w:val="21"/>
        </w:rPr>
        <w:t>采取加快工程进度的措施和修订项目进度计划。发包人应承担承包人由此增加的费用，增加的费用按第</w:t>
      </w:r>
      <w:r>
        <w:rPr>
          <w:rFonts w:ascii="仿宋_GB2312" w:eastAsia="仿宋_GB2312"/>
          <w:sz w:val="21"/>
        </w:rPr>
        <w:t>13条</w:t>
      </w:r>
      <w:r>
        <w:rPr>
          <w:rFonts w:hint="eastAsia" w:ascii="仿宋_GB2312" w:eastAsia="仿宋_GB2312"/>
          <w:sz w:val="21"/>
        </w:rPr>
        <w:t>[</w:t>
      </w:r>
      <w:r>
        <w:rPr>
          <w:rFonts w:ascii="仿宋_GB2312" w:eastAsia="仿宋_GB2312"/>
          <w:sz w:val="21"/>
        </w:rPr>
        <w:t>变更与调整</w:t>
      </w:r>
      <w:r>
        <w:rPr>
          <w:rFonts w:hint="eastAsia" w:ascii="仿宋_GB2312" w:eastAsia="仿宋_GB2312"/>
          <w:sz w:val="21"/>
        </w:rPr>
        <w:t>]的约定执行；发包人不得以任何理由要求承包人超过合理限度压缩工期。承包人有权不接受提前竣工的指示，工期按照合同约定执行。</w:t>
      </w:r>
    </w:p>
    <w:p w14:paraId="39C3A39D">
      <w:pPr>
        <w:pStyle w:val="40"/>
        <w:spacing w:after="157"/>
        <w:ind w:left="0"/>
        <w:rPr>
          <w:rFonts w:hint="eastAsia" w:ascii="仿宋_GB2312" w:eastAsia="仿宋_GB2312"/>
          <w:sz w:val="21"/>
        </w:rPr>
      </w:pPr>
      <w:bookmarkStart w:id="1312" w:name="_Ref4429347"/>
      <w:bookmarkEnd w:id="1312"/>
      <w:r>
        <w:rPr>
          <w:rFonts w:hint="eastAsia" w:ascii="仿宋_GB2312" w:eastAsia="仿宋_GB2312"/>
          <w:sz w:val="21"/>
        </w:rPr>
        <w:t>8</w:t>
      </w:r>
      <w:r>
        <w:rPr>
          <w:rFonts w:ascii="仿宋_GB2312" w:eastAsia="仿宋_GB2312"/>
          <w:sz w:val="21"/>
        </w:rPr>
        <w:t xml:space="preserve">.8.2 </w:t>
      </w:r>
      <w:r>
        <w:rPr>
          <w:rFonts w:hint="eastAsia" w:ascii="仿宋_GB2312" w:eastAsia="仿宋_GB2312"/>
          <w:sz w:val="21"/>
        </w:rPr>
        <w:t>承包人提出提前竣工的建议且发包人接受的，应与发包人</w:t>
      </w:r>
      <w:r>
        <w:rPr>
          <w:rFonts w:hint="eastAsia" w:ascii="仿宋_GB2312" w:eastAsia="仿宋_GB2312"/>
          <w:sz w:val="21"/>
          <w:lang w:eastAsia="zh-CN"/>
        </w:rPr>
        <w:t>协商</w:t>
      </w:r>
      <w:r>
        <w:rPr>
          <w:rFonts w:hint="eastAsia" w:ascii="仿宋_GB2312" w:eastAsia="仿宋_GB2312"/>
          <w:sz w:val="21"/>
        </w:rPr>
        <w:t>采取加快工程进度的措施和修订项目进度计划。发包人应承担承包人由此增加的费用，增加的费用按第</w:t>
      </w:r>
      <w:r>
        <w:rPr>
          <w:rFonts w:ascii="仿宋_GB2312" w:eastAsia="仿宋_GB2312"/>
          <w:sz w:val="21"/>
        </w:rPr>
        <w:t>13条</w:t>
      </w:r>
      <w:r>
        <w:rPr>
          <w:rFonts w:hint="eastAsia" w:ascii="仿宋_GB2312" w:eastAsia="仿宋_GB2312"/>
          <w:sz w:val="21"/>
        </w:rPr>
        <w:t>[</w:t>
      </w:r>
      <w:r>
        <w:rPr>
          <w:rFonts w:ascii="仿宋_GB2312" w:eastAsia="仿宋_GB2312"/>
          <w:sz w:val="21"/>
        </w:rPr>
        <w:t>变更与调整</w:t>
      </w:r>
      <w:r>
        <w:rPr>
          <w:rFonts w:hint="eastAsia" w:ascii="仿宋_GB2312" w:eastAsia="仿宋_GB2312"/>
          <w:sz w:val="21"/>
        </w:rPr>
        <w:t>]的约定执行，并向承包人支付专用合同条件约定的相应奖励金。</w:t>
      </w:r>
    </w:p>
    <w:p w14:paraId="7049AB88">
      <w:pPr>
        <w:pStyle w:val="39"/>
        <w:widowControl/>
        <w:spacing w:afterLines="0"/>
        <w:ind w:left="0"/>
        <w:outlineLvl w:val="3"/>
        <w:rPr>
          <w:rFonts w:hint="eastAsia"/>
          <w:b w:val="0"/>
          <w:bCs/>
          <w:sz w:val="21"/>
          <w:szCs w:val="21"/>
        </w:rPr>
      </w:pPr>
      <w:bookmarkStart w:id="1313" w:name="_Toc54862256"/>
      <w:bookmarkEnd w:id="1313"/>
      <w:bookmarkStart w:id="1314" w:name="_Toc10121"/>
      <w:bookmarkEnd w:id="1314"/>
      <w:bookmarkStart w:id="1315" w:name="_Ref4615031"/>
      <w:bookmarkEnd w:id="1315"/>
      <w:bookmarkStart w:id="1316" w:name="_Toc23831"/>
      <w:bookmarkEnd w:id="1316"/>
      <w:bookmarkStart w:id="1317" w:name="_Ref4615040"/>
      <w:bookmarkEnd w:id="1317"/>
      <w:r>
        <w:rPr>
          <w:rFonts w:hint="eastAsia"/>
          <w:b w:val="0"/>
          <w:bCs/>
          <w:sz w:val="21"/>
          <w:szCs w:val="21"/>
        </w:rPr>
        <w:t>8.9 暂停工作</w:t>
      </w:r>
    </w:p>
    <w:p w14:paraId="391E0C1B">
      <w:pPr>
        <w:pStyle w:val="40"/>
        <w:spacing w:after="157"/>
        <w:ind w:left="0"/>
        <w:outlineLvl w:val="4"/>
        <w:rPr>
          <w:rFonts w:hint="eastAsia" w:ascii="仿宋_GB2312" w:eastAsia="仿宋_GB2312"/>
          <w:sz w:val="21"/>
        </w:rPr>
      </w:pPr>
      <w:bookmarkStart w:id="1318" w:name="_Ref4709151"/>
      <w:bookmarkEnd w:id="1318"/>
      <w:r>
        <w:rPr>
          <w:rFonts w:hint="eastAsia" w:ascii="仿宋_GB2312" w:eastAsia="仿宋_GB2312"/>
          <w:sz w:val="21"/>
        </w:rPr>
        <w:t>8</w:t>
      </w:r>
      <w:r>
        <w:rPr>
          <w:rFonts w:ascii="仿宋_GB2312" w:eastAsia="仿宋_GB2312"/>
          <w:sz w:val="21"/>
        </w:rPr>
        <w:t xml:space="preserve">.9.1 </w:t>
      </w:r>
      <w:r>
        <w:rPr>
          <w:rFonts w:hint="eastAsia" w:ascii="仿宋_GB2312" w:eastAsia="仿宋_GB2312"/>
          <w:sz w:val="21"/>
        </w:rPr>
        <w:t>由发包人暂停工作</w:t>
      </w:r>
    </w:p>
    <w:p w14:paraId="1FC07180">
      <w:pPr>
        <w:spacing w:line="360" w:lineRule="auto"/>
        <w:ind w:firstLine="600"/>
        <w:rPr>
          <w:rFonts w:ascii="仿宋_GB2312" w:eastAsia="仿宋_GB2312"/>
        </w:rPr>
      </w:pPr>
      <w:bookmarkStart w:id="1319" w:name="_Ref4709233"/>
      <w:r>
        <w:rPr>
          <w:rFonts w:hint="eastAsia" w:ascii="仿宋_GB2312" w:eastAsia="仿宋_GB2312"/>
        </w:rPr>
        <w:t>发包人认为必要时，可通过工程师向承包人发出经发包人签认的暂停工作通知，应列明暂停原因、暂停的日期及预计暂停的期限。承包人应按该通知暂停工作。</w:t>
      </w:r>
    </w:p>
    <w:bookmarkEnd w:id="1319"/>
    <w:p w14:paraId="7F10036C">
      <w:pPr>
        <w:spacing w:line="360" w:lineRule="auto"/>
        <w:ind w:firstLine="600"/>
        <w:rPr>
          <w:rFonts w:ascii="仿宋_GB2312" w:eastAsia="仿宋_GB2312"/>
        </w:rPr>
      </w:pPr>
      <w:r>
        <w:rPr>
          <w:rFonts w:hint="eastAsia" w:ascii="仿宋_GB2312" w:eastAsia="仿宋_GB2312"/>
        </w:rPr>
        <w:t>承包人因执行暂停工作通知而造成费用的增加和（或）工期延误由发包人承担，并有权要求发包人支付合理利润，但由于承包人原因造成发包人暂停工作的除外。</w:t>
      </w:r>
    </w:p>
    <w:p w14:paraId="41D499A9">
      <w:pPr>
        <w:pStyle w:val="40"/>
        <w:spacing w:after="157"/>
        <w:ind w:left="0"/>
        <w:outlineLvl w:val="4"/>
        <w:rPr>
          <w:rFonts w:hint="eastAsia" w:ascii="仿宋_GB2312" w:eastAsia="仿宋_GB2312"/>
          <w:sz w:val="21"/>
        </w:rPr>
      </w:pPr>
      <w:bookmarkStart w:id="1320" w:name="_Ref18972173"/>
      <w:bookmarkEnd w:id="1320"/>
      <w:r>
        <w:rPr>
          <w:rFonts w:hint="eastAsia" w:ascii="仿宋_GB2312" w:eastAsia="仿宋_GB2312"/>
          <w:sz w:val="21"/>
        </w:rPr>
        <w:t>8</w:t>
      </w:r>
      <w:r>
        <w:rPr>
          <w:rFonts w:ascii="仿宋_GB2312" w:eastAsia="仿宋_GB2312"/>
          <w:sz w:val="21"/>
        </w:rPr>
        <w:t xml:space="preserve">.9.2 </w:t>
      </w:r>
      <w:r>
        <w:rPr>
          <w:rFonts w:hint="eastAsia" w:ascii="仿宋_GB2312" w:eastAsia="仿宋_GB2312"/>
          <w:sz w:val="21"/>
        </w:rPr>
        <w:t>由承包人暂停工作</w:t>
      </w:r>
    </w:p>
    <w:p w14:paraId="5DCB5D81">
      <w:pPr>
        <w:spacing w:line="360" w:lineRule="auto"/>
        <w:ind w:firstLine="600"/>
        <w:rPr>
          <w:rFonts w:ascii="仿宋_GB2312" w:eastAsia="仿宋_GB2312"/>
        </w:rPr>
      </w:pPr>
      <w:r>
        <w:rPr>
          <w:rFonts w:hint="eastAsia" w:ascii="仿宋_GB2312" w:eastAsia="仿宋_GB2312"/>
        </w:rPr>
        <w:t>因承包人原因造成部分或全部工程的暂停，承包人应采取措施尽快复工并赶上进度，由此造成费用的增加或工期延误由承包人承担。因此造成逾期竣工的，承包人应按第</w:t>
      </w:r>
      <w:r>
        <w:rPr>
          <w:rFonts w:ascii="仿宋_GB2312" w:eastAsia="仿宋_GB2312"/>
        </w:rPr>
        <w:t>8.7.2</w:t>
      </w:r>
      <w:r>
        <w:rPr>
          <w:rFonts w:hint="eastAsia" w:ascii="仿宋_GB2312" w:eastAsia="仿宋_GB2312"/>
        </w:rPr>
        <w:t>项[</w:t>
      </w:r>
      <w:r>
        <w:rPr>
          <w:rFonts w:ascii="仿宋_GB2312" w:eastAsia="仿宋_GB2312"/>
        </w:rPr>
        <w:t>因承包人原因导致工期延误</w:t>
      </w:r>
      <w:r>
        <w:rPr>
          <w:rFonts w:hint="eastAsia" w:ascii="仿宋_GB2312" w:eastAsia="仿宋_GB2312"/>
        </w:rPr>
        <w:t>]承担逾期竣工违约责任。</w:t>
      </w:r>
    </w:p>
    <w:p w14:paraId="67798086">
      <w:pPr>
        <w:spacing w:line="360" w:lineRule="auto"/>
        <w:ind w:firstLine="600"/>
        <w:rPr>
          <w:rFonts w:ascii="仿宋_GB2312" w:eastAsia="仿宋_GB2312"/>
        </w:rPr>
      </w:pPr>
      <w:r>
        <w:rPr>
          <w:rFonts w:hint="eastAsia" w:ascii="仿宋_GB2312" w:eastAsia="仿宋_GB2312"/>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p>
    <w:p w14:paraId="378B92B1">
      <w:pPr>
        <w:spacing w:line="360" w:lineRule="auto"/>
        <w:ind w:firstLine="600"/>
        <w:rPr>
          <w:rFonts w:ascii="仿宋_GB2312" w:eastAsia="仿宋_GB2312"/>
        </w:rPr>
      </w:pPr>
      <w:bookmarkStart w:id="1321" w:name="_Ref4709224"/>
      <w:bookmarkEnd w:id="1321"/>
      <w:r>
        <w:rPr>
          <w:rFonts w:hint="eastAsia" w:ascii="仿宋_GB2312" w:eastAsia="仿宋_GB2312"/>
        </w:rPr>
        <w:t>（1） 发包人拖延、拒绝批准付款申请和支付证书，或未能按合同约定支付价款，导致付款延误的；</w:t>
      </w:r>
    </w:p>
    <w:p w14:paraId="4B050CCC">
      <w:pPr>
        <w:spacing w:line="360" w:lineRule="auto"/>
        <w:ind w:firstLine="600"/>
        <w:rPr>
          <w:rFonts w:ascii="仿宋_GB2312" w:eastAsia="仿宋_GB2312"/>
        </w:rPr>
      </w:pPr>
      <w:r>
        <w:rPr>
          <w:rFonts w:hint="eastAsia" w:ascii="仿宋_GB2312" w:eastAsia="仿宋_GB2312"/>
        </w:rPr>
        <w:t>（2） 发包人未按约定履行合同其他义务导致承包人无法继续履行合同的，或者发包人明确表示暂停或实质上已暂停履行合同的。</w:t>
      </w:r>
    </w:p>
    <w:p w14:paraId="139F4B47">
      <w:pPr>
        <w:pStyle w:val="40"/>
        <w:spacing w:after="157"/>
        <w:ind w:left="0"/>
        <w:outlineLvl w:val="4"/>
        <w:rPr>
          <w:rFonts w:hint="eastAsia" w:ascii="仿宋_GB2312" w:eastAsia="仿宋_GB2312"/>
          <w:sz w:val="21"/>
        </w:rPr>
      </w:pPr>
      <w:r>
        <w:rPr>
          <w:rFonts w:hint="eastAsia" w:ascii="仿宋_GB2312" w:eastAsia="仿宋_GB2312"/>
          <w:sz w:val="21"/>
        </w:rPr>
        <w:t>8</w:t>
      </w:r>
      <w:r>
        <w:rPr>
          <w:rFonts w:ascii="仿宋_GB2312" w:eastAsia="仿宋_GB2312"/>
          <w:sz w:val="21"/>
        </w:rPr>
        <w:t xml:space="preserve">.9.3 </w:t>
      </w:r>
      <w:r>
        <w:rPr>
          <w:rFonts w:hint="eastAsia" w:ascii="仿宋_GB2312" w:eastAsia="仿宋_GB2312"/>
          <w:sz w:val="21"/>
        </w:rPr>
        <w:t>除上述原因以外的暂停工作，双方应遵守第1</w:t>
      </w:r>
      <w:r>
        <w:rPr>
          <w:rFonts w:ascii="仿宋_GB2312" w:eastAsia="仿宋_GB2312"/>
          <w:sz w:val="21"/>
        </w:rPr>
        <w:t>7</w:t>
      </w:r>
      <w:r>
        <w:rPr>
          <w:rFonts w:hint="eastAsia" w:ascii="仿宋_GB2312" w:eastAsia="仿宋_GB2312"/>
          <w:sz w:val="21"/>
        </w:rPr>
        <w:t>条[不可抗力]的相关约定。</w:t>
      </w:r>
    </w:p>
    <w:p w14:paraId="750C61A7">
      <w:pPr>
        <w:pStyle w:val="40"/>
        <w:spacing w:after="157"/>
        <w:ind w:left="0"/>
        <w:outlineLvl w:val="4"/>
        <w:rPr>
          <w:rFonts w:hint="eastAsia" w:ascii="仿宋_GB2312" w:eastAsia="仿宋_GB2312"/>
          <w:sz w:val="21"/>
        </w:rPr>
      </w:pPr>
      <w:bookmarkStart w:id="1322" w:name="_Ref4709158"/>
      <w:bookmarkEnd w:id="1322"/>
      <w:r>
        <w:rPr>
          <w:rFonts w:hint="eastAsia" w:ascii="仿宋_GB2312" w:eastAsia="仿宋_GB2312"/>
          <w:sz w:val="21"/>
        </w:rPr>
        <w:t>8</w:t>
      </w:r>
      <w:r>
        <w:rPr>
          <w:rFonts w:ascii="仿宋_GB2312" w:eastAsia="仿宋_GB2312"/>
          <w:sz w:val="21"/>
        </w:rPr>
        <w:t xml:space="preserve">.9.4 </w:t>
      </w:r>
      <w:r>
        <w:rPr>
          <w:rFonts w:hint="eastAsia" w:ascii="仿宋_GB2312" w:eastAsia="仿宋_GB2312"/>
          <w:sz w:val="21"/>
        </w:rPr>
        <w:t>暂停工作期间的工程照管</w:t>
      </w:r>
    </w:p>
    <w:p w14:paraId="79FDEB60">
      <w:pPr>
        <w:spacing w:line="360" w:lineRule="auto"/>
        <w:ind w:firstLine="600"/>
        <w:rPr>
          <w:rFonts w:ascii="仿宋_GB2312" w:eastAsia="仿宋_GB2312"/>
        </w:rPr>
      </w:pPr>
      <w:r>
        <w:rPr>
          <w:rFonts w:hint="eastAsia" w:ascii="仿宋_GB2312" w:eastAsia="仿宋_GB2312"/>
        </w:rPr>
        <w:t>不论由于何种原因引起暂停工作的，暂停工作期间，承包人应负责对工程、工程物资及文件等进行照管和保护，并提供安全保障，由此增加的费用按第</w:t>
      </w:r>
      <w:r>
        <w:rPr>
          <w:rFonts w:ascii="仿宋_GB2312" w:eastAsia="仿宋_GB2312"/>
        </w:rPr>
        <w:t>8.9.1</w:t>
      </w:r>
      <w:r>
        <w:rPr>
          <w:rFonts w:hint="eastAsia" w:ascii="仿宋_GB2312" w:eastAsia="仿宋_GB2312"/>
        </w:rPr>
        <w:t>项[由发包人暂停工作]和第</w:t>
      </w:r>
      <w:r>
        <w:rPr>
          <w:rFonts w:ascii="仿宋_GB2312" w:eastAsia="仿宋_GB2312"/>
        </w:rPr>
        <w:t>8.9.2</w:t>
      </w:r>
      <w:r>
        <w:rPr>
          <w:rFonts w:hint="eastAsia" w:ascii="仿宋_GB2312" w:eastAsia="仿宋_GB2312"/>
        </w:rPr>
        <w:t>项[由承包人暂停工作]的约定承担。</w:t>
      </w:r>
    </w:p>
    <w:p w14:paraId="6ECAAC9C">
      <w:pPr>
        <w:spacing w:line="360" w:lineRule="auto"/>
        <w:ind w:firstLine="600"/>
        <w:rPr>
          <w:rFonts w:ascii="仿宋_GB2312" w:eastAsia="仿宋_GB2312"/>
        </w:rPr>
      </w:pPr>
      <w:r>
        <w:rPr>
          <w:rFonts w:hint="eastAsia" w:ascii="仿宋_GB2312" w:eastAsia="仿宋_GB2312"/>
        </w:rPr>
        <w:t>因承包人未能尽到照管、保护的责任造成损失的，使发包人的费用增加，（或）竣工日期延误的，由承包人按本合同约定承担责任。</w:t>
      </w:r>
    </w:p>
    <w:p w14:paraId="5CD1EEC6">
      <w:pPr>
        <w:pStyle w:val="40"/>
        <w:spacing w:after="157"/>
        <w:ind w:left="0"/>
        <w:outlineLvl w:val="4"/>
        <w:rPr>
          <w:rFonts w:hint="eastAsia" w:ascii="仿宋_GB2312" w:eastAsia="仿宋_GB2312"/>
          <w:sz w:val="21"/>
        </w:rPr>
      </w:pPr>
      <w:r>
        <w:rPr>
          <w:rFonts w:hint="eastAsia" w:ascii="仿宋_GB2312" w:eastAsia="仿宋_GB2312"/>
          <w:sz w:val="21"/>
        </w:rPr>
        <w:t>8</w:t>
      </w:r>
      <w:r>
        <w:rPr>
          <w:rFonts w:ascii="仿宋_GB2312" w:eastAsia="仿宋_GB2312"/>
          <w:sz w:val="21"/>
        </w:rPr>
        <w:t xml:space="preserve">.9.5 </w:t>
      </w:r>
      <w:r>
        <w:rPr>
          <w:rFonts w:hint="eastAsia" w:ascii="仿宋_GB2312" w:eastAsia="仿宋_GB2312"/>
          <w:sz w:val="21"/>
        </w:rPr>
        <w:t>拖长的暂停</w:t>
      </w:r>
    </w:p>
    <w:p w14:paraId="04879B73">
      <w:pPr>
        <w:spacing w:line="360" w:lineRule="auto"/>
        <w:ind w:firstLine="600"/>
        <w:rPr>
          <w:rFonts w:ascii="仿宋_GB2312" w:eastAsia="仿宋_GB2312"/>
        </w:rPr>
      </w:pPr>
      <w:r>
        <w:rPr>
          <w:rFonts w:hint="eastAsia" w:ascii="仿宋_GB2312" w:eastAsia="仿宋_GB2312"/>
        </w:rPr>
        <w:t>根据第</w:t>
      </w:r>
      <w:r>
        <w:rPr>
          <w:rFonts w:ascii="仿宋_GB2312" w:eastAsia="仿宋_GB2312"/>
        </w:rPr>
        <w:t>8.9.1</w:t>
      </w:r>
      <w:r>
        <w:rPr>
          <w:rFonts w:hint="eastAsia" w:ascii="仿宋_GB2312" w:eastAsia="仿宋_GB2312"/>
        </w:rPr>
        <w:t>项[由发包人暂停工作]暂停工作持续超过56天的，承包人可向发包人发出要求复工的通知。如果发包人没有在收到书面通知后28天内准许已暂停工作的全部或部分继续工作，承包人有权根据第</w:t>
      </w:r>
      <w:r>
        <w:rPr>
          <w:rFonts w:ascii="仿宋_GB2312" w:eastAsia="仿宋_GB2312"/>
        </w:rPr>
        <w:t>13条</w:t>
      </w:r>
      <w:r>
        <w:rPr>
          <w:rFonts w:hint="eastAsia" w:ascii="仿宋_GB2312" w:eastAsia="仿宋_GB2312"/>
        </w:rPr>
        <w:t>[变更与调整]的约定，要求以变更方式调减受暂停影响的部分工程。发包人的暂停超过56天且暂停影响到整个工程的，承包人有权根据第</w:t>
      </w:r>
      <w:r>
        <w:rPr>
          <w:rFonts w:ascii="仿宋_GB2312" w:eastAsia="仿宋_GB2312"/>
        </w:rPr>
        <w:t>16.2</w:t>
      </w:r>
      <w:r>
        <w:rPr>
          <w:rFonts w:hint="eastAsia" w:ascii="仿宋_GB2312" w:eastAsia="仿宋_GB2312"/>
        </w:rPr>
        <w:t>款[</w:t>
      </w:r>
      <w:r>
        <w:rPr>
          <w:rFonts w:ascii="仿宋_GB2312" w:eastAsia="仿宋_GB2312"/>
        </w:rPr>
        <w:t>由承包人解除合同</w:t>
      </w:r>
      <w:r>
        <w:rPr>
          <w:rFonts w:hint="eastAsia" w:ascii="仿宋_GB2312" w:eastAsia="仿宋_GB2312"/>
        </w:rPr>
        <w:t>]的约定，发出解除合同的通知。</w:t>
      </w:r>
    </w:p>
    <w:p w14:paraId="00622E82">
      <w:pPr>
        <w:pStyle w:val="39"/>
        <w:widowControl/>
        <w:spacing w:afterLines="0"/>
        <w:ind w:left="0"/>
        <w:outlineLvl w:val="3"/>
        <w:rPr>
          <w:rFonts w:hint="eastAsia"/>
          <w:b w:val="0"/>
          <w:bCs/>
          <w:sz w:val="21"/>
          <w:szCs w:val="21"/>
        </w:rPr>
      </w:pPr>
      <w:bookmarkStart w:id="1323" w:name="_Toc54862257"/>
      <w:bookmarkEnd w:id="1323"/>
      <w:bookmarkStart w:id="1324" w:name="_Toc6010"/>
      <w:bookmarkEnd w:id="1324"/>
      <w:bookmarkStart w:id="1325" w:name="_Toc32586"/>
      <w:bookmarkEnd w:id="1325"/>
      <w:r>
        <w:rPr>
          <w:rFonts w:hint="eastAsia"/>
          <w:b w:val="0"/>
          <w:bCs/>
          <w:sz w:val="21"/>
          <w:szCs w:val="21"/>
        </w:rPr>
        <w:t>8.10 复工</w:t>
      </w:r>
    </w:p>
    <w:p w14:paraId="5B5E4083">
      <w:pPr>
        <w:pStyle w:val="40"/>
        <w:spacing w:after="157"/>
        <w:ind w:left="0"/>
        <w:rPr>
          <w:rFonts w:hint="eastAsia" w:ascii="仿宋_GB2312" w:eastAsia="仿宋_GB2312"/>
          <w:sz w:val="21"/>
        </w:rPr>
      </w:pPr>
      <w:r>
        <w:rPr>
          <w:rFonts w:hint="eastAsia" w:ascii="仿宋_GB2312" w:eastAsia="仿宋_GB2312"/>
          <w:sz w:val="21"/>
        </w:rPr>
        <w:t>8</w:t>
      </w:r>
      <w:r>
        <w:rPr>
          <w:rFonts w:ascii="仿宋_GB2312" w:eastAsia="仿宋_GB2312"/>
          <w:sz w:val="21"/>
        </w:rPr>
        <w:t xml:space="preserve">.10.1 </w:t>
      </w:r>
      <w:r>
        <w:rPr>
          <w:rFonts w:hint="eastAsia" w:ascii="仿宋_GB2312" w:eastAsia="仿宋_GB2312"/>
          <w:sz w:val="21"/>
        </w:rPr>
        <w:t>收到发包人的复工通知后，承包人应按通知时间复工；发包人通知的复工时间应当给予承包人必要的准备复工时间。</w:t>
      </w:r>
    </w:p>
    <w:p w14:paraId="7C76C998">
      <w:pPr>
        <w:pStyle w:val="40"/>
        <w:spacing w:after="157"/>
        <w:ind w:left="0"/>
        <w:rPr>
          <w:rFonts w:hint="eastAsia" w:ascii="仿宋_GB2312" w:eastAsia="仿宋_GB2312"/>
          <w:sz w:val="21"/>
        </w:rPr>
      </w:pPr>
      <w:r>
        <w:rPr>
          <w:rFonts w:hint="eastAsia" w:ascii="仿宋_GB2312" w:eastAsia="仿宋_GB2312"/>
          <w:sz w:val="21"/>
        </w:rPr>
        <w:t>8</w:t>
      </w:r>
      <w:r>
        <w:rPr>
          <w:rFonts w:ascii="仿宋_GB2312" w:eastAsia="仿宋_GB2312"/>
          <w:sz w:val="21"/>
        </w:rPr>
        <w:t xml:space="preserve">.10.2 </w:t>
      </w:r>
      <w:r>
        <w:rPr>
          <w:rFonts w:hint="eastAsia" w:ascii="仿宋_GB2312" w:eastAsia="仿宋_GB2312"/>
          <w:sz w:val="21"/>
        </w:rPr>
        <w:t>不论由于何种原因引起暂停工作，双方均可要求对方一同对受暂停影响的工程、工程设备和工程物资进行检查，承包人应将检查结果及需要恢复、修复的内容和估算通知发包人。</w:t>
      </w:r>
    </w:p>
    <w:p w14:paraId="2A36B252">
      <w:pPr>
        <w:pStyle w:val="40"/>
        <w:spacing w:after="157"/>
        <w:ind w:left="0"/>
        <w:rPr>
          <w:rFonts w:hint="eastAsia" w:ascii="仿宋_GB2312" w:eastAsia="仿宋_GB2312"/>
          <w:sz w:val="21"/>
        </w:rPr>
      </w:pPr>
      <w:r>
        <w:rPr>
          <w:rFonts w:hint="eastAsia" w:ascii="仿宋_GB2312" w:eastAsia="仿宋_GB2312"/>
          <w:sz w:val="21"/>
        </w:rPr>
        <w:t>8</w:t>
      </w:r>
      <w:r>
        <w:rPr>
          <w:rFonts w:ascii="仿宋_GB2312" w:eastAsia="仿宋_GB2312"/>
          <w:sz w:val="21"/>
        </w:rPr>
        <w:t xml:space="preserve">.10.3 </w:t>
      </w:r>
      <w:r>
        <w:rPr>
          <w:rFonts w:hint="eastAsia" w:ascii="仿宋_GB2312" w:eastAsia="仿宋_GB2312"/>
          <w:sz w:val="21"/>
        </w:rPr>
        <w:t>除第</w:t>
      </w:r>
      <w:r>
        <w:rPr>
          <w:rFonts w:ascii="仿宋_GB2312" w:eastAsia="仿宋_GB2312"/>
          <w:sz w:val="21"/>
        </w:rPr>
        <w:t>17条</w:t>
      </w:r>
      <w:r>
        <w:rPr>
          <w:rFonts w:hint="eastAsia" w:ascii="仿宋_GB2312" w:eastAsia="仿宋_GB2312"/>
          <w:sz w:val="21"/>
        </w:rPr>
        <w:t>[不可抗力]另有约定外，发生的恢复、修复价款及工期延误的后果由责任方承担。</w:t>
      </w:r>
    </w:p>
    <w:bookmarkEnd w:id="1235"/>
    <w:p w14:paraId="753E1610">
      <w:pPr>
        <w:pStyle w:val="39"/>
        <w:widowControl/>
        <w:spacing w:afterLines="0"/>
        <w:ind w:left="0"/>
        <w:rPr>
          <w:rFonts w:hint="eastAsia"/>
          <w:b w:val="0"/>
          <w:bCs/>
          <w:sz w:val="28"/>
          <w:szCs w:val="28"/>
        </w:rPr>
      </w:pPr>
      <w:bookmarkStart w:id="1326" w:name="_Ref4621029"/>
      <w:bookmarkEnd w:id="1326"/>
      <w:bookmarkStart w:id="1327" w:name="_Ref4621041"/>
      <w:bookmarkEnd w:id="1327"/>
      <w:bookmarkStart w:id="1328" w:name="_Toc54862258"/>
      <w:bookmarkEnd w:id="1328"/>
      <w:bookmarkStart w:id="1329" w:name="_Toc22921"/>
      <w:bookmarkEnd w:id="1329"/>
      <w:bookmarkStart w:id="1330" w:name="_Toc9463"/>
      <w:bookmarkEnd w:id="1330"/>
      <w:r>
        <w:rPr>
          <w:rFonts w:hint="eastAsia"/>
          <w:b w:val="0"/>
          <w:bCs/>
          <w:sz w:val="28"/>
          <w:szCs w:val="28"/>
        </w:rPr>
        <w:t>第9条 竣工试验</w:t>
      </w:r>
    </w:p>
    <w:p w14:paraId="31858F0D">
      <w:pPr>
        <w:pStyle w:val="39"/>
        <w:widowControl/>
        <w:spacing w:afterLines="0"/>
        <w:ind w:left="0"/>
        <w:outlineLvl w:val="3"/>
        <w:rPr>
          <w:rFonts w:hint="eastAsia"/>
          <w:b w:val="0"/>
          <w:bCs/>
          <w:sz w:val="21"/>
          <w:szCs w:val="21"/>
        </w:rPr>
      </w:pPr>
      <w:bookmarkStart w:id="1331" w:name="_Toc54862259"/>
      <w:bookmarkEnd w:id="1331"/>
      <w:bookmarkStart w:id="1332" w:name="_Ref532586251"/>
      <w:bookmarkEnd w:id="1332"/>
      <w:bookmarkStart w:id="1333" w:name="_Toc23377"/>
      <w:bookmarkEnd w:id="1333"/>
      <w:bookmarkStart w:id="1334" w:name="_Toc23337"/>
      <w:bookmarkEnd w:id="1334"/>
      <w:bookmarkStart w:id="1335" w:name="_Ref532586248"/>
      <w:bookmarkEnd w:id="1335"/>
      <w:r>
        <w:rPr>
          <w:rFonts w:hint="eastAsia"/>
          <w:b w:val="0"/>
          <w:bCs/>
          <w:sz w:val="21"/>
          <w:szCs w:val="21"/>
        </w:rPr>
        <w:t>9.1 竣工试验的义务</w:t>
      </w:r>
    </w:p>
    <w:p w14:paraId="1B604DFD">
      <w:pPr>
        <w:pStyle w:val="40"/>
        <w:spacing w:after="157"/>
        <w:ind w:left="0"/>
        <w:rPr>
          <w:rFonts w:hint="eastAsia" w:ascii="仿宋_GB2312" w:eastAsia="仿宋_GB2312"/>
          <w:sz w:val="21"/>
        </w:rPr>
      </w:pPr>
      <w:bookmarkStart w:id="1336" w:name="_Ref532586608"/>
      <w:r>
        <w:rPr>
          <w:rFonts w:hint="eastAsia" w:ascii="仿宋_GB2312" w:eastAsia="仿宋_GB2312"/>
          <w:sz w:val="21"/>
        </w:rPr>
        <w:t>9</w:t>
      </w:r>
      <w:r>
        <w:rPr>
          <w:rFonts w:ascii="仿宋_GB2312" w:eastAsia="仿宋_GB2312"/>
          <w:sz w:val="21"/>
        </w:rPr>
        <w:t xml:space="preserve">.1.1 </w:t>
      </w:r>
      <w:r>
        <w:rPr>
          <w:rFonts w:hint="eastAsia" w:ascii="仿宋_GB2312" w:eastAsia="仿宋_GB2312"/>
          <w:sz w:val="21"/>
        </w:rPr>
        <w:t>承包人完成工程或区段工程进行竣工试验所需的作业，并根据第</w:t>
      </w:r>
      <w:r>
        <w:rPr>
          <w:rFonts w:ascii="仿宋_GB2312" w:eastAsia="仿宋_GB2312"/>
          <w:sz w:val="21"/>
        </w:rPr>
        <w:t>5.4</w:t>
      </w:r>
      <w:r>
        <w:rPr>
          <w:rFonts w:hint="eastAsia" w:ascii="仿宋_GB2312" w:eastAsia="仿宋_GB2312"/>
          <w:sz w:val="21"/>
        </w:rPr>
        <w:t>款[竣工文件]和第</w:t>
      </w:r>
      <w:r>
        <w:rPr>
          <w:rFonts w:ascii="仿宋_GB2312" w:eastAsia="仿宋_GB2312"/>
          <w:sz w:val="21"/>
        </w:rPr>
        <w:t>5.5</w:t>
      </w:r>
      <w:r>
        <w:rPr>
          <w:rFonts w:hint="eastAsia" w:ascii="仿宋_GB2312" w:eastAsia="仿宋_GB2312"/>
          <w:sz w:val="21"/>
        </w:rPr>
        <w:t>款[操作和维修手册]提交文件后，进行竣工试验。</w:t>
      </w:r>
    </w:p>
    <w:bookmarkEnd w:id="1336"/>
    <w:p w14:paraId="5F0B0CCD">
      <w:pPr>
        <w:pStyle w:val="40"/>
        <w:spacing w:after="157"/>
        <w:ind w:left="0"/>
        <w:rPr>
          <w:rFonts w:hint="eastAsia" w:ascii="仿宋_GB2312" w:eastAsia="仿宋_GB2312"/>
          <w:sz w:val="21"/>
        </w:rPr>
      </w:pPr>
      <w:bookmarkStart w:id="1337" w:name="_Ref11919920"/>
      <w:bookmarkEnd w:id="1337"/>
      <w:r>
        <w:rPr>
          <w:rFonts w:hint="eastAsia" w:ascii="仿宋_GB2312" w:eastAsia="仿宋_GB2312"/>
          <w:sz w:val="21"/>
        </w:rPr>
        <w:t>9</w:t>
      </w:r>
      <w:r>
        <w:rPr>
          <w:rFonts w:ascii="仿宋_GB2312" w:eastAsia="仿宋_GB2312"/>
          <w:sz w:val="21"/>
        </w:rPr>
        <w:t xml:space="preserve">.1.2 </w:t>
      </w:r>
      <w:r>
        <w:rPr>
          <w:rFonts w:hint="eastAsia" w:ascii="仿宋_GB2312" w:eastAsia="仿宋_GB2312"/>
          <w:sz w:val="21"/>
        </w:rPr>
        <w:t>承包人应在进行竣工试验之前，至少提前42天向工程师提交详细的竣工试验计划，该计划应载明竣工试验的内容、地点、拟开展时间和需要发包人提供的资源条件。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p>
    <w:p w14:paraId="63155E44">
      <w:pPr>
        <w:pStyle w:val="40"/>
        <w:spacing w:after="157"/>
        <w:ind w:left="0"/>
        <w:rPr>
          <w:rFonts w:hint="eastAsia" w:ascii="仿宋_GB2312" w:eastAsia="仿宋_GB2312"/>
          <w:sz w:val="21"/>
        </w:rPr>
      </w:pPr>
      <w:bookmarkStart w:id="1338" w:name="_Ref532688147"/>
      <w:bookmarkEnd w:id="1338"/>
      <w:r>
        <w:rPr>
          <w:rFonts w:hint="eastAsia" w:ascii="仿宋_GB2312" w:eastAsia="仿宋_GB2312"/>
          <w:sz w:val="21"/>
        </w:rPr>
        <w:t>9</w:t>
      </w:r>
      <w:r>
        <w:rPr>
          <w:rFonts w:ascii="仿宋_GB2312" w:eastAsia="仿宋_GB2312"/>
          <w:sz w:val="21"/>
        </w:rPr>
        <w:t xml:space="preserve">.1.3 </w:t>
      </w:r>
      <w:r>
        <w:rPr>
          <w:rFonts w:hint="eastAsia" w:ascii="仿宋_GB2312" w:eastAsia="仿宋_GB2312"/>
          <w:sz w:val="21"/>
        </w:rPr>
        <w:t>承包人应根据经确认的竣工试验计划以及第</w:t>
      </w:r>
      <w:r>
        <w:rPr>
          <w:rFonts w:ascii="仿宋_GB2312" w:eastAsia="仿宋_GB2312"/>
          <w:sz w:val="21"/>
        </w:rPr>
        <w:t>6.5</w:t>
      </w:r>
      <w:r>
        <w:rPr>
          <w:rFonts w:hint="eastAsia" w:ascii="仿宋_GB2312" w:eastAsia="仿宋_GB2312"/>
          <w:sz w:val="21"/>
        </w:rPr>
        <w:t>款[</w:t>
      </w:r>
      <w:r>
        <w:rPr>
          <w:rFonts w:ascii="仿宋_GB2312" w:eastAsia="仿宋_GB2312"/>
          <w:sz w:val="21"/>
        </w:rPr>
        <w:t>由承包人试验</w:t>
      </w:r>
      <w:r>
        <w:rPr>
          <w:rFonts w:hint="eastAsia" w:ascii="仿宋_GB2312" w:eastAsia="仿宋_GB2312"/>
          <w:sz w:val="21"/>
        </w:rPr>
        <w:t>和</w:t>
      </w:r>
      <w:r>
        <w:rPr>
          <w:rFonts w:ascii="仿宋_GB2312" w:eastAsia="仿宋_GB2312"/>
          <w:sz w:val="21"/>
        </w:rPr>
        <w:t>检验</w:t>
      </w:r>
      <w:r>
        <w:rPr>
          <w:rFonts w:hint="eastAsia" w:ascii="仿宋_GB2312" w:eastAsia="仿宋_GB2312"/>
          <w:sz w:val="21"/>
        </w:rPr>
        <w:t>]进行竣工试验。除《发包人要求》中另有说明外，竣工试验应按以下顺序分阶段进行，即只有在工程或区段工程已通过上一阶段试验的情况下，才可进行下一阶段试验：</w:t>
      </w:r>
    </w:p>
    <w:p w14:paraId="0CF84391">
      <w:pPr>
        <w:spacing w:line="360" w:lineRule="auto"/>
        <w:ind w:firstLine="600"/>
        <w:rPr>
          <w:rFonts w:ascii="仿宋_GB2312" w:eastAsia="仿宋_GB2312"/>
        </w:rPr>
      </w:pPr>
      <w:r>
        <w:rPr>
          <w:rFonts w:hint="eastAsia" w:ascii="仿宋_GB2312" w:eastAsia="仿宋_GB2312"/>
        </w:rPr>
        <w:t>（1） 承包人进行启动前试验，包括适当的检查和功能性试验，以证明工程或区段工程的每一部分均能够安全地承受下一阶段试验；</w:t>
      </w:r>
    </w:p>
    <w:p w14:paraId="3451EB97">
      <w:pPr>
        <w:spacing w:line="360" w:lineRule="auto"/>
        <w:ind w:firstLine="600"/>
        <w:rPr>
          <w:rFonts w:ascii="仿宋_GB2312" w:eastAsia="仿宋_GB2312"/>
        </w:rPr>
      </w:pPr>
      <w:r>
        <w:rPr>
          <w:rFonts w:hint="eastAsia" w:ascii="仿宋_GB2312" w:eastAsia="仿宋_GB2312"/>
        </w:rPr>
        <w:t>（2） 承包人进行启动试验，以证明工程或区段工程能够在所有可利用的操作条件下安全运行，并按照专用合同条件和《发包人要求》中的规定操作；</w:t>
      </w:r>
    </w:p>
    <w:p w14:paraId="7660ED13">
      <w:pPr>
        <w:spacing w:line="360" w:lineRule="auto"/>
        <w:ind w:firstLine="600"/>
        <w:rPr>
          <w:rFonts w:ascii="仿宋_GB2312" w:eastAsia="仿宋_GB2312"/>
        </w:rPr>
      </w:pPr>
      <w:r>
        <w:rPr>
          <w:rFonts w:hint="eastAsia" w:ascii="仿宋_GB2312" w:eastAsia="仿宋_GB2312"/>
        </w:rPr>
        <w:t>（3） 承包人进行试运行试验。当工程或区段工程能稳定安全运行时，承包人应通知工程师，可以进行其他竣工试验，包括各种性能测试，以证明工程或区段工程符合《发包人要求》中列明的性能保证指标。</w:t>
      </w:r>
    </w:p>
    <w:p w14:paraId="23DEDC2F">
      <w:pPr>
        <w:spacing w:line="360" w:lineRule="auto"/>
        <w:ind w:firstLine="600"/>
        <w:rPr>
          <w:rFonts w:ascii="仿宋_GB2312" w:eastAsia="仿宋_GB2312"/>
        </w:rPr>
      </w:pPr>
      <w:r>
        <w:rPr>
          <w:rFonts w:hint="eastAsia" w:ascii="仿宋_GB2312" w:eastAsia="仿宋_GB2312"/>
        </w:rPr>
        <w:t>进行上述试验不应构成第</w:t>
      </w:r>
      <w:r>
        <w:rPr>
          <w:rFonts w:ascii="仿宋_GB2312" w:eastAsia="仿宋_GB2312"/>
        </w:rPr>
        <w:t>10条</w:t>
      </w:r>
      <w:r>
        <w:rPr>
          <w:rFonts w:hint="eastAsia" w:ascii="仿宋_GB2312" w:eastAsia="仿宋_GB2312"/>
        </w:rPr>
        <w:t>[验收和工程接收]规定的接收，但试验所产生的任何产品或其他收益均应归属于发包人。</w:t>
      </w:r>
    </w:p>
    <w:p w14:paraId="49ECC450">
      <w:pPr>
        <w:pStyle w:val="40"/>
        <w:spacing w:after="157"/>
        <w:ind w:left="0"/>
        <w:rPr>
          <w:rFonts w:hint="eastAsia" w:ascii="仿宋_GB2312" w:eastAsia="仿宋_GB2312"/>
          <w:sz w:val="21"/>
        </w:rPr>
      </w:pPr>
      <w:r>
        <w:rPr>
          <w:rFonts w:hint="eastAsia" w:ascii="仿宋_GB2312" w:eastAsia="仿宋_GB2312"/>
          <w:sz w:val="21"/>
        </w:rPr>
        <w:t>9</w:t>
      </w:r>
      <w:r>
        <w:rPr>
          <w:rFonts w:ascii="仿宋_GB2312" w:eastAsia="仿宋_GB2312"/>
          <w:sz w:val="21"/>
        </w:rPr>
        <w:t xml:space="preserve">.1.4 </w:t>
      </w:r>
      <w:r>
        <w:rPr>
          <w:rFonts w:hint="eastAsia" w:ascii="仿宋_GB2312" w:eastAsia="仿宋_GB2312"/>
          <w:sz w:val="21"/>
        </w:rPr>
        <w:t>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268F9B30">
      <w:pPr>
        <w:pStyle w:val="39"/>
        <w:widowControl/>
        <w:spacing w:afterLines="0"/>
        <w:ind w:left="0"/>
        <w:outlineLvl w:val="3"/>
        <w:rPr>
          <w:rFonts w:hint="eastAsia"/>
          <w:b w:val="0"/>
          <w:bCs/>
          <w:sz w:val="21"/>
          <w:szCs w:val="21"/>
        </w:rPr>
      </w:pPr>
      <w:bookmarkStart w:id="1339" w:name="_Toc18063"/>
      <w:bookmarkEnd w:id="1339"/>
      <w:bookmarkStart w:id="1340" w:name="_Toc54862260"/>
      <w:bookmarkEnd w:id="1340"/>
      <w:bookmarkStart w:id="1341" w:name="_Toc7571"/>
      <w:bookmarkEnd w:id="1341"/>
      <w:r>
        <w:rPr>
          <w:rFonts w:hint="eastAsia"/>
          <w:b w:val="0"/>
          <w:bCs/>
          <w:sz w:val="21"/>
          <w:szCs w:val="21"/>
        </w:rPr>
        <w:t>9.2 延误的试验</w:t>
      </w:r>
    </w:p>
    <w:p w14:paraId="42FA315E">
      <w:pPr>
        <w:pStyle w:val="40"/>
        <w:spacing w:after="157"/>
        <w:ind w:left="0"/>
        <w:rPr>
          <w:rFonts w:hint="eastAsia" w:ascii="仿宋_GB2312" w:eastAsia="仿宋_GB2312"/>
          <w:sz w:val="21"/>
        </w:rPr>
      </w:pPr>
      <w:r>
        <w:rPr>
          <w:rFonts w:hint="eastAsia" w:ascii="仿宋_GB2312" w:eastAsia="仿宋_GB2312"/>
          <w:sz w:val="21"/>
        </w:rPr>
        <w:t>9</w:t>
      </w:r>
      <w:r>
        <w:rPr>
          <w:rFonts w:ascii="仿宋_GB2312" w:eastAsia="仿宋_GB2312"/>
          <w:sz w:val="21"/>
        </w:rPr>
        <w:t xml:space="preserve">.2.1 </w:t>
      </w:r>
      <w:r>
        <w:rPr>
          <w:rFonts w:hint="eastAsia" w:ascii="仿宋_GB2312" w:eastAsia="仿宋_GB2312"/>
          <w:sz w:val="21"/>
        </w:rPr>
        <w:t>如果承包人已根据第</w:t>
      </w:r>
      <w:r>
        <w:rPr>
          <w:rFonts w:ascii="仿宋_GB2312" w:eastAsia="仿宋_GB2312"/>
          <w:sz w:val="21"/>
        </w:rPr>
        <w:t>9.1</w:t>
      </w:r>
      <w:r>
        <w:rPr>
          <w:rFonts w:hint="eastAsia" w:ascii="仿宋_GB2312" w:eastAsia="仿宋_GB2312"/>
          <w:sz w:val="21"/>
        </w:rPr>
        <w:t>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14:paraId="3AFEB546">
      <w:pPr>
        <w:pStyle w:val="40"/>
        <w:spacing w:after="157"/>
        <w:ind w:left="0"/>
        <w:rPr>
          <w:rFonts w:hint="eastAsia" w:ascii="仿宋_GB2312" w:eastAsia="仿宋_GB2312"/>
          <w:sz w:val="21"/>
        </w:rPr>
      </w:pPr>
      <w:r>
        <w:rPr>
          <w:rFonts w:hint="eastAsia" w:ascii="仿宋_GB2312" w:eastAsia="仿宋_GB2312"/>
          <w:sz w:val="21"/>
        </w:rPr>
        <w:t>9</w:t>
      </w:r>
      <w:r>
        <w:rPr>
          <w:rFonts w:ascii="仿宋_GB2312" w:eastAsia="仿宋_GB2312"/>
          <w:sz w:val="21"/>
        </w:rPr>
        <w:t xml:space="preserve">.2.2 </w:t>
      </w:r>
      <w:r>
        <w:rPr>
          <w:rFonts w:hint="eastAsia" w:ascii="仿宋_GB2312" w:eastAsia="仿宋_GB2312"/>
          <w:sz w:val="21"/>
        </w:rPr>
        <w:t>承包人无正当理由延误进行竣工试验的，工程师可向其发出通知，要求其在收到通知后的21天内进行该项竣工试验。承包人应在该21天的期限内确定进行试验的日期，并至少提前7天通知工程师。</w:t>
      </w:r>
    </w:p>
    <w:p w14:paraId="776EF360">
      <w:pPr>
        <w:pStyle w:val="40"/>
        <w:spacing w:after="157"/>
        <w:ind w:left="0"/>
        <w:rPr>
          <w:rFonts w:hint="eastAsia" w:ascii="仿宋_GB2312" w:eastAsia="仿宋_GB2312"/>
          <w:sz w:val="21"/>
        </w:rPr>
      </w:pPr>
      <w:r>
        <w:rPr>
          <w:rFonts w:hint="eastAsia" w:ascii="仿宋_GB2312" w:eastAsia="仿宋_GB2312"/>
          <w:sz w:val="21"/>
        </w:rPr>
        <w:t>9</w:t>
      </w:r>
      <w:r>
        <w:rPr>
          <w:rFonts w:ascii="仿宋_GB2312" w:eastAsia="仿宋_GB2312"/>
          <w:sz w:val="21"/>
        </w:rPr>
        <w:t xml:space="preserve">.2.3 </w:t>
      </w:r>
      <w:r>
        <w:rPr>
          <w:rFonts w:hint="eastAsia" w:ascii="仿宋_GB2312" w:eastAsia="仿宋_GB2312"/>
          <w:sz w:val="21"/>
        </w:rPr>
        <w:t>如果承包人未在该期限内进行竣工试验，则发包人有权自行组织该项竣工试验，由此产生的合理费用由承包人承担。发包人应在试验完成后28天内向承包人发送试验结果。</w:t>
      </w:r>
    </w:p>
    <w:p w14:paraId="39DA5A9C">
      <w:pPr>
        <w:pStyle w:val="39"/>
        <w:widowControl/>
        <w:spacing w:afterLines="0"/>
        <w:ind w:left="0"/>
        <w:outlineLvl w:val="3"/>
        <w:rPr>
          <w:rFonts w:hint="eastAsia"/>
          <w:b w:val="0"/>
          <w:bCs/>
          <w:sz w:val="21"/>
          <w:szCs w:val="21"/>
        </w:rPr>
      </w:pPr>
      <w:bookmarkStart w:id="1342" w:name="_Toc54862261"/>
      <w:bookmarkEnd w:id="1342"/>
      <w:bookmarkStart w:id="1343" w:name="_Toc21646"/>
      <w:bookmarkEnd w:id="1343"/>
      <w:bookmarkStart w:id="1344" w:name="_Ref532594592"/>
      <w:bookmarkEnd w:id="1344"/>
      <w:bookmarkStart w:id="1345" w:name="_Ref532594588"/>
      <w:bookmarkEnd w:id="1345"/>
      <w:bookmarkStart w:id="1346" w:name="_Toc7294"/>
      <w:bookmarkEnd w:id="1346"/>
      <w:r>
        <w:rPr>
          <w:rFonts w:hint="eastAsia"/>
          <w:b w:val="0"/>
          <w:bCs/>
          <w:sz w:val="21"/>
          <w:szCs w:val="21"/>
        </w:rPr>
        <w:t>9.3 重复试验</w:t>
      </w:r>
    </w:p>
    <w:p w14:paraId="7B1F9D97">
      <w:pPr>
        <w:spacing w:line="360" w:lineRule="auto"/>
        <w:ind w:firstLine="600"/>
        <w:rPr>
          <w:rFonts w:ascii="仿宋_GB2312" w:eastAsia="仿宋_GB2312"/>
        </w:rPr>
      </w:pPr>
      <w:r>
        <w:rPr>
          <w:rFonts w:hint="eastAsia" w:ascii="仿宋_GB2312" w:eastAsia="仿宋_GB2312"/>
        </w:rPr>
        <w:t>如果工程或区段工程未能通过竣工试验，则承包人应根据第</w:t>
      </w:r>
      <w:r>
        <w:rPr>
          <w:rFonts w:ascii="仿宋_GB2312" w:eastAsia="仿宋_GB2312"/>
        </w:rPr>
        <w:t>6.6</w:t>
      </w:r>
      <w:r>
        <w:rPr>
          <w:rFonts w:hint="eastAsia" w:ascii="仿宋_GB2312" w:eastAsia="仿宋_GB2312"/>
        </w:rPr>
        <w:t>款[缺陷和修补]修补缺陷。发包人或承包人可以要求按相同的条件，重新进行未通过的试验以及相关工程或区段工程的竣工试验。该等重新进行的试验仍应适用本条对于竣工试验的规定。</w:t>
      </w:r>
    </w:p>
    <w:p w14:paraId="07BB3E23">
      <w:pPr>
        <w:pStyle w:val="39"/>
        <w:widowControl/>
        <w:spacing w:afterLines="0"/>
        <w:ind w:left="0"/>
        <w:outlineLvl w:val="3"/>
        <w:rPr>
          <w:rFonts w:hint="eastAsia"/>
          <w:b w:val="0"/>
          <w:bCs/>
          <w:sz w:val="21"/>
          <w:szCs w:val="21"/>
        </w:rPr>
      </w:pPr>
      <w:bookmarkStart w:id="1347" w:name="_Ref532688226"/>
      <w:bookmarkEnd w:id="1347"/>
      <w:bookmarkStart w:id="1348" w:name="_Toc22402"/>
      <w:bookmarkEnd w:id="1348"/>
      <w:bookmarkStart w:id="1349" w:name="_Toc27979"/>
      <w:bookmarkEnd w:id="1349"/>
      <w:bookmarkStart w:id="1350" w:name="_Toc54862262"/>
      <w:bookmarkEnd w:id="1350"/>
      <w:bookmarkStart w:id="1351" w:name="_Ref532688221"/>
      <w:bookmarkEnd w:id="1351"/>
      <w:r>
        <w:rPr>
          <w:rFonts w:hint="eastAsia"/>
          <w:b w:val="0"/>
          <w:bCs/>
          <w:sz w:val="21"/>
          <w:szCs w:val="21"/>
        </w:rPr>
        <w:t>9.4 未能通过竣工试验</w:t>
      </w:r>
    </w:p>
    <w:p w14:paraId="3D9E52F7">
      <w:pPr>
        <w:pStyle w:val="40"/>
        <w:spacing w:after="157"/>
        <w:ind w:left="0"/>
        <w:rPr>
          <w:rFonts w:hint="eastAsia" w:ascii="仿宋_GB2312" w:eastAsia="仿宋_GB2312"/>
          <w:sz w:val="21"/>
        </w:rPr>
      </w:pPr>
      <w:r>
        <w:rPr>
          <w:rFonts w:hint="eastAsia" w:ascii="仿宋_GB2312" w:eastAsia="仿宋_GB2312"/>
          <w:sz w:val="21"/>
        </w:rPr>
        <w:t>9</w:t>
      </w:r>
      <w:r>
        <w:rPr>
          <w:rFonts w:ascii="仿宋_GB2312" w:eastAsia="仿宋_GB2312"/>
          <w:sz w:val="21"/>
        </w:rPr>
        <w:t xml:space="preserve">.4.1 </w:t>
      </w:r>
      <w:r>
        <w:rPr>
          <w:rFonts w:hint="eastAsia" w:ascii="仿宋_GB2312" w:eastAsia="仿宋_GB2312"/>
          <w:sz w:val="21"/>
        </w:rPr>
        <w:t>因发包人原因导致竣工试验未能通过的，承包人进行竣工试验的费用由发包人承担，竣工日期相应顺延。</w:t>
      </w:r>
    </w:p>
    <w:p w14:paraId="57EDC7BA">
      <w:pPr>
        <w:pStyle w:val="40"/>
        <w:spacing w:after="157"/>
        <w:ind w:left="0"/>
        <w:rPr>
          <w:rFonts w:hint="eastAsia" w:ascii="仿宋_GB2312" w:eastAsia="仿宋_GB2312"/>
          <w:sz w:val="21"/>
        </w:rPr>
      </w:pPr>
      <w:r>
        <w:rPr>
          <w:rFonts w:hint="eastAsia" w:ascii="仿宋_GB2312" w:eastAsia="仿宋_GB2312"/>
          <w:sz w:val="21"/>
        </w:rPr>
        <w:t>9</w:t>
      </w:r>
      <w:r>
        <w:rPr>
          <w:rFonts w:ascii="仿宋_GB2312" w:eastAsia="仿宋_GB2312"/>
          <w:sz w:val="21"/>
        </w:rPr>
        <w:t xml:space="preserve">.4.2 </w:t>
      </w:r>
      <w:r>
        <w:rPr>
          <w:rFonts w:hint="eastAsia" w:ascii="仿宋_GB2312" w:eastAsia="仿宋_GB2312"/>
          <w:sz w:val="21"/>
        </w:rPr>
        <w:t>如果工程或区段工程未能通过根据第</w:t>
      </w:r>
      <w:r>
        <w:rPr>
          <w:rFonts w:ascii="仿宋_GB2312" w:eastAsia="仿宋_GB2312"/>
          <w:sz w:val="21"/>
        </w:rPr>
        <w:t>9.3</w:t>
      </w:r>
      <w:r>
        <w:rPr>
          <w:rFonts w:hint="eastAsia" w:ascii="仿宋_GB2312" w:eastAsia="仿宋_GB2312"/>
          <w:sz w:val="21"/>
        </w:rPr>
        <w:t>款[重新试验]重新进行的竣工试验的，则：</w:t>
      </w:r>
    </w:p>
    <w:p w14:paraId="3A06340F">
      <w:pPr>
        <w:spacing w:line="360" w:lineRule="auto"/>
        <w:ind w:firstLine="600"/>
        <w:rPr>
          <w:rFonts w:ascii="仿宋_GB2312" w:eastAsia="仿宋_GB2312"/>
        </w:rPr>
      </w:pPr>
      <w:r>
        <w:rPr>
          <w:rFonts w:hint="eastAsia" w:ascii="仿宋_GB2312" w:eastAsia="仿宋_GB2312"/>
        </w:rPr>
        <w:t>（1） 发包人有权要求承包人根据第</w:t>
      </w:r>
      <w:r>
        <w:rPr>
          <w:rFonts w:ascii="仿宋_GB2312" w:eastAsia="仿宋_GB2312"/>
        </w:rPr>
        <w:t>6.6</w:t>
      </w:r>
      <w:r>
        <w:rPr>
          <w:rFonts w:hint="eastAsia" w:ascii="仿宋_GB2312" w:eastAsia="仿宋_GB2312"/>
        </w:rPr>
        <w:t>款[缺陷和修补]继续进行修补和改正，并根据第</w:t>
      </w:r>
      <w:r>
        <w:rPr>
          <w:rFonts w:ascii="仿宋_GB2312" w:eastAsia="仿宋_GB2312"/>
        </w:rPr>
        <w:t>9.3</w:t>
      </w:r>
      <w:r>
        <w:rPr>
          <w:rFonts w:hint="eastAsia" w:ascii="仿宋_GB2312" w:eastAsia="仿宋_GB2312"/>
        </w:rPr>
        <w:t>款[重新试验]再次进行竣工试验；</w:t>
      </w:r>
    </w:p>
    <w:p w14:paraId="5E7632AA">
      <w:pPr>
        <w:spacing w:line="360" w:lineRule="auto"/>
        <w:ind w:firstLine="600"/>
        <w:rPr>
          <w:rFonts w:ascii="仿宋_GB2312" w:eastAsia="仿宋_GB2312"/>
        </w:rPr>
      </w:pPr>
      <w:r>
        <w:rPr>
          <w:rFonts w:hint="eastAsia" w:ascii="仿宋_GB2312" w:eastAsia="仿宋_GB2312"/>
        </w:rPr>
        <w:t>（2） 未能通过竣工试验，对工程或区段工程的操作或使用未产生实质性影响的，发包人有权要求承包人自费修复，并承担因此增加的费用和误期损害赔偿责任，并赔偿发包人的相应损失；无法修复时，发包人有权扣减该部分的相应付款，同时视为通过竣工验收；</w:t>
      </w:r>
    </w:p>
    <w:p w14:paraId="2D012F34">
      <w:pPr>
        <w:spacing w:line="360" w:lineRule="auto"/>
        <w:ind w:firstLine="600"/>
        <w:rPr>
          <w:rFonts w:ascii="仿宋_GB2312" w:eastAsia="仿宋_GB2312"/>
        </w:rPr>
      </w:pPr>
      <w:bookmarkStart w:id="1352" w:name="_Ref4621461"/>
      <w:bookmarkEnd w:id="1352"/>
      <w:r>
        <w:rPr>
          <w:rFonts w:hint="eastAsia" w:ascii="仿宋_GB2312" w:eastAsia="仿宋_GB2312"/>
        </w:rPr>
        <w:t>（3） 未能通过竣工试验，使工程或区段工程的任何主要部分丧失了生产、使用功能时，发包人有权指令承包人更换相关部分，承包人应承担因此增加的费用和误期损害赔偿责任，并赔偿发包人的相应损失；</w:t>
      </w:r>
    </w:p>
    <w:p w14:paraId="4A60D919">
      <w:pPr>
        <w:spacing w:line="360" w:lineRule="auto"/>
        <w:ind w:firstLine="600"/>
        <w:rPr>
          <w:rFonts w:ascii="仿宋_GB2312" w:eastAsia="仿宋_GB2312"/>
        </w:rPr>
      </w:pPr>
      <w:r>
        <w:rPr>
          <w:rFonts w:hint="eastAsia" w:ascii="仿宋_GB2312" w:eastAsia="仿宋_GB2312"/>
        </w:rPr>
        <w:t>（4）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w:t>
      </w:r>
      <w:r>
        <w:rPr>
          <w:rFonts w:ascii="仿宋_GB2312" w:eastAsia="仿宋_GB2312"/>
        </w:rPr>
        <w:t>16.1</w:t>
      </w:r>
      <w:r>
        <w:rPr>
          <w:rFonts w:hint="eastAsia" w:ascii="仿宋_GB2312" w:eastAsia="仿宋_GB2312"/>
        </w:rPr>
        <w:t>款[由发包人解除合同]的约定解除合同。</w:t>
      </w:r>
    </w:p>
    <w:p w14:paraId="2DDD5C54">
      <w:pPr>
        <w:pStyle w:val="39"/>
        <w:widowControl/>
        <w:spacing w:afterLines="0"/>
        <w:ind w:left="0"/>
        <w:rPr>
          <w:rFonts w:hint="eastAsia"/>
          <w:b w:val="0"/>
          <w:bCs/>
          <w:sz w:val="21"/>
          <w:szCs w:val="21"/>
        </w:rPr>
      </w:pPr>
      <w:bookmarkStart w:id="1353" w:name="_Toc1340"/>
      <w:bookmarkEnd w:id="1353"/>
      <w:bookmarkStart w:id="1354" w:name="_Ref4618348"/>
      <w:bookmarkEnd w:id="1354"/>
      <w:bookmarkStart w:id="1355" w:name="_Ref4624043"/>
      <w:bookmarkEnd w:id="1355"/>
      <w:bookmarkStart w:id="1356" w:name="_Toc54862263"/>
      <w:bookmarkEnd w:id="1356"/>
      <w:bookmarkStart w:id="1357" w:name="_Toc8304"/>
      <w:bookmarkEnd w:id="1357"/>
      <w:bookmarkStart w:id="1358" w:name="_Ref4618338"/>
      <w:bookmarkEnd w:id="1358"/>
      <w:r>
        <w:rPr>
          <w:rFonts w:hint="eastAsia"/>
          <w:b w:val="0"/>
          <w:bCs/>
          <w:sz w:val="28"/>
          <w:szCs w:val="28"/>
        </w:rPr>
        <w:t>第10条 验收和工程接收</w:t>
      </w:r>
    </w:p>
    <w:p w14:paraId="4AB163CA">
      <w:pPr>
        <w:pStyle w:val="39"/>
        <w:widowControl/>
        <w:spacing w:afterLines="0"/>
        <w:ind w:left="0"/>
        <w:outlineLvl w:val="3"/>
        <w:rPr>
          <w:rFonts w:hint="eastAsia"/>
          <w:b w:val="0"/>
          <w:bCs/>
          <w:sz w:val="21"/>
          <w:szCs w:val="21"/>
        </w:rPr>
      </w:pPr>
      <w:bookmarkStart w:id="1359" w:name="_Ref532301199"/>
      <w:bookmarkEnd w:id="1359"/>
      <w:bookmarkStart w:id="1360" w:name="_Ref532300804"/>
      <w:bookmarkEnd w:id="1360"/>
      <w:bookmarkStart w:id="1361" w:name="_Toc54862264"/>
      <w:bookmarkEnd w:id="1361"/>
      <w:bookmarkStart w:id="1362" w:name="_Ref532300801"/>
      <w:bookmarkEnd w:id="1362"/>
      <w:bookmarkStart w:id="1363" w:name="_Ref532359152"/>
      <w:bookmarkEnd w:id="1363"/>
      <w:bookmarkStart w:id="1364" w:name="_Toc1375"/>
      <w:bookmarkEnd w:id="1364"/>
      <w:bookmarkStart w:id="1365" w:name="_Ref532359143"/>
      <w:bookmarkEnd w:id="1365"/>
      <w:bookmarkStart w:id="1366" w:name="_Ref532301202"/>
      <w:bookmarkEnd w:id="1366"/>
      <w:bookmarkStart w:id="1367" w:name="_Toc1634"/>
      <w:bookmarkEnd w:id="1367"/>
      <w:r>
        <w:rPr>
          <w:rFonts w:hint="eastAsia"/>
          <w:b w:val="0"/>
          <w:bCs/>
          <w:sz w:val="21"/>
          <w:szCs w:val="21"/>
        </w:rPr>
        <w:t>10.1 竣工验收</w:t>
      </w:r>
    </w:p>
    <w:p w14:paraId="79416EB8">
      <w:pPr>
        <w:pStyle w:val="40"/>
        <w:spacing w:after="157"/>
        <w:ind w:left="0"/>
        <w:outlineLvl w:val="4"/>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0.1.1 </w:t>
      </w:r>
      <w:r>
        <w:rPr>
          <w:rFonts w:hint="eastAsia" w:ascii="仿宋_GB2312" w:eastAsia="仿宋_GB2312"/>
          <w:sz w:val="21"/>
        </w:rPr>
        <w:t>竣工验收条件</w:t>
      </w:r>
    </w:p>
    <w:p w14:paraId="63080344">
      <w:pPr>
        <w:spacing w:line="360" w:lineRule="auto"/>
        <w:ind w:firstLine="600"/>
        <w:rPr>
          <w:rFonts w:ascii="仿宋_GB2312" w:eastAsia="仿宋_GB2312"/>
        </w:rPr>
      </w:pPr>
      <w:r>
        <w:rPr>
          <w:rFonts w:hint="eastAsia" w:ascii="仿宋_GB2312" w:eastAsia="仿宋_GB2312"/>
        </w:rPr>
        <w:t>工程具备以下条件的，承包人可以申请竣工验收：</w:t>
      </w:r>
    </w:p>
    <w:p w14:paraId="0AC81913">
      <w:pPr>
        <w:spacing w:line="360" w:lineRule="auto"/>
        <w:ind w:firstLine="600"/>
        <w:rPr>
          <w:rFonts w:ascii="仿宋_GB2312" w:eastAsia="仿宋_GB2312"/>
        </w:rPr>
      </w:pPr>
      <w:r>
        <w:rPr>
          <w:rFonts w:hint="eastAsia" w:ascii="仿宋_GB2312" w:eastAsia="仿宋_GB2312"/>
        </w:rPr>
        <w:t>（1） 除因第</w:t>
      </w:r>
      <w:r>
        <w:rPr>
          <w:rFonts w:ascii="仿宋_GB2312" w:eastAsia="仿宋_GB2312"/>
        </w:rPr>
        <w:t>13条</w:t>
      </w:r>
      <w:r>
        <w:rPr>
          <w:rFonts w:hint="eastAsia" w:ascii="仿宋_GB2312" w:eastAsia="仿宋_GB2312"/>
        </w:rPr>
        <w:t>[变更与调整]导致的工程量删减和第</w:t>
      </w:r>
      <w:r>
        <w:rPr>
          <w:rFonts w:ascii="仿宋_GB2312" w:eastAsia="仿宋_GB2312"/>
        </w:rPr>
        <w:t>14.5.3</w:t>
      </w:r>
      <w:r>
        <w:rPr>
          <w:rFonts w:hint="eastAsia" w:ascii="仿宋_GB2312" w:eastAsia="仿宋_GB2312"/>
        </w:rPr>
        <w:t>项[扫尾工作清单]列入缺陷责任期内完成的扫尾工程和缺陷修补工作外，合同范围内的全部单位/区段工程以及有关工作，包括合同要求的试验和竣工试验均已完成，并符合合同要求；</w:t>
      </w:r>
    </w:p>
    <w:p w14:paraId="52935090">
      <w:pPr>
        <w:spacing w:line="360" w:lineRule="auto"/>
        <w:ind w:firstLine="600"/>
        <w:rPr>
          <w:rFonts w:ascii="仿宋_GB2312" w:eastAsia="仿宋_GB2312"/>
        </w:rPr>
      </w:pPr>
      <w:r>
        <w:rPr>
          <w:rFonts w:hint="eastAsia" w:ascii="仿宋_GB2312" w:eastAsia="仿宋_GB2312"/>
        </w:rPr>
        <w:t>（2） 已按合同约定编制了扫尾工作和缺陷修补工作清单以及相应实施计划；</w:t>
      </w:r>
    </w:p>
    <w:p w14:paraId="21F2DA7A">
      <w:pPr>
        <w:spacing w:line="360" w:lineRule="auto"/>
        <w:ind w:firstLine="600"/>
        <w:rPr>
          <w:rFonts w:ascii="仿宋_GB2312" w:eastAsia="仿宋_GB2312"/>
        </w:rPr>
      </w:pPr>
      <w:r>
        <w:rPr>
          <w:rFonts w:hint="eastAsia" w:ascii="仿宋_GB2312" w:eastAsia="仿宋_GB2312"/>
        </w:rPr>
        <w:t>（3） 已按合同约定的内容和份数备齐竣工资料；</w:t>
      </w:r>
    </w:p>
    <w:p w14:paraId="70E8A871">
      <w:pPr>
        <w:spacing w:line="360" w:lineRule="auto"/>
        <w:ind w:firstLine="600"/>
        <w:rPr>
          <w:rFonts w:ascii="仿宋_GB2312" w:eastAsia="仿宋_GB2312"/>
        </w:rPr>
      </w:pPr>
      <w:r>
        <w:rPr>
          <w:rFonts w:hint="eastAsia" w:ascii="仿宋_GB2312" w:eastAsia="仿宋_GB2312"/>
        </w:rPr>
        <w:t>（4） 合同约定要求在竣工验收前应完成的其他工作。</w:t>
      </w:r>
    </w:p>
    <w:p w14:paraId="19BA82A8">
      <w:pPr>
        <w:pStyle w:val="40"/>
        <w:spacing w:after="157"/>
        <w:ind w:left="0"/>
        <w:outlineLvl w:val="4"/>
        <w:rPr>
          <w:rFonts w:hint="eastAsia" w:ascii="仿宋_GB2312" w:eastAsia="仿宋_GB2312"/>
          <w:sz w:val="21"/>
        </w:rPr>
      </w:pPr>
      <w:bookmarkStart w:id="1368" w:name="_Ref4429424"/>
      <w:bookmarkEnd w:id="1368"/>
      <w:r>
        <w:rPr>
          <w:rFonts w:hint="eastAsia" w:ascii="仿宋_GB2312" w:eastAsia="仿宋_GB2312"/>
          <w:sz w:val="21"/>
        </w:rPr>
        <w:t>1</w:t>
      </w:r>
      <w:r>
        <w:rPr>
          <w:rFonts w:ascii="仿宋_GB2312" w:eastAsia="仿宋_GB2312"/>
          <w:sz w:val="21"/>
        </w:rPr>
        <w:t xml:space="preserve">0.1.2 </w:t>
      </w:r>
      <w:r>
        <w:rPr>
          <w:rFonts w:hint="eastAsia" w:ascii="仿宋_GB2312" w:eastAsia="仿宋_GB2312"/>
          <w:sz w:val="21"/>
        </w:rPr>
        <w:t>竣工验收程序</w:t>
      </w:r>
    </w:p>
    <w:p w14:paraId="2279E9BE">
      <w:pPr>
        <w:spacing w:line="360" w:lineRule="auto"/>
        <w:ind w:firstLine="600"/>
        <w:rPr>
          <w:rFonts w:ascii="仿宋_GB2312" w:eastAsia="仿宋_GB2312"/>
        </w:rPr>
      </w:pPr>
      <w:r>
        <w:rPr>
          <w:rFonts w:hint="eastAsia" w:ascii="仿宋_GB2312" w:eastAsia="仿宋_GB2312"/>
        </w:rPr>
        <w:t>除专用合同条件另有约定外，承包人申请竣工验收的，应当按照以下程序进行：</w:t>
      </w:r>
    </w:p>
    <w:p w14:paraId="42880BB6">
      <w:pPr>
        <w:spacing w:line="360" w:lineRule="auto"/>
        <w:ind w:firstLine="600"/>
        <w:rPr>
          <w:rFonts w:ascii="仿宋_GB2312" w:eastAsia="仿宋_GB2312"/>
        </w:rPr>
      </w:pPr>
      <w:r>
        <w:rPr>
          <w:rFonts w:hint="eastAsia" w:ascii="仿宋_GB2312" w:eastAsia="仿宋_GB2312"/>
        </w:rPr>
        <w:t>（1） 承包人向工程师报送竣工验收申请报告，工程师应在收到竣工验收申请报告后14天内完成审查并报送发包人。工程师审查后认为尚不具备竣工验收条件的，应在收到竣工验收申请报告后的</w:t>
      </w:r>
      <w:r>
        <w:rPr>
          <w:rFonts w:ascii="仿宋_GB2312" w:eastAsia="仿宋_GB2312"/>
        </w:rPr>
        <w:t>14</w:t>
      </w:r>
      <w:r>
        <w:rPr>
          <w:rFonts w:hint="eastAsia" w:ascii="仿宋_GB2312" w:eastAsia="仿宋_GB2312"/>
        </w:rPr>
        <w:t>天内通知承包人，指出在颁发接收证书前承包人还需进行的工作内容。承包人完成工程师通知的全部工作内容后，应再次提交竣工验收申请报告，直至工程师同意为止。</w:t>
      </w:r>
    </w:p>
    <w:p w14:paraId="3A9F954A">
      <w:pPr>
        <w:spacing w:line="360" w:lineRule="auto"/>
        <w:ind w:firstLine="600"/>
        <w:rPr>
          <w:rFonts w:ascii="仿宋_GB2312" w:eastAsia="仿宋_GB2312"/>
        </w:rPr>
      </w:pPr>
      <w:r>
        <w:rPr>
          <w:rFonts w:hint="eastAsia" w:ascii="仿宋_GB2312" w:eastAsia="仿宋_GB2312"/>
        </w:rPr>
        <w:t>（2） 工程师同意承包人提交的竣工验收申请报告的，或工程师收到竣工验收申请报告后</w:t>
      </w:r>
      <w:r>
        <w:rPr>
          <w:rFonts w:ascii="仿宋_GB2312" w:eastAsia="仿宋_GB2312"/>
        </w:rPr>
        <w:t>14</w:t>
      </w:r>
      <w:r>
        <w:rPr>
          <w:rFonts w:hint="eastAsia" w:ascii="仿宋_GB2312" w:eastAsia="仿宋_GB2312"/>
        </w:rPr>
        <w:t>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7602FC16">
      <w:pPr>
        <w:spacing w:line="360" w:lineRule="auto"/>
        <w:ind w:firstLine="600"/>
        <w:rPr>
          <w:rFonts w:ascii="仿宋_GB2312" w:eastAsia="仿宋_GB2312"/>
        </w:rPr>
      </w:pPr>
      <w:r>
        <w:rPr>
          <w:rFonts w:hint="eastAsia" w:ascii="仿宋_GB2312" w:eastAsia="仿宋_GB2312"/>
        </w:rPr>
        <w:t>（3）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4E86224B">
      <w:pPr>
        <w:spacing w:line="360" w:lineRule="auto"/>
        <w:ind w:firstLine="600"/>
        <w:rPr>
          <w:rFonts w:ascii="仿宋_GB2312" w:eastAsia="仿宋_GB2312"/>
        </w:rPr>
      </w:pPr>
      <w:r>
        <w:rPr>
          <w:rFonts w:hint="eastAsia" w:ascii="仿宋_GB2312" w:eastAsia="仿宋_GB2312"/>
        </w:rPr>
        <w:t>（4） 因发包人原因，未在工程师收到承包人竣工验收申请报告之日起</w:t>
      </w:r>
      <w:r>
        <w:rPr>
          <w:rFonts w:ascii="仿宋_GB2312" w:eastAsia="仿宋_GB2312"/>
        </w:rPr>
        <w:t>42</w:t>
      </w:r>
      <w:r>
        <w:rPr>
          <w:rFonts w:hint="eastAsia" w:ascii="仿宋_GB2312" w:eastAsia="仿宋_GB2312"/>
        </w:rPr>
        <w:t>天内完成竣工验收的，以承包人提交竣工验收申请报告之日</w:t>
      </w:r>
      <w:r>
        <w:rPr>
          <w:rFonts w:ascii="仿宋_GB2312" w:eastAsia="仿宋_GB2312"/>
        </w:rPr>
        <w:t>作为工程实际竣工日期</w:t>
      </w:r>
      <w:r>
        <w:rPr>
          <w:rFonts w:hint="eastAsia" w:ascii="仿宋_GB2312" w:eastAsia="仿宋_GB2312"/>
        </w:rPr>
        <w:t>。</w:t>
      </w:r>
    </w:p>
    <w:p w14:paraId="1177C4DE">
      <w:pPr>
        <w:spacing w:line="360" w:lineRule="auto"/>
        <w:ind w:firstLine="600"/>
        <w:rPr>
          <w:rFonts w:ascii="仿宋_GB2312" w:eastAsia="仿宋_GB2312"/>
        </w:rPr>
      </w:pPr>
      <w:r>
        <w:rPr>
          <w:rFonts w:hint="eastAsia" w:ascii="仿宋_GB2312" w:eastAsia="仿宋_GB2312"/>
        </w:rPr>
        <w:t>（5） 工程未经竣工验收，发包人擅自使用的，以转移占有工程之日为实际竣工日期。</w:t>
      </w:r>
    </w:p>
    <w:p w14:paraId="4365C6EB">
      <w:pPr>
        <w:spacing w:line="360" w:lineRule="auto"/>
        <w:ind w:firstLine="600"/>
        <w:rPr>
          <w:rFonts w:ascii="仿宋_GB2312" w:eastAsia="仿宋_GB2312"/>
        </w:rPr>
      </w:pPr>
      <w:r>
        <w:rPr>
          <w:rFonts w:hint="eastAsia" w:ascii="仿宋_GB2312" w:eastAsia="仿宋_GB2312"/>
        </w:rPr>
        <w:t>除专用合同条件另有约定外，发包人不按照本项和第</w:t>
      </w:r>
      <w:r>
        <w:rPr>
          <w:rFonts w:ascii="仿宋_GB2312" w:eastAsia="仿宋_GB2312"/>
        </w:rPr>
        <w:t>10.4</w:t>
      </w:r>
      <w:r>
        <w:rPr>
          <w:rFonts w:hint="eastAsia" w:ascii="仿宋_GB2312" w:eastAsia="仿宋_GB2312"/>
        </w:rPr>
        <w:t>款</w:t>
      </w:r>
      <w:r>
        <w:rPr>
          <w:rFonts w:ascii="仿宋_GB2312" w:eastAsia="仿宋_GB2312"/>
        </w:rPr>
        <w:t>[接收证书]</w:t>
      </w:r>
      <w:r>
        <w:rPr>
          <w:rFonts w:hint="eastAsia" w:ascii="仿宋_GB2312" w:eastAsia="仿宋_GB2312"/>
        </w:rPr>
        <w:t>约定组织竣工验收、颁发工程接收证书的，每逾期一天，应以签约合同价为基数，按照贷款市场报价利率（LPR）支付违约金。</w:t>
      </w:r>
    </w:p>
    <w:p w14:paraId="45489860">
      <w:pPr>
        <w:pStyle w:val="39"/>
        <w:widowControl/>
        <w:spacing w:afterLines="0"/>
        <w:ind w:left="0"/>
        <w:outlineLvl w:val="3"/>
        <w:rPr>
          <w:rFonts w:hint="eastAsia"/>
          <w:b w:val="0"/>
          <w:bCs/>
          <w:sz w:val="21"/>
          <w:szCs w:val="21"/>
        </w:rPr>
      </w:pPr>
      <w:bookmarkStart w:id="1369" w:name="_Toc54862265"/>
      <w:bookmarkEnd w:id="1369"/>
      <w:bookmarkStart w:id="1370" w:name="_Ref532301213"/>
      <w:bookmarkEnd w:id="1370"/>
      <w:bookmarkStart w:id="1371" w:name="_Toc17992"/>
      <w:bookmarkEnd w:id="1371"/>
      <w:bookmarkStart w:id="1372" w:name="_Ref532301210"/>
      <w:bookmarkEnd w:id="1372"/>
      <w:bookmarkStart w:id="1373" w:name="_Toc8645"/>
      <w:bookmarkEnd w:id="1373"/>
      <w:r>
        <w:rPr>
          <w:rFonts w:hint="eastAsia"/>
          <w:b w:val="0"/>
          <w:bCs/>
          <w:sz w:val="21"/>
          <w:szCs w:val="21"/>
        </w:rPr>
        <w:t>10.2 单位/区段工程的验收</w:t>
      </w:r>
    </w:p>
    <w:p w14:paraId="15268429">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0.2.1 </w:t>
      </w:r>
      <w:r>
        <w:rPr>
          <w:rFonts w:hint="eastAsia" w:ascii="仿宋_GB2312" w:eastAsia="仿宋_GB2312"/>
          <w:sz w:val="21"/>
        </w:rPr>
        <w:t>发包人根据项目进度计划安排，在全部工程竣工前需要使用已经竣工的单位/区段工程时，或承包人提出经发包人同意时，可进行单位/区段工程验收。验收的程序可参照第</w:t>
      </w:r>
      <w:r>
        <w:rPr>
          <w:rFonts w:ascii="仿宋_GB2312" w:eastAsia="仿宋_GB2312"/>
          <w:sz w:val="21"/>
        </w:rPr>
        <w:t>10.1</w:t>
      </w:r>
      <w:r>
        <w:rPr>
          <w:rFonts w:hint="eastAsia" w:ascii="仿宋_GB2312" w:eastAsia="仿宋_GB2312"/>
          <w:sz w:val="21"/>
        </w:rPr>
        <w:t>款[竣工验收]的约定进行。验收合格后，由工程师向承包人出具经发包人签认的单位/区段工程验收证书。单位/区段工程的验收成果和结论作为全部工程竣工验收申请报告的附件。</w:t>
      </w:r>
    </w:p>
    <w:p w14:paraId="2CA938F7">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0.2.2 </w:t>
      </w:r>
      <w:r>
        <w:rPr>
          <w:rFonts w:hint="eastAsia" w:ascii="仿宋_GB2312" w:eastAsia="仿宋_GB2312"/>
          <w:sz w:val="21"/>
        </w:rPr>
        <w:t>发包人在全部工程竣工前，使用已接收的单位/区段工程导致承包人费用增加的，发包人应承担由此增加的费用和（或）工期延误，并支付承包人合理利润。</w:t>
      </w:r>
    </w:p>
    <w:p w14:paraId="6C0EC4B5">
      <w:pPr>
        <w:pStyle w:val="39"/>
        <w:widowControl/>
        <w:spacing w:afterLines="0"/>
        <w:ind w:left="0"/>
        <w:outlineLvl w:val="3"/>
        <w:rPr>
          <w:rFonts w:hint="eastAsia"/>
          <w:b w:val="0"/>
          <w:bCs/>
          <w:sz w:val="21"/>
          <w:szCs w:val="21"/>
        </w:rPr>
      </w:pPr>
      <w:bookmarkStart w:id="1374" w:name="_Toc54862266"/>
      <w:bookmarkEnd w:id="1374"/>
      <w:bookmarkStart w:id="1375" w:name="_Toc22547"/>
      <w:bookmarkEnd w:id="1375"/>
      <w:bookmarkStart w:id="1376" w:name="_Toc21908"/>
      <w:bookmarkEnd w:id="1376"/>
      <w:bookmarkStart w:id="1377" w:name="_Ref4429473"/>
      <w:r>
        <w:rPr>
          <w:rFonts w:hint="eastAsia"/>
          <w:b w:val="0"/>
          <w:bCs/>
          <w:sz w:val="21"/>
          <w:szCs w:val="21"/>
        </w:rPr>
        <w:t>10.3 工程的接收</w:t>
      </w:r>
    </w:p>
    <w:p w14:paraId="5E981029">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0.3.1 </w:t>
      </w:r>
      <w:r>
        <w:rPr>
          <w:rFonts w:hint="eastAsia" w:ascii="仿宋_GB2312" w:eastAsia="仿宋_GB2312"/>
          <w:sz w:val="21"/>
        </w:rPr>
        <w:t>根据工程项目的具体情况和特点，可按工程或单位/区段工程进行接收，并在专用合同条件约定接收的先后顺序、时间安排和其他要求。</w:t>
      </w:r>
    </w:p>
    <w:p w14:paraId="28C33ADF">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0.3.2 </w:t>
      </w:r>
      <w:r>
        <w:rPr>
          <w:rFonts w:hint="eastAsia" w:ascii="仿宋_GB2312" w:eastAsia="仿宋_GB2312"/>
          <w:sz w:val="21"/>
        </w:rPr>
        <w:t>除按本条约定已经提交的资料外，接收工程时承包人需提交竣工验收资料的类别、内容、份数和提交时间，在专用合同条件中约定。</w:t>
      </w:r>
    </w:p>
    <w:p w14:paraId="3D38D6A6">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0.3.3 </w:t>
      </w:r>
      <w:r>
        <w:rPr>
          <w:rFonts w:hint="eastAsia" w:ascii="仿宋_GB2312" w:eastAsia="仿宋_GB2312"/>
          <w:sz w:val="21"/>
        </w:rPr>
        <w:t>发包人无正当理由不接收工程的，发包人自应当接收工程之日起，承担工程照管、成品保护、保管等与工程有关的各项费用，合同当事人可以在专用合同条件中另行约定发包人逾期接收工程的违约责任。</w:t>
      </w:r>
    </w:p>
    <w:p w14:paraId="43DE714D">
      <w:pPr>
        <w:pStyle w:val="40"/>
        <w:spacing w:afterLines="0"/>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0.3.4 </w:t>
      </w:r>
      <w:r>
        <w:rPr>
          <w:rFonts w:hint="eastAsia" w:ascii="仿宋_GB2312" w:eastAsia="仿宋_GB2312"/>
          <w:sz w:val="21"/>
        </w:rPr>
        <w:t>承包人无正当理由不移交工程的，承包人应承担工程照管、成品保护、保管等与工程有关的各项费用，合同当事人可以在专用合同条件中另行约定承包人无正当理由不移交工程的违约责任。</w:t>
      </w:r>
    </w:p>
    <w:bookmarkEnd w:id="1377"/>
    <w:p w14:paraId="75291EDE">
      <w:pPr>
        <w:pStyle w:val="39"/>
        <w:widowControl/>
        <w:spacing w:afterLines="0"/>
        <w:ind w:left="0"/>
        <w:outlineLvl w:val="3"/>
        <w:rPr>
          <w:rFonts w:hint="eastAsia"/>
          <w:b w:val="0"/>
          <w:bCs/>
          <w:sz w:val="21"/>
          <w:szCs w:val="21"/>
        </w:rPr>
      </w:pPr>
      <w:bookmarkStart w:id="1378" w:name="_Toc54862267"/>
      <w:bookmarkEnd w:id="1378"/>
      <w:bookmarkStart w:id="1379" w:name="_Toc11480"/>
      <w:bookmarkEnd w:id="1379"/>
      <w:bookmarkStart w:id="1380" w:name="_Toc3622"/>
      <w:bookmarkEnd w:id="1380"/>
      <w:r>
        <w:rPr>
          <w:rFonts w:hint="eastAsia"/>
          <w:b w:val="0"/>
          <w:bCs/>
          <w:sz w:val="21"/>
          <w:szCs w:val="21"/>
        </w:rPr>
        <w:t>10.4 接收证书</w:t>
      </w:r>
    </w:p>
    <w:p w14:paraId="4F97DAD5">
      <w:pPr>
        <w:pStyle w:val="40"/>
        <w:spacing w:after="157"/>
        <w:ind w:left="0"/>
        <w:rPr>
          <w:rFonts w:hint="eastAsia" w:ascii="仿宋_GB2312" w:eastAsia="仿宋_GB2312"/>
          <w:sz w:val="21"/>
        </w:rPr>
      </w:pPr>
      <w:bookmarkStart w:id="1381" w:name="_Ref4429542"/>
      <w:bookmarkEnd w:id="1381"/>
      <w:r>
        <w:rPr>
          <w:rFonts w:hint="eastAsia" w:ascii="仿宋_GB2312" w:eastAsia="仿宋_GB2312"/>
          <w:sz w:val="21"/>
        </w:rPr>
        <w:t>1</w:t>
      </w:r>
      <w:r>
        <w:rPr>
          <w:rFonts w:ascii="仿宋_GB2312" w:eastAsia="仿宋_GB2312"/>
          <w:sz w:val="21"/>
        </w:rPr>
        <w:t xml:space="preserve">0.4.1 </w:t>
      </w:r>
      <w:r>
        <w:rPr>
          <w:rFonts w:hint="eastAsia" w:ascii="仿宋_GB2312" w:eastAsia="仿宋_GB2312"/>
          <w:sz w:val="21"/>
        </w:rPr>
        <w:t>除专用合同条件另有约定外，承包人应在竣工验收合格后向发包人提交第</w:t>
      </w:r>
      <w:r>
        <w:rPr>
          <w:rFonts w:ascii="仿宋_GB2312" w:eastAsia="仿宋_GB2312"/>
          <w:sz w:val="21"/>
        </w:rPr>
        <w:t>14.6</w:t>
      </w:r>
      <w:r>
        <w:rPr>
          <w:rFonts w:hint="eastAsia" w:ascii="仿宋_GB2312" w:eastAsia="仿宋_GB2312"/>
          <w:sz w:val="21"/>
        </w:rPr>
        <w:t>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p>
    <w:p w14:paraId="6126BCF9">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0.4.2 </w:t>
      </w:r>
      <w:r>
        <w:rPr>
          <w:rFonts w:hint="eastAsia" w:ascii="仿宋_GB2312" w:eastAsia="仿宋_GB2312"/>
          <w:sz w:val="21"/>
        </w:rPr>
        <w:t>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6A37F97A">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0.4.3 </w:t>
      </w:r>
      <w:r>
        <w:rPr>
          <w:rFonts w:hint="eastAsia" w:ascii="仿宋_GB2312" w:eastAsia="仿宋_GB2312"/>
          <w:sz w:val="21"/>
        </w:rPr>
        <w:t>竣工验收合格而发包人无正当理由逾期不颁发工程接收证书的，自验收合格后第15天起视为已颁发工程接收证书。</w:t>
      </w:r>
    </w:p>
    <w:p w14:paraId="750DD52E">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0.4.4 </w:t>
      </w:r>
      <w:r>
        <w:rPr>
          <w:rFonts w:hint="eastAsia" w:ascii="仿宋_GB2312" w:eastAsia="仿宋_GB2312"/>
          <w:sz w:val="21"/>
        </w:rPr>
        <w:t>工程未经验收或验收不合格，发包人擅自使用的，应在转移占有工程后7天内向承包人颁发工程接收证书；发包人无正当理由逾期不颁发工程接收证书的，自转移占有后第15天起视为已颁发工程接收证书。</w:t>
      </w:r>
    </w:p>
    <w:p w14:paraId="6B15EBEF">
      <w:pPr>
        <w:pStyle w:val="40"/>
        <w:spacing w:afterLines="0"/>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0.4.5 </w:t>
      </w:r>
      <w:r>
        <w:rPr>
          <w:rFonts w:hint="eastAsia" w:ascii="仿宋_GB2312" w:eastAsia="仿宋_GB2312"/>
          <w:sz w:val="21"/>
        </w:rPr>
        <w:t>存在扫尾工作的，工程接收证书中应当将第</w:t>
      </w:r>
      <w:r>
        <w:rPr>
          <w:rFonts w:ascii="仿宋_GB2312" w:eastAsia="仿宋_GB2312"/>
          <w:sz w:val="21"/>
        </w:rPr>
        <w:t>14.5.3</w:t>
      </w:r>
      <w:r>
        <w:rPr>
          <w:rFonts w:hint="eastAsia" w:ascii="仿宋_GB2312" w:eastAsia="仿宋_GB2312"/>
          <w:sz w:val="21"/>
        </w:rPr>
        <w:t>项[扫尾工作清单]中约定的扫尾工作清单作为工程接收证书附件。</w:t>
      </w:r>
    </w:p>
    <w:p w14:paraId="1984E83F">
      <w:pPr>
        <w:pStyle w:val="39"/>
        <w:widowControl/>
        <w:spacing w:afterLines="0"/>
        <w:ind w:left="0"/>
        <w:outlineLvl w:val="3"/>
        <w:rPr>
          <w:rFonts w:hint="eastAsia"/>
          <w:b w:val="0"/>
          <w:bCs/>
          <w:sz w:val="21"/>
          <w:szCs w:val="21"/>
        </w:rPr>
      </w:pPr>
      <w:bookmarkStart w:id="1382" w:name="_Toc54862268"/>
      <w:bookmarkEnd w:id="1382"/>
      <w:bookmarkStart w:id="1383" w:name="_Ref4429932"/>
      <w:bookmarkEnd w:id="1383"/>
      <w:bookmarkStart w:id="1384" w:name="_Ref4429935"/>
      <w:bookmarkEnd w:id="1384"/>
      <w:bookmarkStart w:id="1385" w:name="_Toc14575"/>
      <w:bookmarkEnd w:id="1385"/>
      <w:bookmarkStart w:id="1386" w:name="_Toc30399"/>
      <w:bookmarkEnd w:id="1386"/>
      <w:r>
        <w:rPr>
          <w:rFonts w:hint="eastAsia"/>
          <w:b w:val="0"/>
          <w:bCs/>
          <w:sz w:val="21"/>
          <w:szCs w:val="21"/>
        </w:rPr>
        <w:t>10.5 竣工退场</w:t>
      </w:r>
    </w:p>
    <w:p w14:paraId="46937964">
      <w:pPr>
        <w:pStyle w:val="40"/>
        <w:spacing w:afterLines="0"/>
        <w:ind w:left="0"/>
        <w:outlineLvl w:val="4"/>
        <w:rPr>
          <w:rFonts w:hint="eastAsia" w:ascii="仿宋_GB2312" w:eastAsia="仿宋_GB2312"/>
          <w:sz w:val="21"/>
        </w:rPr>
      </w:pPr>
      <w:bookmarkStart w:id="1387" w:name="_Ref4429943"/>
      <w:bookmarkEnd w:id="1387"/>
      <w:r>
        <w:rPr>
          <w:rFonts w:hint="eastAsia" w:ascii="仿宋_GB2312" w:eastAsia="仿宋_GB2312"/>
          <w:sz w:val="21"/>
        </w:rPr>
        <w:t>1</w:t>
      </w:r>
      <w:r>
        <w:rPr>
          <w:rFonts w:ascii="仿宋_GB2312" w:eastAsia="仿宋_GB2312"/>
          <w:sz w:val="21"/>
        </w:rPr>
        <w:t xml:space="preserve">0.5.1 </w:t>
      </w:r>
      <w:r>
        <w:rPr>
          <w:rFonts w:hint="eastAsia" w:ascii="仿宋_GB2312" w:eastAsia="仿宋_GB2312"/>
          <w:sz w:val="21"/>
        </w:rPr>
        <w:t>竣工退场</w:t>
      </w:r>
    </w:p>
    <w:p w14:paraId="08619205">
      <w:pPr>
        <w:spacing w:line="360" w:lineRule="auto"/>
        <w:ind w:firstLine="600"/>
        <w:rPr>
          <w:rFonts w:ascii="仿宋_GB2312" w:eastAsia="仿宋_GB2312"/>
        </w:rPr>
      </w:pPr>
      <w:r>
        <w:rPr>
          <w:rFonts w:hint="eastAsia" w:ascii="仿宋_GB2312" w:eastAsia="仿宋_GB2312"/>
        </w:rPr>
        <w:t>颁发工程接收证书后，承包人应对施工现场进行清理，并撤离相关人员，使得施工现场处于以下状态，直至工程师检验合格为止：</w:t>
      </w:r>
    </w:p>
    <w:p w14:paraId="6518D73C">
      <w:pPr>
        <w:spacing w:line="360" w:lineRule="auto"/>
        <w:ind w:firstLine="600"/>
        <w:rPr>
          <w:rFonts w:ascii="仿宋_GB2312" w:eastAsia="仿宋_GB2312"/>
        </w:rPr>
      </w:pPr>
      <w:r>
        <w:rPr>
          <w:rFonts w:hint="eastAsia" w:ascii="仿宋_GB2312" w:eastAsia="仿宋_GB2312"/>
        </w:rPr>
        <w:t>（1） 施工现场内残留的垃圾已全部清除出场；</w:t>
      </w:r>
    </w:p>
    <w:p w14:paraId="0D0F5C2D">
      <w:pPr>
        <w:spacing w:line="360" w:lineRule="auto"/>
        <w:ind w:firstLine="600"/>
        <w:rPr>
          <w:rFonts w:ascii="仿宋_GB2312" w:eastAsia="仿宋_GB2312"/>
        </w:rPr>
      </w:pPr>
      <w:r>
        <w:rPr>
          <w:rFonts w:hint="eastAsia" w:ascii="仿宋_GB2312" w:eastAsia="仿宋_GB2312"/>
        </w:rPr>
        <w:t>（2） 临时工程已拆除，场地已按合同约定进行清理、平整或复原；</w:t>
      </w:r>
    </w:p>
    <w:p w14:paraId="4F0E30C4">
      <w:pPr>
        <w:spacing w:line="360" w:lineRule="auto"/>
        <w:ind w:firstLine="600"/>
        <w:rPr>
          <w:rFonts w:ascii="仿宋_GB2312" w:eastAsia="仿宋_GB2312"/>
        </w:rPr>
      </w:pPr>
      <w:r>
        <w:rPr>
          <w:rFonts w:hint="eastAsia" w:ascii="仿宋_GB2312" w:eastAsia="仿宋_GB2312"/>
        </w:rPr>
        <w:t>（3） 按合同约定应撤离的人员、承包人提供的施工设备和剩余的材料，包括废弃的施工设备和材料，已按计划撤离施工现场；</w:t>
      </w:r>
    </w:p>
    <w:p w14:paraId="0D36C3D4">
      <w:pPr>
        <w:spacing w:line="360" w:lineRule="auto"/>
        <w:ind w:firstLine="600"/>
        <w:rPr>
          <w:rFonts w:ascii="仿宋_GB2312" w:eastAsia="仿宋_GB2312"/>
        </w:rPr>
      </w:pPr>
      <w:r>
        <w:rPr>
          <w:rFonts w:hint="eastAsia" w:ascii="仿宋_GB2312" w:eastAsia="仿宋_GB2312"/>
        </w:rPr>
        <w:t>（4） 施工现场周边及其附近道路、河道的施工堆积物，已全部清理；</w:t>
      </w:r>
    </w:p>
    <w:p w14:paraId="13B21870">
      <w:pPr>
        <w:spacing w:line="360" w:lineRule="auto"/>
        <w:ind w:firstLine="600"/>
        <w:rPr>
          <w:rFonts w:ascii="仿宋_GB2312" w:eastAsia="仿宋_GB2312"/>
        </w:rPr>
      </w:pPr>
      <w:r>
        <w:rPr>
          <w:rFonts w:hint="eastAsia" w:ascii="仿宋_GB2312" w:eastAsia="仿宋_GB2312"/>
        </w:rPr>
        <w:t>（5） 施工现场其他竣工退场工作已全部完成。</w:t>
      </w:r>
    </w:p>
    <w:p w14:paraId="2FB4EFC8">
      <w:pPr>
        <w:spacing w:line="360" w:lineRule="auto"/>
        <w:ind w:firstLine="600"/>
        <w:rPr>
          <w:rFonts w:ascii="仿宋_GB2312" w:eastAsia="仿宋_GB2312"/>
        </w:rPr>
      </w:pPr>
      <w:r>
        <w:rPr>
          <w:rFonts w:hint="eastAsia" w:ascii="仿宋_GB2312" w:eastAsia="仿宋_GB2312"/>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08DB475E">
      <w:pPr>
        <w:pStyle w:val="40"/>
        <w:spacing w:after="157"/>
        <w:ind w:left="0"/>
        <w:outlineLvl w:val="4"/>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0.5.2 </w:t>
      </w:r>
      <w:r>
        <w:rPr>
          <w:rFonts w:hint="eastAsia" w:ascii="仿宋_GB2312" w:eastAsia="仿宋_GB2312"/>
          <w:sz w:val="21"/>
        </w:rPr>
        <w:t>地表还原</w:t>
      </w:r>
    </w:p>
    <w:p w14:paraId="033664B4">
      <w:pPr>
        <w:spacing w:line="360" w:lineRule="auto"/>
        <w:ind w:firstLine="600"/>
        <w:rPr>
          <w:rFonts w:ascii="仿宋_GB2312" w:eastAsia="仿宋_GB2312"/>
        </w:rPr>
      </w:pPr>
      <w:r>
        <w:rPr>
          <w:rFonts w:hint="eastAsia" w:ascii="仿宋_GB2312" w:eastAsia="仿宋_GB2312"/>
        </w:rPr>
        <w:t>承包人应按合同约定和工程师的要求恢复临时占地及清理场地，否则发包人有权委托其他人恢复或清理，所发生的费用由承包人承担。</w:t>
      </w:r>
    </w:p>
    <w:p w14:paraId="16A90FBB">
      <w:pPr>
        <w:pStyle w:val="40"/>
        <w:spacing w:after="157"/>
        <w:ind w:left="0"/>
        <w:outlineLvl w:val="4"/>
        <w:rPr>
          <w:rFonts w:hint="eastAsia" w:ascii="仿宋_GB2312" w:eastAsia="仿宋_GB2312"/>
          <w:sz w:val="21"/>
        </w:rPr>
      </w:pPr>
      <w:bookmarkStart w:id="1388" w:name="_Ref20159437"/>
      <w:bookmarkEnd w:id="1388"/>
      <w:r>
        <w:rPr>
          <w:rFonts w:hint="eastAsia" w:ascii="仿宋_GB2312" w:eastAsia="仿宋_GB2312"/>
          <w:sz w:val="21"/>
        </w:rPr>
        <w:t>1</w:t>
      </w:r>
      <w:r>
        <w:rPr>
          <w:rFonts w:ascii="仿宋_GB2312" w:eastAsia="仿宋_GB2312"/>
          <w:sz w:val="21"/>
        </w:rPr>
        <w:t xml:space="preserve">0.5.3 </w:t>
      </w:r>
      <w:r>
        <w:rPr>
          <w:rFonts w:hint="eastAsia" w:ascii="仿宋_GB2312" w:eastAsia="仿宋_GB2312"/>
          <w:sz w:val="21"/>
        </w:rPr>
        <w:t>人员撤离</w:t>
      </w:r>
    </w:p>
    <w:bookmarkEnd w:id="1236"/>
    <w:p w14:paraId="3D95A704">
      <w:pPr>
        <w:spacing w:line="360" w:lineRule="auto"/>
        <w:ind w:firstLine="600"/>
        <w:rPr>
          <w:rFonts w:ascii="仿宋_GB2312" w:eastAsia="仿宋_GB2312"/>
        </w:rPr>
      </w:pPr>
      <w:r>
        <w:rPr>
          <w:rFonts w:hint="eastAsia" w:ascii="仿宋_GB2312" w:eastAsia="仿宋_GB2312"/>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p>
    <w:p w14:paraId="7BDB7874">
      <w:pPr>
        <w:pStyle w:val="39"/>
        <w:widowControl/>
        <w:spacing w:afterLines="0"/>
        <w:ind w:left="0"/>
        <w:rPr>
          <w:rFonts w:hint="eastAsia"/>
          <w:b w:val="0"/>
          <w:bCs/>
          <w:sz w:val="28"/>
          <w:szCs w:val="28"/>
        </w:rPr>
      </w:pPr>
      <w:bookmarkStart w:id="1389" w:name="_Ref4796909"/>
      <w:bookmarkEnd w:id="1389"/>
      <w:bookmarkStart w:id="1390" w:name="_Ref4796906"/>
      <w:bookmarkEnd w:id="1390"/>
      <w:bookmarkStart w:id="1391" w:name="_Toc24867"/>
      <w:bookmarkEnd w:id="1391"/>
      <w:bookmarkStart w:id="1392" w:name="_Toc29943"/>
      <w:bookmarkEnd w:id="1392"/>
      <w:bookmarkStart w:id="1393" w:name="_Toc54862269"/>
      <w:bookmarkEnd w:id="1393"/>
      <w:bookmarkStart w:id="1394" w:name="_Ref531955009"/>
      <w:bookmarkEnd w:id="1394"/>
      <w:r>
        <w:rPr>
          <w:rFonts w:hint="eastAsia"/>
          <w:b w:val="0"/>
          <w:bCs/>
          <w:sz w:val="28"/>
          <w:szCs w:val="28"/>
        </w:rPr>
        <w:t>第11条 缺陷责任与保修</w:t>
      </w:r>
    </w:p>
    <w:p w14:paraId="2C013603">
      <w:pPr>
        <w:pStyle w:val="39"/>
        <w:widowControl/>
        <w:spacing w:afterLines="0"/>
        <w:ind w:left="0"/>
        <w:outlineLvl w:val="3"/>
        <w:rPr>
          <w:rFonts w:hint="eastAsia"/>
          <w:b w:val="0"/>
          <w:bCs/>
          <w:sz w:val="21"/>
          <w:szCs w:val="21"/>
        </w:rPr>
      </w:pPr>
      <w:bookmarkStart w:id="1395" w:name="_Toc8"/>
      <w:bookmarkEnd w:id="1395"/>
      <w:bookmarkStart w:id="1396" w:name="_Toc54862270"/>
      <w:bookmarkEnd w:id="1396"/>
      <w:bookmarkStart w:id="1397" w:name="_Toc17783"/>
      <w:bookmarkEnd w:id="1397"/>
      <w:bookmarkStart w:id="1398" w:name="_Ref531955245"/>
      <w:bookmarkStart w:id="1399" w:name="_Ref531955248"/>
      <w:bookmarkStart w:id="1400" w:name="_Ref532362928"/>
      <w:r>
        <w:rPr>
          <w:rFonts w:hint="eastAsia"/>
          <w:b w:val="0"/>
          <w:bCs/>
          <w:sz w:val="21"/>
          <w:szCs w:val="21"/>
        </w:rPr>
        <w:t>1</w:t>
      </w:r>
      <w:r>
        <w:rPr>
          <w:b w:val="0"/>
          <w:bCs/>
          <w:sz w:val="21"/>
          <w:szCs w:val="21"/>
        </w:rPr>
        <w:t xml:space="preserve">1.1 </w:t>
      </w:r>
      <w:r>
        <w:rPr>
          <w:rFonts w:hint="eastAsia"/>
          <w:b w:val="0"/>
          <w:bCs/>
          <w:sz w:val="21"/>
          <w:szCs w:val="21"/>
        </w:rPr>
        <w:t>工程保修的原则</w:t>
      </w:r>
    </w:p>
    <w:p w14:paraId="05BDFA7B">
      <w:pPr>
        <w:spacing w:line="360" w:lineRule="auto"/>
        <w:ind w:firstLine="600"/>
        <w:rPr>
          <w:rFonts w:ascii="仿宋_GB2312" w:eastAsia="仿宋_GB2312"/>
        </w:rPr>
      </w:pPr>
      <w:r>
        <w:rPr>
          <w:rFonts w:hint="eastAsia" w:ascii="仿宋_GB2312" w:eastAsia="仿宋_GB2312"/>
        </w:rPr>
        <w:t>在工程移交发包人后，因承包人原因产生的质量缺陷，承包人应承担质量缺陷责任和保修义务。缺陷责任期届满，承包人仍应按合同约定的工程各部位保修年限承担保修义务。</w:t>
      </w:r>
    </w:p>
    <w:bookmarkEnd w:id="1398"/>
    <w:bookmarkEnd w:id="1399"/>
    <w:bookmarkEnd w:id="1400"/>
    <w:p w14:paraId="252FDC98">
      <w:pPr>
        <w:pStyle w:val="39"/>
        <w:widowControl/>
        <w:spacing w:afterLines="0"/>
        <w:ind w:left="0"/>
        <w:outlineLvl w:val="3"/>
        <w:rPr>
          <w:rFonts w:hint="eastAsia"/>
          <w:b w:val="0"/>
          <w:bCs/>
          <w:sz w:val="21"/>
          <w:szCs w:val="21"/>
        </w:rPr>
      </w:pPr>
      <w:bookmarkStart w:id="1401" w:name="_Toc54862271"/>
      <w:bookmarkEnd w:id="1401"/>
      <w:bookmarkStart w:id="1402" w:name="_Ref4430062"/>
      <w:bookmarkEnd w:id="1402"/>
      <w:bookmarkStart w:id="1403" w:name="_Toc9736"/>
      <w:bookmarkEnd w:id="1403"/>
      <w:bookmarkStart w:id="1404" w:name="_Toc22769"/>
      <w:bookmarkEnd w:id="1404"/>
      <w:r>
        <w:rPr>
          <w:rFonts w:hint="eastAsia"/>
          <w:b w:val="0"/>
          <w:bCs/>
          <w:sz w:val="21"/>
          <w:szCs w:val="21"/>
        </w:rPr>
        <w:t>1</w:t>
      </w:r>
      <w:r>
        <w:rPr>
          <w:b w:val="0"/>
          <w:bCs/>
          <w:sz w:val="21"/>
          <w:szCs w:val="21"/>
        </w:rPr>
        <w:t xml:space="preserve">1.2 </w:t>
      </w:r>
      <w:r>
        <w:rPr>
          <w:rFonts w:hint="eastAsia"/>
          <w:b w:val="0"/>
          <w:bCs/>
          <w:sz w:val="21"/>
          <w:szCs w:val="21"/>
        </w:rPr>
        <w:t>缺陷责任期</w:t>
      </w:r>
    </w:p>
    <w:p w14:paraId="36572CF4">
      <w:pPr>
        <w:spacing w:line="360" w:lineRule="auto"/>
        <w:ind w:firstLine="600"/>
        <w:rPr>
          <w:rFonts w:ascii="仿宋_GB2312" w:eastAsia="仿宋_GB2312"/>
        </w:rPr>
      </w:pPr>
      <w:r>
        <w:rPr>
          <w:rFonts w:hint="eastAsia" w:ascii="仿宋_GB2312" w:eastAsia="仿宋_GB2312"/>
        </w:rPr>
        <w:t>缺陷责任期原则上从工程竣工验收合格之日起计算，合同当事人应在专用合同条件约定缺陷责任期的具体期限，但该期限最长不超过24个月。</w:t>
      </w:r>
    </w:p>
    <w:p w14:paraId="2F426C80">
      <w:pPr>
        <w:spacing w:line="360" w:lineRule="auto"/>
        <w:ind w:firstLine="600"/>
        <w:rPr>
          <w:rFonts w:ascii="仿宋_GB2312" w:eastAsia="仿宋_GB2312"/>
        </w:rPr>
      </w:pPr>
      <w:r>
        <w:rPr>
          <w:rFonts w:hint="eastAsia" w:ascii="仿宋_GB2312" w:eastAsia="仿宋_GB2312"/>
        </w:rPr>
        <w:t>单位/区段工程先于全部工程进行验收，经验收合格并交付使用的，该单位/区段工程缺陷责任期自单位/区段工程验收合格之日起算。因发包人原因导致工程未在合同约定期限内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121086DC">
      <w:pPr>
        <w:spacing w:line="360" w:lineRule="auto"/>
        <w:ind w:firstLine="600"/>
        <w:rPr>
          <w:rFonts w:ascii="仿宋_GB2312" w:eastAsia="仿宋_GB2312"/>
        </w:rPr>
      </w:pPr>
      <w:r>
        <w:rPr>
          <w:rFonts w:hint="eastAsia" w:ascii="仿宋_GB2312" w:eastAsia="仿宋_GB2312"/>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1035EAA2">
      <w:pPr>
        <w:pStyle w:val="39"/>
        <w:widowControl/>
        <w:spacing w:afterLines="0"/>
        <w:ind w:left="0"/>
        <w:outlineLvl w:val="3"/>
        <w:rPr>
          <w:rFonts w:hint="eastAsia"/>
          <w:b w:val="0"/>
          <w:bCs/>
          <w:sz w:val="21"/>
          <w:szCs w:val="21"/>
        </w:rPr>
      </w:pPr>
      <w:bookmarkStart w:id="1405" w:name="_Ref532662491"/>
      <w:bookmarkEnd w:id="1405"/>
      <w:bookmarkStart w:id="1406" w:name="_Ref532662486"/>
      <w:bookmarkEnd w:id="1406"/>
      <w:bookmarkStart w:id="1407" w:name="_Toc4205"/>
      <w:bookmarkEnd w:id="1407"/>
      <w:bookmarkStart w:id="1408" w:name="_Toc7232"/>
      <w:bookmarkEnd w:id="1408"/>
      <w:bookmarkStart w:id="1409" w:name="_Toc54862272"/>
      <w:bookmarkEnd w:id="1409"/>
      <w:r>
        <w:rPr>
          <w:rFonts w:hint="eastAsia"/>
          <w:b w:val="0"/>
          <w:bCs/>
          <w:sz w:val="21"/>
          <w:szCs w:val="21"/>
        </w:rPr>
        <w:t>1</w:t>
      </w:r>
      <w:r>
        <w:rPr>
          <w:b w:val="0"/>
          <w:bCs/>
          <w:sz w:val="21"/>
          <w:szCs w:val="21"/>
        </w:rPr>
        <w:t xml:space="preserve">1.3 </w:t>
      </w:r>
      <w:r>
        <w:rPr>
          <w:rFonts w:hint="eastAsia"/>
          <w:b w:val="0"/>
          <w:bCs/>
          <w:sz w:val="21"/>
          <w:szCs w:val="21"/>
        </w:rPr>
        <w:t>缺陷调查</w:t>
      </w:r>
    </w:p>
    <w:p w14:paraId="4E249E61">
      <w:pPr>
        <w:pStyle w:val="40"/>
        <w:spacing w:after="157"/>
        <w:ind w:left="0"/>
        <w:outlineLvl w:val="4"/>
        <w:rPr>
          <w:rFonts w:hint="eastAsia" w:ascii="仿宋_GB2312" w:eastAsia="仿宋_GB2312"/>
          <w:b/>
          <w:sz w:val="21"/>
        </w:rPr>
      </w:pPr>
      <w:r>
        <w:rPr>
          <w:rFonts w:hint="eastAsia" w:ascii="仿宋_GB2312" w:eastAsia="仿宋_GB2312"/>
          <w:sz w:val="21"/>
        </w:rPr>
        <w:t>1</w:t>
      </w:r>
      <w:r>
        <w:rPr>
          <w:rFonts w:ascii="仿宋_GB2312" w:eastAsia="仿宋_GB2312"/>
          <w:sz w:val="21"/>
        </w:rPr>
        <w:t xml:space="preserve">1.3.1 </w:t>
      </w:r>
      <w:r>
        <w:rPr>
          <w:rFonts w:hint="eastAsia" w:ascii="仿宋_GB2312" w:eastAsia="仿宋_GB2312"/>
          <w:sz w:val="21"/>
        </w:rPr>
        <w:t>承包人缺陷调查</w:t>
      </w:r>
    </w:p>
    <w:p w14:paraId="5F5CAA88">
      <w:pPr>
        <w:spacing w:line="360" w:lineRule="auto"/>
        <w:ind w:firstLine="600"/>
        <w:rPr>
          <w:rFonts w:ascii="仿宋_GB2312" w:eastAsia="仿宋_GB2312"/>
        </w:rPr>
      </w:pPr>
      <w:r>
        <w:rPr>
          <w:rFonts w:hint="eastAsia" w:ascii="仿宋_GB2312" w:eastAsia="仿宋_GB2312"/>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1F9F0C27">
      <w:pPr>
        <w:spacing w:line="360" w:lineRule="auto"/>
        <w:ind w:firstLine="600"/>
        <w:rPr>
          <w:rFonts w:ascii="仿宋_GB2312" w:eastAsia="仿宋_GB2312"/>
        </w:rPr>
      </w:pPr>
      <w:r>
        <w:rPr>
          <w:rFonts w:hint="eastAsia" w:ascii="仿宋_GB2312" w:eastAsia="仿宋_GB2312"/>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74FCAF24">
      <w:pPr>
        <w:pStyle w:val="40"/>
        <w:spacing w:after="157"/>
        <w:ind w:left="0"/>
        <w:outlineLvl w:val="4"/>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1.3.2 </w:t>
      </w:r>
      <w:r>
        <w:rPr>
          <w:rFonts w:hint="eastAsia" w:ascii="仿宋_GB2312" w:eastAsia="仿宋_GB2312"/>
          <w:sz w:val="21"/>
        </w:rPr>
        <w:t>缺陷责任</w:t>
      </w:r>
    </w:p>
    <w:p w14:paraId="5B138ED6">
      <w:pPr>
        <w:spacing w:line="360" w:lineRule="auto"/>
        <w:ind w:firstLine="600"/>
        <w:rPr>
          <w:rFonts w:ascii="仿宋_GB2312" w:eastAsia="仿宋_GB2312"/>
        </w:rPr>
      </w:pPr>
      <w:r>
        <w:rPr>
          <w:rFonts w:hint="eastAsia" w:ascii="仿宋_GB2312" w:eastAsia="仿宋_GB2312"/>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24C0C0C7">
      <w:pPr>
        <w:pStyle w:val="40"/>
        <w:spacing w:after="157"/>
        <w:ind w:left="0"/>
        <w:outlineLvl w:val="4"/>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1.3.3 </w:t>
      </w:r>
      <w:r>
        <w:rPr>
          <w:rFonts w:hint="eastAsia" w:ascii="仿宋_GB2312" w:eastAsia="仿宋_GB2312"/>
          <w:sz w:val="21"/>
        </w:rPr>
        <w:t>修复费用</w:t>
      </w:r>
    </w:p>
    <w:p w14:paraId="70C36811">
      <w:pPr>
        <w:spacing w:line="360" w:lineRule="auto"/>
        <w:ind w:firstLine="600"/>
        <w:rPr>
          <w:rFonts w:ascii="仿宋_GB2312" w:eastAsia="仿宋_GB2312"/>
        </w:rPr>
      </w:pPr>
      <w:r>
        <w:rPr>
          <w:rFonts w:hint="eastAsia" w:ascii="仿宋_GB2312" w:eastAsia="仿宋_GB2312"/>
        </w:rPr>
        <w:t>发包人和承包人应共同查清缺陷或损坏的原因。经查明属承包人原因造成的，应由承包人承担修复的费用。经查验非承包人原因造成的，发包人应承担修复的费用，并支付承包人合理利润。</w:t>
      </w:r>
    </w:p>
    <w:p w14:paraId="42E89E0B">
      <w:pPr>
        <w:pStyle w:val="40"/>
        <w:spacing w:after="157"/>
        <w:ind w:left="0"/>
        <w:outlineLvl w:val="4"/>
        <w:rPr>
          <w:rFonts w:hint="eastAsia" w:ascii="仿宋_GB2312" w:eastAsia="仿宋_GB2312"/>
          <w:sz w:val="21"/>
        </w:rPr>
      </w:pPr>
      <w:bookmarkStart w:id="1410" w:name="_Ref531955041"/>
      <w:bookmarkEnd w:id="1410"/>
      <w:r>
        <w:rPr>
          <w:rFonts w:hint="eastAsia" w:ascii="仿宋_GB2312" w:eastAsia="仿宋_GB2312"/>
          <w:sz w:val="21"/>
        </w:rPr>
        <w:t>1</w:t>
      </w:r>
      <w:r>
        <w:rPr>
          <w:rFonts w:ascii="仿宋_GB2312" w:eastAsia="仿宋_GB2312"/>
          <w:sz w:val="21"/>
        </w:rPr>
        <w:t xml:space="preserve">1.3.4 </w:t>
      </w:r>
      <w:r>
        <w:rPr>
          <w:rFonts w:hint="eastAsia" w:ascii="仿宋_GB2312" w:eastAsia="仿宋_GB2312"/>
          <w:sz w:val="21"/>
        </w:rPr>
        <w:t>修复通知</w:t>
      </w:r>
    </w:p>
    <w:p w14:paraId="4A46646C">
      <w:pPr>
        <w:spacing w:line="360" w:lineRule="auto"/>
        <w:ind w:firstLine="600"/>
        <w:rPr>
          <w:rFonts w:ascii="仿宋_GB2312" w:eastAsia="仿宋_GB2312"/>
        </w:rPr>
      </w:pPr>
      <w:r>
        <w:rPr>
          <w:rFonts w:hint="eastAsia" w:ascii="仿宋_GB2312" w:eastAsia="仿宋_GB2312"/>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09B5015E">
      <w:pPr>
        <w:pStyle w:val="40"/>
        <w:spacing w:after="157"/>
        <w:ind w:left="0"/>
        <w:outlineLvl w:val="4"/>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1.3.5 </w:t>
      </w:r>
      <w:r>
        <w:rPr>
          <w:rFonts w:hint="eastAsia" w:ascii="仿宋_GB2312" w:eastAsia="仿宋_GB2312"/>
          <w:sz w:val="21"/>
        </w:rPr>
        <w:t>在现场外修复</w:t>
      </w:r>
    </w:p>
    <w:p w14:paraId="2363942E">
      <w:pPr>
        <w:spacing w:line="360" w:lineRule="auto"/>
        <w:ind w:firstLine="600"/>
        <w:rPr>
          <w:rFonts w:ascii="仿宋_GB2312" w:eastAsia="仿宋_GB2312"/>
        </w:rPr>
      </w:pPr>
      <w:r>
        <w:rPr>
          <w:rFonts w:hint="eastAsia" w:ascii="仿宋_GB2312" w:eastAsia="仿宋_GB2312"/>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3E70C55B">
      <w:pPr>
        <w:pStyle w:val="40"/>
        <w:spacing w:after="157"/>
        <w:ind w:left="0"/>
        <w:outlineLvl w:val="4"/>
        <w:rPr>
          <w:rFonts w:hint="eastAsia" w:ascii="仿宋_GB2312" w:eastAsia="仿宋_GB2312"/>
          <w:sz w:val="21"/>
        </w:rPr>
      </w:pPr>
      <w:bookmarkStart w:id="1411" w:name="_Ref4534291"/>
      <w:bookmarkEnd w:id="1411"/>
      <w:r>
        <w:rPr>
          <w:rFonts w:hint="eastAsia" w:ascii="仿宋_GB2312" w:eastAsia="仿宋_GB2312"/>
          <w:sz w:val="21"/>
        </w:rPr>
        <w:t>1</w:t>
      </w:r>
      <w:r>
        <w:rPr>
          <w:rFonts w:ascii="仿宋_GB2312" w:eastAsia="仿宋_GB2312"/>
          <w:sz w:val="21"/>
        </w:rPr>
        <w:t xml:space="preserve">1.3.6 </w:t>
      </w:r>
      <w:r>
        <w:rPr>
          <w:rFonts w:hint="eastAsia" w:ascii="仿宋_GB2312" w:eastAsia="仿宋_GB2312"/>
          <w:sz w:val="21"/>
        </w:rPr>
        <w:t>未能修复</w:t>
      </w:r>
    </w:p>
    <w:p w14:paraId="57BEFF4D">
      <w:pPr>
        <w:spacing w:line="360" w:lineRule="auto"/>
        <w:ind w:firstLine="600"/>
        <w:rPr>
          <w:rFonts w:ascii="仿宋_GB2312" w:eastAsia="仿宋_GB2312"/>
        </w:rPr>
      </w:pPr>
      <w:r>
        <w:rPr>
          <w:rFonts w:hint="eastAsia" w:ascii="仿宋_GB2312" w:eastAsia="仿宋_GB2312"/>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6D06745A">
      <w:pPr>
        <w:spacing w:line="360" w:lineRule="auto"/>
        <w:ind w:firstLine="600"/>
        <w:rPr>
          <w:rFonts w:ascii="仿宋_GB2312" w:eastAsia="仿宋_GB2312"/>
        </w:rPr>
      </w:pPr>
      <w:r>
        <w:rPr>
          <w:rFonts w:hint="eastAsia" w:ascii="仿宋_GB2312" w:eastAsia="仿宋_GB2312"/>
        </w:rPr>
        <w:t>如果工程或工程设备的缺陷或损害使发包人实质上失去了工程的整体功能，发包人有权向承包人追回已支付的工程款项，并要求其赔偿发包人相应损失。</w:t>
      </w:r>
    </w:p>
    <w:p w14:paraId="7B080CE6">
      <w:pPr>
        <w:pStyle w:val="39"/>
        <w:widowControl/>
        <w:spacing w:afterLines="0"/>
        <w:ind w:left="0"/>
        <w:outlineLvl w:val="3"/>
        <w:rPr>
          <w:rFonts w:hint="eastAsia"/>
          <w:b w:val="0"/>
          <w:bCs/>
          <w:sz w:val="21"/>
          <w:szCs w:val="21"/>
        </w:rPr>
      </w:pPr>
      <w:bookmarkStart w:id="1412" w:name="_Toc20160"/>
      <w:bookmarkEnd w:id="1412"/>
      <w:bookmarkStart w:id="1413" w:name="_Toc29452"/>
      <w:bookmarkEnd w:id="1413"/>
      <w:bookmarkStart w:id="1414" w:name="_Toc54862273"/>
      <w:bookmarkEnd w:id="1414"/>
      <w:bookmarkStart w:id="1415" w:name="_Ref532662554"/>
      <w:bookmarkEnd w:id="1415"/>
      <w:bookmarkStart w:id="1416" w:name="_Ref532662552"/>
      <w:bookmarkEnd w:id="1416"/>
      <w:r>
        <w:rPr>
          <w:rFonts w:hint="eastAsia"/>
          <w:b w:val="0"/>
          <w:bCs/>
          <w:sz w:val="21"/>
          <w:szCs w:val="21"/>
        </w:rPr>
        <w:t>11.4 缺陷修复后的进一步试验</w:t>
      </w:r>
    </w:p>
    <w:p w14:paraId="23F4C022">
      <w:pPr>
        <w:spacing w:line="360" w:lineRule="auto"/>
        <w:ind w:firstLine="600"/>
        <w:rPr>
          <w:rFonts w:ascii="仿宋_GB2312" w:eastAsia="仿宋_GB2312"/>
        </w:rPr>
      </w:pPr>
      <w:r>
        <w:rPr>
          <w:rFonts w:hint="eastAsia" w:ascii="仿宋_GB2312" w:eastAsia="仿宋_GB2312"/>
        </w:rPr>
        <w:t>任何一处缺陷修补后的7天内，承包人应向发包人发出通知，告知已修补的情况。如根据第</w:t>
      </w:r>
      <w:r>
        <w:rPr>
          <w:rFonts w:ascii="仿宋_GB2312" w:eastAsia="仿宋_GB2312"/>
        </w:rPr>
        <w:t>9条</w:t>
      </w:r>
      <w:r>
        <w:rPr>
          <w:rFonts w:hint="eastAsia" w:ascii="仿宋_GB2312" w:eastAsia="仿宋_GB2312"/>
        </w:rPr>
        <w:t>[竣工试验]或第</w:t>
      </w:r>
      <w:r>
        <w:rPr>
          <w:rFonts w:ascii="仿宋_GB2312" w:eastAsia="仿宋_GB2312"/>
        </w:rPr>
        <w:t>12条</w:t>
      </w:r>
      <w:r>
        <w:rPr>
          <w:rFonts w:hint="eastAsia" w:ascii="仿宋_GB2312" w:eastAsia="仿宋_GB2312"/>
        </w:rPr>
        <w:t>[</w:t>
      </w:r>
      <w:r>
        <w:rPr>
          <w:rFonts w:ascii="仿宋_GB2312" w:eastAsia="仿宋_GB2312"/>
        </w:rPr>
        <w:t>竣工后试验</w:t>
      </w:r>
      <w:r>
        <w:rPr>
          <w:rFonts w:hint="eastAsia" w:ascii="仿宋_GB2312" w:eastAsia="仿宋_GB2312"/>
        </w:rPr>
        <w:t>]的规定适用重新试验的，还应建议重新试验。发包人应在收到重新试验的通知后14天内答复，逾期未进行答复的视为同意重新试验。承包人未建议重新试验的，发包人也可在缺陷修补后的14天内指示进行必要的重复试验，以证明已修复的部分符合合同要求。</w:t>
      </w:r>
    </w:p>
    <w:p w14:paraId="54C21D7C">
      <w:pPr>
        <w:spacing w:line="360" w:lineRule="auto"/>
        <w:ind w:firstLine="600"/>
        <w:rPr>
          <w:rFonts w:ascii="仿宋_GB2312" w:eastAsia="仿宋_GB2312"/>
        </w:rPr>
      </w:pPr>
      <w:r>
        <w:rPr>
          <w:rFonts w:hint="eastAsia" w:ascii="仿宋_GB2312" w:eastAsia="仿宋_GB2312"/>
        </w:rPr>
        <w:t>所有的重复试验应按照适用于先前试验的条款进行，但应由责任方承担修补工作的成本和重新试验的风险和费用。</w:t>
      </w:r>
    </w:p>
    <w:p w14:paraId="081EC18D">
      <w:pPr>
        <w:pStyle w:val="39"/>
        <w:widowControl/>
        <w:spacing w:afterLines="0"/>
        <w:ind w:left="0"/>
        <w:outlineLvl w:val="3"/>
        <w:rPr>
          <w:rFonts w:hint="eastAsia"/>
          <w:b w:val="0"/>
          <w:bCs/>
          <w:sz w:val="21"/>
          <w:szCs w:val="21"/>
        </w:rPr>
      </w:pPr>
      <w:bookmarkStart w:id="1417" w:name="_Toc32435"/>
      <w:bookmarkEnd w:id="1417"/>
      <w:bookmarkStart w:id="1418" w:name="_Toc54862274"/>
      <w:bookmarkEnd w:id="1418"/>
      <w:bookmarkStart w:id="1419" w:name="_Toc9010"/>
      <w:bookmarkEnd w:id="1419"/>
      <w:r>
        <w:rPr>
          <w:rFonts w:hint="eastAsia"/>
          <w:b w:val="0"/>
          <w:bCs/>
          <w:sz w:val="21"/>
          <w:szCs w:val="21"/>
        </w:rPr>
        <w:t>11.5 承包人出入权</w:t>
      </w:r>
    </w:p>
    <w:p w14:paraId="751F9016">
      <w:pPr>
        <w:spacing w:line="360" w:lineRule="auto"/>
        <w:ind w:firstLine="600"/>
        <w:rPr>
          <w:rFonts w:ascii="仿宋_GB2312" w:eastAsia="仿宋_GB2312"/>
        </w:rPr>
      </w:pPr>
      <w:r>
        <w:rPr>
          <w:rFonts w:hint="eastAsia" w:ascii="仿宋_GB2312" w:eastAsia="仿宋_GB2312"/>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14:paraId="5F1EFBB1">
      <w:pPr>
        <w:pStyle w:val="39"/>
        <w:widowControl/>
        <w:spacing w:afterLines="0"/>
        <w:ind w:left="0"/>
        <w:outlineLvl w:val="3"/>
        <w:rPr>
          <w:rFonts w:hint="eastAsia"/>
          <w:b w:val="0"/>
          <w:bCs/>
          <w:sz w:val="21"/>
          <w:szCs w:val="21"/>
        </w:rPr>
      </w:pPr>
      <w:bookmarkStart w:id="1420" w:name="_Ref4430229"/>
      <w:bookmarkEnd w:id="1420"/>
      <w:bookmarkStart w:id="1421" w:name="_Toc8136"/>
      <w:bookmarkEnd w:id="1421"/>
      <w:bookmarkStart w:id="1422" w:name="_Toc5385"/>
      <w:bookmarkEnd w:id="1422"/>
      <w:bookmarkStart w:id="1423" w:name="_Toc54862275"/>
      <w:bookmarkEnd w:id="1423"/>
      <w:bookmarkStart w:id="1424" w:name="_Ref4430223"/>
      <w:bookmarkEnd w:id="1424"/>
      <w:r>
        <w:rPr>
          <w:rFonts w:hint="eastAsia"/>
          <w:b w:val="0"/>
          <w:bCs/>
          <w:sz w:val="21"/>
          <w:szCs w:val="21"/>
        </w:rPr>
        <w:t>11.6 缺陷责任期终止证书</w:t>
      </w:r>
    </w:p>
    <w:p w14:paraId="6A925071">
      <w:pPr>
        <w:spacing w:line="360" w:lineRule="auto"/>
        <w:ind w:firstLine="600"/>
        <w:rPr>
          <w:rFonts w:ascii="仿宋_GB2312" w:eastAsia="仿宋_GB2312"/>
        </w:rPr>
      </w:pPr>
      <w:bookmarkStart w:id="1425" w:name="_Hlk4686672"/>
      <w:bookmarkEnd w:id="1425"/>
      <w:r>
        <w:rPr>
          <w:rFonts w:hint="eastAsia" w:ascii="仿宋_GB2312" w:eastAsia="仿宋_GB2312"/>
        </w:rPr>
        <w:t>除专用合同条件另有约定外，承包人应于缺陷责任期届满前7天内向发包人发出缺陷责任期即将届满通知，发包人应在收到通知后</w:t>
      </w:r>
      <w:r>
        <w:rPr>
          <w:rFonts w:ascii="仿宋_GB2312" w:eastAsia="仿宋_GB2312"/>
        </w:rPr>
        <w:t>7</w:t>
      </w:r>
      <w:r>
        <w:rPr>
          <w:rFonts w:hint="eastAsia" w:ascii="仿宋_GB2312" w:eastAsia="仿宋_GB2312"/>
        </w:rPr>
        <w:t>天内核实承包人是否履行缺陷修复义务，承包人未能履行缺陷修复义务的，发包人有权扣除相应金额的维修费用。发包人应在缺陷责任期届满之日，向承包人颁发缺陷责任期终止证书，并按第</w:t>
      </w:r>
      <w:r>
        <w:rPr>
          <w:rFonts w:ascii="仿宋_GB2312" w:eastAsia="仿宋_GB2312"/>
        </w:rPr>
        <w:t>14.6.3</w:t>
      </w:r>
      <w:r>
        <w:rPr>
          <w:rFonts w:hint="eastAsia" w:ascii="仿宋_GB2312" w:eastAsia="仿宋_GB2312"/>
        </w:rPr>
        <w:t>项[质量保证金的返还]返还质量保证金。</w:t>
      </w:r>
    </w:p>
    <w:p w14:paraId="7F0F4F4B">
      <w:pPr>
        <w:spacing w:line="360" w:lineRule="auto"/>
        <w:ind w:firstLine="600"/>
        <w:rPr>
          <w:rFonts w:ascii="仿宋_GB2312" w:eastAsia="仿宋_GB2312"/>
        </w:rPr>
      </w:pPr>
      <w:r>
        <w:rPr>
          <w:rFonts w:hint="eastAsia" w:ascii="仿宋_GB2312" w:eastAsia="仿宋_GB2312"/>
        </w:rPr>
        <w:t>如根据第</w:t>
      </w:r>
      <w:r>
        <w:rPr>
          <w:rFonts w:ascii="仿宋_GB2312" w:eastAsia="仿宋_GB2312"/>
        </w:rPr>
        <w:t>10.5.3</w:t>
      </w:r>
      <w:r>
        <w:rPr>
          <w:rFonts w:hint="eastAsia" w:ascii="仿宋_GB2312" w:eastAsia="仿宋_GB2312"/>
        </w:rPr>
        <w:t>项[人员撤离]承包人在施工现场还留有人员、施工设备和临时工程的，承包人应当在收到缺陷责任期终止证书后28天内，将上述人员、施工设备和临时工程撤离施工现场。</w:t>
      </w:r>
    </w:p>
    <w:p w14:paraId="397BFEC7">
      <w:pPr>
        <w:pStyle w:val="39"/>
        <w:widowControl/>
        <w:spacing w:afterLines="0"/>
        <w:ind w:left="0"/>
        <w:outlineLvl w:val="3"/>
        <w:rPr>
          <w:rFonts w:hint="eastAsia"/>
          <w:b w:val="0"/>
          <w:bCs/>
          <w:sz w:val="21"/>
          <w:szCs w:val="21"/>
        </w:rPr>
      </w:pPr>
      <w:bookmarkStart w:id="1426" w:name="_Toc54862276"/>
      <w:bookmarkEnd w:id="1426"/>
      <w:bookmarkStart w:id="1427" w:name="_Toc10704"/>
      <w:bookmarkEnd w:id="1427"/>
      <w:bookmarkStart w:id="1428" w:name="_Toc950"/>
      <w:bookmarkEnd w:id="1428"/>
      <w:bookmarkStart w:id="1429" w:name="_Ref4430272"/>
      <w:bookmarkEnd w:id="1429"/>
      <w:r>
        <w:rPr>
          <w:rFonts w:hint="eastAsia"/>
          <w:b w:val="0"/>
          <w:bCs/>
          <w:sz w:val="21"/>
          <w:szCs w:val="21"/>
        </w:rPr>
        <w:t>11.7 保修责任</w:t>
      </w:r>
    </w:p>
    <w:bookmarkEnd w:id="1222"/>
    <w:p w14:paraId="1AD8945C">
      <w:pPr>
        <w:spacing w:line="360" w:lineRule="auto"/>
        <w:ind w:firstLine="600"/>
        <w:rPr>
          <w:rFonts w:ascii="仿宋_GB2312" w:eastAsia="仿宋_GB2312"/>
        </w:rPr>
      </w:pPr>
      <w:bookmarkStart w:id="1430" w:name="_Ref531958289"/>
      <w:r>
        <w:rPr>
          <w:rFonts w:hint="eastAsia" w:ascii="仿宋_GB2312" w:eastAsia="仿宋_GB2312"/>
        </w:rPr>
        <w:t>因承包人原因导致的质量缺陷责任，由合同当事人根据有关法律规定，在专用合同条件和工程质量保修书中约定工程质量保修范围、期限和责任。</w:t>
      </w:r>
    </w:p>
    <w:p w14:paraId="5E524524">
      <w:pPr>
        <w:pStyle w:val="39"/>
        <w:widowControl/>
        <w:spacing w:afterLines="0"/>
        <w:ind w:left="0"/>
        <w:rPr>
          <w:rFonts w:hint="eastAsia"/>
          <w:b w:val="0"/>
          <w:bCs/>
          <w:sz w:val="28"/>
          <w:szCs w:val="28"/>
        </w:rPr>
      </w:pPr>
      <w:bookmarkStart w:id="1431" w:name="_Toc6419"/>
      <w:bookmarkEnd w:id="1431"/>
      <w:bookmarkStart w:id="1432" w:name="_Ref4621065"/>
      <w:bookmarkEnd w:id="1432"/>
      <w:bookmarkStart w:id="1433" w:name="_Toc54862277"/>
      <w:bookmarkEnd w:id="1433"/>
      <w:bookmarkStart w:id="1434" w:name="_Ref4621057"/>
      <w:bookmarkEnd w:id="1434"/>
      <w:bookmarkStart w:id="1435" w:name="_Toc13455"/>
      <w:bookmarkEnd w:id="1435"/>
      <w:bookmarkStart w:id="1436" w:name="_Ref4796955"/>
      <w:bookmarkStart w:id="1437" w:name="_Ref4796958"/>
      <w:r>
        <w:rPr>
          <w:rFonts w:hint="eastAsia"/>
          <w:b w:val="0"/>
          <w:bCs/>
          <w:sz w:val="28"/>
          <w:szCs w:val="28"/>
        </w:rPr>
        <w:t>第12条 竣工后试验</w:t>
      </w:r>
    </w:p>
    <w:p w14:paraId="3E1C0445">
      <w:pPr>
        <w:spacing w:line="360" w:lineRule="auto"/>
        <w:ind w:firstLine="600"/>
        <w:rPr>
          <w:rFonts w:ascii="仿宋_GB2312" w:eastAsia="仿宋_GB2312"/>
        </w:rPr>
      </w:pPr>
      <w:r>
        <w:rPr>
          <w:rFonts w:hint="eastAsia" w:ascii="仿宋_GB2312" w:eastAsia="仿宋_GB2312"/>
        </w:rPr>
        <w:t>本合同工程包含竣工后试验的，遵守本条约定。</w:t>
      </w:r>
    </w:p>
    <w:p w14:paraId="7794D7DF">
      <w:pPr>
        <w:pStyle w:val="39"/>
        <w:widowControl/>
        <w:spacing w:afterLines="0"/>
        <w:ind w:left="0"/>
        <w:outlineLvl w:val="3"/>
        <w:rPr>
          <w:rFonts w:hint="eastAsia"/>
          <w:b w:val="0"/>
          <w:bCs/>
          <w:sz w:val="21"/>
          <w:szCs w:val="21"/>
        </w:rPr>
      </w:pPr>
      <w:bookmarkStart w:id="1438" w:name="_Toc54862278"/>
      <w:bookmarkEnd w:id="1438"/>
      <w:bookmarkStart w:id="1439" w:name="_Ref531954601"/>
      <w:bookmarkEnd w:id="1439"/>
      <w:bookmarkStart w:id="1440" w:name="_Toc25526"/>
      <w:bookmarkEnd w:id="1440"/>
      <w:bookmarkStart w:id="1441" w:name="_Ref531954604"/>
      <w:bookmarkEnd w:id="1441"/>
      <w:bookmarkStart w:id="1442" w:name="_Ref531954694"/>
      <w:bookmarkEnd w:id="1442"/>
      <w:bookmarkStart w:id="1443" w:name="_Toc3849"/>
      <w:bookmarkEnd w:id="1443"/>
      <w:r>
        <w:rPr>
          <w:rFonts w:hint="eastAsia"/>
          <w:b w:val="0"/>
          <w:bCs/>
          <w:sz w:val="21"/>
          <w:szCs w:val="21"/>
        </w:rPr>
        <w:t>12.1 竣工后试验的程序</w:t>
      </w:r>
    </w:p>
    <w:p w14:paraId="073C5F1E">
      <w:pPr>
        <w:pStyle w:val="40"/>
        <w:spacing w:after="157"/>
        <w:ind w:left="0"/>
        <w:rPr>
          <w:rFonts w:hint="eastAsia" w:ascii="仿宋_GB2312" w:eastAsia="仿宋_GB2312"/>
          <w:sz w:val="21"/>
        </w:rPr>
      </w:pPr>
      <w:bookmarkStart w:id="1444" w:name="_Ref11920184"/>
      <w:bookmarkEnd w:id="1444"/>
      <w:r>
        <w:rPr>
          <w:rFonts w:hint="eastAsia" w:ascii="仿宋_GB2312" w:eastAsia="仿宋_GB2312"/>
          <w:sz w:val="21"/>
        </w:rPr>
        <w:t>1</w:t>
      </w:r>
      <w:r>
        <w:rPr>
          <w:rFonts w:ascii="仿宋_GB2312" w:eastAsia="仿宋_GB2312"/>
          <w:sz w:val="21"/>
        </w:rPr>
        <w:t xml:space="preserve">2.1.1 </w:t>
      </w:r>
      <w:r>
        <w:rPr>
          <w:rFonts w:hint="eastAsia" w:ascii="仿宋_GB2312" w:eastAsia="仿宋_GB2312"/>
          <w:sz w:val="21"/>
        </w:rPr>
        <w:t>工程或区段工程被发包人接收后，在合理可行的情况下应根据合同约定尽早进行竣工试验。</w:t>
      </w:r>
    </w:p>
    <w:p w14:paraId="7CE09A28">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2.1.2 </w:t>
      </w:r>
      <w:r>
        <w:rPr>
          <w:rFonts w:hint="eastAsia" w:ascii="仿宋_GB2312" w:eastAsia="仿宋_GB2312"/>
          <w:sz w:val="21"/>
        </w:rPr>
        <w:t>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5B49B7AD">
      <w:pPr>
        <w:pStyle w:val="40"/>
        <w:spacing w:after="157"/>
        <w:ind w:left="0"/>
        <w:rPr>
          <w:rFonts w:hint="eastAsia" w:ascii="仿宋_GB2312" w:eastAsia="仿宋_GB2312"/>
          <w:sz w:val="21"/>
        </w:rPr>
      </w:pPr>
      <w:bookmarkStart w:id="1445" w:name="_Ref11920162"/>
      <w:bookmarkEnd w:id="1445"/>
      <w:r>
        <w:rPr>
          <w:rFonts w:hint="eastAsia" w:ascii="仿宋_GB2312" w:eastAsia="仿宋_GB2312"/>
          <w:sz w:val="21"/>
        </w:rPr>
        <w:t>1</w:t>
      </w:r>
      <w:r>
        <w:rPr>
          <w:rFonts w:ascii="仿宋_GB2312" w:eastAsia="仿宋_GB2312"/>
          <w:sz w:val="21"/>
        </w:rPr>
        <w:t xml:space="preserve">2.1.3 </w:t>
      </w:r>
      <w:r>
        <w:rPr>
          <w:rFonts w:hint="eastAsia" w:ascii="仿宋_GB2312" w:eastAsia="仿宋_GB2312"/>
          <w:sz w:val="21"/>
        </w:rPr>
        <w:t>除《发包人要求》另有约定外，发包人应在合理可行的情况下尽快进行每项竣工后试验，并至少提前21天将该项竣工后试验的内容、地点和时间，以及显示其他竣工后试验拟开展时间的竣工后试验计划通知承包人。</w:t>
      </w:r>
    </w:p>
    <w:p w14:paraId="50F6497F">
      <w:pPr>
        <w:pStyle w:val="40"/>
        <w:spacing w:after="157"/>
        <w:ind w:left="0"/>
        <w:rPr>
          <w:rFonts w:hint="eastAsia" w:ascii="仿宋_GB2312" w:eastAsia="仿宋_GB2312"/>
          <w:sz w:val="21"/>
        </w:rPr>
      </w:pPr>
      <w:bookmarkStart w:id="1446" w:name="_Hlk18943978"/>
      <w:bookmarkEnd w:id="1446"/>
      <w:bookmarkStart w:id="1447" w:name="_Ref11920146"/>
      <w:bookmarkEnd w:id="1447"/>
      <w:r>
        <w:rPr>
          <w:rFonts w:hint="eastAsia" w:ascii="仿宋_GB2312" w:eastAsia="仿宋_GB2312"/>
          <w:sz w:val="21"/>
        </w:rPr>
        <w:t>1</w:t>
      </w:r>
      <w:r>
        <w:rPr>
          <w:rFonts w:ascii="仿宋_GB2312" w:eastAsia="仿宋_GB2312"/>
          <w:sz w:val="21"/>
        </w:rPr>
        <w:t xml:space="preserve">2.1.4 </w:t>
      </w:r>
      <w:r>
        <w:rPr>
          <w:rFonts w:hint="eastAsia" w:ascii="仿宋_GB2312" w:eastAsia="仿宋_GB2312"/>
          <w:sz w:val="21"/>
        </w:rPr>
        <w:t>发包人应根据《发包人要求》、承包人按照第</w:t>
      </w:r>
      <w:r>
        <w:rPr>
          <w:rFonts w:ascii="仿宋_GB2312" w:eastAsia="仿宋_GB2312"/>
          <w:sz w:val="21"/>
        </w:rPr>
        <w:t>5.5</w:t>
      </w:r>
      <w:r>
        <w:rPr>
          <w:rFonts w:hint="eastAsia" w:ascii="仿宋_GB2312" w:eastAsia="仿宋_GB2312"/>
          <w:sz w:val="21"/>
        </w:rPr>
        <w:t>款[</w:t>
      </w:r>
      <w:r>
        <w:rPr>
          <w:rFonts w:ascii="仿宋_GB2312" w:eastAsia="仿宋_GB2312"/>
          <w:sz w:val="21"/>
        </w:rPr>
        <w:t>操作和维修手册</w:t>
      </w:r>
      <w:r>
        <w:rPr>
          <w:rFonts w:hint="eastAsia" w:ascii="仿宋_GB2312" w:eastAsia="仿宋_GB2312"/>
          <w:sz w:val="21"/>
        </w:rPr>
        <w:t>]提交的文件，以及承包人被要求提供的指导进行竣工后试验。如承包人未在发包人通知的时间和地点参加竣工后试验，发包人可自行进行，该试验应被视为是承包人在场的情况下进行的，且承包人应视为认可试验数据。</w:t>
      </w:r>
    </w:p>
    <w:p w14:paraId="2A04B0F0">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2.1.5 </w:t>
      </w:r>
      <w:r>
        <w:rPr>
          <w:rFonts w:hint="eastAsia" w:ascii="仿宋_GB2312" w:eastAsia="仿宋_GB2312"/>
          <w:sz w:val="21"/>
        </w:rPr>
        <w:t>竣工后试验的结果应由双方进行整理和评价，并应适当考虑发包人对工程或其任何部分的使用，对工程或区段工程的性能、特性和试验结果产生的影响。</w:t>
      </w:r>
    </w:p>
    <w:p w14:paraId="73231136">
      <w:pPr>
        <w:pStyle w:val="39"/>
        <w:widowControl/>
        <w:spacing w:afterLines="0"/>
        <w:ind w:left="0"/>
        <w:outlineLvl w:val="3"/>
        <w:rPr>
          <w:rFonts w:hint="eastAsia"/>
          <w:b w:val="0"/>
          <w:bCs/>
          <w:sz w:val="21"/>
          <w:szCs w:val="21"/>
        </w:rPr>
      </w:pPr>
      <w:bookmarkStart w:id="1448" w:name="_Ref531954785"/>
      <w:bookmarkEnd w:id="1448"/>
      <w:bookmarkStart w:id="1449" w:name="_Ref531954781"/>
      <w:bookmarkEnd w:id="1449"/>
      <w:bookmarkStart w:id="1450" w:name="_Toc5880"/>
      <w:bookmarkEnd w:id="1450"/>
      <w:bookmarkStart w:id="1451" w:name="_Toc28605"/>
      <w:bookmarkEnd w:id="1451"/>
      <w:bookmarkStart w:id="1452" w:name="_Toc54862279"/>
      <w:bookmarkEnd w:id="1452"/>
      <w:r>
        <w:rPr>
          <w:rFonts w:hint="eastAsia"/>
          <w:b w:val="0"/>
          <w:bCs/>
          <w:sz w:val="21"/>
          <w:szCs w:val="21"/>
        </w:rPr>
        <w:t>12.2 延误的试验</w:t>
      </w:r>
    </w:p>
    <w:p w14:paraId="628B0078">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2.2.1 </w:t>
      </w:r>
      <w:r>
        <w:rPr>
          <w:rFonts w:hint="eastAsia" w:ascii="仿宋_GB2312" w:eastAsia="仿宋_GB2312"/>
          <w:sz w:val="21"/>
        </w:rPr>
        <w:t>如果竣工后试验因发包人原因被延误的，发包人应承担承包人由此增加的费用并支付承包人合理利润。</w:t>
      </w:r>
    </w:p>
    <w:p w14:paraId="4E895022">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2.2.2 </w:t>
      </w:r>
      <w:r>
        <w:rPr>
          <w:rFonts w:hint="eastAsia" w:ascii="仿宋_GB2312" w:eastAsia="仿宋_GB2312"/>
          <w:sz w:val="21"/>
        </w:rPr>
        <w:t>如果因承包人以外的原因，导致竣工后试验未能在缺陷责任期或双方另行同意的其他期限内完成，则相关工程或区段工程应视为已通过该竣工后试验。</w:t>
      </w:r>
    </w:p>
    <w:p w14:paraId="7D6E4C4E">
      <w:pPr>
        <w:pStyle w:val="39"/>
        <w:widowControl/>
        <w:spacing w:afterLines="0"/>
        <w:ind w:left="0"/>
        <w:outlineLvl w:val="3"/>
        <w:rPr>
          <w:rFonts w:hint="eastAsia"/>
          <w:b w:val="0"/>
          <w:bCs/>
          <w:sz w:val="21"/>
          <w:szCs w:val="21"/>
        </w:rPr>
      </w:pPr>
      <w:bookmarkStart w:id="1453" w:name="_Toc28258"/>
      <w:bookmarkEnd w:id="1453"/>
      <w:bookmarkStart w:id="1454" w:name="_Toc6054"/>
      <w:bookmarkEnd w:id="1454"/>
      <w:bookmarkStart w:id="1455" w:name="_Toc54862280"/>
      <w:bookmarkEnd w:id="1455"/>
      <w:r>
        <w:rPr>
          <w:rFonts w:hint="eastAsia"/>
          <w:b w:val="0"/>
          <w:bCs/>
          <w:sz w:val="21"/>
          <w:szCs w:val="21"/>
        </w:rPr>
        <w:t>12.3 重复试验</w:t>
      </w:r>
    </w:p>
    <w:p w14:paraId="12E45AD9">
      <w:pPr>
        <w:spacing w:line="360" w:lineRule="auto"/>
        <w:ind w:firstLine="600"/>
        <w:rPr>
          <w:rFonts w:ascii="仿宋_GB2312" w:eastAsia="仿宋_GB2312"/>
        </w:rPr>
      </w:pPr>
      <w:r>
        <w:rPr>
          <w:rFonts w:hint="eastAsia" w:ascii="仿宋_GB2312" w:eastAsia="仿宋_GB2312"/>
        </w:rPr>
        <w:t>如工程或区段工程未能通过竣工后试验，则承包人应根据第</w:t>
      </w:r>
      <w:r>
        <w:rPr>
          <w:rFonts w:ascii="仿宋_GB2312" w:eastAsia="仿宋_GB2312"/>
        </w:rPr>
        <w:t>11.3</w:t>
      </w:r>
      <w:r>
        <w:rPr>
          <w:rFonts w:hint="eastAsia" w:ascii="仿宋_GB2312" w:eastAsia="仿宋_GB2312"/>
        </w:rPr>
        <w:t>款[缺陷调查]的规定修补缺陷，以达到合同约定的要求；并按照第</w:t>
      </w:r>
      <w:r>
        <w:rPr>
          <w:rFonts w:ascii="仿宋_GB2312" w:eastAsia="仿宋_GB2312"/>
        </w:rPr>
        <w:t>11.4</w:t>
      </w:r>
      <w:r>
        <w:rPr>
          <w:rFonts w:hint="eastAsia" w:ascii="仿宋_GB2312" w:eastAsia="仿宋_GB2312"/>
        </w:rPr>
        <w:t>款[缺陷修复后的进一步试验]重新进行竣工后试验以及承担风险和费用。如未通过试验和重新试验是承包人原因造成的，则承包人还应承担发包人因此增加的费用。</w:t>
      </w:r>
    </w:p>
    <w:p w14:paraId="5B4C7475">
      <w:pPr>
        <w:pStyle w:val="39"/>
        <w:widowControl/>
        <w:spacing w:afterLines="0"/>
        <w:ind w:left="0"/>
        <w:outlineLvl w:val="3"/>
        <w:rPr>
          <w:rFonts w:hint="eastAsia"/>
          <w:b w:val="0"/>
          <w:bCs/>
          <w:sz w:val="21"/>
          <w:szCs w:val="21"/>
        </w:rPr>
      </w:pPr>
      <w:bookmarkStart w:id="1456" w:name="_Toc54862281"/>
      <w:bookmarkEnd w:id="1456"/>
      <w:bookmarkStart w:id="1457" w:name="_Toc12943"/>
      <w:bookmarkEnd w:id="1457"/>
      <w:bookmarkStart w:id="1458" w:name="_Ref531954811"/>
      <w:bookmarkEnd w:id="1458"/>
      <w:bookmarkStart w:id="1459" w:name="_Toc21638"/>
      <w:bookmarkEnd w:id="1459"/>
      <w:bookmarkStart w:id="1460" w:name="_Ref531954819"/>
      <w:bookmarkEnd w:id="1460"/>
      <w:r>
        <w:rPr>
          <w:rFonts w:hint="eastAsia"/>
          <w:b w:val="0"/>
          <w:bCs/>
          <w:sz w:val="21"/>
          <w:szCs w:val="21"/>
        </w:rPr>
        <w:t>12.4 未能通过竣工后试验</w:t>
      </w:r>
    </w:p>
    <w:p w14:paraId="1559FCCA">
      <w:pPr>
        <w:pStyle w:val="40"/>
        <w:spacing w:after="157"/>
        <w:ind w:left="0"/>
        <w:rPr>
          <w:rFonts w:hint="eastAsia" w:ascii="仿宋_GB2312" w:eastAsia="仿宋_GB2312"/>
          <w:sz w:val="21"/>
        </w:rPr>
      </w:pPr>
      <w:bookmarkStart w:id="1461" w:name="_Ref531954829"/>
      <w:bookmarkEnd w:id="1461"/>
      <w:r>
        <w:rPr>
          <w:rFonts w:hint="eastAsia" w:ascii="仿宋_GB2312" w:eastAsia="仿宋_GB2312"/>
          <w:sz w:val="21"/>
        </w:rPr>
        <w:t>1</w:t>
      </w:r>
      <w:r>
        <w:rPr>
          <w:rFonts w:ascii="仿宋_GB2312" w:eastAsia="仿宋_GB2312"/>
          <w:sz w:val="21"/>
        </w:rPr>
        <w:t xml:space="preserve">2.4.1 </w:t>
      </w:r>
      <w:r>
        <w:rPr>
          <w:rFonts w:hint="eastAsia" w:ascii="仿宋_GB2312" w:eastAsia="仿宋_GB2312"/>
          <w:sz w:val="21"/>
        </w:rPr>
        <w:t>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p>
    <w:p w14:paraId="09F77F99">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2.4.2 </w:t>
      </w:r>
      <w:r>
        <w:rPr>
          <w:rFonts w:hint="eastAsia" w:ascii="仿宋_GB2312" w:eastAsia="仿宋_GB2312"/>
          <w:sz w:val="21"/>
        </w:rPr>
        <w:t>对未能通过竣工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竣工后试验。</w:t>
      </w:r>
    </w:p>
    <w:p w14:paraId="43AB50BE">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2.4.3 </w:t>
      </w:r>
      <w:r>
        <w:rPr>
          <w:rFonts w:hint="eastAsia" w:ascii="仿宋_GB2312" w:eastAsia="仿宋_GB2312"/>
          <w:sz w:val="21"/>
        </w:rPr>
        <w:t>发包人无故拖延给予承包人进行调查、调整或修补所需的进入工程或区段工程的许可，并造成承包人费用增加的，应承担由此增加的费用并支付承包人合理利润。</w:t>
      </w:r>
    </w:p>
    <w:p w14:paraId="2F6E51A5">
      <w:pPr>
        <w:pStyle w:val="39"/>
        <w:widowControl/>
        <w:spacing w:afterLines="0"/>
        <w:ind w:left="0"/>
        <w:rPr>
          <w:rFonts w:hint="eastAsia"/>
          <w:b w:val="0"/>
          <w:bCs/>
          <w:sz w:val="28"/>
          <w:szCs w:val="28"/>
        </w:rPr>
      </w:pPr>
      <w:bookmarkStart w:id="1462" w:name="_Toc6107"/>
      <w:bookmarkEnd w:id="1462"/>
      <w:bookmarkStart w:id="1463" w:name="_Toc54862282"/>
      <w:bookmarkEnd w:id="1463"/>
      <w:bookmarkStart w:id="1464" w:name="_Toc23844"/>
      <w:bookmarkEnd w:id="1464"/>
      <w:bookmarkStart w:id="1465" w:name="_Ref4415801"/>
      <w:bookmarkEnd w:id="1465"/>
      <w:r>
        <w:rPr>
          <w:rFonts w:hint="eastAsia"/>
          <w:b w:val="0"/>
          <w:bCs/>
          <w:sz w:val="28"/>
          <w:szCs w:val="28"/>
        </w:rPr>
        <w:t>第13条 变更与调整</w:t>
      </w:r>
    </w:p>
    <w:p w14:paraId="2023FC74">
      <w:pPr>
        <w:pStyle w:val="39"/>
        <w:widowControl/>
        <w:spacing w:afterLines="0"/>
        <w:ind w:left="0"/>
        <w:outlineLvl w:val="3"/>
        <w:rPr>
          <w:rFonts w:hint="eastAsia"/>
          <w:b w:val="0"/>
          <w:bCs/>
          <w:sz w:val="21"/>
          <w:szCs w:val="21"/>
        </w:rPr>
      </w:pPr>
      <w:bookmarkStart w:id="1466" w:name="_Toc54862283"/>
      <w:bookmarkEnd w:id="1466"/>
      <w:bookmarkStart w:id="1467" w:name="_Ref532677084"/>
      <w:bookmarkEnd w:id="1467"/>
      <w:bookmarkStart w:id="1468" w:name="_Ref532668573"/>
      <w:bookmarkEnd w:id="1468"/>
      <w:bookmarkStart w:id="1469" w:name="_Ref532677087"/>
      <w:bookmarkEnd w:id="1469"/>
      <w:bookmarkStart w:id="1470" w:name="_Ref532668569"/>
      <w:bookmarkEnd w:id="1470"/>
      <w:bookmarkStart w:id="1471" w:name="_Toc19171"/>
      <w:bookmarkEnd w:id="1471"/>
      <w:bookmarkStart w:id="1472" w:name="_Toc15376"/>
      <w:bookmarkEnd w:id="1472"/>
      <w:bookmarkStart w:id="1473" w:name="_Ref532670395"/>
      <w:bookmarkEnd w:id="1473"/>
      <w:bookmarkStart w:id="1474" w:name="_Ref532670393"/>
      <w:bookmarkEnd w:id="1474"/>
      <w:r>
        <w:rPr>
          <w:rFonts w:hint="eastAsia"/>
          <w:b w:val="0"/>
          <w:bCs/>
          <w:sz w:val="21"/>
          <w:szCs w:val="21"/>
        </w:rPr>
        <w:t>13.1 发包人变更权</w:t>
      </w:r>
    </w:p>
    <w:p w14:paraId="08BCE6F7">
      <w:pPr>
        <w:pStyle w:val="40"/>
        <w:spacing w:after="157"/>
        <w:ind w:left="0"/>
        <w:rPr>
          <w:rFonts w:hint="eastAsia" w:ascii="仿宋_GB2312" w:eastAsia="仿宋_GB2312"/>
          <w:sz w:val="21"/>
        </w:rPr>
      </w:pPr>
      <w:bookmarkStart w:id="1475" w:name="_Ref4534979"/>
      <w:bookmarkEnd w:id="1475"/>
      <w:r>
        <w:rPr>
          <w:rFonts w:hint="eastAsia" w:ascii="仿宋_GB2312" w:eastAsia="仿宋_GB2312"/>
          <w:sz w:val="21"/>
        </w:rPr>
        <w:t>1</w:t>
      </w:r>
      <w:r>
        <w:rPr>
          <w:rFonts w:ascii="仿宋_GB2312" w:eastAsia="仿宋_GB2312"/>
          <w:sz w:val="21"/>
        </w:rPr>
        <w:t xml:space="preserve">3.1.1 </w:t>
      </w:r>
      <w:r>
        <w:rPr>
          <w:rFonts w:hint="eastAsia" w:ascii="仿宋_GB2312" w:eastAsia="仿宋_GB2312"/>
          <w:sz w:val="21"/>
        </w:rPr>
        <w:t>变更指示应经发包人同意，并由工程师发出经发包人签认的变更指示。除第</w:t>
      </w:r>
      <w:r>
        <w:rPr>
          <w:rFonts w:ascii="仿宋_GB2312" w:eastAsia="仿宋_GB2312"/>
          <w:sz w:val="21"/>
        </w:rPr>
        <w:t>11.3.6</w:t>
      </w:r>
      <w:r>
        <w:rPr>
          <w:rFonts w:hint="eastAsia" w:ascii="仿宋_GB2312" w:eastAsia="仿宋_GB2312"/>
          <w:sz w:val="21"/>
        </w:rPr>
        <w:t>项[未能修复]约定的情况外，变更不应包括准备将任何工作删减并交由他人或发包人自行实施的情况。承包人收到变更指示后，方可实施变更。未经许可，承包人不得擅自对工程的任何部分进行变更。发包人与承包人对某项指示或批准是否构成变更产生争议的，按第</w:t>
      </w:r>
      <w:r>
        <w:rPr>
          <w:rFonts w:ascii="仿宋_GB2312" w:eastAsia="仿宋_GB2312"/>
          <w:sz w:val="21"/>
        </w:rPr>
        <w:t>20条</w:t>
      </w:r>
      <w:r>
        <w:rPr>
          <w:rFonts w:hint="eastAsia" w:ascii="仿宋_GB2312" w:eastAsia="仿宋_GB2312"/>
          <w:sz w:val="21"/>
        </w:rPr>
        <w:t>[争议解决]处理。</w:t>
      </w:r>
    </w:p>
    <w:p w14:paraId="1AEFC32E">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3.1.2 </w:t>
      </w:r>
      <w:r>
        <w:rPr>
          <w:rFonts w:hint="eastAsia" w:ascii="仿宋_GB2312" w:eastAsia="仿宋_GB2312"/>
          <w:sz w:val="21"/>
        </w:rPr>
        <w:t>承包人应按照变更指示执行，除非承包人及时向工程师发出通知，说明该项变更指示将降低工程的安全性、稳定性或适用性；涉及的工作内容和范围不可预见；所涉设备难以采购；导致承包人无法执行第</w:t>
      </w:r>
      <w:r>
        <w:rPr>
          <w:rFonts w:ascii="仿宋_GB2312" w:eastAsia="仿宋_GB2312"/>
          <w:sz w:val="21"/>
        </w:rPr>
        <w:t>7.5</w:t>
      </w:r>
      <w:r>
        <w:rPr>
          <w:rFonts w:hint="eastAsia" w:ascii="仿宋_GB2312" w:eastAsia="仿宋_GB2312"/>
          <w:sz w:val="21"/>
        </w:rPr>
        <w:t>款[现场劳动用工]、第7</w:t>
      </w:r>
      <w:r>
        <w:rPr>
          <w:rFonts w:ascii="仿宋_GB2312" w:eastAsia="仿宋_GB2312"/>
          <w:sz w:val="21"/>
        </w:rPr>
        <w:t>.6</w:t>
      </w:r>
      <w:r>
        <w:rPr>
          <w:rFonts w:hint="eastAsia" w:ascii="仿宋_GB2312" w:eastAsia="仿宋_GB2312"/>
          <w:sz w:val="21"/>
        </w:rPr>
        <w:t>款[安全文明施工</w:t>
      </w:r>
      <w:r>
        <w:rPr>
          <w:rFonts w:ascii="仿宋_GB2312" w:eastAsia="仿宋_GB2312"/>
          <w:sz w:val="21"/>
        </w:rPr>
        <w:t>]</w:t>
      </w:r>
      <w:r>
        <w:rPr>
          <w:rFonts w:hint="eastAsia" w:ascii="仿宋_GB2312" w:eastAsia="仿宋_GB2312"/>
          <w:sz w:val="21"/>
        </w:rPr>
        <w:t>、第</w:t>
      </w:r>
      <w:r>
        <w:rPr>
          <w:rFonts w:ascii="仿宋_GB2312" w:eastAsia="仿宋_GB2312"/>
          <w:sz w:val="21"/>
        </w:rPr>
        <w:t>7.7</w:t>
      </w:r>
      <w:r>
        <w:rPr>
          <w:rFonts w:hint="eastAsia" w:ascii="仿宋_GB2312" w:eastAsia="仿宋_GB2312"/>
          <w:sz w:val="21"/>
        </w:rPr>
        <w:t>款[</w:t>
      </w:r>
      <w:r>
        <w:rPr>
          <w:rFonts w:ascii="仿宋_GB2312" w:eastAsia="仿宋_GB2312"/>
          <w:sz w:val="21"/>
        </w:rPr>
        <w:t>职业健康]</w:t>
      </w:r>
      <w:r>
        <w:rPr>
          <w:rFonts w:hint="eastAsia" w:ascii="仿宋_GB2312" w:eastAsia="仿宋_GB2312"/>
          <w:sz w:val="21"/>
        </w:rPr>
        <w:t>或第</w:t>
      </w:r>
      <w:r>
        <w:rPr>
          <w:rFonts w:ascii="仿宋_GB2312" w:eastAsia="仿宋_GB2312"/>
          <w:sz w:val="21"/>
        </w:rPr>
        <w:t>7.8</w:t>
      </w:r>
      <w:r>
        <w:rPr>
          <w:rFonts w:hint="eastAsia" w:ascii="仿宋_GB2312" w:eastAsia="仿宋_GB2312"/>
          <w:sz w:val="21"/>
        </w:rPr>
        <w:t>款[环境保护</w:t>
      </w:r>
      <w:r>
        <w:rPr>
          <w:rFonts w:ascii="仿宋_GB2312" w:eastAsia="仿宋_GB2312"/>
          <w:sz w:val="21"/>
        </w:rPr>
        <w:t>]</w:t>
      </w:r>
      <w:r>
        <w:rPr>
          <w:rFonts w:hint="eastAsia" w:ascii="仿宋_GB2312" w:eastAsia="仿宋_GB2312"/>
          <w:sz w:val="21"/>
        </w:rPr>
        <w:t>内容；将造成工期延误；与第</w:t>
      </w:r>
      <w:r>
        <w:rPr>
          <w:rFonts w:ascii="仿宋_GB2312" w:eastAsia="仿宋_GB2312"/>
          <w:sz w:val="21"/>
        </w:rPr>
        <w:t>4.1</w:t>
      </w:r>
      <w:r>
        <w:rPr>
          <w:rFonts w:hint="eastAsia" w:ascii="仿宋_GB2312" w:eastAsia="仿宋_GB2312"/>
          <w:sz w:val="21"/>
        </w:rPr>
        <w:t>款[</w:t>
      </w:r>
      <w:r>
        <w:rPr>
          <w:rFonts w:ascii="仿宋_GB2312" w:eastAsia="仿宋_GB2312"/>
          <w:sz w:val="21"/>
        </w:rPr>
        <w:t>承包人的一般义务]</w:t>
      </w:r>
      <w:r>
        <w:rPr>
          <w:rFonts w:hint="eastAsia" w:ascii="仿宋_GB2312" w:eastAsia="仿宋_GB2312"/>
          <w:sz w:val="21"/>
        </w:rPr>
        <w:t>相冲突等无法执行的理由。工程师接到承包人的通知后，应作出经发包人签认的取消、确认或改变原指示的书面回复。</w:t>
      </w:r>
    </w:p>
    <w:p w14:paraId="5BAC99E1">
      <w:pPr>
        <w:pStyle w:val="39"/>
        <w:widowControl/>
        <w:spacing w:afterLines="0"/>
        <w:ind w:left="0"/>
        <w:outlineLvl w:val="3"/>
        <w:rPr>
          <w:rFonts w:hint="eastAsia"/>
          <w:b w:val="0"/>
          <w:bCs/>
          <w:sz w:val="21"/>
          <w:szCs w:val="21"/>
        </w:rPr>
      </w:pPr>
      <w:bookmarkStart w:id="1476" w:name="_Ref4623207"/>
      <w:bookmarkEnd w:id="1476"/>
      <w:bookmarkStart w:id="1477" w:name="_Toc5614"/>
      <w:bookmarkEnd w:id="1477"/>
      <w:bookmarkStart w:id="1478" w:name="_Toc12437"/>
      <w:bookmarkEnd w:id="1478"/>
      <w:bookmarkStart w:id="1479" w:name="_Ref531955587"/>
      <w:bookmarkEnd w:id="1479"/>
      <w:bookmarkStart w:id="1480" w:name="_Toc54862284"/>
      <w:bookmarkEnd w:id="1480"/>
      <w:bookmarkStart w:id="1481" w:name="_Ref531955590"/>
      <w:bookmarkEnd w:id="1481"/>
      <w:r>
        <w:rPr>
          <w:rFonts w:hint="eastAsia"/>
          <w:b w:val="0"/>
          <w:bCs/>
          <w:sz w:val="21"/>
          <w:szCs w:val="21"/>
        </w:rPr>
        <w:t>13.2 承包人的合理化建议</w:t>
      </w:r>
    </w:p>
    <w:p w14:paraId="34A3B831">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3.2.1 </w:t>
      </w:r>
      <w:r>
        <w:rPr>
          <w:rFonts w:hint="eastAsia" w:ascii="仿宋_GB2312" w:eastAsia="仿宋_GB2312"/>
          <w:sz w:val="21"/>
        </w:rPr>
        <w:t>承包人提出合理化建议的，应向工程师提交合理化建议说明，说明建议的内容、理由以及实施该建议对合同价格和工期的影响。</w:t>
      </w:r>
    </w:p>
    <w:p w14:paraId="162739EC">
      <w:pPr>
        <w:pStyle w:val="40"/>
        <w:spacing w:after="157"/>
        <w:ind w:left="0"/>
        <w:rPr>
          <w:rFonts w:hint="eastAsia" w:ascii="仿宋_GB2312" w:eastAsia="仿宋_GB2312"/>
          <w:sz w:val="21"/>
        </w:rPr>
      </w:pPr>
      <w:bookmarkStart w:id="1482" w:name="_Ref4681686"/>
      <w:bookmarkEnd w:id="1482"/>
      <w:r>
        <w:rPr>
          <w:rFonts w:hint="eastAsia" w:ascii="仿宋_GB2312" w:eastAsia="仿宋_GB2312"/>
          <w:sz w:val="21"/>
        </w:rPr>
        <w:t>1</w:t>
      </w:r>
      <w:r>
        <w:rPr>
          <w:rFonts w:ascii="仿宋_GB2312" w:eastAsia="仿宋_GB2312"/>
          <w:sz w:val="21"/>
        </w:rPr>
        <w:t xml:space="preserve">3.2.2 </w:t>
      </w:r>
      <w:r>
        <w:rPr>
          <w:rFonts w:hint="eastAsia" w:ascii="仿宋_GB2312" w:eastAsia="仿宋_GB2312"/>
          <w:sz w:val="21"/>
        </w:rPr>
        <w:t>除专用合同条件另有约定外，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w:t>
      </w:r>
      <w:r>
        <w:rPr>
          <w:rFonts w:ascii="仿宋_GB2312" w:eastAsia="仿宋_GB2312"/>
          <w:sz w:val="21"/>
        </w:rPr>
        <w:t>13.3.3</w:t>
      </w:r>
      <w:r>
        <w:rPr>
          <w:rFonts w:hint="eastAsia" w:ascii="仿宋_GB2312" w:eastAsia="仿宋_GB2312"/>
          <w:sz w:val="21"/>
        </w:rPr>
        <w:t>项[</w:t>
      </w:r>
      <w:r>
        <w:rPr>
          <w:rFonts w:ascii="仿宋_GB2312" w:eastAsia="仿宋_GB2312"/>
          <w:sz w:val="21"/>
        </w:rPr>
        <w:t>变更估价</w:t>
      </w:r>
      <w:r>
        <w:rPr>
          <w:rFonts w:hint="eastAsia" w:ascii="仿宋_GB2312" w:eastAsia="仿宋_GB2312"/>
          <w:sz w:val="21"/>
        </w:rPr>
        <w:t>]约定执行。发包人不同意变更的，工程师应书面通知承包人。</w:t>
      </w:r>
    </w:p>
    <w:p w14:paraId="2497A619">
      <w:pPr>
        <w:pStyle w:val="40"/>
        <w:spacing w:after="157"/>
        <w:ind w:left="0"/>
        <w:rPr>
          <w:rFonts w:hint="eastAsia" w:ascii="仿宋_GB2312" w:eastAsia="仿宋_GB2312"/>
          <w:sz w:val="21"/>
        </w:rPr>
      </w:pPr>
      <w:r>
        <w:rPr>
          <w:rFonts w:ascii="仿宋_GB2312" w:eastAsia="仿宋_GB2312"/>
          <w:sz w:val="21"/>
        </w:rPr>
        <w:t xml:space="preserve">13.2.3 </w:t>
      </w:r>
      <w:r>
        <w:rPr>
          <w:rFonts w:hint="eastAsia" w:ascii="仿宋_GB2312" w:eastAsia="仿宋_GB2312"/>
          <w:sz w:val="21"/>
        </w:rPr>
        <w:t>合理化建议降低了合同价格、缩短了工期或者提高了工程经济效益的，双方可以按照专用合同条件的约定进行利益分享。</w:t>
      </w:r>
    </w:p>
    <w:p w14:paraId="3F711A6F">
      <w:pPr>
        <w:pStyle w:val="39"/>
        <w:widowControl/>
        <w:spacing w:afterLines="0"/>
        <w:ind w:left="0"/>
        <w:outlineLvl w:val="3"/>
        <w:rPr>
          <w:rFonts w:hint="eastAsia"/>
          <w:b w:val="0"/>
          <w:bCs/>
          <w:sz w:val="21"/>
          <w:szCs w:val="21"/>
        </w:rPr>
      </w:pPr>
      <w:bookmarkStart w:id="1483" w:name="_Ref532673541"/>
      <w:bookmarkEnd w:id="1483"/>
      <w:bookmarkStart w:id="1484" w:name="_Ref532669305"/>
      <w:bookmarkEnd w:id="1484"/>
      <w:bookmarkStart w:id="1485" w:name="_Ref532673538"/>
      <w:bookmarkEnd w:id="1485"/>
      <w:bookmarkStart w:id="1486" w:name="_Toc54862285"/>
      <w:bookmarkEnd w:id="1486"/>
      <w:bookmarkStart w:id="1487" w:name="_Toc22341"/>
      <w:bookmarkEnd w:id="1487"/>
      <w:bookmarkStart w:id="1488" w:name="_Ref532669302"/>
      <w:bookmarkEnd w:id="1488"/>
      <w:bookmarkStart w:id="1489" w:name="_Toc8046"/>
      <w:bookmarkEnd w:id="1489"/>
      <w:bookmarkStart w:id="1490" w:name="_Ref532671480"/>
      <w:bookmarkEnd w:id="1490"/>
      <w:bookmarkStart w:id="1491" w:name="_Ref532671484"/>
      <w:bookmarkEnd w:id="1491"/>
      <w:r>
        <w:rPr>
          <w:rFonts w:hint="eastAsia"/>
          <w:b w:val="0"/>
          <w:bCs/>
          <w:sz w:val="21"/>
          <w:szCs w:val="21"/>
        </w:rPr>
        <w:t>13.3 变更程序</w:t>
      </w:r>
    </w:p>
    <w:p w14:paraId="7A361198">
      <w:pPr>
        <w:pStyle w:val="40"/>
        <w:spacing w:after="157"/>
        <w:ind w:left="0"/>
        <w:outlineLvl w:val="4"/>
        <w:rPr>
          <w:rFonts w:hint="eastAsia" w:ascii="仿宋_GB2312" w:eastAsia="仿宋_GB2312"/>
          <w:sz w:val="21"/>
        </w:rPr>
      </w:pPr>
      <w:bookmarkStart w:id="1492" w:name="_Ref4534600"/>
      <w:bookmarkEnd w:id="1492"/>
      <w:r>
        <w:rPr>
          <w:rFonts w:hint="eastAsia" w:ascii="仿宋_GB2312" w:eastAsia="仿宋_GB2312"/>
          <w:sz w:val="21"/>
        </w:rPr>
        <w:t>1</w:t>
      </w:r>
      <w:r>
        <w:rPr>
          <w:rFonts w:ascii="仿宋_GB2312" w:eastAsia="仿宋_GB2312"/>
          <w:sz w:val="21"/>
        </w:rPr>
        <w:t xml:space="preserve">3.3.1 </w:t>
      </w:r>
      <w:r>
        <w:rPr>
          <w:rFonts w:hint="eastAsia" w:ascii="仿宋_GB2312" w:eastAsia="仿宋_GB2312"/>
          <w:sz w:val="21"/>
        </w:rPr>
        <w:t>发包人提出变更</w:t>
      </w:r>
    </w:p>
    <w:p w14:paraId="4F8DA107">
      <w:pPr>
        <w:spacing w:line="360" w:lineRule="auto"/>
        <w:ind w:firstLine="600"/>
        <w:rPr>
          <w:rFonts w:ascii="仿宋_GB2312" w:eastAsia="仿宋_GB2312"/>
        </w:rPr>
      </w:pPr>
      <w:r>
        <w:rPr>
          <w:rFonts w:hint="eastAsia" w:ascii="仿宋_GB2312" w:eastAsia="仿宋_GB2312"/>
        </w:rPr>
        <w:t>发包人提出变更的，应通过工程师向承包人发出书面形式的变更指示，变更指示应说明计划变更的工程范围和变更的内容。</w:t>
      </w:r>
    </w:p>
    <w:p w14:paraId="7AA7912E">
      <w:pPr>
        <w:pStyle w:val="40"/>
        <w:spacing w:after="157"/>
        <w:ind w:left="0"/>
        <w:outlineLvl w:val="4"/>
        <w:rPr>
          <w:rFonts w:hint="eastAsia" w:ascii="仿宋_GB2312" w:eastAsia="仿宋_GB2312"/>
          <w:sz w:val="21"/>
        </w:rPr>
      </w:pPr>
      <w:bookmarkStart w:id="1493" w:name="_Ref4534617"/>
      <w:bookmarkEnd w:id="1493"/>
      <w:r>
        <w:rPr>
          <w:rFonts w:hint="eastAsia" w:ascii="仿宋_GB2312" w:eastAsia="仿宋_GB2312"/>
          <w:sz w:val="21"/>
        </w:rPr>
        <w:t>1</w:t>
      </w:r>
      <w:r>
        <w:rPr>
          <w:rFonts w:ascii="仿宋_GB2312" w:eastAsia="仿宋_GB2312"/>
          <w:sz w:val="21"/>
        </w:rPr>
        <w:t xml:space="preserve">3.3.2 </w:t>
      </w:r>
      <w:r>
        <w:rPr>
          <w:rFonts w:hint="eastAsia" w:ascii="仿宋_GB2312" w:eastAsia="仿宋_GB2312"/>
          <w:sz w:val="21"/>
        </w:rPr>
        <w:t>变更执行</w:t>
      </w:r>
    </w:p>
    <w:p w14:paraId="0CD648AC">
      <w:pPr>
        <w:spacing w:line="360" w:lineRule="auto"/>
        <w:ind w:firstLine="600"/>
        <w:rPr>
          <w:rFonts w:ascii="仿宋_GB2312" w:eastAsia="仿宋_GB2312"/>
        </w:rPr>
      </w:pPr>
      <w:r>
        <w:rPr>
          <w:rFonts w:hint="eastAsia" w:ascii="仿宋_GB2312" w:eastAsia="仿宋_GB2312"/>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w:t>
      </w:r>
      <w:r>
        <w:rPr>
          <w:rFonts w:ascii="仿宋_GB2312" w:eastAsia="仿宋_GB2312"/>
        </w:rPr>
        <w:t>13.3.3</w:t>
      </w:r>
      <w:r>
        <w:rPr>
          <w:rFonts w:hint="eastAsia" w:ascii="仿宋_GB2312" w:eastAsia="仿宋_GB2312"/>
        </w:rPr>
        <w:t>项[变更估价]约定确定变更估价。</w:t>
      </w:r>
    </w:p>
    <w:p w14:paraId="5838FB5F">
      <w:pPr>
        <w:pStyle w:val="40"/>
        <w:spacing w:after="157"/>
        <w:ind w:left="0"/>
        <w:outlineLvl w:val="4"/>
        <w:rPr>
          <w:rFonts w:hint="eastAsia" w:ascii="仿宋_GB2312" w:eastAsia="仿宋_GB2312"/>
          <w:sz w:val="21"/>
        </w:rPr>
      </w:pPr>
      <w:bookmarkStart w:id="1494" w:name="_Ref3835481"/>
      <w:bookmarkEnd w:id="1494"/>
      <w:r>
        <w:rPr>
          <w:rFonts w:hint="eastAsia" w:ascii="仿宋_GB2312" w:eastAsia="仿宋_GB2312"/>
          <w:sz w:val="21"/>
        </w:rPr>
        <w:t>1</w:t>
      </w:r>
      <w:r>
        <w:rPr>
          <w:rFonts w:ascii="仿宋_GB2312" w:eastAsia="仿宋_GB2312"/>
          <w:sz w:val="21"/>
        </w:rPr>
        <w:t xml:space="preserve">3.3.3 </w:t>
      </w:r>
      <w:r>
        <w:rPr>
          <w:rFonts w:hint="eastAsia" w:ascii="仿宋_GB2312" w:eastAsia="仿宋_GB2312"/>
          <w:sz w:val="21"/>
        </w:rPr>
        <w:t>变更估价</w:t>
      </w:r>
    </w:p>
    <w:p w14:paraId="138B7EFE">
      <w:pPr>
        <w:pStyle w:val="41"/>
        <w:widowControl/>
        <w:spacing w:after="157"/>
        <w:ind w:left="0"/>
        <w:outlineLvl w:val="5"/>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3.3.3.1 </w:t>
      </w:r>
      <w:r>
        <w:rPr>
          <w:rFonts w:hint="eastAsia" w:ascii="仿宋_GB2312" w:eastAsia="仿宋_GB2312"/>
          <w:sz w:val="21"/>
        </w:rPr>
        <w:t>变更估价原则</w:t>
      </w:r>
    </w:p>
    <w:p w14:paraId="4AA282E1">
      <w:pPr>
        <w:spacing w:line="360" w:lineRule="auto"/>
        <w:ind w:firstLine="600"/>
        <w:rPr>
          <w:rFonts w:ascii="仿宋_GB2312" w:eastAsia="仿宋_GB2312"/>
        </w:rPr>
      </w:pPr>
      <w:r>
        <w:rPr>
          <w:rFonts w:hint="eastAsia" w:ascii="仿宋_GB2312" w:eastAsia="仿宋_GB2312"/>
        </w:rPr>
        <w:t>除专用合同条件另有约定外，变更估价按照本款约定处理：</w:t>
      </w:r>
    </w:p>
    <w:p w14:paraId="78A6EA39">
      <w:pPr>
        <w:spacing w:line="360" w:lineRule="auto"/>
        <w:ind w:firstLine="600"/>
        <w:rPr>
          <w:rFonts w:ascii="仿宋_GB2312" w:eastAsia="仿宋_GB2312"/>
        </w:rPr>
      </w:pPr>
      <w:r>
        <w:rPr>
          <w:rFonts w:hint="eastAsia" w:ascii="仿宋_GB2312" w:eastAsia="仿宋_GB2312"/>
        </w:rPr>
        <w:t>（1） 合同中未包含价格清单，合同价格应按照所执行的变更工程的成本加利润调整；</w:t>
      </w:r>
    </w:p>
    <w:p w14:paraId="3442F94A">
      <w:pPr>
        <w:spacing w:line="360" w:lineRule="auto"/>
        <w:ind w:firstLine="600"/>
        <w:rPr>
          <w:rFonts w:ascii="仿宋_GB2312" w:eastAsia="仿宋_GB2312"/>
        </w:rPr>
      </w:pPr>
      <w:r>
        <w:rPr>
          <w:rFonts w:hint="eastAsia" w:ascii="仿宋_GB2312" w:eastAsia="仿宋_GB2312"/>
        </w:rPr>
        <w:t>（2） 合同中包含价格清单，合同价格按照如下规则调整：</w:t>
      </w:r>
    </w:p>
    <w:p w14:paraId="24BBBEB7">
      <w:pPr>
        <w:spacing w:line="360" w:lineRule="auto"/>
        <w:ind w:firstLine="600"/>
        <w:rPr>
          <w:rFonts w:ascii="仿宋_GB2312" w:eastAsia="仿宋_GB2312"/>
        </w:rPr>
      </w:pPr>
      <w:r>
        <w:rPr>
          <w:rFonts w:hint="eastAsia" w:ascii="仿宋_GB2312" w:eastAsia="仿宋_GB2312"/>
        </w:rPr>
        <w:t>1） 价格清单中有适用于变更工程项目的，应采用该项目的费率和价格；</w:t>
      </w:r>
    </w:p>
    <w:p w14:paraId="233E471F">
      <w:pPr>
        <w:spacing w:line="360" w:lineRule="auto"/>
        <w:ind w:firstLine="600"/>
        <w:rPr>
          <w:rFonts w:ascii="仿宋_GB2312" w:eastAsia="仿宋_GB2312"/>
        </w:rPr>
      </w:pPr>
      <w:r>
        <w:rPr>
          <w:rFonts w:hint="eastAsia" w:ascii="仿宋_GB2312" w:eastAsia="仿宋_GB2312"/>
        </w:rPr>
        <w:t>2） 价格清单中没有适用但有类似于变更工程项目的，可在合理范围内参照类似项目的费率或价格；</w:t>
      </w:r>
    </w:p>
    <w:p w14:paraId="3389BAFE">
      <w:pPr>
        <w:spacing w:line="360" w:lineRule="auto"/>
        <w:ind w:firstLine="600"/>
        <w:rPr>
          <w:rFonts w:ascii="仿宋_GB2312" w:eastAsia="仿宋_GB2312"/>
        </w:rPr>
      </w:pPr>
      <w:r>
        <w:rPr>
          <w:rFonts w:hint="eastAsia" w:ascii="仿宋_GB2312" w:eastAsia="仿宋_GB2312"/>
        </w:rPr>
        <w:t>3） 价格清单中没有适用也没有类似于变更工程项目的，该工程项目应按成本加利润原则调整适用新的费率或价格。</w:t>
      </w:r>
    </w:p>
    <w:p w14:paraId="58C46ED3">
      <w:pPr>
        <w:pStyle w:val="41"/>
        <w:widowControl/>
        <w:spacing w:after="157"/>
        <w:ind w:left="0"/>
        <w:outlineLvl w:val="5"/>
        <w:rPr>
          <w:rFonts w:hint="eastAsia" w:ascii="仿宋_GB2312" w:eastAsia="仿宋_GB2312"/>
          <w:sz w:val="21"/>
        </w:rPr>
      </w:pPr>
      <w:r>
        <w:rPr>
          <w:rFonts w:hint="eastAsia" w:ascii="仿宋_GB2312" w:eastAsia="仿宋_GB2312"/>
          <w:sz w:val="21"/>
        </w:rPr>
        <w:t>1</w:t>
      </w:r>
      <w:r>
        <w:rPr>
          <w:rFonts w:ascii="仿宋_GB2312" w:eastAsia="仿宋_GB2312"/>
          <w:sz w:val="21"/>
        </w:rPr>
        <w:t>3.3.</w:t>
      </w:r>
      <w:r>
        <w:rPr>
          <w:rFonts w:hint="eastAsia" w:ascii="仿宋_GB2312" w:eastAsia="仿宋_GB2312"/>
          <w:sz w:val="21"/>
        </w:rPr>
        <w:t>3</w:t>
      </w:r>
      <w:r>
        <w:rPr>
          <w:rFonts w:ascii="仿宋_GB2312" w:eastAsia="仿宋_GB2312"/>
          <w:sz w:val="21"/>
        </w:rPr>
        <w:t xml:space="preserve">.2 </w:t>
      </w:r>
      <w:r>
        <w:rPr>
          <w:rFonts w:hint="eastAsia" w:ascii="仿宋_GB2312" w:eastAsia="仿宋_GB2312"/>
          <w:sz w:val="21"/>
        </w:rPr>
        <w:t>变更估价程序</w:t>
      </w:r>
    </w:p>
    <w:p w14:paraId="6570139C">
      <w:pPr>
        <w:spacing w:line="360" w:lineRule="auto"/>
        <w:ind w:firstLine="600"/>
        <w:rPr>
          <w:rFonts w:ascii="仿宋_GB2312" w:eastAsia="仿宋_GB2312"/>
        </w:rPr>
      </w:pPr>
      <w:bookmarkStart w:id="1495" w:name="_Ref531955605"/>
      <w:bookmarkStart w:id="1496" w:name="_Ref531955607"/>
      <w:r>
        <w:rPr>
          <w:rFonts w:hint="eastAsia" w:ascii="仿宋_GB2312" w:eastAsia="仿宋_GB2312"/>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60AA6362">
      <w:pPr>
        <w:spacing w:line="360" w:lineRule="auto"/>
        <w:ind w:firstLine="600"/>
        <w:rPr>
          <w:rFonts w:ascii="仿宋_GB2312" w:eastAsia="仿宋_GB2312"/>
        </w:rPr>
      </w:pPr>
      <w:r>
        <w:rPr>
          <w:rFonts w:hint="eastAsia" w:ascii="仿宋_GB2312" w:eastAsia="仿宋_GB2312"/>
        </w:rPr>
        <w:t>因变更引起的价格调整应计入最近一期的进度款中支付。</w:t>
      </w:r>
    </w:p>
    <w:p w14:paraId="1C12B27F">
      <w:pPr>
        <w:pStyle w:val="40"/>
        <w:spacing w:after="157"/>
        <w:ind w:left="0"/>
        <w:outlineLvl w:val="4"/>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3.3.4 </w:t>
      </w:r>
      <w:r>
        <w:rPr>
          <w:rFonts w:hint="eastAsia" w:ascii="仿宋_GB2312" w:eastAsia="仿宋_GB2312"/>
          <w:sz w:val="21"/>
        </w:rPr>
        <w:t>变更引起的工期调整</w:t>
      </w:r>
    </w:p>
    <w:p w14:paraId="6B3AFF8D">
      <w:pPr>
        <w:spacing w:line="360" w:lineRule="auto"/>
        <w:ind w:firstLine="600"/>
        <w:rPr>
          <w:rFonts w:ascii="仿宋_GB2312" w:eastAsia="仿宋_GB2312"/>
        </w:rPr>
      </w:pPr>
      <w:r>
        <w:rPr>
          <w:rFonts w:hint="eastAsia" w:ascii="仿宋_GB2312" w:eastAsia="仿宋_GB2312"/>
        </w:rPr>
        <w:t>因变更引起工期变化的，合同当事人均可要求调整合同工期，由合同当事人按照第</w:t>
      </w:r>
      <w:r>
        <w:rPr>
          <w:rFonts w:ascii="仿宋_GB2312" w:eastAsia="仿宋_GB2312"/>
        </w:rPr>
        <w:t>3.6</w:t>
      </w:r>
      <w:r>
        <w:rPr>
          <w:rFonts w:hint="eastAsia" w:ascii="仿宋_GB2312" w:eastAsia="仿宋_GB2312"/>
        </w:rPr>
        <w:t>款[商定或确定]并参考工程所在地的工期定额标准确定增减工期天数。</w:t>
      </w:r>
    </w:p>
    <w:p w14:paraId="0608CA1B">
      <w:pPr>
        <w:pStyle w:val="39"/>
        <w:widowControl/>
        <w:spacing w:afterLines="0"/>
        <w:ind w:left="0"/>
        <w:outlineLvl w:val="3"/>
        <w:rPr>
          <w:rFonts w:hint="eastAsia"/>
          <w:b w:val="0"/>
          <w:bCs/>
          <w:sz w:val="21"/>
          <w:szCs w:val="21"/>
        </w:rPr>
      </w:pPr>
      <w:bookmarkStart w:id="1497" w:name="_Ref4431237"/>
      <w:bookmarkEnd w:id="1497"/>
      <w:bookmarkStart w:id="1498" w:name="_Toc54862286"/>
      <w:bookmarkEnd w:id="1498"/>
      <w:bookmarkStart w:id="1499" w:name="_Toc21879"/>
      <w:bookmarkEnd w:id="1499"/>
      <w:bookmarkStart w:id="1500" w:name="_Toc8045"/>
      <w:bookmarkEnd w:id="1500"/>
      <w:r>
        <w:rPr>
          <w:rFonts w:hint="eastAsia"/>
          <w:b w:val="0"/>
          <w:bCs/>
          <w:sz w:val="21"/>
          <w:szCs w:val="21"/>
        </w:rPr>
        <w:t>1</w:t>
      </w:r>
      <w:r>
        <w:rPr>
          <w:b w:val="0"/>
          <w:bCs/>
          <w:sz w:val="21"/>
          <w:szCs w:val="21"/>
        </w:rPr>
        <w:t xml:space="preserve">3.4 </w:t>
      </w:r>
      <w:r>
        <w:rPr>
          <w:rFonts w:hint="eastAsia"/>
          <w:b w:val="0"/>
          <w:bCs/>
          <w:sz w:val="21"/>
          <w:szCs w:val="21"/>
        </w:rPr>
        <w:t>暂估价</w:t>
      </w:r>
    </w:p>
    <w:p w14:paraId="247E5DB6">
      <w:pPr>
        <w:pStyle w:val="40"/>
        <w:spacing w:after="157"/>
        <w:ind w:left="0"/>
        <w:outlineLvl w:val="4"/>
        <w:rPr>
          <w:rFonts w:hint="eastAsia" w:ascii="仿宋_GB2312" w:eastAsia="仿宋_GB2312"/>
          <w:sz w:val="21"/>
        </w:rPr>
      </w:pPr>
      <w:bookmarkStart w:id="1501" w:name="_Ref4616729"/>
      <w:bookmarkEnd w:id="1501"/>
      <w:r>
        <w:rPr>
          <w:rFonts w:hint="eastAsia" w:ascii="仿宋_GB2312" w:eastAsia="仿宋_GB2312"/>
          <w:sz w:val="21"/>
        </w:rPr>
        <w:t>1</w:t>
      </w:r>
      <w:r>
        <w:rPr>
          <w:rFonts w:ascii="仿宋_GB2312" w:eastAsia="仿宋_GB2312"/>
          <w:sz w:val="21"/>
        </w:rPr>
        <w:t xml:space="preserve">3.4.1 </w:t>
      </w:r>
      <w:r>
        <w:rPr>
          <w:rFonts w:hint="eastAsia" w:ascii="仿宋_GB2312" w:eastAsia="仿宋_GB2312"/>
          <w:sz w:val="21"/>
        </w:rPr>
        <w:t>依法必须招标的暂估价项目</w:t>
      </w:r>
    </w:p>
    <w:p w14:paraId="32F98E7E">
      <w:pPr>
        <w:spacing w:line="360" w:lineRule="auto"/>
        <w:ind w:firstLine="600"/>
        <w:rPr>
          <w:rFonts w:ascii="仿宋_GB2312" w:eastAsia="仿宋_GB2312"/>
        </w:rPr>
      </w:pPr>
      <w:r>
        <w:rPr>
          <w:rFonts w:hint="eastAsia" w:ascii="仿宋_GB2312" w:eastAsia="仿宋_GB2312"/>
        </w:rPr>
        <w:t>对于依法必须招标的暂估价项目，专用合同条件约定由承包人作为招标人的，招标文件、评标方案、评标结果应报送发包人批准。与组织招标工作有关的费用应当被认为已经包括在承包人的签约合同价中。</w:t>
      </w:r>
    </w:p>
    <w:p w14:paraId="2E54890D">
      <w:pPr>
        <w:pStyle w:val="42"/>
        <w:spacing w:line="360" w:lineRule="auto"/>
        <w:ind w:left="0" w:firstLine="420" w:firstLineChars="200"/>
        <w:rPr>
          <w:rFonts w:ascii="仿宋_GB2312" w:eastAsia="仿宋_GB2312"/>
        </w:rPr>
      </w:pPr>
      <w:r>
        <w:rPr>
          <w:rFonts w:hint="eastAsia" w:ascii="仿宋_GB2312" w:eastAsia="仿宋_GB2312"/>
        </w:rPr>
        <w:t>专用合同条件约定由发包人和承包人共同作为招标人的，与组织招标工作有关的费用在专用合同条件中约定。</w:t>
      </w:r>
    </w:p>
    <w:p w14:paraId="7F10B2B1">
      <w:pPr>
        <w:spacing w:line="360" w:lineRule="auto"/>
        <w:ind w:firstLine="600"/>
        <w:rPr>
          <w:rFonts w:ascii="仿宋_GB2312" w:eastAsia="仿宋_GB2312"/>
        </w:rPr>
      </w:pPr>
      <w:r>
        <w:rPr>
          <w:rFonts w:hint="eastAsia" w:ascii="仿宋_GB2312" w:eastAsia="仿宋_GB2312"/>
        </w:rPr>
        <w:t>具体的招标程序以及发包人和承包人权利义务关系可以在专用合同条件中约定。暂估价项目的中标金额与价格清单中所列暂估价的金额差以及相应的税金等其他费用应列入合同价格。</w:t>
      </w:r>
    </w:p>
    <w:p w14:paraId="75B94E04">
      <w:pPr>
        <w:pStyle w:val="40"/>
        <w:spacing w:after="157"/>
        <w:ind w:left="0"/>
        <w:outlineLvl w:val="4"/>
        <w:rPr>
          <w:rFonts w:hint="eastAsia" w:ascii="仿宋_GB2312" w:eastAsia="仿宋_GB2312"/>
          <w:sz w:val="21"/>
        </w:rPr>
      </w:pPr>
      <w:bookmarkStart w:id="1502" w:name="_Ref4682312"/>
      <w:bookmarkEnd w:id="1502"/>
      <w:r>
        <w:rPr>
          <w:rFonts w:hint="eastAsia" w:ascii="仿宋_GB2312" w:eastAsia="仿宋_GB2312"/>
          <w:sz w:val="21"/>
        </w:rPr>
        <w:t>1</w:t>
      </w:r>
      <w:r>
        <w:rPr>
          <w:rFonts w:ascii="仿宋_GB2312" w:eastAsia="仿宋_GB2312"/>
          <w:sz w:val="21"/>
        </w:rPr>
        <w:t xml:space="preserve">3.4.2 </w:t>
      </w:r>
      <w:r>
        <w:rPr>
          <w:rFonts w:hint="eastAsia" w:ascii="仿宋_GB2312" w:eastAsia="仿宋_GB2312"/>
          <w:sz w:val="21"/>
        </w:rPr>
        <w:t>不属于依法必须招标的暂估价项目</w:t>
      </w:r>
    </w:p>
    <w:p w14:paraId="04B4EFCC">
      <w:pPr>
        <w:spacing w:line="360" w:lineRule="auto"/>
        <w:ind w:firstLine="600"/>
        <w:rPr>
          <w:rFonts w:ascii="仿宋_GB2312" w:eastAsia="仿宋_GB2312"/>
        </w:rPr>
      </w:pPr>
      <w:r>
        <w:rPr>
          <w:rFonts w:hint="eastAsia" w:ascii="仿宋_GB2312" w:eastAsia="仿宋_GB2312"/>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3FD150E0">
      <w:pPr>
        <w:spacing w:line="360" w:lineRule="auto"/>
        <w:ind w:firstLine="600"/>
        <w:rPr>
          <w:rFonts w:ascii="仿宋_GB2312" w:eastAsia="仿宋_GB2312"/>
        </w:rPr>
      </w:pPr>
      <w:r>
        <w:rPr>
          <w:rFonts w:hint="eastAsia" w:ascii="仿宋_GB2312" w:eastAsia="仿宋_GB2312"/>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bookmarkEnd w:id="1495"/>
    <w:bookmarkEnd w:id="1496"/>
    <w:p w14:paraId="41D1F431">
      <w:pPr>
        <w:pStyle w:val="39"/>
        <w:widowControl/>
        <w:spacing w:afterLines="0"/>
        <w:ind w:left="0"/>
        <w:outlineLvl w:val="3"/>
        <w:rPr>
          <w:rFonts w:hint="eastAsia"/>
          <w:b w:val="0"/>
          <w:bCs/>
          <w:sz w:val="21"/>
          <w:szCs w:val="21"/>
        </w:rPr>
      </w:pPr>
      <w:bookmarkStart w:id="1503" w:name="_Ref4431250"/>
      <w:bookmarkEnd w:id="1503"/>
      <w:bookmarkStart w:id="1504" w:name="_Toc30589"/>
      <w:bookmarkEnd w:id="1504"/>
      <w:bookmarkStart w:id="1505" w:name="_Toc54862287"/>
      <w:bookmarkEnd w:id="1505"/>
      <w:bookmarkStart w:id="1506" w:name="_Toc17516"/>
      <w:bookmarkEnd w:id="1506"/>
      <w:r>
        <w:rPr>
          <w:rFonts w:hint="eastAsia"/>
          <w:b w:val="0"/>
          <w:bCs/>
          <w:sz w:val="21"/>
          <w:szCs w:val="21"/>
        </w:rPr>
        <w:t>13.5 暂列金额</w:t>
      </w:r>
    </w:p>
    <w:p w14:paraId="5BE86700">
      <w:pPr>
        <w:spacing w:line="360" w:lineRule="auto"/>
        <w:ind w:firstLine="600"/>
        <w:rPr>
          <w:rFonts w:ascii="仿宋_GB2312" w:eastAsia="仿宋_GB2312"/>
        </w:rPr>
      </w:pPr>
      <w:r>
        <w:rPr>
          <w:rFonts w:hint="eastAsia" w:ascii="仿宋_GB2312" w:eastAsia="仿宋_GB2312"/>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6BAE7518">
      <w:pPr>
        <w:spacing w:line="360" w:lineRule="auto"/>
        <w:ind w:firstLine="600"/>
        <w:rPr>
          <w:rFonts w:ascii="仿宋_GB2312" w:eastAsia="仿宋_GB2312"/>
        </w:rPr>
      </w:pPr>
      <w:r>
        <w:rPr>
          <w:rFonts w:hint="eastAsia" w:ascii="仿宋_GB2312" w:eastAsia="仿宋_GB2312"/>
        </w:rPr>
        <w:t>对于每笔暂列金额，发包人可以指示用于下列支付：</w:t>
      </w:r>
    </w:p>
    <w:p w14:paraId="5585A23E">
      <w:pPr>
        <w:spacing w:line="360" w:lineRule="auto"/>
        <w:ind w:firstLine="600"/>
        <w:rPr>
          <w:rFonts w:ascii="仿宋_GB2312" w:eastAsia="仿宋_GB2312"/>
        </w:rPr>
      </w:pPr>
      <w:r>
        <w:rPr>
          <w:rFonts w:hint="eastAsia" w:ascii="仿宋_GB2312" w:eastAsia="仿宋_GB2312"/>
        </w:rPr>
        <w:t>（1） 发包人根据第</w:t>
      </w:r>
      <w:r>
        <w:rPr>
          <w:rFonts w:ascii="仿宋_GB2312" w:eastAsia="仿宋_GB2312"/>
        </w:rPr>
        <w:t>13.1</w:t>
      </w:r>
      <w:r>
        <w:rPr>
          <w:rFonts w:hint="eastAsia" w:ascii="仿宋_GB2312" w:eastAsia="仿宋_GB2312"/>
        </w:rPr>
        <w:t>款[发包人变更权]指示变更，决定对合同价格和付款计划表（如有）进行调整的、由承包人实施的工作（包括要提供的工程设备、材料和服务）；</w:t>
      </w:r>
    </w:p>
    <w:p w14:paraId="7C5EE843">
      <w:pPr>
        <w:spacing w:line="360" w:lineRule="auto"/>
        <w:ind w:firstLine="600"/>
        <w:rPr>
          <w:rFonts w:ascii="仿宋_GB2312" w:eastAsia="仿宋_GB2312"/>
        </w:rPr>
      </w:pPr>
      <w:r>
        <w:rPr>
          <w:rFonts w:hint="eastAsia" w:ascii="仿宋_GB2312" w:eastAsia="仿宋_GB2312"/>
        </w:rPr>
        <w:t>（2） 承包人购买的工程设备、材料、工作或服务，应支付包括承包人已付（或应付）的实际金额以及相应的管理费等费用和利润（管理费和利润应以实际金额为基数根据合同约定的费率（如有）或百分比计算）。</w:t>
      </w:r>
    </w:p>
    <w:p w14:paraId="74DEDB04">
      <w:pPr>
        <w:spacing w:line="360" w:lineRule="auto"/>
        <w:ind w:firstLine="600"/>
        <w:rPr>
          <w:rFonts w:ascii="仿宋_GB2312" w:eastAsia="仿宋_GB2312"/>
        </w:rPr>
      </w:pPr>
      <w:r>
        <w:rPr>
          <w:rFonts w:hint="eastAsia" w:ascii="仿宋_GB2312" w:eastAsia="仿宋_GB2312"/>
        </w:rPr>
        <w:t>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293EB0BD">
      <w:pPr>
        <w:spacing w:line="360" w:lineRule="auto"/>
        <w:ind w:firstLine="600"/>
        <w:rPr>
          <w:rFonts w:ascii="仿宋_GB2312" w:eastAsia="仿宋_GB2312"/>
        </w:rPr>
      </w:pPr>
      <w:r>
        <w:rPr>
          <w:rFonts w:hint="eastAsia" w:ascii="仿宋_GB2312" w:eastAsia="仿宋_GB2312"/>
        </w:rPr>
        <w:t>每份包含暂列金额的文件还应包括用以证明暂列金额的所有有效的发票、凭证和账户或收据。</w:t>
      </w:r>
    </w:p>
    <w:p w14:paraId="6B0E86FC">
      <w:pPr>
        <w:pStyle w:val="39"/>
        <w:widowControl/>
        <w:spacing w:afterLines="0"/>
        <w:ind w:left="0"/>
        <w:outlineLvl w:val="3"/>
        <w:rPr>
          <w:rFonts w:hint="eastAsia"/>
          <w:b w:val="0"/>
          <w:bCs/>
          <w:sz w:val="21"/>
          <w:szCs w:val="21"/>
        </w:rPr>
      </w:pPr>
      <w:bookmarkStart w:id="1507" w:name="_Toc27211"/>
      <w:bookmarkEnd w:id="1507"/>
      <w:bookmarkStart w:id="1508" w:name="_Toc296503152"/>
      <w:bookmarkEnd w:id="1508"/>
      <w:bookmarkStart w:id="1509" w:name="_Toc28193"/>
      <w:bookmarkEnd w:id="1509"/>
      <w:bookmarkStart w:id="1510" w:name="_Toc296346653"/>
      <w:bookmarkEnd w:id="1510"/>
      <w:bookmarkStart w:id="1511" w:name="_Ref4431438"/>
      <w:bookmarkEnd w:id="1511"/>
      <w:bookmarkStart w:id="1512" w:name="_Toc337558845"/>
      <w:bookmarkEnd w:id="1512"/>
      <w:bookmarkStart w:id="1513" w:name="_Toc54862288"/>
      <w:bookmarkEnd w:id="1513"/>
      <w:r>
        <w:rPr>
          <w:rFonts w:hint="eastAsia"/>
          <w:b w:val="0"/>
          <w:bCs/>
          <w:sz w:val="21"/>
          <w:szCs w:val="21"/>
        </w:rPr>
        <w:t>13.6 计日工</w:t>
      </w:r>
    </w:p>
    <w:p w14:paraId="22302383">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3.6.1 </w:t>
      </w:r>
      <w:r>
        <w:rPr>
          <w:rFonts w:hint="eastAsia" w:ascii="仿宋_GB2312" w:eastAsia="仿宋_GB2312"/>
          <w:sz w:val="21"/>
        </w:rPr>
        <w:t>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w:t>
      </w:r>
      <w:r>
        <w:rPr>
          <w:rFonts w:ascii="仿宋_GB2312" w:eastAsia="仿宋_GB2312"/>
          <w:sz w:val="21"/>
        </w:rPr>
        <w:t>3.6</w:t>
      </w:r>
      <w:r>
        <w:rPr>
          <w:rFonts w:hint="eastAsia" w:ascii="仿宋_GB2312" w:eastAsia="仿宋_GB2312"/>
          <w:sz w:val="21"/>
        </w:rPr>
        <w:t>款[商定或确定]确定计日工的单价。</w:t>
      </w:r>
    </w:p>
    <w:p w14:paraId="5F2BCEDC">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3.6.2 </w:t>
      </w:r>
      <w:r>
        <w:rPr>
          <w:rFonts w:hint="eastAsia" w:ascii="仿宋_GB2312" w:eastAsia="仿宋_GB2312"/>
          <w:sz w:val="21"/>
        </w:rPr>
        <w:t>采用计日工计价的任何一项工作，承包人应在该项工作实施过程中，每天提交以下报表和有关凭证报送工程师审查：</w:t>
      </w:r>
    </w:p>
    <w:p w14:paraId="52022EF6">
      <w:pPr>
        <w:spacing w:line="360" w:lineRule="auto"/>
        <w:ind w:firstLine="600"/>
        <w:outlineLvl w:val="4"/>
        <w:rPr>
          <w:rFonts w:ascii="仿宋_GB2312" w:eastAsia="仿宋_GB2312"/>
        </w:rPr>
      </w:pPr>
      <w:r>
        <w:rPr>
          <w:rFonts w:hint="eastAsia" w:ascii="仿宋_GB2312" w:eastAsia="仿宋_GB2312"/>
        </w:rPr>
        <w:t>（1） 工作名称、内容和数量；</w:t>
      </w:r>
    </w:p>
    <w:p w14:paraId="74F1B9E3">
      <w:pPr>
        <w:spacing w:line="360" w:lineRule="auto"/>
        <w:ind w:firstLine="600"/>
        <w:rPr>
          <w:rFonts w:ascii="仿宋_GB2312" w:eastAsia="仿宋_GB2312"/>
        </w:rPr>
      </w:pPr>
      <w:r>
        <w:rPr>
          <w:rFonts w:hint="eastAsia" w:ascii="仿宋_GB2312" w:eastAsia="仿宋_GB2312"/>
        </w:rPr>
        <w:t>（2） 投入该工作的所有人员的姓名、专业、工种、级别和耗用工时；</w:t>
      </w:r>
    </w:p>
    <w:p w14:paraId="494C9631">
      <w:pPr>
        <w:spacing w:line="360" w:lineRule="auto"/>
        <w:ind w:firstLine="600"/>
        <w:rPr>
          <w:rFonts w:ascii="仿宋_GB2312" w:eastAsia="仿宋_GB2312"/>
        </w:rPr>
      </w:pPr>
      <w:r>
        <w:rPr>
          <w:rFonts w:hint="eastAsia" w:ascii="仿宋_GB2312" w:eastAsia="仿宋_GB2312"/>
        </w:rPr>
        <w:t>（3） 投入该工作的材料类别和数量；</w:t>
      </w:r>
    </w:p>
    <w:p w14:paraId="251072D1">
      <w:pPr>
        <w:spacing w:line="360" w:lineRule="auto"/>
        <w:ind w:firstLine="600"/>
        <w:rPr>
          <w:rFonts w:ascii="仿宋_GB2312" w:eastAsia="仿宋_GB2312"/>
        </w:rPr>
      </w:pPr>
      <w:r>
        <w:rPr>
          <w:rFonts w:hint="eastAsia" w:ascii="仿宋_GB2312" w:eastAsia="仿宋_GB2312"/>
        </w:rPr>
        <w:t>（4） 投入该工作的施工设备型号、台数和耗用台时；</w:t>
      </w:r>
    </w:p>
    <w:p w14:paraId="12EB65BB">
      <w:pPr>
        <w:spacing w:line="360" w:lineRule="auto"/>
        <w:ind w:firstLine="600"/>
        <w:rPr>
          <w:rFonts w:ascii="仿宋_GB2312" w:eastAsia="仿宋_GB2312"/>
        </w:rPr>
      </w:pPr>
      <w:r>
        <w:rPr>
          <w:rFonts w:hint="eastAsia" w:ascii="仿宋_GB2312" w:eastAsia="仿宋_GB2312"/>
        </w:rPr>
        <w:t>（</w:t>
      </w:r>
      <w:r>
        <w:rPr>
          <w:rFonts w:ascii="仿宋_GB2312" w:eastAsia="仿宋_GB2312"/>
        </w:rPr>
        <w:t>5</w:t>
      </w:r>
      <w:r>
        <w:rPr>
          <w:rFonts w:hint="eastAsia" w:ascii="仿宋_GB2312" w:eastAsia="仿宋_GB2312"/>
        </w:rPr>
        <w:t>） 其他有关资料和凭证。</w:t>
      </w:r>
    </w:p>
    <w:p w14:paraId="5DD56A93">
      <w:pPr>
        <w:spacing w:line="360" w:lineRule="auto"/>
        <w:ind w:firstLine="600"/>
        <w:rPr>
          <w:rFonts w:ascii="仿宋_GB2312" w:eastAsia="仿宋_GB2312"/>
        </w:rPr>
      </w:pPr>
      <w:r>
        <w:rPr>
          <w:rFonts w:hint="eastAsia" w:ascii="仿宋_GB2312" w:eastAsia="仿宋_GB2312"/>
        </w:rPr>
        <w:t>计日工由承包人汇总后，列入最近一期进度付款申请单，由工程师审查并经发包人批准后列入进度付款。</w:t>
      </w:r>
    </w:p>
    <w:p w14:paraId="3DAC6156">
      <w:pPr>
        <w:pStyle w:val="39"/>
        <w:widowControl/>
        <w:spacing w:afterLines="0"/>
        <w:ind w:left="0"/>
        <w:outlineLvl w:val="3"/>
        <w:rPr>
          <w:rFonts w:hint="eastAsia"/>
          <w:b w:val="0"/>
          <w:bCs/>
          <w:sz w:val="21"/>
          <w:szCs w:val="21"/>
        </w:rPr>
      </w:pPr>
      <w:bookmarkStart w:id="1514" w:name="_Ref4617318"/>
      <w:bookmarkEnd w:id="1514"/>
      <w:bookmarkStart w:id="1515" w:name="_Toc7273"/>
      <w:bookmarkEnd w:id="1515"/>
      <w:bookmarkStart w:id="1516" w:name="_Ref4617331"/>
      <w:bookmarkEnd w:id="1516"/>
      <w:bookmarkStart w:id="1517" w:name="_Toc28326"/>
      <w:bookmarkEnd w:id="1517"/>
      <w:bookmarkStart w:id="1518" w:name="_Toc54862289"/>
      <w:bookmarkEnd w:id="1518"/>
      <w:r>
        <w:rPr>
          <w:rFonts w:hint="eastAsia"/>
          <w:b w:val="0"/>
          <w:bCs/>
          <w:sz w:val="21"/>
          <w:szCs w:val="21"/>
        </w:rPr>
        <w:t>13.7 法律变化引起的调整</w:t>
      </w:r>
    </w:p>
    <w:p w14:paraId="30A1EA8C">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3.7.1 </w:t>
      </w:r>
      <w:r>
        <w:rPr>
          <w:rFonts w:hint="eastAsia" w:ascii="仿宋_GB2312" w:eastAsia="仿宋_GB2312"/>
          <w:sz w:val="21"/>
        </w:rPr>
        <w:t>基准日期后，法律变化导致承包人在合同履行过程中所需要的费用发生除第13.</w:t>
      </w:r>
      <w:r>
        <w:rPr>
          <w:rFonts w:ascii="仿宋_GB2312" w:eastAsia="仿宋_GB2312"/>
          <w:sz w:val="21"/>
        </w:rPr>
        <w:t>8</w:t>
      </w:r>
      <w:r>
        <w:rPr>
          <w:rFonts w:hint="eastAsia" w:ascii="仿宋_GB2312" w:eastAsia="仿宋_GB2312"/>
          <w:sz w:val="21"/>
        </w:rPr>
        <w:t>款[市场价格波动引起的调整]约定以外的增加时，由发包人承担由此增加的费用；减少时，应从合同价格中予以扣减。基准日期后，因法律变化造成工期延误时，工期应予以顺延。</w:t>
      </w:r>
    </w:p>
    <w:p w14:paraId="407FE0D6">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3.7.2 </w:t>
      </w:r>
      <w:r>
        <w:rPr>
          <w:rFonts w:hint="eastAsia" w:ascii="仿宋_GB2312" w:eastAsia="仿宋_GB2312"/>
          <w:sz w:val="21"/>
        </w:rPr>
        <w:t>因法律变化引起的合同价格和工期调整，合同当事人无法达成一致的，由工程师按第</w:t>
      </w:r>
      <w:r>
        <w:rPr>
          <w:rFonts w:ascii="仿宋_GB2312" w:eastAsia="仿宋_GB2312"/>
          <w:sz w:val="21"/>
        </w:rPr>
        <w:t>3.6</w:t>
      </w:r>
      <w:r>
        <w:rPr>
          <w:rFonts w:hint="eastAsia" w:ascii="仿宋_GB2312" w:eastAsia="仿宋_GB2312"/>
          <w:sz w:val="21"/>
        </w:rPr>
        <w:t>款[商定或确定]的约定处理。</w:t>
      </w:r>
    </w:p>
    <w:p w14:paraId="44E6AFEF">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3.7.3 </w:t>
      </w:r>
      <w:r>
        <w:rPr>
          <w:rFonts w:hint="eastAsia" w:ascii="仿宋_GB2312" w:eastAsia="仿宋_GB2312"/>
          <w:sz w:val="21"/>
        </w:rPr>
        <w:t>因承包人原因造成工期延误，在工期延误期间出现法律变化的，由此增加的费用和（或）延误的工期由承包人承担。</w:t>
      </w:r>
    </w:p>
    <w:p w14:paraId="75141DB7">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3.7.4 </w:t>
      </w:r>
      <w:r>
        <w:rPr>
          <w:rFonts w:hint="eastAsia" w:ascii="仿宋_GB2312" w:eastAsia="仿宋_GB2312"/>
          <w:sz w:val="21"/>
        </w:rPr>
        <w:t>因法律变化而需要对工程的实施进行任何调整的，承包人应迅速通知发包人，或者发包人应迅速通知承包人，并附上详细的辅助资料。发包人接到通知后，应根据第</w:t>
      </w:r>
      <w:r>
        <w:rPr>
          <w:rFonts w:ascii="仿宋_GB2312" w:eastAsia="仿宋_GB2312"/>
          <w:sz w:val="21"/>
        </w:rPr>
        <w:t>13.3</w:t>
      </w:r>
      <w:r>
        <w:rPr>
          <w:rFonts w:hint="eastAsia" w:ascii="仿宋_GB2312" w:eastAsia="仿宋_GB2312"/>
          <w:sz w:val="21"/>
        </w:rPr>
        <w:t>款[</w:t>
      </w:r>
      <w:r>
        <w:rPr>
          <w:rFonts w:ascii="仿宋_GB2312" w:eastAsia="仿宋_GB2312"/>
          <w:sz w:val="21"/>
        </w:rPr>
        <w:t>变更程序</w:t>
      </w:r>
      <w:r>
        <w:rPr>
          <w:rFonts w:hint="eastAsia" w:ascii="仿宋_GB2312" w:eastAsia="仿宋_GB2312"/>
          <w:sz w:val="21"/>
        </w:rPr>
        <w:t>]发出变更指示。</w:t>
      </w:r>
    </w:p>
    <w:p w14:paraId="248FEA07">
      <w:pPr>
        <w:pStyle w:val="39"/>
        <w:widowControl/>
        <w:spacing w:afterLines="0"/>
        <w:ind w:left="0"/>
        <w:outlineLvl w:val="3"/>
        <w:rPr>
          <w:rFonts w:hint="eastAsia"/>
          <w:b w:val="0"/>
          <w:bCs/>
          <w:sz w:val="21"/>
          <w:szCs w:val="21"/>
        </w:rPr>
      </w:pPr>
      <w:bookmarkStart w:id="1519" w:name="_Toc54862290"/>
      <w:bookmarkEnd w:id="1519"/>
      <w:bookmarkStart w:id="1520" w:name="_Ref531955627"/>
      <w:bookmarkEnd w:id="1520"/>
      <w:bookmarkStart w:id="1521" w:name="_Ref531955630"/>
      <w:bookmarkEnd w:id="1521"/>
      <w:bookmarkStart w:id="1522" w:name="_Ref18977613"/>
      <w:bookmarkEnd w:id="1522"/>
      <w:bookmarkStart w:id="1523" w:name="_Toc21793"/>
      <w:bookmarkEnd w:id="1523"/>
      <w:bookmarkStart w:id="1524" w:name="_Toc28389"/>
      <w:bookmarkEnd w:id="1524"/>
      <w:r>
        <w:rPr>
          <w:rFonts w:hint="eastAsia"/>
          <w:b w:val="0"/>
          <w:bCs/>
          <w:sz w:val="21"/>
          <w:szCs w:val="21"/>
        </w:rPr>
        <w:t>13.8 市场价格波动引起的调整</w:t>
      </w:r>
    </w:p>
    <w:p w14:paraId="6ED9140E">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3.8.1 </w:t>
      </w:r>
      <w:r>
        <w:rPr>
          <w:rFonts w:hint="eastAsia" w:ascii="仿宋_GB2312" w:eastAsia="仿宋_GB2312"/>
          <w:sz w:val="21"/>
        </w:rPr>
        <w:t>主要工程材料、设备、人工价格与招标时基期价相比，波动幅度超过合同约定幅度的，双方按照合同约定的价格调整方式调整。</w:t>
      </w:r>
    </w:p>
    <w:p w14:paraId="0F5BE7FE">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3.8.2 </w:t>
      </w:r>
      <w:r>
        <w:rPr>
          <w:rFonts w:hint="eastAsia" w:ascii="仿宋_GB2312" w:eastAsia="仿宋_GB2312"/>
          <w:sz w:val="21"/>
        </w:rPr>
        <w:t>发包人与承包人在专用合同条件中约定采用《价格指数权重表》的，适用本项约定。</w:t>
      </w:r>
    </w:p>
    <w:p w14:paraId="4C56B6A5">
      <w:pPr>
        <w:pStyle w:val="41"/>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3.8.2.1 </w:t>
      </w:r>
      <w:r>
        <w:rPr>
          <w:rFonts w:hint="eastAsia" w:ascii="仿宋_GB2312" w:eastAsia="仿宋_GB2312"/>
          <w:sz w:val="21"/>
        </w:rPr>
        <w:t>双方当事人可以将部分主要工程材料、工程设备、人工价格及其他双方认为应当根据市场价格调整的费用列入附件</w:t>
      </w:r>
      <w:r>
        <w:rPr>
          <w:rFonts w:ascii="仿宋_GB2312" w:eastAsia="仿宋_GB2312"/>
          <w:sz w:val="21"/>
        </w:rPr>
        <w:t>6</w:t>
      </w:r>
      <w:r>
        <w:rPr>
          <w:rFonts w:hint="eastAsia" w:ascii="仿宋_GB2312" w:eastAsia="仿宋_GB2312"/>
          <w:sz w:val="21"/>
        </w:rPr>
        <w:t>[</w:t>
      </w:r>
      <w:r>
        <w:rPr>
          <w:rFonts w:ascii="仿宋_GB2312" w:eastAsia="仿宋_GB2312"/>
          <w:sz w:val="21"/>
        </w:rPr>
        <w:t>价格指数权重表</w:t>
      </w:r>
      <w:r>
        <w:rPr>
          <w:rFonts w:hint="eastAsia" w:ascii="仿宋_GB2312" w:eastAsia="仿宋_GB2312"/>
          <w:sz w:val="21"/>
        </w:rPr>
        <w:t>]</w:t>
      </w:r>
      <w:r>
        <w:rPr>
          <w:rFonts w:ascii="仿宋_GB2312" w:eastAsia="仿宋_GB2312"/>
          <w:sz w:val="21"/>
        </w:rPr>
        <w:t>，并根据以下公式计算差额并调整合同价格：</w:t>
      </w:r>
    </w:p>
    <w:p w14:paraId="31A78A86">
      <w:pPr>
        <w:spacing w:line="360" w:lineRule="auto"/>
        <w:ind w:firstLine="600"/>
        <w:outlineLvl w:val="4"/>
        <w:rPr>
          <w:rFonts w:ascii="仿宋_GB2312" w:eastAsia="仿宋_GB2312"/>
        </w:rPr>
      </w:pPr>
      <w:bookmarkStart w:id="1525" w:name="_Ref4616996"/>
      <w:bookmarkEnd w:id="1525"/>
      <w:r>
        <w:rPr>
          <w:rFonts w:hint="eastAsia" w:ascii="仿宋_GB2312" w:eastAsia="仿宋_GB2312"/>
        </w:rPr>
        <w:t>（1） 价格调整公式</w:t>
      </w:r>
    </w:p>
    <w:p w14:paraId="2C72FC99">
      <w:pPr>
        <w:spacing w:line="360" w:lineRule="auto"/>
        <w:rPr>
          <w:rFonts w:ascii="仿宋_GB2312" w:eastAsia="仿宋_GB2312"/>
        </w:rPr>
      </w:pPr>
      <w:r>
        <w:drawing>
          <wp:inline distT="0" distB="0" distL="0" distR="0">
            <wp:extent cx="4770120" cy="669290"/>
            <wp:effectExtent l="0" t="0" r="11430" b="16510"/>
            <wp:docPr id="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4"/>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4770120" cy="669290"/>
                    </a:xfrm>
                    <a:prstGeom prst="rect">
                      <a:avLst/>
                    </a:prstGeom>
                    <a:noFill/>
                    <a:ln w="12700">
                      <a:noFill/>
                    </a:ln>
                  </pic:spPr>
                </pic:pic>
              </a:graphicData>
            </a:graphic>
          </wp:inline>
        </w:drawing>
      </w:r>
    </w:p>
    <w:p w14:paraId="6036AA7D">
      <w:pPr>
        <w:spacing w:line="360" w:lineRule="auto"/>
        <w:ind w:firstLine="600"/>
        <w:rPr>
          <w:rFonts w:ascii="仿宋_GB2312" w:eastAsia="仿宋_GB2312"/>
        </w:rPr>
      </w:pPr>
      <w:r>
        <w:rPr>
          <w:rFonts w:hint="eastAsia" w:ascii="仿宋_GB2312" w:eastAsia="仿宋_GB2312"/>
        </w:rPr>
        <w:t>公式中：△P---需调整的价格差额；</w:t>
      </w:r>
    </w:p>
    <w:p w14:paraId="4D0398F5">
      <w:pPr>
        <w:spacing w:line="360" w:lineRule="auto"/>
        <w:ind w:firstLine="600"/>
        <w:rPr>
          <w:rFonts w:ascii="仿宋_GB2312" w:eastAsia="仿宋_GB2312"/>
        </w:rPr>
      </w:pPr>
      <w:r>
        <w:rPr>
          <w:rFonts w:hint="eastAsia" w:ascii="仿宋_GB2312" w:eastAsia="仿宋_GB2312"/>
        </w:rPr>
        <w:t>P</w:t>
      </w:r>
      <w:r>
        <w:rPr>
          <w:rFonts w:hint="eastAsia" w:ascii="仿宋_GB2312" w:eastAsia="仿宋_GB2312"/>
          <w:vertAlign w:val="subscript"/>
        </w:rPr>
        <w:t>O</w:t>
      </w:r>
      <w:r>
        <w:rPr>
          <w:rFonts w:hint="eastAsia" w:ascii="仿宋_GB2312" w:eastAsia="仿宋_GB2312"/>
        </w:rPr>
        <w:t>---付款证书中承包人应得到的已完成工作量的金额。此项金额应不包括价格调整、不计质量保证金的预留和支付、预付款的支付和扣回。第13条[变更与</w:t>
      </w:r>
      <w:r>
        <w:rPr>
          <w:rFonts w:ascii="仿宋_GB2312" w:eastAsia="仿宋_GB2312"/>
        </w:rPr>
        <w:t>调整</w:t>
      </w:r>
      <w:r>
        <w:rPr>
          <w:rFonts w:hint="eastAsia" w:ascii="仿宋_GB2312" w:eastAsia="仿宋_GB2312"/>
        </w:rPr>
        <w:t>]约定的变更及其他金额已按当期价格计价的，也不计在内；</w:t>
      </w:r>
    </w:p>
    <w:p w14:paraId="38C6FE9A">
      <w:pPr>
        <w:spacing w:line="360" w:lineRule="auto"/>
        <w:ind w:firstLine="600"/>
        <w:rPr>
          <w:rFonts w:ascii="仿宋_GB2312" w:eastAsia="仿宋_GB2312"/>
        </w:rPr>
      </w:pPr>
      <w:r>
        <w:rPr>
          <w:rFonts w:hint="eastAsia" w:ascii="仿宋_GB2312" w:eastAsia="仿宋_GB2312"/>
        </w:rPr>
        <w:t xml:space="preserve">A ---定值权重（即不调部分的权重）； </w:t>
      </w:r>
    </w:p>
    <w:p w14:paraId="6571F046">
      <w:pPr>
        <w:spacing w:line="360" w:lineRule="auto"/>
        <w:ind w:firstLine="600"/>
        <w:rPr>
          <w:rFonts w:ascii="仿宋_GB2312" w:eastAsia="仿宋_GB2312"/>
        </w:rPr>
      </w:pPr>
      <w:bookmarkStart w:id="1526" w:name="_Hlk24103184"/>
      <w:bookmarkEnd w:id="1526"/>
      <w:bookmarkStart w:id="1527" w:name="_Hlk24103205"/>
      <w:bookmarkEnd w:id="1527"/>
      <w:bookmarkStart w:id="1528" w:name="_Hlk24103245"/>
      <w:bookmarkEnd w:id="1528"/>
      <w:bookmarkStart w:id="1529" w:name="_Hlk24103220"/>
      <w:bookmarkEnd w:id="1529"/>
      <w:r>
        <w:rPr>
          <w:rFonts w:hint="eastAsia" w:ascii="仿宋_GB2312" w:eastAsia="仿宋_GB2312"/>
        </w:rPr>
        <w:t>B</w:t>
      </w:r>
      <w:r>
        <w:rPr>
          <w:rFonts w:hint="eastAsia" w:ascii="仿宋_GB2312" w:eastAsia="仿宋_GB2312"/>
          <w:vertAlign w:val="subscript"/>
        </w:rPr>
        <w:t>1</w:t>
      </w:r>
      <w:r>
        <w:rPr>
          <w:rFonts w:hint="eastAsia" w:ascii="仿宋_GB2312" w:eastAsia="仿宋_GB2312"/>
        </w:rPr>
        <w:t>；B</w:t>
      </w:r>
      <w:r>
        <w:rPr>
          <w:rFonts w:hint="eastAsia" w:ascii="仿宋_GB2312" w:eastAsia="仿宋_GB2312"/>
          <w:vertAlign w:val="subscript"/>
        </w:rPr>
        <w:t>2</w:t>
      </w:r>
      <w:r>
        <w:rPr>
          <w:rFonts w:hint="eastAsia" w:ascii="仿宋_GB2312" w:eastAsia="仿宋_GB2312"/>
        </w:rPr>
        <w:t>；B</w:t>
      </w:r>
      <w:r>
        <w:rPr>
          <w:rFonts w:hint="eastAsia" w:ascii="仿宋_GB2312" w:eastAsia="仿宋_GB2312"/>
          <w:vertAlign w:val="subscript"/>
        </w:rPr>
        <w:t>3</w:t>
      </w:r>
      <w:r>
        <w:rPr>
          <w:rFonts w:hint="eastAsia" w:ascii="仿宋_GB2312" w:eastAsia="仿宋_GB2312"/>
        </w:rPr>
        <w:t>；……B</w:t>
      </w:r>
      <w:r>
        <w:rPr>
          <w:rFonts w:hint="eastAsia" w:ascii="仿宋_GB2312" w:eastAsia="仿宋_GB2312"/>
          <w:vertAlign w:val="subscript"/>
        </w:rPr>
        <w:t>n</w:t>
      </w:r>
      <w:r>
        <w:rPr>
          <w:rFonts w:hint="eastAsia" w:ascii="仿宋_GB2312" w:eastAsia="仿宋_GB2312"/>
        </w:rPr>
        <w:t>---各可调因子的变值权重（即可调部分的权重）为各可调因子在投标函投标总报价中所占的比例，且A+B</w:t>
      </w:r>
      <w:r>
        <w:rPr>
          <w:rFonts w:hint="eastAsia" w:ascii="仿宋_GB2312" w:eastAsia="仿宋_GB2312"/>
          <w:vertAlign w:val="subscript"/>
        </w:rPr>
        <w:t>1</w:t>
      </w:r>
      <w:r>
        <w:rPr>
          <w:rFonts w:hint="eastAsia" w:ascii="仿宋_GB2312" w:eastAsia="仿宋_GB2312"/>
        </w:rPr>
        <w:t>+B</w:t>
      </w:r>
      <w:r>
        <w:rPr>
          <w:rFonts w:hint="eastAsia" w:ascii="仿宋_GB2312" w:eastAsia="仿宋_GB2312"/>
          <w:vertAlign w:val="subscript"/>
        </w:rPr>
        <w:t>2</w:t>
      </w:r>
      <w:r>
        <w:rPr>
          <w:rFonts w:hint="eastAsia" w:ascii="仿宋_GB2312" w:eastAsia="仿宋_GB2312"/>
        </w:rPr>
        <w:t>+B</w:t>
      </w:r>
      <w:r>
        <w:rPr>
          <w:rFonts w:hint="eastAsia" w:ascii="仿宋_GB2312" w:eastAsia="仿宋_GB2312"/>
          <w:vertAlign w:val="subscript"/>
        </w:rPr>
        <w:t>3</w:t>
      </w:r>
      <w:r>
        <w:rPr>
          <w:rFonts w:hint="eastAsia" w:ascii="仿宋_GB2312" w:eastAsia="仿宋_GB2312"/>
        </w:rPr>
        <w:t>+……+B</w:t>
      </w:r>
      <w:r>
        <w:rPr>
          <w:rFonts w:hint="eastAsia" w:ascii="仿宋_GB2312" w:eastAsia="仿宋_GB2312"/>
          <w:vertAlign w:val="subscript"/>
        </w:rPr>
        <w:t>n</w:t>
      </w:r>
      <w:r>
        <w:rPr>
          <w:rFonts w:hint="eastAsia" w:ascii="仿宋_GB2312" w:eastAsia="仿宋_GB2312"/>
        </w:rPr>
        <w:t>=1；</w:t>
      </w:r>
    </w:p>
    <w:p w14:paraId="2BCB667F">
      <w:pPr>
        <w:spacing w:line="360" w:lineRule="auto"/>
        <w:ind w:firstLine="600"/>
        <w:rPr>
          <w:rFonts w:ascii="仿宋_GB2312" w:eastAsia="仿宋_GB2312"/>
        </w:rPr>
      </w:pPr>
      <w:r>
        <w:rPr>
          <w:rFonts w:hint="eastAsia" w:ascii="仿宋_GB2312" w:eastAsia="仿宋_GB2312"/>
        </w:rPr>
        <w:t>F</w:t>
      </w:r>
      <w:r>
        <w:rPr>
          <w:rFonts w:hint="eastAsia" w:ascii="仿宋_GB2312" w:eastAsia="仿宋_GB2312"/>
          <w:vertAlign w:val="subscript"/>
        </w:rPr>
        <w:t>t1</w:t>
      </w:r>
      <w:r>
        <w:rPr>
          <w:rFonts w:hint="eastAsia" w:ascii="仿宋_GB2312" w:eastAsia="仿宋_GB2312"/>
        </w:rPr>
        <w:t>；F</w:t>
      </w:r>
      <w:r>
        <w:rPr>
          <w:rFonts w:hint="eastAsia" w:ascii="仿宋_GB2312" w:eastAsia="仿宋_GB2312"/>
          <w:vertAlign w:val="subscript"/>
        </w:rPr>
        <w:t>t2</w:t>
      </w:r>
      <w:r>
        <w:rPr>
          <w:rFonts w:hint="eastAsia" w:ascii="仿宋_GB2312" w:eastAsia="仿宋_GB2312"/>
        </w:rPr>
        <w:t>；F</w:t>
      </w:r>
      <w:r>
        <w:rPr>
          <w:rFonts w:hint="eastAsia" w:ascii="仿宋_GB2312" w:eastAsia="仿宋_GB2312"/>
          <w:vertAlign w:val="subscript"/>
        </w:rPr>
        <w:t>t3</w:t>
      </w:r>
      <w:r>
        <w:rPr>
          <w:rFonts w:hint="eastAsia" w:ascii="仿宋_GB2312" w:eastAsia="仿宋_GB2312"/>
        </w:rPr>
        <w:t>；……F</w:t>
      </w:r>
      <w:r>
        <w:rPr>
          <w:rFonts w:hint="eastAsia" w:ascii="仿宋_GB2312" w:eastAsia="仿宋_GB2312"/>
          <w:vertAlign w:val="subscript"/>
        </w:rPr>
        <w:t>tn</w:t>
      </w:r>
      <w:r>
        <w:rPr>
          <w:rFonts w:hint="eastAsia" w:ascii="仿宋_GB2312" w:eastAsia="仿宋_GB2312"/>
        </w:rPr>
        <w:t>---各可调因子的当期价格指数，指付款证书相关周期最后一天的前42天的各可调因子的价格指数；</w:t>
      </w:r>
    </w:p>
    <w:p w14:paraId="329C727D">
      <w:pPr>
        <w:spacing w:line="360" w:lineRule="auto"/>
        <w:ind w:firstLine="600"/>
        <w:rPr>
          <w:rFonts w:ascii="仿宋_GB2312" w:eastAsia="仿宋_GB2312"/>
        </w:rPr>
      </w:pPr>
      <w:r>
        <w:rPr>
          <w:rFonts w:hint="eastAsia" w:ascii="仿宋_GB2312" w:eastAsia="仿宋_GB2312"/>
        </w:rPr>
        <w:t>F</w:t>
      </w:r>
      <w:r>
        <w:rPr>
          <w:rFonts w:hint="eastAsia" w:ascii="仿宋_GB2312" w:eastAsia="仿宋_GB2312"/>
          <w:vertAlign w:val="subscript"/>
        </w:rPr>
        <w:t>01</w:t>
      </w:r>
      <w:r>
        <w:rPr>
          <w:rFonts w:hint="eastAsia" w:ascii="仿宋_GB2312" w:eastAsia="仿宋_GB2312"/>
        </w:rPr>
        <w:t>；F</w:t>
      </w:r>
      <w:r>
        <w:rPr>
          <w:rFonts w:hint="eastAsia" w:ascii="仿宋_GB2312" w:eastAsia="仿宋_GB2312"/>
          <w:vertAlign w:val="subscript"/>
        </w:rPr>
        <w:t>02</w:t>
      </w:r>
      <w:r>
        <w:rPr>
          <w:rFonts w:hint="eastAsia" w:ascii="仿宋_GB2312" w:eastAsia="仿宋_GB2312"/>
        </w:rPr>
        <w:t>；F</w:t>
      </w:r>
      <w:r>
        <w:rPr>
          <w:rFonts w:hint="eastAsia" w:ascii="仿宋_GB2312" w:eastAsia="仿宋_GB2312"/>
          <w:vertAlign w:val="subscript"/>
        </w:rPr>
        <w:t>03</w:t>
      </w:r>
      <w:r>
        <w:rPr>
          <w:rFonts w:hint="eastAsia" w:ascii="仿宋_GB2312" w:eastAsia="仿宋_GB2312"/>
        </w:rPr>
        <w:t>；……F</w:t>
      </w:r>
      <w:r>
        <w:rPr>
          <w:rFonts w:hint="eastAsia" w:ascii="仿宋_GB2312" w:eastAsia="仿宋_GB2312"/>
          <w:vertAlign w:val="subscript"/>
        </w:rPr>
        <w:t>0n</w:t>
      </w:r>
      <w:r>
        <w:rPr>
          <w:rFonts w:hint="eastAsia" w:ascii="仿宋_GB2312" w:eastAsia="仿宋_GB2312"/>
        </w:rPr>
        <w:t>---各可调因子的基本价格指数，指基准日期的各可调因子的价格指数。</w:t>
      </w:r>
    </w:p>
    <w:p w14:paraId="17832B84">
      <w:pPr>
        <w:spacing w:line="360" w:lineRule="auto"/>
        <w:ind w:firstLine="600"/>
        <w:rPr>
          <w:rFonts w:ascii="仿宋_GB2312" w:eastAsia="仿宋_GB2312"/>
        </w:rPr>
      </w:pPr>
      <w:r>
        <w:rPr>
          <w:rFonts w:hint="eastAsia" w:ascii="仿宋_GB2312" w:eastAsia="仿宋_GB2312"/>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4A203FA2">
      <w:pPr>
        <w:spacing w:line="360" w:lineRule="auto"/>
        <w:ind w:firstLine="600"/>
        <w:outlineLvl w:val="4"/>
        <w:rPr>
          <w:rFonts w:ascii="仿宋_GB2312" w:eastAsia="仿宋_GB2312"/>
        </w:rPr>
      </w:pPr>
      <w:r>
        <w:rPr>
          <w:rFonts w:hint="eastAsia" w:ascii="仿宋_GB2312" w:eastAsia="仿宋_GB2312"/>
        </w:rPr>
        <w:t>（2） 暂时确定调整差额</w:t>
      </w:r>
    </w:p>
    <w:p w14:paraId="17F0CD0B">
      <w:pPr>
        <w:spacing w:line="360" w:lineRule="auto"/>
        <w:ind w:firstLine="600"/>
        <w:rPr>
          <w:rFonts w:ascii="仿宋_GB2312" w:eastAsia="仿宋_GB2312"/>
        </w:rPr>
      </w:pPr>
      <w:r>
        <w:rPr>
          <w:rFonts w:hint="eastAsia" w:ascii="仿宋_GB2312" w:eastAsia="仿宋_GB2312"/>
        </w:rPr>
        <w:t>在计算调整差额时得不到当期价格指数的，可暂用上一次价格指数计算，并在以后的付款中再按实际价格指数进行调整。</w:t>
      </w:r>
    </w:p>
    <w:p w14:paraId="5F711ED1">
      <w:pPr>
        <w:spacing w:line="360" w:lineRule="auto"/>
        <w:ind w:firstLine="600"/>
        <w:outlineLvl w:val="4"/>
        <w:rPr>
          <w:rFonts w:ascii="仿宋_GB2312" w:eastAsia="仿宋_GB2312"/>
        </w:rPr>
      </w:pPr>
      <w:r>
        <w:rPr>
          <w:rFonts w:hint="eastAsia" w:ascii="仿宋_GB2312" w:eastAsia="仿宋_GB2312"/>
        </w:rPr>
        <w:t>（3） 权重的调整</w:t>
      </w:r>
    </w:p>
    <w:p w14:paraId="7B048B4E">
      <w:pPr>
        <w:spacing w:line="360" w:lineRule="auto"/>
        <w:ind w:firstLine="600"/>
        <w:rPr>
          <w:rFonts w:ascii="仿宋_GB2312" w:eastAsia="仿宋_GB2312"/>
        </w:rPr>
      </w:pPr>
      <w:r>
        <w:rPr>
          <w:rFonts w:hint="eastAsia" w:ascii="仿宋_GB2312" w:eastAsia="仿宋_GB2312"/>
        </w:rPr>
        <w:t>按第</w:t>
      </w:r>
      <w:r>
        <w:rPr>
          <w:rFonts w:ascii="仿宋_GB2312" w:eastAsia="仿宋_GB2312"/>
        </w:rPr>
        <w:t>13.1</w:t>
      </w:r>
      <w:r>
        <w:rPr>
          <w:rFonts w:hint="eastAsia" w:ascii="仿宋_GB2312" w:eastAsia="仿宋_GB2312"/>
        </w:rPr>
        <w:t>款[发包人变更权]约定的变更导致原定合同中的权重不合理的，由工程师与承包人和发包人协商后进行调整。</w:t>
      </w:r>
    </w:p>
    <w:p w14:paraId="0C26F190">
      <w:pPr>
        <w:spacing w:line="360" w:lineRule="auto"/>
        <w:ind w:firstLine="600"/>
        <w:outlineLvl w:val="4"/>
        <w:rPr>
          <w:rFonts w:ascii="仿宋_GB2312" w:eastAsia="仿宋_GB2312"/>
        </w:rPr>
      </w:pPr>
      <w:r>
        <w:rPr>
          <w:rFonts w:hint="eastAsia" w:ascii="仿宋_GB2312" w:eastAsia="仿宋_GB2312"/>
        </w:rPr>
        <w:t>（4） 承包人原因工期延误后的价格调整</w:t>
      </w:r>
    </w:p>
    <w:p w14:paraId="217F7ACF">
      <w:pPr>
        <w:spacing w:line="360" w:lineRule="auto"/>
        <w:ind w:firstLine="600"/>
        <w:rPr>
          <w:rFonts w:ascii="仿宋_GB2312" w:eastAsia="仿宋_GB2312"/>
        </w:rPr>
      </w:pPr>
      <w:r>
        <w:rPr>
          <w:rFonts w:hint="eastAsia" w:ascii="仿宋_GB2312" w:eastAsia="仿宋_GB2312"/>
        </w:rPr>
        <w:t>因承包人原因未在约定的工期内竣工的，则对原约定竣工日期后继续施工的工程，在使用本款第(1）项价格调整公式时，应采用原约定竣工日期与实际竣工日期的两个价格指数中较低的一个作为当期价格指数。</w:t>
      </w:r>
    </w:p>
    <w:p w14:paraId="02C6161C">
      <w:pPr>
        <w:spacing w:line="360" w:lineRule="auto"/>
        <w:ind w:firstLine="600"/>
        <w:outlineLvl w:val="4"/>
        <w:rPr>
          <w:rFonts w:ascii="仿宋_GB2312" w:eastAsia="仿宋_GB2312"/>
        </w:rPr>
      </w:pPr>
      <w:r>
        <w:rPr>
          <w:rFonts w:hint="eastAsia" w:ascii="仿宋_GB2312" w:eastAsia="仿宋_GB2312"/>
        </w:rPr>
        <w:t>（5） 发包人引起的工期延误后的价格调整</w:t>
      </w:r>
    </w:p>
    <w:p w14:paraId="1FC30441">
      <w:pPr>
        <w:spacing w:line="360" w:lineRule="auto"/>
        <w:ind w:firstLine="600"/>
        <w:rPr>
          <w:rFonts w:ascii="仿宋_GB2312" w:eastAsia="仿宋_GB2312"/>
        </w:rPr>
      </w:pPr>
      <w:r>
        <w:rPr>
          <w:rFonts w:hint="eastAsia" w:ascii="仿宋_GB2312" w:eastAsia="仿宋_GB2312"/>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14:paraId="0FDF1ED8">
      <w:pPr>
        <w:pStyle w:val="41"/>
        <w:spacing w:after="157"/>
        <w:ind w:left="0"/>
        <w:rPr>
          <w:rFonts w:hint="eastAsia" w:ascii="仿宋_GB2312" w:eastAsia="仿宋_GB2312"/>
          <w:sz w:val="21"/>
        </w:rPr>
      </w:pPr>
      <w:bookmarkStart w:id="1530" w:name="_Hlk24494865"/>
      <w:bookmarkEnd w:id="1530"/>
      <w:r>
        <w:rPr>
          <w:rFonts w:hint="eastAsia" w:ascii="仿宋_GB2312" w:eastAsia="仿宋_GB2312"/>
          <w:sz w:val="21"/>
        </w:rPr>
        <w:t>1</w:t>
      </w:r>
      <w:r>
        <w:rPr>
          <w:rFonts w:ascii="仿宋_GB2312" w:eastAsia="仿宋_GB2312"/>
          <w:sz w:val="21"/>
        </w:rPr>
        <w:t xml:space="preserve">3.8.2.2 </w:t>
      </w:r>
      <w:r>
        <w:rPr>
          <w:rFonts w:hint="eastAsia" w:ascii="仿宋_GB2312" w:eastAsia="仿宋_GB2312"/>
          <w:sz w:val="21"/>
        </w:rPr>
        <w:t>未列入《价格指数权重表》的费用不因市场变化而调整。</w:t>
      </w:r>
    </w:p>
    <w:p w14:paraId="05823508">
      <w:pPr>
        <w:pStyle w:val="40"/>
        <w:spacing w:after="157"/>
        <w:ind w:left="0"/>
        <w:outlineLvl w:val="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3.8.3 </w:t>
      </w:r>
      <w:r>
        <w:rPr>
          <w:rFonts w:hint="eastAsia" w:ascii="仿宋_GB2312" w:eastAsia="仿宋_GB2312"/>
          <w:sz w:val="21"/>
        </w:rPr>
        <w:t>双方约定采用其他方式调整合同价款的，以专用合同条件约定为准。</w:t>
      </w:r>
    </w:p>
    <w:p w14:paraId="648AB836">
      <w:pPr>
        <w:pStyle w:val="39"/>
        <w:widowControl/>
        <w:spacing w:afterLines="0"/>
        <w:ind w:left="0"/>
        <w:outlineLvl w:val="1"/>
        <w:rPr>
          <w:rFonts w:hint="eastAsia"/>
          <w:b w:val="0"/>
          <w:bCs/>
          <w:sz w:val="28"/>
          <w:szCs w:val="28"/>
        </w:rPr>
      </w:pPr>
      <w:bookmarkStart w:id="1531" w:name="_Ref531955880"/>
      <w:bookmarkEnd w:id="1531"/>
      <w:bookmarkStart w:id="1532" w:name="_Toc25511"/>
      <w:bookmarkEnd w:id="1532"/>
      <w:bookmarkStart w:id="1533" w:name="_Ref531955885"/>
      <w:bookmarkEnd w:id="1533"/>
      <w:bookmarkStart w:id="1534" w:name="_Toc54862291"/>
      <w:bookmarkEnd w:id="1534"/>
      <w:bookmarkStart w:id="1535" w:name="_Toc1725"/>
      <w:bookmarkEnd w:id="1535"/>
      <w:r>
        <w:rPr>
          <w:rFonts w:hint="eastAsia"/>
          <w:b w:val="0"/>
          <w:bCs/>
          <w:sz w:val="28"/>
          <w:szCs w:val="28"/>
        </w:rPr>
        <w:t>第14条 合同价格与支付</w:t>
      </w:r>
    </w:p>
    <w:p w14:paraId="535BFC2E">
      <w:pPr>
        <w:pStyle w:val="39"/>
        <w:widowControl/>
        <w:spacing w:afterLines="0"/>
        <w:ind w:left="0"/>
        <w:rPr>
          <w:rFonts w:hint="eastAsia"/>
          <w:b w:val="0"/>
          <w:bCs/>
          <w:sz w:val="21"/>
          <w:szCs w:val="21"/>
        </w:rPr>
      </w:pPr>
      <w:bookmarkStart w:id="1536" w:name="_Toc29742"/>
      <w:bookmarkEnd w:id="1536"/>
      <w:bookmarkStart w:id="1537" w:name="_Toc17334"/>
      <w:bookmarkEnd w:id="1537"/>
      <w:bookmarkStart w:id="1538" w:name="_Ref4431531"/>
      <w:bookmarkEnd w:id="1538"/>
      <w:bookmarkStart w:id="1539" w:name="_Ref4431521"/>
      <w:bookmarkEnd w:id="1539"/>
      <w:bookmarkStart w:id="1540" w:name="_Toc54862292"/>
      <w:bookmarkEnd w:id="1540"/>
      <w:r>
        <w:rPr>
          <w:rFonts w:hint="eastAsia"/>
          <w:b w:val="0"/>
          <w:bCs/>
          <w:sz w:val="21"/>
          <w:szCs w:val="21"/>
        </w:rPr>
        <w:t>1</w:t>
      </w:r>
      <w:r>
        <w:rPr>
          <w:b w:val="0"/>
          <w:bCs/>
          <w:sz w:val="21"/>
          <w:szCs w:val="21"/>
        </w:rPr>
        <w:t xml:space="preserve">4.1 </w:t>
      </w:r>
      <w:r>
        <w:rPr>
          <w:rFonts w:hint="eastAsia"/>
          <w:b w:val="0"/>
          <w:bCs/>
          <w:sz w:val="21"/>
          <w:szCs w:val="21"/>
        </w:rPr>
        <w:t>合同价格形式</w:t>
      </w:r>
    </w:p>
    <w:p w14:paraId="5485BC8E">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4.1.1 </w:t>
      </w:r>
      <w:r>
        <w:rPr>
          <w:rFonts w:hint="eastAsia" w:ascii="仿宋_GB2312" w:eastAsia="仿宋_GB2312"/>
          <w:sz w:val="21"/>
        </w:rPr>
        <w:t>除专用合同条件中另有约定外，本合同为总价合同，除根据第</w:t>
      </w:r>
      <w:r>
        <w:rPr>
          <w:rFonts w:ascii="仿宋_GB2312" w:eastAsia="仿宋_GB2312"/>
          <w:sz w:val="21"/>
        </w:rPr>
        <w:t>13条</w:t>
      </w:r>
      <w:r>
        <w:rPr>
          <w:rFonts w:hint="eastAsia" w:ascii="仿宋_GB2312" w:eastAsia="仿宋_GB2312"/>
          <w:sz w:val="21"/>
        </w:rPr>
        <w:t>[</w:t>
      </w:r>
      <w:r>
        <w:rPr>
          <w:rFonts w:ascii="仿宋_GB2312" w:eastAsia="仿宋_GB2312"/>
          <w:sz w:val="21"/>
        </w:rPr>
        <w:t>变更与调整]</w:t>
      </w:r>
      <w:r>
        <w:rPr>
          <w:rFonts w:hint="eastAsia" w:ascii="仿宋_GB2312" w:eastAsia="仿宋_GB2312"/>
          <w:sz w:val="21"/>
        </w:rPr>
        <w:t>，以及合同中其他相关增减金额的约定进行调整外，合同价格不作调整。</w:t>
      </w:r>
    </w:p>
    <w:p w14:paraId="686EA8C7">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4.1.2 </w:t>
      </w:r>
      <w:r>
        <w:rPr>
          <w:rFonts w:hint="eastAsia" w:ascii="仿宋_GB2312" w:eastAsia="仿宋_GB2312"/>
          <w:sz w:val="21"/>
        </w:rPr>
        <w:t>除专用合同条件另有约定外：</w:t>
      </w:r>
    </w:p>
    <w:p w14:paraId="135C53D4">
      <w:pPr>
        <w:spacing w:line="360" w:lineRule="auto"/>
        <w:ind w:firstLine="600"/>
        <w:rPr>
          <w:rFonts w:ascii="仿宋_GB2312" w:eastAsia="仿宋_GB2312"/>
        </w:rPr>
      </w:pPr>
      <w:r>
        <w:rPr>
          <w:rFonts w:hint="eastAsia" w:ascii="仿宋_GB2312" w:eastAsia="仿宋_GB2312"/>
        </w:rPr>
        <w:t>（1） 工程款的支付应以合同协议书约定的签约合同价格为基础，按照合同约定进行调整；</w:t>
      </w:r>
    </w:p>
    <w:p w14:paraId="2C3DCF17">
      <w:pPr>
        <w:spacing w:line="360" w:lineRule="auto"/>
        <w:ind w:firstLine="600"/>
        <w:rPr>
          <w:rFonts w:ascii="仿宋_GB2312" w:eastAsia="仿宋_GB2312"/>
        </w:rPr>
      </w:pPr>
      <w:r>
        <w:rPr>
          <w:rFonts w:hint="eastAsia" w:ascii="仿宋_GB2312" w:eastAsia="仿宋_GB2312"/>
        </w:rPr>
        <w:t>（2） 承包人应支付根据法律规定或合同约定应由其支付的各项税费，除第</w:t>
      </w:r>
      <w:r>
        <w:rPr>
          <w:rFonts w:ascii="仿宋_GB2312" w:eastAsia="仿宋_GB2312"/>
        </w:rPr>
        <w:t>13.7</w:t>
      </w:r>
      <w:r>
        <w:rPr>
          <w:rFonts w:hint="eastAsia" w:ascii="仿宋_GB2312" w:eastAsia="仿宋_GB2312"/>
        </w:rPr>
        <w:t>款[</w:t>
      </w:r>
      <w:r>
        <w:rPr>
          <w:rFonts w:ascii="仿宋_GB2312" w:eastAsia="仿宋_GB2312"/>
        </w:rPr>
        <w:t>法律变化引起的调整]</w:t>
      </w:r>
      <w:r>
        <w:rPr>
          <w:rFonts w:hint="eastAsia" w:ascii="仿宋_GB2312" w:eastAsia="仿宋_GB2312"/>
        </w:rPr>
        <w:t>约定外，合同价格不应因任何这些税费进行调整；</w:t>
      </w:r>
    </w:p>
    <w:p w14:paraId="194D6E95">
      <w:pPr>
        <w:spacing w:line="360" w:lineRule="auto"/>
        <w:ind w:firstLine="600"/>
        <w:rPr>
          <w:rFonts w:ascii="仿宋_GB2312" w:eastAsia="仿宋_GB2312"/>
        </w:rPr>
      </w:pPr>
      <w:r>
        <w:rPr>
          <w:rFonts w:hint="eastAsia" w:ascii="仿宋_GB2312" w:eastAsia="仿宋_GB2312"/>
        </w:rPr>
        <w:t>（3） 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3A11F7AF">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4.1.3 </w:t>
      </w:r>
      <w:r>
        <w:rPr>
          <w:rFonts w:hint="eastAsia" w:ascii="仿宋_GB2312" w:eastAsia="仿宋_GB2312"/>
          <w:sz w:val="21"/>
        </w:rPr>
        <w:t>合同约定工程的某部分按照实际完成的工程量进行支付的，应按照专用合同条件的约定进行计量和估价，并据此调整合同价格。</w:t>
      </w:r>
    </w:p>
    <w:p w14:paraId="20BCB7F4">
      <w:pPr>
        <w:pStyle w:val="39"/>
        <w:widowControl/>
        <w:spacing w:afterLines="0"/>
        <w:ind w:left="0"/>
        <w:rPr>
          <w:rFonts w:hint="eastAsia"/>
          <w:b w:val="0"/>
          <w:bCs/>
          <w:sz w:val="21"/>
          <w:szCs w:val="21"/>
        </w:rPr>
      </w:pPr>
      <w:bookmarkStart w:id="1541" w:name="_Toc7136"/>
      <w:bookmarkEnd w:id="1541"/>
      <w:bookmarkStart w:id="1542" w:name="_Toc54862293"/>
      <w:bookmarkEnd w:id="1542"/>
      <w:bookmarkStart w:id="1543" w:name="_Toc21650"/>
      <w:bookmarkEnd w:id="1543"/>
      <w:bookmarkStart w:id="1544" w:name="_Ref531956884"/>
      <w:bookmarkEnd w:id="1544"/>
      <w:bookmarkStart w:id="1545" w:name="_Ref531956881"/>
      <w:bookmarkEnd w:id="1545"/>
      <w:r>
        <w:rPr>
          <w:rFonts w:hint="eastAsia"/>
          <w:b w:val="0"/>
          <w:bCs/>
          <w:sz w:val="21"/>
          <w:szCs w:val="21"/>
        </w:rPr>
        <w:t>14.2 预付款</w:t>
      </w:r>
    </w:p>
    <w:p w14:paraId="23415A45">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4.2.1 </w:t>
      </w:r>
      <w:r>
        <w:rPr>
          <w:rFonts w:hint="eastAsia" w:ascii="仿宋_GB2312" w:eastAsia="仿宋_GB2312"/>
          <w:sz w:val="21"/>
        </w:rPr>
        <w:t>预付款支付</w:t>
      </w:r>
    </w:p>
    <w:p w14:paraId="08D1F731">
      <w:pPr>
        <w:spacing w:line="360" w:lineRule="auto"/>
        <w:ind w:firstLine="600"/>
        <w:rPr>
          <w:rFonts w:ascii="仿宋_GB2312" w:eastAsia="仿宋_GB2312"/>
        </w:rPr>
      </w:pPr>
      <w:r>
        <w:rPr>
          <w:rFonts w:hint="eastAsia" w:ascii="仿宋_GB2312" w:eastAsia="仿宋_GB2312"/>
        </w:rPr>
        <w:t>预付款的额度和支付按照专用合同条件约定执行。预付款应当专用于承包人为合同工程的设计和工程实施购置材料、工程设备、施工设备、修建临时设施以及组织施工队伍进场等合同工作。</w:t>
      </w:r>
    </w:p>
    <w:p w14:paraId="0B991CB3">
      <w:pPr>
        <w:spacing w:line="360" w:lineRule="auto"/>
        <w:ind w:firstLine="600"/>
        <w:rPr>
          <w:rFonts w:ascii="仿宋_GB2312" w:eastAsia="仿宋_GB2312"/>
        </w:rPr>
      </w:pPr>
      <w:r>
        <w:rPr>
          <w:rFonts w:hint="eastAsia" w:ascii="仿宋_GB2312" w:eastAsia="仿宋_GB2312"/>
        </w:rPr>
        <w:t>除专用合同条件另有约定外，预付款在进度付款中同比例扣回。在颁发工程接收证书前，提前解除合同的，尚未扣完的预付款应与合同价款一并结算。</w:t>
      </w:r>
    </w:p>
    <w:p w14:paraId="281AC4A4">
      <w:pPr>
        <w:spacing w:line="360" w:lineRule="auto"/>
        <w:ind w:firstLine="600"/>
        <w:rPr>
          <w:rFonts w:ascii="仿宋_GB2312" w:eastAsia="仿宋_GB2312"/>
        </w:rPr>
      </w:pPr>
      <w:r>
        <w:rPr>
          <w:rFonts w:hint="eastAsia" w:ascii="仿宋_GB2312" w:eastAsia="仿宋_GB2312"/>
        </w:rPr>
        <w:t>发包人逾期支付预付款超过7天的，承包人有权向发包人发出要求预付的催告通知，发包人收到通知后7天内仍未支付的，承包人有权暂停施工，并按第15.1.1项[发包人违约的情形]执行。</w:t>
      </w:r>
    </w:p>
    <w:p w14:paraId="1B0006A7">
      <w:pPr>
        <w:pStyle w:val="40"/>
        <w:spacing w:after="157"/>
        <w:ind w:left="0"/>
        <w:rPr>
          <w:rFonts w:hint="eastAsia" w:ascii="仿宋_GB2312" w:eastAsia="仿宋_GB2312"/>
          <w:sz w:val="21"/>
        </w:rPr>
      </w:pPr>
      <w:bookmarkStart w:id="1546" w:name="_Ref4797624"/>
      <w:bookmarkEnd w:id="1546"/>
      <w:bookmarkStart w:id="1547" w:name="_Ref531956907"/>
      <w:bookmarkEnd w:id="1547"/>
      <w:r>
        <w:rPr>
          <w:rFonts w:hint="eastAsia" w:ascii="仿宋_GB2312" w:eastAsia="仿宋_GB2312"/>
          <w:sz w:val="21"/>
        </w:rPr>
        <w:t>1</w:t>
      </w:r>
      <w:r>
        <w:rPr>
          <w:rFonts w:ascii="仿宋_GB2312" w:eastAsia="仿宋_GB2312"/>
          <w:sz w:val="21"/>
        </w:rPr>
        <w:t xml:space="preserve">4.2.2 </w:t>
      </w:r>
      <w:r>
        <w:rPr>
          <w:rFonts w:hint="eastAsia" w:ascii="仿宋_GB2312" w:eastAsia="仿宋_GB2312"/>
          <w:sz w:val="21"/>
        </w:rPr>
        <w:t>预付款担保</w:t>
      </w:r>
    </w:p>
    <w:p w14:paraId="1964F791">
      <w:pPr>
        <w:spacing w:line="360" w:lineRule="auto"/>
        <w:ind w:firstLine="600"/>
        <w:rPr>
          <w:rFonts w:ascii="仿宋_GB2312" w:eastAsia="仿宋_GB2312"/>
        </w:rPr>
      </w:pPr>
      <w:r>
        <w:rPr>
          <w:rFonts w:hint="eastAsia" w:ascii="仿宋_GB2312" w:eastAsia="仿宋_GB2312"/>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31609B7B">
      <w:pPr>
        <w:spacing w:line="360" w:lineRule="auto"/>
        <w:ind w:firstLine="600"/>
        <w:rPr>
          <w:rFonts w:ascii="仿宋_GB2312" w:eastAsia="仿宋_GB2312"/>
        </w:rPr>
      </w:pPr>
      <w:r>
        <w:rPr>
          <w:rFonts w:hint="eastAsia" w:ascii="仿宋_GB2312" w:eastAsia="仿宋_GB2312"/>
        </w:rPr>
        <w:t>发包人在工程款中逐期扣回预付款后，预付款担保额度应相应减少，但剩余的预付款担保金额不得低于未被扣回的预付款金额。</w:t>
      </w:r>
    </w:p>
    <w:p w14:paraId="4EC4581F">
      <w:pPr>
        <w:pStyle w:val="39"/>
        <w:widowControl/>
        <w:spacing w:afterLines="0"/>
        <w:ind w:left="0"/>
        <w:rPr>
          <w:rFonts w:hint="eastAsia"/>
          <w:b w:val="0"/>
          <w:bCs/>
          <w:sz w:val="21"/>
          <w:szCs w:val="21"/>
        </w:rPr>
      </w:pPr>
      <w:bookmarkStart w:id="1548" w:name="_Ref4623398"/>
      <w:bookmarkEnd w:id="1548"/>
      <w:bookmarkStart w:id="1549" w:name="_Ref531956967"/>
      <w:bookmarkEnd w:id="1549"/>
      <w:bookmarkStart w:id="1550" w:name="_Toc4784193"/>
      <w:bookmarkEnd w:id="1550"/>
      <w:bookmarkStart w:id="1551" w:name="_Toc54862294"/>
      <w:bookmarkEnd w:id="1551"/>
      <w:bookmarkStart w:id="1552" w:name="_Toc21272"/>
      <w:bookmarkEnd w:id="1552"/>
      <w:bookmarkStart w:id="1553" w:name="_Toc26599"/>
      <w:bookmarkEnd w:id="1553"/>
      <w:bookmarkStart w:id="1554" w:name="_Toc4784194"/>
      <w:bookmarkEnd w:id="1554"/>
      <w:bookmarkStart w:id="1555" w:name="_Ref531956963"/>
      <w:bookmarkEnd w:id="1555"/>
      <w:bookmarkStart w:id="1556" w:name="_Toc4784195"/>
      <w:bookmarkEnd w:id="1556"/>
      <w:r>
        <w:rPr>
          <w:rFonts w:hint="eastAsia"/>
          <w:b w:val="0"/>
          <w:bCs/>
          <w:sz w:val="21"/>
          <w:szCs w:val="21"/>
        </w:rPr>
        <w:t>14.3 工程进度款</w:t>
      </w:r>
    </w:p>
    <w:p w14:paraId="065131F4">
      <w:pPr>
        <w:pStyle w:val="40"/>
        <w:spacing w:after="157"/>
        <w:ind w:left="0"/>
        <w:rPr>
          <w:rFonts w:hint="eastAsia" w:ascii="仿宋_GB2312" w:eastAsia="仿宋_GB2312"/>
          <w:sz w:val="21"/>
        </w:rPr>
      </w:pPr>
      <w:bookmarkStart w:id="1557" w:name="_Ref531956987"/>
      <w:bookmarkEnd w:id="1557"/>
      <w:bookmarkStart w:id="1558" w:name="_Ref532679934"/>
      <w:bookmarkEnd w:id="1558"/>
      <w:r>
        <w:rPr>
          <w:rFonts w:hint="eastAsia" w:ascii="仿宋_GB2312" w:eastAsia="仿宋_GB2312"/>
          <w:sz w:val="21"/>
        </w:rPr>
        <w:t>1</w:t>
      </w:r>
      <w:r>
        <w:rPr>
          <w:rFonts w:ascii="仿宋_GB2312" w:eastAsia="仿宋_GB2312"/>
          <w:sz w:val="21"/>
        </w:rPr>
        <w:t xml:space="preserve">4.3.1 </w:t>
      </w:r>
      <w:r>
        <w:rPr>
          <w:rFonts w:hint="eastAsia" w:ascii="仿宋_GB2312" w:eastAsia="仿宋_GB2312"/>
          <w:sz w:val="21"/>
        </w:rPr>
        <w:t>工程进度付款申请</w:t>
      </w:r>
    </w:p>
    <w:p w14:paraId="5D586FC4">
      <w:pPr>
        <w:spacing w:line="360" w:lineRule="auto"/>
        <w:ind w:firstLine="600"/>
        <w:rPr>
          <w:rFonts w:ascii="仿宋_GB2312" w:eastAsia="仿宋_GB2312"/>
        </w:rPr>
      </w:pPr>
      <w:r>
        <w:rPr>
          <w:rFonts w:hint="eastAsia" w:ascii="仿宋_GB2312" w:eastAsia="仿宋_GB2312"/>
        </w:rPr>
        <w:t>（1）人工费的申请</w:t>
      </w:r>
    </w:p>
    <w:p w14:paraId="0437A77B">
      <w:pPr>
        <w:spacing w:line="360" w:lineRule="auto"/>
        <w:ind w:firstLine="600"/>
        <w:rPr>
          <w:rFonts w:ascii="仿宋_GB2312" w:eastAsia="仿宋_GB2312"/>
        </w:rPr>
      </w:pPr>
      <w:r>
        <w:rPr>
          <w:rFonts w:ascii="仿宋_GB2312" w:eastAsia="仿宋_GB2312"/>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r>
        <w:rPr>
          <w:rFonts w:hint="eastAsia" w:ascii="仿宋_GB2312" w:eastAsia="仿宋_GB2312"/>
        </w:rPr>
        <w:t>。</w:t>
      </w:r>
    </w:p>
    <w:p w14:paraId="4D955607">
      <w:pPr>
        <w:spacing w:line="360" w:lineRule="auto"/>
        <w:ind w:firstLine="600"/>
        <w:rPr>
          <w:rFonts w:ascii="仿宋_GB2312" w:eastAsia="仿宋_GB2312"/>
        </w:rPr>
      </w:pPr>
      <w:r>
        <w:rPr>
          <w:rFonts w:hint="eastAsia" w:ascii="仿宋_GB2312" w:eastAsia="仿宋_GB2312"/>
        </w:rPr>
        <w:t>（2）除专用合同条件另有约定外，承包人应在每月月末向工程师提交进度付款申请单，该进度付款申请单应包括下列内容：</w:t>
      </w:r>
    </w:p>
    <w:p w14:paraId="28FB04CB">
      <w:pPr>
        <w:spacing w:line="360" w:lineRule="auto"/>
        <w:ind w:firstLine="600"/>
        <w:rPr>
          <w:rFonts w:ascii="仿宋_GB2312" w:eastAsia="仿宋_GB2312"/>
        </w:rPr>
      </w:pPr>
      <w:bookmarkStart w:id="1559" w:name="_Ref24496054"/>
      <w:bookmarkEnd w:id="1559"/>
      <w:r>
        <w:rPr>
          <w:rFonts w:hint="eastAsia" w:ascii="仿宋_GB2312" w:eastAsia="仿宋_GB2312"/>
        </w:rPr>
        <w:t>1） 截至本次付款周期内已完成工作对应的金额；</w:t>
      </w:r>
    </w:p>
    <w:p w14:paraId="7F50098E">
      <w:pPr>
        <w:spacing w:line="360" w:lineRule="auto"/>
        <w:ind w:firstLine="600"/>
        <w:rPr>
          <w:rFonts w:ascii="仿宋_GB2312" w:eastAsia="仿宋_GB2312"/>
        </w:rPr>
      </w:pPr>
      <w:r>
        <w:rPr>
          <w:rFonts w:ascii="仿宋_GB2312" w:eastAsia="仿宋_GB2312"/>
        </w:rPr>
        <w:t>2</w:t>
      </w:r>
      <w:r>
        <w:rPr>
          <w:rFonts w:hint="eastAsia" w:ascii="仿宋_GB2312" w:eastAsia="仿宋_GB2312"/>
        </w:rPr>
        <w:t>） 扣除依据本款第（</w:t>
      </w:r>
      <w:r>
        <w:rPr>
          <w:rFonts w:ascii="仿宋_GB2312" w:eastAsia="仿宋_GB2312"/>
        </w:rPr>
        <w:t>1）</w:t>
      </w:r>
      <w:r>
        <w:rPr>
          <w:rFonts w:hint="eastAsia" w:ascii="仿宋_GB2312" w:eastAsia="仿宋_GB2312"/>
        </w:rPr>
        <w:t>目</w:t>
      </w:r>
      <w:r>
        <w:rPr>
          <w:rFonts w:ascii="仿宋_GB2312" w:eastAsia="仿宋_GB2312"/>
        </w:rPr>
        <w:t>约定中已扣除的人工费金额</w:t>
      </w:r>
      <w:r>
        <w:rPr>
          <w:rFonts w:hint="eastAsia" w:ascii="仿宋_GB2312" w:eastAsia="仿宋_GB2312"/>
        </w:rPr>
        <w:t>；</w:t>
      </w:r>
    </w:p>
    <w:p w14:paraId="26E93831">
      <w:pPr>
        <w:spacing w:line="360" w:lineRule="auto"/>
        <w:ind w:firstLine="600"/>
        <w:rPr>
          <w:rFonts w:ascii="仿宋_GB2312" w:eastAsia="仿宋_GB2312"/>
        </w:rPr>
      </w:pPr>
      <w:r>
        <w:rPr>
          <w:rFonts w:hint="eastAsia" w:ascii="仿宋_GB2312" w:eastAsia="仿宋_GB2312"/>
        </w:rPr>
        <w:t>3） 根据第</w:t>
      </w:r>
      <w:r>
        <w:rPr>
          <w:rFonts w:ascii="仿宋_GB2312" w:eastAsia="仿宋_GB2312"/>
        </w:rPr>
        <w:t>13条</w:t>
      </w:r>
      <w:r>
        <w:rPr>
          <w:rFonts w:hint="eastAsia" w:ascii="仿宋_GB2312" w:eastAsia="仿宋_GB2312"/>
        </w:rPr>
        <w:t>[变更与调整]应增加和扣减的变更金额；</w:t>
      </w:r>
    </w:p>
    <w:p w14:paraId="406E2ECF">
      <w:pPr>
        <w:spacing w:line="360" w:lineRule="auto"/>
        <w:ind w:firstLine="600"/>
        <w:rPr>
          <w:rFonts w:ascii="仿宋_GB2312" w:eastAsia="仿宋_GB2312"/>
        </w:rPr>
      </w:pPr>
      <w:r>
        <w:rPr>
          <w:rFonts w:ascii="仿宋_GB2312" w:eastAsia="仿宋_GB2312"/>
        </w:rPr>
        <w:t>4</w:t>
      </w:r>
      <w:r>
        <w:rPr>
          <w:rFonts w:hint="eastAsia" w:ascii="仿宋_GB2312" w:eastAsia="仿宋_GB2312"/>
        </w:rPr>
        <w:t>） 根据第</w:t>
      </w:r>
      <w:r>
        <w:rPr>
          <w:rFonts w:ascii="仿宋_GB2312" w:eastAsia="仿宋_GB2312"/>
        </w:rPr>
        <w:t>14.2</w:t>
      </w:r>
      <w:r>
        <w:rPr>
          <w:rFonts w:hint="eastAsia" w:ascii="仿宋_GB2312" w:eastAsia="仿宋_GB2312"/>
        </w:rPr>
        <w:t>款[预付款]约定应支付的预付款和扣减的返还预付款；</w:t>
      </w:r>
    </w:p>
    <w:p w14:paraId="03D85BD8">
      <w:pPr>
        <w:spacing w:line="360" w:lineRule="auto"/>
        <w:ind w:firstLine="600"/>
        <w:rPr>
          <w:rFonts w:ascii="仿宋_GB2312" w:eastAsia="仿宋_GB2312"/>
        </w:rPr>
      </w:pPr>
      <w:r>
        <w:rPr>
          <w:rFonts w:ascii="仿宋_GB2312" w:eastAsia="仿宋_GB2312"/>
        </w:rPr>
        <w:t>5</w:t>
      </w:r>
      <w:r>
        <w:rPr>
          <w:rFonts w:hint="eastAsia" w:ascii="仿宋_GB2312" w:eastAsia="仿宋_GB2312"/>
        </w:rPr>
        <w:t>） 根据第</w:t>
      </w:r>
      <w:r>
        <w:rPr>
          <w:rFonts w:ascii="仿宋_GB2312" w:eastAsia="仿宋_GB2312"/>
        </w:rPr>
        <w:t>14.6.2</w:t>
      </w:r>
      <w:r>
        <w:rPr>
          <w:rFonts w:hint="eastAsia" w:ascii="仿宋_GB2312" w:eastAsia="仿宋_GB2312"/>
        </w:rPr>
        <w:t>项[质量保证金的预留]约定应预留的质量保证金金额；</w:t>
      </w:r>
    </w:p>
    <w:p w14:paraId="6B988728">
      <w:pPr>
        <w:spacing w:line="360" w:lineRule="auto"/>
        <w:ind w:firstLine="600"/>
        <w:rPr>
          <w:rFonts w:ascii="仿宋_GB2312" w:eastAsia="仿宋_GB2312"/>
        </w:rPr>
      </w:pPr>
      <w:r>
        <w:rPr>
          <w:rFonts w:ascii="仿宋_GB2312" w:eastAsia="仿宋_GB2312"/>
        </w:rPr>
        <w:t>6</w:t>
      </w:r>
      <w:r>
        <w:rPr>
          <w:rFonts w:hint="eastAsia" w:ascii="仿宋_GB2312" w:eastAsia="仿宋_GB2312"/>
        </w:rPr>
        <w:t>） 根据第</w:t>
      </w:r>
      <w:r>
        <w:rPr>
          <w:rFonts w:ascii="仿宋_GB2312" w:eastAsia="仿宋_GB2312"/>
        </w:rPr>
        <w:t>19条</w:t>
      </w:r>
      <w:r>
        <w:rPr>
          <w:rFonts w:hint="eastAsia" w:ascii="仿宋_GB2312" w:eastAsia="仿宋_GB2312"/>
        </w:rPr>
        <w:t>[索赔]应增加和扣减的索赔金额；</w:t>
      </w:r>
    </w:p>
    <w:p w14:paraId="48178F5F">
      <w:pPr>
        <w:spacing w:line="360" w:lineRule="auto"/>
        <w:ind w:firstLine="600"/>
        <w:rPr>
          <w:rFonts w:ascii="仿宋_GB2312" w:eastAsia="仿宋_GB2312"/>
        </w:rPr>
      </w:pPr>
      <w:r>
        <w:rPr>
          <w:rFonts w:ascii="仿宋_GB2312" w:eastAsia="仿宋_GB2312"/>
        </w:rPr>
        <w:t>7</w:t>
      </w:r>
      <w:r>
        <w:rPr>
          <w:rFonts w:hint="eastAsia" w:ascii="仿宋_GB2312" w:eastAsia="仿宋_GB2312"/>
        </w:rPr>
        <w:t>） 对已签发的进度款支付证书中出现错误的修正，应在本次进度付款中支付或扣除的金额；</w:t>
      </w:r>
    </w:p>
    <w:p w14:paraId="7C9AED98">
      <w:pPr>
        <w:spacing w:line="360" w:lineRule="auto"/>
        <w:ind w:firstLine="600"/>
        <w:rPr>
          <w:rFonts w:ascii="仿宋_GB2312" w:eastAsia="仿宋_GB2312"/>
        </w:rPr>
      </w:pPr>
      <w:r>
        <w:rPr>
          <w:rFonts w:hint="eastAsia" w:ascii="仿宋_GB2312" w:eastAsia="仿宋_GB2312"/>
        </w:rPr>
        <w:t>8） 根据合同约定应增加和扣减的其他金额。</w:t>
      </w:r>
    </w:p>
    <w:p w14:paraId="61CB6D32">
      <w:pPr>
        <w:pStyle w:val="40"/>
        <w:spacing w:after="157"/>
        <w:ind w:left="0"/>
        <w:rPr>
          <w:rFonts w:hint="eastAsia" w:ascii="仿宋_GB2312" w:eastAsia="仿宋_GB2312"/>
          <w:sz w:val="21"/>
        </w:rPr>
      </w:pPr>
      <w:bookmarkStart w:id="1560" w:name="_Ref531957608"/>
      <w:bookmarkEnd w:id="1560"/>
      <w:r>
        <w:rPr>
          <w:rFonts w:hint="eastAsia" w:ascii="仿宋_GB2312" w:eastAsia="仿宋_GB2312"/>
          <w:sz w:val="21"/>
        </w:rPr>
        <w:t>1</w:t>
      </w:r>
      <w:r>
        <w:rPr>
          <w:rFonts w:ascii="仿宋_GB2312" w:eastAsia="仿宋_GB2312"/>
          <w:sz w:val="21"/>
        </w:rPr>
        <w:t xml:space="preserve">4.3.2 </w:t>
      </w:r>
      <w:r>
        <w:rPr>
          <w:rFonts w:hint="eastAsia" w:ascii="仿宋_GB2312" w:eastAsia="仿宋_GB2312"/>
          <w:sz w:val="21"/>
        </w:rPr>
        <w:t>进度付款审核和支付</w:t>
      </w:r>
    </w:p>
    <w:p w14:paraId="6D276F5A">
      <w:pPr>
        <w:pStyle w:val="42"/>
        <w:spacing w:line="360" w:lineRule="auto"/>
        <w:ind w:left="0" w:firstLine="420" w:firstLineChars="200"/>
        <w:rPr>
          <w:rFonts w:ascii="仿宋_GB2312" w:eastAsia="仿宋_GB2312"/>
        </w:rPr>
      </w:pPr>
      <w:r>
        <w:rPr>
          <w:rFonts w:hint="eastAsia" w:ascii="仿宋_GB2312" w:eastAsia="仿宋_GB2312"/>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3B360919">
      <w:pPr>
        <w:spacing w:line="360" w:lineRule="auto"/>
        <w:ind w:firstLine="600"/>
        <w:rPr>
          <w:rFonts w:ascii="仿宋_GB2312" w:eastAsia="仿宋_GB2312"/>
        </w:rPr>
      </w:pPr>
      <w:r>
        <w:rPr>
          <w:rFonts w:hint="eastAsia" w:ascii="仿宋_GB2312" w:eastAsia="仿宋_GB2312"/>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w:t>
      </w:r>
      <w:r>
        <w:rPr>
          <w:rFonts w:ascii="仿宋_GB2312" w:eastAsia="仿宋_GB2312"/>
        </w:rPr>
        <w:t>20条</w:t>
      </w:r>
      <w:r>
        <w:rPr>
          <w:rFonts w:hint="eastAsia" w:ascii="仿宋_GB2312" w:eastAsia="仿宋_GB2312"/>
        </w:rPr>
        <w:t>[争议解决]的约定处理。</w:t>
      </w:r>
    </w:p>
    <w:p w14:paraId="79CC0D93">
      <w:pPr>
        <w:pStyle w:val="42"/>
        <w:spacing w:line="360" w:lineRule="auto"/>
        <w:ind w:left="0" w:firstLine="420" w:firstLineChars="200"/>
        <w:rPr>
          <w:rFonts w:ascii="仿宋_GB2312" w:eastAsia="仿宋_GB2312"/>
        </w:rPr>
      </w:pPr>
      <w:r>
        <w:rPr>
          <w:rFonts w:hint="eastAsia" w:ascii="仿宋_GB2312" w:eastAsia="仿宋_GB2312"/>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72B62630">
      <w:pPr>
        <w:pStyle w:val="42"/>
        <w:spacing w:line="360" w:lineRule="auto"/>
        <w:ind w:left="0" w:firstLine="420" w:firstLineChars="200"/>
        <w:rPr>
          <w:rFonts w:ascii="仿宋_GB2312" w:eastAsia="仿宋_GB2312"/>
        </w:rPr>
      </w:pPr>
      <w:r>
        <w:rPr>
          <w:rFonts w:hint="eastAsia" w:ascii="仿宋_GB2312" w:eastAsia="仿宋_GB2312"/>
        </w:rPr>
        <w:t>发包人签发进度款支付证书，不表明发包人已同意、批准或接受了承包人完成的相应部分的工作。</w:t>
      </w:r>
    </w:p>
    <w:p w14:paraId="60989F72">
      <w:pPr>
        <w:pStyle w:val="40"/>
        <w:spacing w:after="157"/>
        <w:ind w:left="0"/>
        <w:rPr>
          <w:rFonts w:hint="eastAsia" w:ascii="仿宋_GB2312" w:eastAsia="仿宋_GB2312"/>
          <w:sz w:val="21"/>
        </w:rPr>
      </w:pPr>
      <w:bookmarkStart w:id="1561" w:name="_Ref531957023"/>
      <w:bookmarkEnd w:id="1561"/>
      <w:r>
        <w:rPr>
          <w:rFonts w:hint="eastAsia" w:ascii="仿宋_GB2312" w:eastAsia="仿宋_GB2312"/>
          <w:sz w:val="21"/>
        </w:rPr>
        <w:t>1</w:t>
      </w:r>
      <w:r>
        <w:rPr>
          <w:rFonts w:ascii="仿宋_GB2312" w:eastAsia="仿宋_GB2312"/>
          <w:sz w:val="21"/>
        </w:rPr>
        <w:t xml:space="preserve">4.3.3 </w:t>
      </w:r>
      <w:r>
        <w:rPr>
          <w:rFonts w:hint="eastAsia" w:ascii="仿宋_GB2312" w:eastAsia="仿宋_GB2312"/>
          <w:sz w:val="21"/>
        </w:rPr>
        <w:t>进度付款的修正</w:t>
      </w:r>
    </w:p>
    <w:p w14:paraId="7335D42E">
      <w:pPr>
        <w:spacing w:line="360" w:lineRule="auto"/>
        <w:ind w:firstLine="600"/>
        <w:rPr>
          <w:rFonts w:ascii="仿宋_GB2312" w:eastAsia="仿宋_GB2312"/>
        </w:rPr>
      </w:pPr>
      <w:r>
        <w:rPr>
          <w:rFonts w:hint="eastAsia" w:ascii="仿宋_GB2312" w:eastAsia="仿宋_GB2312"/>
        </w:rPr>
        <w:t>在对已签发的进度款支付证书进行阶段汇总和复核中发现错误、遗漏或重复的，发包人和承包人均有权提出修正申请。经发包人和承包人同意的修正，应在下期进度付款中支付或扣除。</w:t>
      </w:r>
    </w:p>
    <w:p w14:paraId="38D4077E">
      <w:pPr>
        <w:pStyle w:val="39"/>
        <w:widowControl/>
        <w:spacing w:afterLines="0"/>
        <w:ind w:left="0"/>
        <w:rPr>
          <w:rFonts w:hint="eastAsia"/>
          <w:b w:val="0"/>
          <w:bCs/>
          <w:sz w:val="21"/>
          <w:szCs w:val="21"/>
        </w:rPr>
      </w:pPr>
      <w:bookmarkStart w:id="1562" w:name="_Toc54862295"/>
      <w:bookmarkEnd w:id="1562"/>
      <w:bookmarkStart w:id="1563" w:name="_Toc27367"/>
      <w:bookmarkEnd w:id="1563"/>
      <w:bookmarkStart w:id="1564" w:name="_Ref4538578"/>
      <w:bookmarkEnd w:id="1564"/>
      <w:bookmarkStart w:id="1565" w:name="_Toc3503"/>
      <w:bookmarkEnd w:id="1565"/>
      <w:bookmarkStart w:id="1566" w:name="_Ref536647814"/>
      <w:bookmarkStart w:id="1567" w:name="_Ref536647822"/>
      <w:r>
        <w:rPr>
          <w:rFonts w:hint="eastAsia"/>
          <w:b w:val="0"/>
          <w:bCs/>
          <w:sz w:val="21"/>
          <w:szCs w:val="21"/>
        </w:rPr>
        <w:t>14.4 付款计划表</w:t>
      </w:r>
    </w:p>
    <w:p w14:paraId="18F0A939">
      <w:pPr>
        <w:pStyle w:val="40"/>
        <w:spacing w:after="157"/>
        <w:ind w:left="0"/>
        <w:rPr>
          <w:rFonts w:hint="eastAsia" w:ascii="仿宋_GB2312" w:eastAsia="仿宋_GB2312"/>
          <w:sz w:val="21"/>
        </w:rPr>
      </w:pPr>
      <w:bookmarkStart w:id="1568" w:name="_Ref4570974"/>
      <w:bookmarkEnd w:id="1568"/>
      <w:r>
        <w:rPr>
          <w:rFonts w:hint="eastAsia" w:ascii="仿宋_GB2312" w:eastAsia="仿宋_GB2312"/>
          <w:sz w:val="21"/>
        </w:rPr>
        <w:t>1</w:t>
      </w:r>
      <w:r>
        <w:rPr>
          <w:rFonts w:ascii="仿宋_GB2312" w:eastAsia="仿宋_GB2312"/>
          <w:sz w:val="21"/>
        </w:rPr>
        <w:t xml:space="preserve">4.4.1 </w:t>
      </w:r>
      <w:r>
        <w:rPr>
          <w:rFonts w:hint="eastAsia" w:ascii="仿宋_GB2312" w:eastAsia="仿宋_GB2312"/>
          <w:sz w:val="21"/>
        </w:rPr>
        <w:t>付款计划表的编制要求</w:t>
      </w:r>
    </w:p>
    <w:p w14:paraId="33311F81">
      <w:pPr>
        <w:spacing w:line="360" w:lineRule="auto"/>
        <w:ind w:firstLine="600"/>
        <w:rPr>
          <w:rFonts w:ascii="仿宋_GB2312" w:eastAsia="仿宋_GB2312"/>
        </w:rPr>
      </w:pPr>
      <w:r>
        <w:rPr>
          <w:rFonts w:hint="eastAsia" w:ascii="仿宋_GB2312" w:eastAsia="仿宋_GB2312"/>
        </w:rPr>
        <w:t>除专用合同条件另有约定外，付款计划表按如下要求编制：</w:t>
      </w:r>
    </w:p>
    <w:p w14:paraId="22B5CE2A">
      <w:pPr>
        <w:spacing w:line="360" w:lineRule="auto"/>
        <w:ind w:firstLine="600"/>
        <w:rPr>
          <w:rFonts w:ascii="仿宋_GB2312" w:eastAsia="仿宋_GB2312"/>
        </w:rPr>
      </w:pPr>
      <w:r>
        <w:rPr>
          <w:rFonts w:hint="eastAsia" w:ascii="仿宋_GB2312" w:eastAsia="仿宋_GB2312"/>
        </w:rPr>
        <w:t>（1） 付款计划表中所列的每期付款金额，应为第</w:t>
      </w:r>
      <w:r>
        <w:rPr>
          <w:rFonts w:ascii="仿宋_GB2312" w:eastAsia="仿宋_GB2312"/>
        </w:rPr>
        <w:t>14.3.1</w:t>
      </w:r>
      <w:r>
        <w:rPr>
          <w:rFonts w:hint="eastAsia" w:ascii="仿宋_GB2312" w:eastAsia="仿宋_GB2312"/>
        </w:rPr>
        <w:t>项[工程进度付款申请]每期进度款的估算金额；</w:t>
      </w:r>
    </w:p>
    <w:p w14:paraId="26E4BC44">
      <w:pPr>
        <w:spacing w:line="360" w:lineRule="auto"/>
        <w:ind w:firstLine="600"/>
        <w:rPr>
          <w:rFonts w:ascii="仿宋_GB2312" w:eastAsia="仿宋_GB2312"/>
        </w:rPr>
      </w:pPr>
      <w:r>
        <w:rPr>
          <w:rFonts w:hint="eastAsia" w:ascii="仿宋_GB2312" w:eastAsia="仿宋_GB2312"/>
        </w:rPr>
        <w:t>（2） 实际进度与项目进度计划不一致的，合同当事人可按照第</w:t>
      </w:r>
      <w:r>
        <w:rPr>
          <w:rFonts w:ascii="仿宋_GB2312" w:eastAsia="仿宋_GB2312"/>
        </w:rPr>
        <w:t>3.6</w:t>
      </w:r>
      <w:r>
        <w:rPr>
          <w:rFonts w:hint="eastAsia" w:ascii="仿宋_GB2312" w:eastAsia="仿宋_GB2312"/>
        </w:rPr>
        <w:t>款[</w:t>
      </w:r>
      <w:r>
        <w:rPr>
          <w:rFonts w:ascii="仿宋_GB2312" w:eastAsia="仿宋_GB2312"/>
        </w:rPr>
        <w:t>商定或确定</w:t>
      </w:r>
      <w:r>
        <w:rPr>
          <w:rFonts w:hint="eastAsia" w:ascii="仿宋_GB2312" w:eastAsia="仿宋_GB2312"/>
        </w:rPr>
        <w:t>]修改付款计划表；</w:t>
      </w:r>
    </w:p>
    <w:p w14:paraId="2328DCD1">
      <w:pPr>
        <w:spacing w:line="360" w:lineRule="auto"/>
        <w:ind w:firstLine="600"/>
        <w:rPr>
          <w:rFonts w:ascii="仿宋_GB2312" w:eastAsia="仿宋_GB2312"/>
        </w:rPr>
      </w:pPr>
      <w:r>
        <w:rPr>
          <w:rFonts w:hint="eastAsia" w:ascii="仿宋_GB2312" w:eastAsia="仿宋_GB2312"/>
        </w:rPr>
        <w:t>（3） 不采用付款计划表的，承包人应向工程师提交按季度编制的支付估算付款计划表，用于支付参考。</w:t>
      </w:r>
    </w:p>
    <w:p w14:paraId="2E2C87C2">
      <w:pPr>
        <w:pStyle w:val="40"/>
        <w:spacing w:after="157"/>
        <w:ind w:left="0"/>
        <w:rPr>
          <w:rFonts w:hint="eastAsia" w:ascii="仿宋_GB2312" w:eastAsia="仿宋_GB2312"/>
          <w:sz w:val="21"/>
        </w:rPr>
      </w:pPr>
      <w:bookmarkStart w:id="1569" w:name="_Ref4571011"/>
      <w:bookmarkEnd w:id="1569"/>
      <w:r>
        <w:rPr>
          <w:rFonts w:hint="eastAsia" w:ascii="仿宋_GB2312" w:eastAsia="仿宋_GB2312"/>
          <w:sz w:val="21"/>
        </w:rPr>
        <w:t>1</w:t>
      </w:r>
      <w:r>
        <w:rPr>
          <w:rFonts w:ascii="仿宋_GB2312" w:eastAsia="仿宋_GB2312"/>
          <w:sz w:val="21"/>
        </w:rPr>
        <w:t xml:space="preserve">4.4.2 </w:t>
      </w:r>
      <w:r>
        <w:rPr>
          <w:rFonts w:hint="eastAsia" w:ascii="仿宋_GB2312" w:eastAsia="仿宋_GB2312"/>
          <w:sz w:val="21"/>
        </w:rPr>
        <w:t>付款计划表的编制与审批</w:t>
      </w:r>
    </w:p>
    <w:p w14:paraId="227A6A11">
      <w:pPr>
        <w:spacing w:line="360" w:lineRule="auto"/>
        <w:ind w:firstLine="600"/>
        <w:rPr>
          <w:rFonts w:ascii="仿宋_GB2312" w:eastAsia="仿宋_GB2312"/>
        </w:rPr>
      </w:pPr>
      <w:r>
        <w:rPr>
          <w:rFonts w:hint="eastAsia" w:ascii="仿宋_GB2312" w:eastAsia="仿宋_GB2312"/>
        </w:rPr>
        <w:t>（1） 除专用合同条件另有约定外，承包人应根据第</w:t>
      </w:r>
      <w:r>
        <w:rPr>
          <w:rFonts w:ascii="仿宋_GB2312" w:eastAsia="仿宋_GB2312"/>
        </w:rPr>
        <w:t>8.4</w:t>
      </w:r>
      <w:r>
        <w:rPr>
          <w:rFonts w:hint="eastAsia" w:ascii="仿宋_GB2312" w:eastAsia="仿宋_GB2312"/>
        </w:rPr>
        <w:t>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限和付款计划。承包人应当在收到工程师和发包人批准的项目进度计划后7天内，将付款计划表及编制付款计划表的支持性资料报送工程师。</w:t>
      </w:r>
    </w:p>
    <w:p w14:paraId="7992E5FD">
      <w:pPr>
        <w:spacing w:line="360" w:lineRule="auto"/>
        <w:ind w:firstLine="600"/>
        <w:rPr>
          <w:rFonts w:ascii="仿宋_GB2312" w:eastAsia="仿宋_GB2312"/>
        </w:rPr>
      </w:pPr>
      <w:r>
        <w:rPr>
          <w:rFonts w:hint="eastAsia" w:ascii="仿宋_GB2312" w:eastAsia="仿宋_GB2312"/>
        </w:rPr>
        <w:t>（2） 工程师应在收到付款计划表后7天内完成审核并报送发包人。发包人应在收到经工程师审核的付款计划表后7天内完成审批，经发包人批准的付款计划表为有约束力的付款计划表。</w:t>
      </w:r>
    </w:p>
    <w:p w14:paraId="042334F8">
      <w:pPr>
        <w:spacing w:line="360" w:lineRule="auto"/>
        <w:ind w:firstLine="600"/>
        <w:rPr>
          <w:rFonts w:ascii="仿宋_GB2312" w:eastAsia="仿宋_GB2312"/>
        </w:rPr>
      </w:pPr>
      <w:r>
        <w:rPr>
          <w:rFonts w:hint="eastAsia" w:ascii="仿宋_GB2312" w:eastAsia="仿宋_GB2312"/>
        </w:rPr>
        <w:t>（3） 发包人逾期未完成付款计划表审批的，也未及时要求承包人进行修正和提供补充资料的，则承包人提交的付款计划表视为已经获得发包人批准。</w:t>
      </w:r>
    </w:p>
    <w:p w14:paraId="52686876">
      <w:pPr>
        <w:pStyle w:val="39"/>
        <w:widowControl/>
        <w:spacing w:afterLines="0"/>
        <w:ind w:left="0"/>
        <w:rPr>
          <w:rFonts w:hint="eastAsia"/>
          <w:b w:val="0"/>
          <w:bCs/>
          <w:sz w:val="21"/>
          <w:szCs w:val="21"/>
        </w:rPr>
      </w:pPr>
      <w:bookmarkStart w:id="1570" w:name="_Toc13637"/>
      <w:bookmarkEnd w:id="1570"/>
      <w:bookmarkStart w:id="1571" w:name="_Toc54862296"/>
      <w:bookmarkEnd w:id="1571"/>
      <w:bookmarkStart w:id="1572" w:name="_Toc17708"/>
      <w:bookmarkEnd w:id="1572"/>
      <w:bookmarkStart w:id="1573" w:name="_Ref4538634"/>
      <w:bookmarkEnd w:id="1573"/>
      <w:r>
        <w:rPr>
          <w:rFonts w:hint="eastAsia"/>
          <w:b w:val="0"/>
          <w:bCs/>
          <w:sz w:val="21"/>
          <w:szCs w:val="21"/>
        </w:rPr>
        <w:t>14.5 竣工结算</w:t>
      </w:r>
    </w:p>
    <w:p w14:paraId="32F6151E">
      <w:pPr>
        <w:pStyle w:val="40"/>
        <w:spacing w:after="157"/>
        <w:ind w:left="0"/>
        <w:rPr>
          <w:rFonts w:hint="eastAsia" w:ascii="仿宋_GB2312" w:eastAsia="仿宋_GB2312"/>
          <w:sz w:val="21"/>
        </w:rPr>
      </w:pPr>
      <w:bookmarkStart w:id="1574" w:name="_Ref4571361"/>
      <w:bookmarkEnd w:id="1574"/>
      <w:r>
        <w:rPr>
          <w:rFonts w:hint="eastAsia" w:ascii="仿宋_GB2312" w:eastAsia="仿宋_GB2312"/>
          <w:sz w:val="21"/>
        </w:rPr>
        <w:t>1</w:t>
      </w:r>
      <w:r>
        <w:rPr>
          <w:rFonts w:ascii="仿宋_GB2312" w:eastAsia="仿宋_GB2312"/>
          <w:sz w:val="21"/>
        </w:rPr>
        <w:t xml:space="preserve">4.5.1 </w:t>
      </w:r>
      <w:r>
        <w:rPr>
          <w:rFonts w:hint="eastAsia" w:ascii="仿宋_GB2312" w:eastAsia="仿宋_GB2312"/>
          <w:sz w:val="21"/>
        </w:rPr>
        <w:t>竣工结算申请</w:t>
      </w:r>
    </w:p>
    <w:p w14:paraId="49EDFA59">
      <w:pPr>
        <w:spacing w:line="360" w:lineRule="auto"/>
        <w:ind w:firstLine="600"/>
        <w:rPr>
          <w:rFonts w:ascii="仿宋_GB2312" w:eastAsia="仿宋_GB2312"/>
        </w:rPr>
      </w:pPr>
      <w:r>
        <w:rPr>
          <w:rFonts w:hint="eastAsia" w:ascii="仿宋_GB2312" w:eastAsia="仿宋_GB2312"/>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4DD78319">
      <w:pPr>
        <w:spacing w:line="360" w:lineRule="auto"/>
        <w:ind w:firstLine="600"/>
        <w:rPr>
          <w:rFonts w:ascii="仿宋_GB2312" w:eastAsia="仿宋_GB2312"/>
        </w:rPr>
      </w:pPr>
      <w:r>
        <w:rPr>
          <w:rFonts w:hint="eastAsia" w:ascii="仿宋_GB2312" w:eastAsia="仿宋_GB2312"/>
        </w:rPr>
        <w:t>除专用合同条件另有约定外，竣工结算申请单应包括以下内容：</w:t>
      </w:r>
    </w:p>
    <w:p w14:paraId="68BFA00D">
      <w:pPr>
        <w:spacing w:line="360" w:lineRule="auto"/>
        <w:ind w:firstLine="600"/>
        <w:rPr>
          <w:rFonts w:ascii="仿宋_GB2312" w:eastAsia="仿宋_GB2312"/>
        </w:rPr>
      </w:pPr>
      <w:r>
        <w:rPr>
          <w:rFonts w:hint="eastAsia" w:ascii="仿宋_GB2312" w:eastAsia="仿宋_GB2312"/>
        </w:rPr>
        <w:t>（1） 竣工结算合同价格；</w:t>
      </w:r>
    </w:p>
    <w:p w14:paraId="33273BC7">
      <w:pPr>
        <w:spacing w:line="360" w:lineRule="auto"/>
        <w:ind w:firstLine="600"/>
        <w:rPr>
          <w:rFonts w:ascii="仿宋_GB2312" w:eastAsia="仿宋_GB2312"/>
        </w:rPr>
      </w:pPr>
      <w:r>
        <w:rPr>
          <w:rFonts w:hint="eastAsia" w:ascii="仿宋_GB2312" w:eastAsia="仿宋_GB2312"/>
        </w:rPr>
        <w:t>（2） 发包人已支付承包人的款项；</w:t>
      </w:r>
    </w:p>
    <w:p w14:paraId="68AC85D5">
      <w:pPr>
        <w:spacing w:line="360" w:lineRule="auto"/>
        <w:ind w:firstLine="600"/>
        <w:rPr>
          <w:rFonts w:ascii="仿宋_GB2312" w:eastAsia="仿宋_GB2312"/>
        </w:rPr>
      </w:pPr>
      <w:r>
        <w:rPr>
          <w:rFonts w:hint="eastAsia" w:ascii="仿宋_GB2312" w:eastAsia="仿宋_GB2312"/>
        </w:rPr>
        <w:t>（3） 采用第</w:t>
      </w:r>
      <w:r>
        <w:rPr>
          <w:rFonts w:ascii="仿宋_GB2312" w:eastAsia="仿宋_GB2312"/>
        </w:rPr>
        <w:t>14.6.1</w:t>
      </w:r>
      <w:r>
        <w:rPr>
          <w:rFonts w:hint="eastAsia" w:ascii="仿宋_GB2312" w:eastAsia="仿宋_GB2312"/>
        </w:rPr>
        <w:t>项[承包人提供质量保证金的方式]第（2）种方式提供质量保证金的，应当列明应预留的质量保证金金额；采用第</w:t>
      </w:r>
      <w:r>
        <w:rPr>
          <w:rFonts w:ascii="仿宋_GB2312" w:eastAsia="仿宋_GB2312"/>
        </w:rPr>
        <w:t>14.6.1</w:t>
      </w:r>
      <w:r>
        <w:rPr>
          <w:rFonts w:hint="eastAsia" w:ascii="仿宋_GB2312" w:eastAsia="仿宋_GB2312"/>
        </w:rPr>
        <w:t>项[承包人提供质量保证金的方式]中其他方式提供质量保证金的，应当按第</w:t>
      </w:r>
      <w:r>
        <w:rPr>
          <w:rFonts w:ascii="仿宋_GB2312" w:eastAsia="仿宋_GB2312"/>
        </w:rPr>
        <w:t>14.6</w:t>
      </w:r>
      <w:r>
        <w:rPr>
          <w:rFonts w:hint="eastAsia" w:ascii="仿宋_GB2312" w:eastAsia="仿宋_GB2312"/>
        </w:rPr>
        <w:t>款[质量保证金]提供相关文件作为附件；</w:t>
      </w:r>
    </w:p>
    <w:p w14:paraId="65FE4626">
      <w:pPr>
        <w:spacing w:line="360" w:lineRule="auto"/>
        <w:ind w:firstLine="600"/>
        <w:rPr>
          <w:rFonts w:ascii="仿宋_GB2312" w:eastAsia="仿宋_GB2312"/>
        </w:rPr>
      </w:pPr>
      <w:r>
        <w:rPr>
          <w:rFonts w:hint="eastAsia" w:ascii="仿宋_GB2312" w:eastAsia="仿宋_GB2312"/>
        </w:rPr>
        <w:t>（4） 发包人应支付承包人的合同价款。</w:t>
      </w:r>
    </w:p>
    <w:p w14:paraId="3A212E7D">
      <w:pPr>
        <w:pStyle w:val="40"/>
        <w:spacing w:after="157"/>
        <w:ind w:left="0"/>
        <w:rPr>
          <w:rFonts w:hint="eastAsia" w:ascii="仿宋_GB2312" w:eastAsia="仿宋_GB2312"/>
          <w:sz w:val="21"/>
        </w:rPr>
      </w:pPr>
      <w:bookmarkStart w:id="1575" w:name="_Ref4571384"/>
      <w:bookmarkEnd w:id="1575"/>
      <w:r>
        <w:rPr>
          <w:rFonts w:hint="eastAsia" w:ascii="仿宋_GB2312" w:eastAsia="仿宋_GB2312"/>
          <w:sz w:val="21"/>
        </w:rPr>
        <w:t>1</w:t>
      </w:r>
      <w:r>
        <w:rPr>
          <w:rFonts w:ascii="仿宋_GB2312" w:eastAsia="仿宋_GB2312"/>
          <w:sz w:val="21"/>
        </w:rPr>
        <w:t xml:space="preserve">4.5.2 </w:t>
      </w:r>
      <w:r>
        <w:rPr>
          <w:rFonts w:hint="eastAsia" w:ascii="仿宋_GB2312" w:eastAsia="仿宋_GB2312"/>
          <w:sz w:val="21"/>
        </w:rPr>
        <w:t>竣工结算审核</w:t>
      </w:r>
    </w:p>
    <w:p w14:paraId="45FFA5C9">
      <w:pPr>
        <w:spacing w:line="360" w:lineRule="auto"/>
        <w:ind w:firstLine="600"/>
        <w:rPr>
          <w:rFonts w:ascii="仿宋_GB2312" w:eastAsia="仿宋_GB2312"/>
        </w:rPr>
      </w:pPr>
      <w:r>
        <w:rPr>
          <w:rFonts w:hint="eastAsia" w:ascii="仿宋_GB2312" w:eastAsia="仿宋_GB2312"/>
        </w:rPr>
        <w:t>（1）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33E13A92">
      <w:pPr>
        <w:spacing w:line="360" w:lineRule="auto"/>
        <w:ind w:firstLine="600"/>
        <w:rPr>
          <w:rFonts w:ascii="仿宋_GB2312" w:eastAsia="仿宋_GB2312"/>
        </w:rPr>
      </w:pPr>
      <w:r>
        <w:rPr>
          <w:rFonts w:hint="eastAsia" w:ascii="仿宋_GB2312" w:eastAsia="仿宋_GB2312"/>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431264E3">
      <w:pPr>
        <w:spacing w:line="360" w:lineRule="auto"/>
        <w:ind w:firstLine="600"/>
        <w:rPr>
          <w:rFonts w:ascii="仿宋_GB2312" w:eastAsia="仿宋_GB2312"/>
        </w:rPr>
      </w:pPr>
      <w:bookmarkStart w:id="1576" w:name="_Ref4618006"/>
      <w:bookmarkEnd w:id="1576"/>
      <w:r>
        <w:rPr>
          <w:rFonts w:hint="eastAsia" w:ascii="仿宋_GB2312" w:eastAsia="仿宋_GB2312"/>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p>
    <w:p w14:paraId="0FCA6799">
      <w:pPr>
        <w:spacing w:line="360" w:lineRule="auto"/>
        <w:ind w:firstLine="600"/>
        <w:rPr>
          <w:rFonts w:ascii="仿宋_GB2312" w:eastAsia="仿宋_GB2312"/>
        </w:rPr>
      </w:pPr>
      <w:r>
        <w:rPr>
          <w:rFonts w:hint="eastAsia" w:ascii="仿宋_GB2312" w:eastAsia="仿宋_GB2312"/>
        </w:rPr>
        <w:t>（3） 承包人对发包人签认的竣工付款证书有异议的，对于有异议部分应在收到发包人签认的竣工付款证书后7天内提出异议，并由合同当事人按照专用合同条件约定的方式和程序进行复核，或按照第</w:t>
      </w:r>
      <w:r>
        <w:rPr>
          <w:rFonts w:ascii="仿宋_GB2312" w:eastAsia="仿宋_GB2312"/>
        </w:rPr>
        <w:t>20条</w:t>
      </w:r>
      <w:r>
        <w:rPr>
          <w:rFonts w:hint="eastAsia" w:ascii="仿宋_GB2312" w:eastAsia="仿宋_GB2312"/>
        </w:rPr>
        <w:t>[争议解决]约定处理。对于无异议部分，发包人应签发临时竣工付款证书，并按本款第（2）项完成付款。承包人逾期未提出异议的，视为认可发包人的审批结果。</w:t>
      </w:r>
    </w:p>
    <w:p w14:paraId="214BAF06">
      <w:pPr>
        <w:pStyle w:val="40"/>
        <w:spacing w:after="157"/>
        <w:ind w:left="0"/>
        <w:rPr>
          <w:rFonts w:hint="eastAsia" w:ascii="仿宋_GB2312" w:eastAsia="仿宋_GB2312"/>
          <w:sz w:val="21"/>
        </w:rPr>
      </w:pPr>
      <w:bookmarkStart w:id="1577" w:name="_Ref15484305"/>
      <w:bookmarkEnd w:id="1577"/>
      <w:r>
        <w:rPr>
          <w:rFonts w:hint="eastAsia" w:ascii="仿宋_GB2312" w:eastAsia="仿宋_GB2312"/>
          <w:sz w:val="21"/>
        </w:rPr>
        <w:t>1</w:t>
      </w:r>
      <w:r>
        <w:rPr>
          <w:rFonts w:ascii="仿宋_GB2312" w:eastAsia="仿宋_GB2312"/>
          <w:sz w:val="21"/>
        </w:rPr>
        <w:t xml:space="preserve">4.5.3 </w:t>
      </w:r>
      <w:r>
        <w:rPr>
          <w:rFonts w:hint="eastAsia" w:ascii="仿宋_GB2312" w:eastAsia="仿宋_GB2312"/>
          <w:sz w:val="21"/>
        </w:rPr>
        <w:t>扫尾工作清单</w:t>
      </w:r>
    </w:p>
    <w:p w14:paraId="18BE3A9B">
      <w:pPr>
        <w:spacing w:line="360" w:lineRule="auto"/>
        <w:ind w:firstLine="600"/>
        <w:rPr>
          <w:rFonts w:ascii="仿宋_GB2312" w:eastAsia="仿宋_GB2312"/>
        </w:rPr>
      </w:pPr>
      <w:r>
        <w:rPr>
          <w:rFonts w:hint="eastAsia" w:ascii="仿宋_GB2312" w:eastAsia="仿宋_GB2312"/>
        </w:rPr>
        <w:t>经双方协商，部分工作在工程竣工验收后进行的，承包人应当编制扫尾工作清单，扫尾工作清单中应当列明承包人应当完成的扫尾工作的内容及完成时间。</w:t>
      </w:r>
    </w:p>
    <w:p w14:paraId="158F9BBE">
      <w:pPr>
        <w:spacing w:line="360" w:lineRule="auto"/>
        <w:ind w:firstLine="600"/>
        <w:rPr>
          <w:rFonts w:ascii="仿宋_GB2312" w:eastAsia="仿宋_GB2312"/>
        </w:rPr>
      </w:pPr>
      <w:r>
        <w:rPr>
          <w:rFonts w:hint="eastAsia" w:ascii="仿宋_GB2312" w:eastAsia="仿宋_GB2312"/>
        </w:rPr>
        <w:t>承包人完成扫尾工作清单中的内容应取得的费用包含在第</w:t>
      </w:r>
      <w:r>
        <w:rPr>
          <w:rFonts w:ascii="仿宋_GB2312" w:eastAsia="仿宋_GB2312"/>
        </w:rPr>
        <w:t>14.5.1</w:t>
      </w:r>
      <w:r>
        <w:rPr>
          <w:rFonts w:hint="eastAsia" w:ascii="仿宋_GB2312" w:eastAsia="仿宋_GB2312"/>
        </w:rPr>
        <w:t>项[</w:t>
      </w:r>
      <w:r>
        <w:rPr>
          <w:rFonts w:ascii="仿宋_GB2312" w:eastAsia="仿宋_GB2312"/>
        </w:rPr>
        <w:t>竣工结算申请</w:t>
      </w:r>
      <w:r>
        <w:rPr>
          <w:rFonts w:hint="eastAsia" w:ascii="仿宋_GB2312" w:eastAsia="仿宋_GB2312"/>
        </w:rPr>
        <w:t>]及第</w:t>
      </w:r>
      <w:r>
        <w:rPr>
          <w:rFonts w:ascii="仿宋_GB2312" w:eastAsia="仿宋_GB2312"/>
        </w:rPr>
        <w:t>14.5.2</w:t>
      </w:r>
      <w:r>
        <w:rPr>
          <w:rFonts w:hint="eastAsia" w:ascii="仿宋_GB2312" w:eastAsia="仿宋_GB2312"/>
        </w:rPr>
        <w:t>项[竣工结算审核]中一并结算。</w:t>
      </w:r>
    </w:p>
    <w:p w14:paraId="5AE66A63">
      <w:pPr>
        <w:spacing w:line="360" w:lineRule="auto"/>
        <w:ind w:firstLine="600"/>
        <w:rPr>
          <w:rFonts w:ascii="仿宋_GB2312" w:eastAsia="仿宋_GB2312"/>
        </w:rPr>
      </w:pPr>
      <w:r>
        <w:rPr>
          <w:rFonts w:hint="eastAsia" w:ascii="仿宋_GB2312" w:eastAsia="仿宋_GB2312"/>
        </w:rPr>
        <w:t>扫尾工作的缺陷责任期按第</w:t>
      </w:r>
      <w:r>
        <w:rPr>
          <w:rFonts w:ascii="仿宋_GB2312" w:eastAsia="仿宋_GB2312"/>
        </w:rPr>
        <w:t>11条</w:t>
      </w:r>
      <w:r>
        <w:rPr>
          <w:rFonts w:hint="eastAsia" w:ascii="仿宋_GB2312" w:eastAsia="仿宋_GB2312"/>
        </w:rPr>
        <w:t>[缺陷责任与</w:t>
      </w:r>
      <w:r>
        <w:rPr>
          <w:rFonts w:ascii="仿宋_GB2312" w:eastAsia="仿宋_GB2312"/>
        </w:rPr>
        <w:t>保</w:t>
      </w:r>
      <w:r>
        <w:rPr>
          <w:rFonts w:hint="eastAsia" w:ascii="仿宋_GB2312" w:eastAsia="仿宋_GB2312"/>
        </w:rPr>
        <w:t>修]处理。承包人未能按照扫尾工作清单约定的完成时间完成扫尾工作的，视为承包人原因导致的工程质量缺陷按照第</w:t>
      </w:r>
      <w:r>
        <w:rPr>
          <w:rFonts w:ascii="仿宋_GB2312" w:eastAsia="仿宋_GB2312"/>
        </w:rPr>
        <w:t>11.3</w:t>
      </w:r>
      <w:r>
        <w:rPr>
          <w:rFonts w:hint="eastAsia" w:ascii="仿宋_GB2312" w:eastAsia="仿宋_GB2312"/>
        </w:rPr>
        <w:t>款[缺陷调查]处理。</w:t>
      </w:r>
    </w:p>
    <w:bookmarkEnd w:id="1566"/>
    <w:bookmarkEnd w:id="1567"/>
    <w:p w14:paraId="59A1336A">
      <w:pPr>
        <w:pStyle w:val="39"/>
        <w:widowControl/>
        <w:spacing w:afterLines="0"/>
        <w:ind w:left="0"/>
        <w:rPr>
          <w:rFonts w:hint="eastAsia"/>
          <w:b w:val="0"/>
          <w:bCs/>
          <w:sz w:val="21"/>
          <w:szCs w:val="21"/>
        </w:rPr>
      </w:pPr>
      <w:bookmarkStart w:id="1578" w:name="_Ref4617582"/>
      <w:bookmarkEnd w:id="1578"/>
      <w:bookmarkStart w:id="1579" w:name="_Ref4617592"/>
      <w:bookmarkEnd w:id="1579"/>
      <w:bookmarkStart w:id="1580" w:name="_Ref15395020"/>
      <w:bookmarkEnd w:id="1580"/>
      <w:bookmarkStart w:id="1581" w:name="_Ref4571127"/>
      <w:bookmarkEnd w:id="1581"/>
      <w:bookmarkStart w:id="1582" w:name="_Ref4571100"/>
      <w:bookmarkEnd w:id="1582"/>
      <w:bookmarkStart w:id="1583" w:name="_Ref4582115"/>
      <w:bookmarkEnd w:id="1583"/>
      <w:bookmarkStart w:id="1584" w:name="_Toc54862297"/>
      <w:bookmarkEnd w:id="1584"/>
      <w:bookmarkStart w:id="1585" w:name="_Toc31999"/>
      <w:bookmarkEnd w:id="1585"/>
      <w:bookmarkStart w:id="1586" w:name="_Toc4330"/>
      <w:bookmarkEnd w:id="1586"/>
      <w:r>
        <w:rPr>
          <w:rFonts w:hint="eastAsia"/>
          <w:b w:val="0"/>
          <w:bCs/>
          <w:sz w:val="21"/>
          <w:szCs w:val="21"/>
        </w:rPr>
        <w:t>14.6 质量保证金</w:t>
      </w:r>
    </w:p>
    <w:p w14:paraId="717324A6">
      <w:pPr>
        <w:spacing w:line="360" w:lineRule="auto"/>
        <w:ind w:firstLine="600"/>
        <w:rPr>
          <w:rFonts w:ascii="仿宋_GB2312" w:eastAsia="仿宋_GB2312"/>
        </w:rPr>
      </w:pPr>
      <w:r>
        <w:rPr>
          <w:rFonts w:hint="eastAsia" w:ascii="仿宋_GB2312" w:eastAsia="仿宋_GB2312"/>
        </w:rPr>
        <w:t>经合同当事人协商一致提供质量保证金的，应在专用合同条件中予以明确。在工程项目竣工前，承包人已经提供履约担保的，发包人不得同时要求承包人提供质量保证金。</w:t>
      </w:r>
    </w:p>
    <w:p w14:paraId="0D425B9C">
      <w:pPr>
        <w:pStyle w:val="40"/>
        <w:spacing w:after="157"/>
        <w:ind w:left="0"/>
        <w:rPr>
          <w:rFonts w:hint="eastAsia" w:ascii="仿宋_GB2312" w:eastAsia="仿宋_GB2312"/>
          <w:sz w:val="21"/>
        </w:rPr>
      </w:pPr>
      <w:bookmarkStart w:id="1587" w:name="_Ref531955069"/>
      <w:bookmarkEnd w:id="1587"/>
      <w:r>
        <w:rPr>
          <w:rFonts w:hint="eastAsia" w:ascii="仿宋_GB2312" w:eastAsia="仿宋_GB2312"/>
          <w:sz w:val="21"/>
        </w:rPr>
        <w:t>1</w:t>
      </w:r>
      <w:r>
        <w:rPr>
          <w:rFonts w:ascii="仿宋_GB2312" w:eastAsia="仿宋_GB2312"/>
          <w:sz w:val="21"/>
        </w:rPr>
        <w:t xml:space="preserve">4.6.1 </w:t>
      </w:r>
      <w:r>
        <w:rPr>
          <w:rFonts w:hint="eastAsia" w:ascii="仿宋_GB2312" w:eastAsia="仿宋_GB2312"/>
          <w:sz w:val="21"/>
        </w:rPr>
        <w:t>承包人提供质量保证金的方式</w:t>
      </w:r>
    </w:p>
    <w:p w14:paraId="7798F466">
      <w:pPr>
        <w:spacing w:line="360" w:lineRule="auto"/>
        <w:ind w:firstLine="600"/>
        <w:rPr>
          <w:rFonts w:ascii="仿宋_GB2312" w:eastAsia="仿宋_GB2312"/>
        </w:rPr>
      </w:pPr>
      <w:r>
        <w:rPr>
          <w:rFonts w:hint="eastAsia" w:ascii="仿宋_GB2312" w:eastAsia="仿宋_GB2312"/>
        </w:rPr>
        <w:t>承包人提供质量保证金有以下三种方式：</w:t>
      </w:r>
    </w:p>
    <w:p w14:paraId="44199F68">
      <w:pPr>
        <w:spacing w:line="360" w:lineRule="auto"/>
        <w:ind w:firstLine="600"/>
        <w:rPr>
          <w:rFonts w:ascii="仿宋_GB2312" w:eastAsia="仿宋_GB2312"/>
        </w:rPr>
      </w:pPr>
      <w:bookmarkStart w:id="1588" w:name="_Ref531955096"/>
      <w:bookmarkEnd w:id="1588"/>
      <w:r>
        <w:rPr>
          <w:rFonts w:hint="eastAsia" w:ascii="仿宋_GB2312" w:eastAsia="仿宋_GB2312"/>
        </w:rPr>
        <w:t>（1） 提交工程质量保证担保；</w:t>
      </w:r>
    </w:p>
    <w:p w14:paraId="491987AA">
      <w:pPr>
        <w:spacing w:line="360" w:lineRule="auto"/>
        <w:ind w:firstLine="600"/>
        <w:rPr>
          <w:rFonts w:ascii="仿宋_GB2312" w:eastAsia="仿宋_GB2312"/>
        </w:rPr>
      </w:pPr>
      <w:bookmarkStart w:id="1589" w:name="_Ref531955107"/>
      <w:bookmarkEnd w:id="1589"/>
      <w:r>
        <w:rPr>
          <w:rFonts w:hint="eastAsia" w:ascii="仿宋_GB2312" w:eastAsia="仿宋_GB2312"/>
        </w:rPr>
        <w:t>（2） 预留相应比例的工程款；</w:t>
      </w:r>
    </w:p>
    <w:p w14:paraId="4FA49992">
      <w:pPr>
        <w:spacing w:line="360" w:lineRule="auto"/>
        <w:ind w:firstLine="600"/>
        <w:rPr>
          <w:rFonts w:ascii="仿宋_GB2312" w:eastAsia="仿宋_GB2312"/>
        </w:rPr>
      </w:pPr>
      <w:bookmarkStart w:id="1590" w:name="_Ref531955117"/>
      <w:bookmarkEnd w:id="1590"/>
      <w:r>
        <w:rPr>
          <w:rFonts w:hint="eastAsia" w:ascii="仿宋_GB2312" w:eastAsia="仿宋_GB2312"/>
        </w:rPr>
        <w:t>（3） 双方约定的其他方式。</w:t>
      </w:r>
    </w:p>
    <w:p w14:paraId="042AF0DC">
      <w:pPr>
        <w:spacing w:line="360" w:lineRule="auto"/>
        <w:ind w:firstLine="600"/>
        <w:rPr>
          <w:rFonts w:ascii="仿宋_GB2312" w:eastAsia="仿宋_GB2312"/>
        </w:rPr>
      </w:pPr>
      <w:r>
        <w:rPr>
          <w:rFonts w:hint="eastAsia" w:ascii="仿宋_GB2312" w:eastAsia="仿宋_GB2312"/>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2%。</w:t>
      </w:r>
    </w:p>
    <w:p w14:paraId="0BD3807D">
      <w:pPr>
        <w:pStyle w:val="40"/>
        <w:spacing w:after="157"/>
        <w:ind w:left="0"/>
        <w:rPr>
          <w:rFonts w:hint="eastAsia" w:ascii="仿宋_GB2312" w:eastAsia="仿宋_GB2312"/>
          <w:sz w:val="21"/>
        </w:rPr>
      </w:pPr>
      <w:bookmarkStart w:id="1591" w:name="_Ref15419738"/>
      <w:bookmarkEnd w:id="1591"/>
      <w:bookmarkStart w:id="1592" w:name="_Ref18931667"/>
      <w:bookmarkEnd w:id="1592"/>
      <w:r>
        <w:rPr>
          <w:rFonts w:hint="eastAsia" w:ascii="仿宋_GB2312" w:eastAsia="仿宋_GB2312"/>
          <w:sz w:val="21"/>
        </w:rPr>
        <w:t>1</w:t>
      </w:r>
      <w:r>
        <w:rPr>
          <w:rFonts w:ascii="仿宋_GB2312" w:eastAsia="仿宋_GB2312"/>
          <w:sz w:val="21"/>
        </w:rPr>
        <w:t xml:space="preserve">4.6.2 </w:t>
      </w:r>
      <w:r>
        <w:rPr>
          <w:rFonts w:hint="eastAsia" w:ascii="仿宋_GB2312" w:eastAsia="仿宋_GB2312"/>
          <w:sz w:val="21"/>
        </w:rPr>
        <w:t>质量保证金的预留</w:t>
      </w:r>
    </w:p>
    <w:p w14:paraId="5FB61A23">
      <w:pPr>
        <w:spacing w:line="360" w:lineRule="auto"/>
        <w:ind w:firstLine="600"/>
        <w:rPr>
          <w:rFonts w:ascii="仿宋_GB2312" w:eastAsia="仿宋_GB2312"/>
        </w:rPr>
      </w:pPr>
      <w:r>
        <w:rPr>
          <w:rFonts w:hint="eastAsia" w:ascii="仿宋_GB2312" w:eastAsia="仿宋_GB2312"/>
        </w:rPr>
        <w:t>双方约定采用预留相应比例的工程款方式提供质量保证金的，质量保证金的预留有以下三种方式：</w:t>
      </w:r>
    </w:p>
    <w:p w14:paraId="6D52E18C">
      <w:pPr>
        <w:spacing w:line="360" w:lineRule="auto"/>
        <w:ind w:firstLine="600"/>
        <w:rPr>
          <w:rFonts w:ascii="仿宋_GB2312" w:eastAsia="仿宋_GB2312"/>
        </w:rPr>
      </w:pPr>
      <w:bookmarkStart w:id="1593" w:name="_Hlk18840714"/>
      <w:bookmarkEnd w:id="1593"/>
      <w:bookmarkStart w:id="1594" w:name="_Ref531955143"/>
      <w:bookmarkEnd w:id="1594"/>
      <w:r>
        <w:rPr>
          <w:rFonts w:hint="eastAsia" w:ascii="仿宋_GB2312" w:eastAsia="仿宋_GB2312"/>
        </w:rPr>
        <w:t>（1） 按专用合同条件的约定在支付工程进度款时逐次预留，直至预留的质量保证金总额达到专用合同条件约定的金额或比例为止。在此情形下，质量保证金的计算基数不包括预付款的支付、扣回以及价格调整的金额；</w:t>
      </w:r>
    </w:p>
    <w:p w14:paraId="5A9E5E52">
      <w:pPr>
        <w:spacing w:line="360" w:lineRule="auto"/>
        <w:ind w:firstLine="600"/>
        <w:rPr>
          <w:rFonts w:ascii="仿宋_GB2312" w:eastAsia="仿宋_GB2312"/>
        </w:rPr>
      </w:pPr>
      <w:bookmarkStart w:id="1595" w:name="_Ref531955151"/>
      <w:bookmarkEnd w:id="1595"/>
      <w:r>
        <w:rPr>
          <w:rFonts w:hint="eastAsia" w:ascii="仿宋_GB2312" w:eastAsia="仿宋_GB2312"/>
        </w:rPr>
        <w:t>（2） 工程竣工结算时一次性预留质量保证金；</w:t>
      </w:r>
    </w:p>
    <w:p w14:paraId="134CA81B">
      <w:pPr>
        <w:spacing w:line="360" w:lineRule="auto"/>
        <w:ind w:firstLine="600"/>
        <w:rPr>
          <w:rFonts w:ascii="仿宋_GB2312" w:eastAsia="仿宋_GB2312"/>
        </w:rPr>
      </w:pPr>
      <w:bookmarkStart w:id="1596" w:name="_Ref531955161"/>
      <w:bookmarkEnd w:id="1596"/>
      <w:r>
        <w:rPr>
          <w:rFonts w:hint="eastAsia" w:ascii="仿宋_GB2312" w:eastAsia="仿宋_GB2312"/>
        </w:rPr>
        <w:t>（3） 双方约定的其他预留方式。</w:t>
      </w:r>
    </w:p>
    <w:p w14:paraId="595D87DB">
      <w:pPr>
        <w:spacing w:line="360" w:lineRule="auto"/>
        <w:ind w:firstLine="600"/>
        <w:rPr>
          <w:rFonts w:ascii="仿宋_GB2312" w:eastAsia="仿宋_GB2312"/>
        </w:rPr>
      </w:pPr>
      <w:r>
        <w:rPr>
          <w:rFonts w:hint="eastAsia" w:ascii="仿宋_GB2312" w:eastAsia="仿宋_GB2312"/>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5D7AAE6F">
      <w:pPr>
        <w:pStyle w:val="40"/>
        <w:spacing w:after="157"/>
        <w:ind w:left="0"/>
        <w:rPr>
          <w:rFonts w:hint="eastAsia" w:ascii="仿宋_GB2312" w:eastAsia="仿宋_GB2312"/>
          <w:sz w:val="21"/>
        </w:rPr>
      </w:pPr>
      <w:bookmarkStart w:id="1597" w:name="_Ref532690096"/>
      <w:bookmarkEnd w:id="1597"/>
      <w:bookmarkStart w:id="1598" w:name="_Ref4571243"/>
      <w:bookmarkEnd w:id="1598"/>
      <w:r>
        <w:rPr>
          <w:rFonts w:hint="eastAsia" w:ascii="仿宋_GB2312" w:eastAsia="仿宋_GB2312"/>
          <w:sz w:val="21"/>
        </w:rPr>
        <w:t>1</w:t>
      </w:r>
      <w:r>
        <w:rPr>
          <w:rFonts w:ascii="仿宋_GB2312" w:eastAsia="仿宋_GB2312"/>
          <w:sz w:val="21"/>
        </w:rPr>
        <w:t xml:space="preserve">4.6.3 </w:t>
      </w:r>
      <w:r>
        <w:rPr>
          <w:rFonts w:hint="eastAsia" w:ascii="仿宋_GB2312" w:eastAsia="仿宋_GB2312"/>
          <w:sz w:val="21"/>
        </w:rPr>
        <w:t>质量保证金的返还</w:t>
      </w:r>
    </w:p>
    <w:p w14:paraId="58679FFE">
      <w:pPr>
        <w:spacing w:line="360" w:lineRule="auto"/>
        <w:ind w:firstLine="600"/>
        <w:rPr>
          <w:rFonts w:ascii="仿宋_GB2312" w:eastAsia="仿宋_GB2312"/>
        </w:rPr>
      </w:pPr>
      <w:r>
        <w:rPr>
          <w:rFonts w:hint="eastAsia" w:ascii="仿宋_GB2312" w:eastAsia="仿宋_GB2312"/>
        </w:rPr>
        <w:t>缺陷责任期内，承包人认真履行合同约定的责任，缺陷责任期满，发包人根据第</w:t>
      </w:r>
      <w:r>
        <w:rPr>
          <w:rFonts w:ascii="仿宋_GB2312" w:eastAsia="仿宋_GB2312"/>
        </w:rPr>
        <w:t>11.6</w:t>
      </w:r>
      <w:r>
        <w:rPr>
          <w:rFonts w:hint="eastAsia" w:ascii="仿宋_GB2312" w:eastAsia="仿宋_GB2312"/>
        </w:rPr>
        <w:t>款[缺陷责任期终止证书]向承包人颁发缺陷责任期终止证书后，承包人可向发包人申请返还质量保证金。</w:t>
      </w:r>
    </w:p>
    <w:p w14:paraId="1194B8E4">
      <w:pPr>
        <w:spacing w:line="360" w:lineRule="auto"/>
        <w:ind w:firstLine="600"/>
        <w:rPr>
          <w:rFonts w:ascii="仿宋_GB2312" w:eastAsia="仿宋_GB2312"/>
        </w:rPr>
      </w:pPr>
      <w:r>
        <w:rPr>
          <w:rFonts w:hint="eastAsia" w:ascii="仿宋_GB2312" w:eastAsia="仿宋_GB2312"/>
        </w:rPr>
        <w:t>发包人在接到承包人返还质量保证金申请后，应于</w:t>
      </w:r>
      <w:r>
        <w:rPr>
          <w:rFonts w:ascii="仿宋_GB2312" w:eastAsia="仿宋_GB2312"/>
        </w:rPr>
        <w:t>7</w:t>
      </w:r>
      <w:r>
        <w:rPr>
          <w:rFonts w:hint="eastAsia" w:ascii="仿宋_GB2312" w:eastAsia="仿宋_GB2312"/>
        </w:rPr>
        <w:t>天内将质量保证金返还承包人，逾期未返还的，应承担违约责任。发包人在接到承包人返还质量保证金申请后</w:t>
      </w:r>
      <w:r>
        <w:rPr>
          <w:rFonts w:ascii="仿宋_GB2312" w:eastAsia="仿宋_GB2312"/>
        </w:rPr>
        <w:t>7</w:t>
      </w:r>
      <w:r>
        <w:rPr>
          <w:rFonts w:hint="eastAsia" w:ascii="仿宋_GB2312" w:eastAsia="仿宋_GB2312"/>
        </w:rPr>
        <w:t>天内不予答复，视同认可承包人的返还质量保证金申请。</w:t>
      </w:r>
    </w:p>
    <w:p w14:paraId="314AE8DD">
      <w:pPr>
        <w:spacing w:line="360" w:lineRule="auto"/>
        <w:ind w:firstLine="600"/>
        <w:rPr>
          <w:rFonts w:ascii="仿宋_GB2312" w:eastAsia="仿宋_GB2312"/>
        </w:rPr>
      </w:pPr>
      <w:r>
        <w:rPr>
          <w:rFonts w:hint="eastAsia" w:ascii="仿宋_GB2312" w:eastAsia="仿宋_GB2312"/>
        </w:rPr>
        <w:t>发包人和承包人对质量保证金预留、返还以及工程维修质量、费用有争议的，按本合同第</w:t>
      </w:r>
      <w:r>
        <w:rPr>
          <w:rFonts w:ascii="仿宋_GB2312" w:eastAsia="仿宋_GB2312"/>
        </w:rPr>
        <w:t>20条</w:t>
      </w:r>
      <w:r>
        <w:rPr>
          <w:rFonts w:hint="eastAsia" w:ascii="仿宋_GB2312" w:eastAsia="仿宋_GB2312"/>
        </w:rPr>
        <w:t>[争议解决]约定的争议和纠纷解决程序处理。</w:t>
      </w:r>
    </w:p>
    <w:p w14:paraId="699CE2C3">
      <w:pPr>
        <w:pStyle w:val="39"/>
        <w:widowControl/>
        <w:spacing w:afterLines="0"/>
        <w:ind w:left="0"/>
        <w:rPr>
          <w:rFonts w:hint="eastAsia"/>
          <w:b w:val="0"/>
          <w:bCs/>
          <w:sz w:val="21"/>
          <w:szCs w:val="21"/>
        </w:rPr>
      </w:pPr>
      <w:bookmarkStart w:id="1599" w:name="_Toc20735"/>
      <w:bookmarkEnd w:id="1599"/>
      <w:bookmarkStart w:id="1600" w:name="_Ref531957339"/>
      <w:bookmarkEnd w:id="1600"/>
      <w:bookmarkStart w:id="1601" w:name="_Ref531957341"/>
      <w:bookmarkEnd w:id="1601"/>
      <w:bookmarkStart w:id="1602" w:name="_Toc23749"/>
      <w:bookmarkEnd w:id="1602"/>
      <w:bookmarkStart w:id="1603" w:name="_Toc54862298"/>
      <w:bookmarkEnd w:id="1603"/>
      <w:r>
        <w:rPr>
          <w:rFonts w:hint="eastAsia"/>
          <w:b w:val="0"/>
          <w:bCs/>
          <w:sz w:val="21"/>
          <w:szCs w:val="21"/>
        </w:rPr>
        <w:t>14.7 最终结清</w:t>
      </w:r>
    </w:p>
    <w:p w14:paraId="1AF2E4C1">
      <w:pPr>
        <w:pStyle w:val="40"/>
        <w:spacing w:after="157"/>
        <w:ind w:left="0"/>
        <w:rPr>
          <w:rFonts w:hint="eastAsia" w:ascii="仿宋_GB2312" w:eastAsia="仿宋_GB2312"/>
          <w:sz w:val="21"/>
        </w:rPr>
      </w:pPr>
      <w:bookmarkStart w:id="1604" w:name="_Ref531957350"/>
      <w:bookmarkEnd w:id="1604"/>
      <w:r>
        <w:rPr>
          <w:rFonts w:hint="eastAsia" w:ascii="仿宋_GB2312" w:eastAsia="仿宋_GB2312"/>
          <w:sz w:val="21"/>
        </w:rPr>
        <w:t>1</w:t>
      </w:r>
      <w:r>
        <w:rPr>
          <w:rFonts w:ascii="仿宋_GB2312" w:eastAsia="仿宋_GB2312"/>
          <w:sz w:val="21"/>
        </w:rPr>
        <w:t xml:space="preserve">4.7.1 </w:t>
      </w:r>
      <w:r>
        <w:rPr>
          <w:rFonts w:hint="eastAsia" w:ascii="仿宋_GB2312" w:eastAsia="仿宋_GB2312"/>
          <w:sz w:val="21"/>
        </w:rPr>
        <w:t>最终结清申请单</w:t>
      </w:r>
    </w:p>
    <w:p w14:paraId="3ECF89DE">
      <w:pPr>
        <w:spacing w:line="360" w:lineRule="auto"/>
        <w:ind w:firstLine="600"/>
        <w:rPr>
          <w:rFonts w:ascii="仿宋_GB2312" w:eastAsia="仿宋_GB2312"/>
        </w:rPr>
      </w:pPr>
      <w:r>
        <w:rPr>
          <w:rFonts w:hint="eastAsia" w:ascii="仿宋_GB2312" w:eastAsia="仿宋_GB2312"/>
        </w:rPr>
        <w:t>（1） 除专用合同条件另有约定外，承包人应在缺陷责任期终止证书颁发后7天内，按专用合同条件约定的份数向发包人提交最终结清申请单，并提供相关证明材料。</w:t>
      </w:r>
    </w:p>
    <w:p w14:paraId="1355353D">
      <w:pPr>
        <w:spacing w:line="360" w:lineRule="auto"/>
        <w:ind w:firstLine="600"/>
        <w:rPr>
          <w:rFonts w:ascii="仿宋_GB2312" w:eastAsia="仿宋_GB2312"/>
        </w:rPr>
      </w:pPr>
      <w:r>
        <w:rPr>
          <w:rFonts w:hint="eastAsia" w:ascii="仿宋_GB2312" w:eastAsia="仿宋_GB2312"/>
        </w:rPr>
        <w:t>除专用合同条件另有约定外，最终结清申请单应列明质量保证金、应扣除的质量保证金、缺陷责任期内发生的增减费用。</w:t>
      </w:r>
    </w:p>
    <w:p w14:paraId="41EF777D">
      <w:pPr>
        <w:spacing w:line="360" w:lineRule="auto"/>
        <w:ind w:firstLine="600"/>
        <w:rPr>
          <w:rFonts w:ascii="仿宋_GB2312" w:eastAsia="仿宋_GB2312"/>
        </w:rPr>
      </w:pPr>
      <w:r>
        <w:rPr>
          <w:rFonts w:hint="eastAsia" w:ascii="仿宋_GB2312" w:eastAsia="仿宋_GB2312"/>
        </w:rPr>
        <w:t>（2） 发包人对最终结清申请单内容有异议的，有权要求承包人进行修正和提供补充资料，承包人应向发包人提交修正后的最终结清申请单。</w:t>
      </w:r>
    </w:p>
    <w:p w14:paraId="72020026">
      <w:pPr>
        <w:pStyle w:val="40"/>
        <w:spacing w:after="157"/>
        <w:ind w:left="0"/>
        <w:rPr>
          <w:rFonts w:hint="eastAsia" w:ascii="仿宋_GB2312" w:eastAsia="仿宋_GB2312"/>
          <w:sz w:val="21"/>
        </w:rPr>
      </w:pPr>
      <w:bookmarkStart w:id="1605" w:name="_Ref531957369"/>
      <w:bookmarkEnd w:id="1605"/>
      <w:bookmarkStart w:id="1606" w:name="_Ref4624099"/>
      <w:bookmarkEnd w:id="1606"/>
      <w:r>
        <w:rPr>
          <w:rFonts w:hint="eastAsia" w:ascii="仿宋_GB2312" w:eastAsia="仿宋_GB2312"/>
          <w:sz w:val="21"/>
        </w:rPr>
        <w:t>1</w:t>
      </w:r>
      <w:r>
        <w:rPr>
          <w:rFonts w:ascii="仿宋_GB2312" w:eastAsia="仿宋_GB2312"/>
          <w:sz w:val="21"/>
        </w:rPr>
        <w:t xml:space="preserve">4.7.2 </w:t>
      </w:r>
      <w:r>
        <w:rPr>
          <w:rFonts w:hint="eastAsia" w:ascii="仿宋_GB2312" w:eastAsia="仿宋_GB2312"/>
          <w:sz w:val="21"/>
        </w:rPr>
        <w:t>最终结清证书和支付</w:t>
      </w:r>
    </w:p>
    <w:p w14:paraId="33910A97">
      <w:pPr>
        <w:spacing w:line="360" w:lineRule="auto"/>
        <w:ind w:firstLine="600"/>
        <w:rPr>
          <w:rFonts w:ascii="仿宋_GB2312" w:eastAsia="仿宋_GB2312"/>
        </w:rPr>
      </w:pPr>
      <w:r>
        <w:rPr>
          <w:rFonts w:hint="eastAsia" w:ascii="仿宋_GB2312" w:eastAsia="仿宋_GB2312"/>
        </w:rPr>
        <w:t>（1）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3F156E32">
      <w:pPr>
        <w:spacing w:line="360" w:lineRule="auto"/>
        <w:ind w:firstLine="600"/>
        <w:rPr>
          <w:rFonts w:ascii="仿宋_GB2312" w:eastAsia="仿宋_GB2312"/>
        </w:rPr>
      </w:pPr>
      <w:r>
        <w:rPr>
          <w:rFonts w:hint="eastAsia" w:ascii="仿宋_GB2312" w:eastAsia="仿宋_GB2312"/>
        </w:rPr>
        <w:t>（2） 除专用合同条件另有约定外，发包人应在颁发最终结清证书后7天内完成支付。发包人逾期支付的，按照贷款市场报价利率（LPR）支付利息；逾期支付超过56天的，按照贷款市场报价利率（LPR）的两倍支付利息。</w:t>
      </w:r>
    </w:p>
    <w:p w14:paraId="5408C2C8">
      <w:pPr>
        <w:spacing w:line="360" w:lineRule="auto"/>
        <w:ind w:firstLine="600"/>
        <w:rPr>
          <w:rFonts w:ascii="仿宋_GB2312" w:eastAsia="仿宋_GB2312"/>
        </w:rPr>
      </w:pPr>
      <w:r>
        <w:rPr>
          <w:rFonts w:hint="eastAsia" w:ascii="仿宋_GB2312" w:eastAsia="仿宋_GB2312"/>
        </w:rPr>
        <w:t>（3） 承包人对发包人颁发的最终结清证书有异议的，按第</w:t>
      </w:r>
      <w:r>
        <w:rPr>
          <w:rFonts w:ascii="仿宋_GB2312" w:eastAsia="仿宋_GB2312"/>
        </w:rPr>
        <w:t>20条</w:t>
      </w:r>
      <w:r>
        <w:rPr>
          <w:rFonts w:hint="eastAsia" w:ascii="仿宋_GB2312" w:eastAsia="仿宋_GB2312"/>
        </w:rPr>
        <w:t>[争议解决]的约定办理。</w:t>
      </w:r>
    </w:p>
    <w:bookmarkEnd w:id="1430"/>
    <w:bookmarkEnd w:id="1436"/>
    <w:bookmarkEnd w:id="1437"/>
    <w:p w14:paraId="516C2160">
      <w:pPr>
        <w:pStyle w:val="39"/>
        <w:widowControl/>
        <w:spacing w:afterLines="0"/>
        <w:ind w:left="0"/>
        <w:outlineLvl w:val="1"/>
        <w:rPr>
          <w:rFonts w:hint="eastAsia"/>
          <w:b w:val="0"/>
          <w:bCs/>
          <w:sz w:val="28"/>
          <w:szCs w:val="28"/>
        </w:rPr>
      </w:pPr>
      <w:bookmarkStart w:id="1607" w:name="_Toc22088"/>
      <w:bookmarkEnd w:id="1607"/>
      <w:bookmarkStart w:id="1608" w:name="_Ref11874957"/>
      <w:bookmarkEnd w:id="1608"/>
      <w:bookmarkStart w:id="1609" w:name="_Toc54862299"/>
      <w:bookmarkEnd w:id="1609"/>
      <w:bookmarkStart w:id="1610" w:name="_Toc30980"/>
      <w:bookmarkEnd w:id="1610"/>
      <w:bookmarkStart w:id="1611" w:name="_Ref11920407"/>
      <w:bookmarkEnd w:id="1611"/>
      <w:bookmarkStart w:id="1612" w:name="_Ref11920396"/>
      <w:bookmarkEnd w:id="1612"/>
      <w:r>
        <w:rPr>
          <w:rFonts w:hint="eastAsia"/>
          <w:b w:val="0"/>
          <w:bCs/>
          <w:sz w:val="28"/>
          <w:szCs w:val="28"/>
        </w:rPr>
        <w:t>第15条 违约</w:t>
      </w:r>
    </w:p>
    <w:p w14:paraId="53983983">
      <w:pPr>
        <w:pStyle w:val="39"/>
        <w:widowControl/>
        <w:spacing w:afterLines="0"/>
        <w:ind w:left="0"/>
        <w:rPr>
          <w:rFonts w:hint="eastAsia"/>
          <w:b w:val="0"/>
          <w:bCs/>
          <w:sz w:val="21"/>
          <w:szCs w:val="21"/>
        </w:rPr>
      </w:pPr>
      <w:bookmarkStart w:id="1613" w:name="_Toc54862300"/>
      <w:bookmarkEnd w:id="1613"/>
      <w:bookmarkStart w:id="1614" w:name="_Ref4534376"/>
      <w:bookmarkEnd w:id="1614"/>
      <w:bookmarkStart w:id="1615" w:name="_Toc11351"/>
      <w:bookmarkEnd w:id="1615"/>
      <w:bookmarkStart w:id="1616" w:name="_Toc4505"/>
      <w:bookmarkEnd w:id="1616"/>
      <w:bookmarkStart w:id="1617" w:name="_Ref4534411"/>
      <w:bookmarkEnd w:id="1617"/>
      <w:bookmarkStart w:id="1618" w:name="_Ref4534399"/>
      <w:bookmarkEnd w:id="1618"/>
      <w:bookmarkStart w:id="1619" w:name="_Ref4534384"/>
      <w:bookmarkEnd w:id="1619"/>
      <w:r>
        <w:rPr>
          <w:rFonts w:hint="eastAsia"/>
          <w:b w:val="0"/>
          <w:bCs/>
          <w:sz w:val="21"/>
          <w:szCs w:val="21"/>
        </w:rPr>
        <w:t>15.1 发包人违约</w:t>
      </w:r>
    </w:p>
    <w:p w14:paraId="6BC89C76">
      <w:pPr>
        <w:pStyle w:val="40"/>
        <w:spacing w:after="157"/>
        <w:ind w:left="0"/>
        <w:rPr>
          <w:rFonts w:hint="eastAsia" w:ascii="仿宋_GB2312" w:eastAsia="仿宋_GB2312"/>
          <w:sz w:val="21"/>
        </w:rPr>
      </w:pPr>
      <w:bookmarkStart w:id="1620" w:name="_Ref3841087"/>
      <w:bookmarkEnd w:id="1620"/>
      <w:r>
        <w:rPr>
          <w:rFonts w:hint="eastAsia" w:ascii="仿宋_GB2312" w:eastAsia="仿宋_GB2312"/>
          <w:sz w:val="21"/>
        </w:rPr>
        <w:t>1</w:t>
      </w:r>
      <w:r>
        <w:rPr>
          <w:rFonts w:ascii="仿宋_GB2312" w:eastAsia="仿宋_GB2312"/>
          <w:sz w:val="21"/>
        </w:rPr>
        <w:t xml:space="preserve">5.1.1 </w:t>
      </w:r>
      <w:r>
        <w:rPr>
          <w:rFonts w:hint="eastAsia" w:ascii="仿宋_GB2312" w:eastAsia="仿宋_GB2312"/>
          <w:sz w:val="21"/>
        </w:rPr>
        <w:t>发包人违约的情形</w:t>
      </w:r>
    </w:p>
    <w:p w14:paraId="776A82CF">
      <w:pPr>
        <w:spacing w:line="360" w:lineRule="auto"/>
        <w:ind w:firstLine="600"/>
        <w:rPr>
          <w:rFonts w:ascii="仿宋_GB2312" w:eastAsia="仿宋_GB2312"/>
        </w:rPr>
      </w:pPr>
      <w:r>
        <w:rPr>
          <w:rFonts w:hint="eastAsia" w:ascii="仿宋_GB2312" w:eastAsia="仿宋_GB2312"/>
        </w:rPr>
        <w:t>除专用合同条件另有约定外，在合同履行过程中发生的下列情形，属于发包人违约：</w:t>
      </w:r>
    </w:p>
    <w:p w14:paraId="1A19FA87">
      <w:pPr>
        <w:spacing w:line="360" w:lineRule="auto"/>
        <w:ind w:firstLine="600"/>
        <w:rPr>
          <w:rFonts w:ascii="仿宋_GB2312" w:eastAsia="仿宋_GB2312"/>
        </w:rPr>
      </w:pPr>
      <w:r>
        <w:rPr>
          <w:rFonts w:hint="eastAsia" w:ascii="仿宋_GB2312" w:eastAsia="仿宋_GB2312"/>
        </w:rPr>
        <w:t xml:space="preserve">（1） 因发包人原因导致开始工作日期延误的； </w:t>
      </w:r>
    </w:p>
    <w:p w14:paraId="742AAF1A">
      <w:pPr>
        <w:spacing w:line="360" w:lineRule="auto"/>
        <w:ind w:firstLine="600"/>
        <w:rPr>
          <w:rFonts w:ascii="仿宋_GB2312" w:eastAsia="仿宋_GB2312"/>
        </w:rPr>
      </w:pPr>
      <w:r>
        <w:rPr>
          <w:rFonts w:hint="eastAsia" w:ascii="仿宋_GB2312" w:eastAsia="仿宋_GB2312"/>
        </w:rPr>
        <w:t>（2） 因发包人原因未能按合同约定支付合同价款的；</w:t>
      </w:r>
    </w:p>
    <w:p w14:paraId="273C86C3">
      <w:pPr>
        <w:spacing w:line="360" w:lineRule="auto"/>
        <w:ind w:firstLine="600"/>
        <w:rPr>
          <w:rFonts w:ascii="仿宋_GB2312" w:eastAsia="仿宋_GB2312"/>
        </w:rPr>
      </w:pPr>
      <w:r>
        <w:rPr>
          <w:rFonts w:hint="eastAsia" w:ascii="仿宋_GB2312" w:eastAsia="仿宋_GB2312"/>
        </w:rPr>
        <w:t>（3） 发包人违反第</w:t>
      </w:r>
      <w:r>
        <w:rPr>
          <w:rFonts w:ascii="仿宋_GB2312" w:eastAsia="仿宋_GB2312"/>
        </w:rPr>
        <w:t>13.1.1</w:t>
      </w:r>
      <w:r>
        <w:rPr>
          <w:rFonts w:hint="eastAsia" w:ascii="仿宋_GB2312" w:eastAsia="仿宋_GB2312"/>
        </w:rPr>
        <w:t>项约定，自行实施被取消的工作或转由他人实施的；</w:t>
      </w:r>
    </w:p>
    <w:p w14:paraId="6B573A5D">
      <w:pPr>
        <w:spacing w:line="360" w:lineRule="auto"/>
        <w:ind w:firstLine="600"/>
        <w:rPr>
          <w:rFonts w:ascii="仿宋_GB2312" w:eastAsia="仿宋_GB2312"/>
        </w:rPr>
      </w:pPr>
      <w:r>
        <w:rPr>
          <w:rFonts w:hint="eastAsia" w:ascii="仿宋_GB2312" w:eastAsia="仿宋_GB2312"/>
        </w:rPr>
        <w:t>（4） 因发包人违反合同约定造成工程暂停施工的；</w:t>
      </w:r>
    </w:p>
    <w:p w14:paraId="47A8FD4E">
      <w:pPr>
        <w:spacing w:line="360" w:lineRule="auto"/>
        <w:ind w:firstLine="600"/>
        <w:rPr>
          <w:rFonts w:ascii="仿宋_GB2312" w:eastAsia="仿宋_GB2312"/>
        </w:rPr>
      </w:pPr>
      <w:r>
        <w:rPr>
          <w:rFonts w:hint="eastAsia" w:ascii="仿宋_GB2312" w:eastAsia="仿宋_GB2312"/>
        </w:rPr>
        <w:t>（5） 工程师无正当理由没有在约定期限内发出复工指示，导致承包人无法复工的；</w:t>
      </w:r>
    </w:p>
    <w:p w14:paraId="6A38480B">
      <w:pPr>
        <w:spacing w:line="360" w:lineRule="auto"/>
        <w:ind w:firstLine="600"/>
        <w:rPr>
          <w:rFonts w:ascii="仿宋_GB2312" w:eastAsia="仿宋_GB2312"/>
        </w:rPr>
      </w:pPr>
      <w:r>
        <w:rPr>
          <w:rFonts w:hint="eastAsia" w:ascii="仿宋_GB2312" w:eastAsia="仿宋_GB2312"/>
        </w:rPr>
        <w:t>（6） 发包人明确表示或者以其行为表明不履行合同主要义务的；</w:t>
      </w:r>
    </w:p>
    <w:p w14:paraId="65057387">
      <w:pPr>
        <w:spacing w:line="360" w:lineRule="auto"/>
        <w:ind w:firstLine="600"/>
        <w:rPr>
          <w:rFonts w:ascii="仿宋_GB2312" w:eastAsia="仿宋_GB2312"/>
        </w:rPr>
      </w:pPr>
      <w:r>
        <w:rPr>
          <w:rFonts w:hint="eastAsia" w:ascii="仿宋_GB2312" w:eastAsia="仿宋_GB2312"/>
        </w:rPr>
        <w:t>（7） 发包人未能按照合同约定履行其他义务的。</w:t>
      </w:r>
    </w:p>
    <w:p w14:paraId="3BBDD05A">
      <w:pPr>
        <w:pStyle w:val="40"/>
        <w:spacing w:after="157"/>
        <w:ind w:left="0"/>
        <w:rPr>
          <w:rFonts w:hint="eastAsia" w:ascii="仿宋_GB2312" w:eastAsia="仿宋_GB2312"/>
          <w:sz w:val="21"/>
        </w:rPr>
      </w:pPr>
      <w:bookmarkStart w:id="1621" w:name="_Ref4535692"/>
      <w:bookmarkEnd w:id="1621"/>
      <w:r>
        <w:rPr>
          <w:rFonts w:hint="eastAsia" w:ascii="仿宋_GB2312" w:eastAsia="仿宋_GB2312"/>
          <w:sz w:val="21"/>
        </w:rPr>
        <w:t>1</w:t>
      </w:r>
      <w:r>
        <w:rPr>
          <w:rFonts w:ascii="仿宋_GB2312" w:eastAsia="仿宋_GB2312"/>
          <w:sz w:val="21"/>
        </w:rPr>
        <w:t xml:space="preserve">5.1.2 </w:t>
      </w:r>
      <w:r>
        <w:rPr>
          <w:rFonts w:hint="eastAsia" w:ascii="仿宋_GB2312" w:eastAsia="仿宋_GB2312"/>
          <w:sz w:val="21"/>
        </w:rPr>
        <w:t>通知改正</w:t>
      </w:r>
    </w:p>
    <w:p w14:paraId="28D1324F">
      <w:pPr>
        <w:spacing w:line="360" w:lineRule="auto"/>
        <w:ind w:firstLine="600"/>
        <w:rPr>
          <w:rFonts w:ascii="仿宋_GB2312" w:eastAsia="仿宋_GB2312"/>
        </w:rPr>
      </w:pPr>
      <w:bookmarkStart w:id="1622" w:name="_Hlk16248297"/>
      <w:bookmarkEnd w:id="1622"/>
      <w:r>
        <w:rPr>
          <w:rFonts w:hint="eastAsia" w:ascii="仿宋_GB2312" w:eastAsia="仿宋_GB2312"/>
        </w:rPr>
        <w:t>发包人发生除第</w:t>
      </w:r>
      <w:r>
        <w:rPr>
          <w:rFonts w:ascii="仿宋_GB2312" w:eastAsia="仿宋_GB2312"/>
        </w:rPr>
        <w:t>15.1.1</w:t>
      </w:r>
      <w:r>
        <w:rPr>
          <w:rFonts w:hint="eastAsia" w:ascii="仿宋_GB2312" w:eastAsia="仿宋_GB2312"/>
        </w:rPr>
        <w:t>项第(</w:t>
      </w:r>
      <w:r>
        <w:rPr>
          <w:rFonts w:ascii="仿宋_GB2312" w:eastAsia="仿宋_GB2312"/>
        </w:rPr>
        <w:t>6</w:t>
      </w:r>
      <w:r>
        <w:rPr>
          <w:rFonts w:hint="eastAsia" w:ascii="仿宋_GB2312" w:eastAsia="仿宋_GB2312"/>
        </w:rPr>
        <w:t>）目以外的违约情况时，承包人可向发包人发出通知，要求发包人采取有效措施纠正违约行为。发包人收到承包人通知后28天内仍不纠正违约行为的，承包人有权暂停相应部位工程实施，并通知工程师。</w:t>
      </w:r>
    </w:p>
    <w:p w14:paraId="2F2E8ADC">
      <w:pPr>
        <w:pStyle w:val="40"/>
        <w:spacing w:after="157"/>
        <w:ind w:left="0"/>
        <w:rPr>
          <w:rFonts w:hint="eastAsia" w:ascii="仿宋_GB2312" w:eastAsia="仿宋_GB2312"/>
          <w:sz w:val="21"/>
        </w:rPr>
      </w:pPr>
      <w:bookmarkStart w:id="1623" w:name="_Ref3841132"/>
      <w:bookmarkEnd w:id="1623"/>
      <w:r>
        <w:rPr>
          <w:rFonts w:hint="eastAsia" w:ascii="仿宋_GB2312" w:eastAsia="仿宋_GB2312"/>
          <w:sz w:val="21"/>
        </w:rPr>
        <w:t>1</w:t>
      </w:r>
      <w:r>
        <w:rPr>
          <w:rFonts w:ascii="仿宋_GB2312" w:eastAsia="仿宋_GB2312"/>
          <w:sz w:val="21"/>
        </w:rPr>
        <w:t xml:space="preserve">5.1.3 </w:t>
      </w:r>
      <w:r>
        <w:rPr>
          <w:rFonts w:hint="eastAsia" w:ascii="仿宋_GB2312" w:eastAsia="仿宋_GB2312"/>
          <w:sz w:val="21"/>
        </w:rPr>
        <w:t>发包人违约的责任</w:t>
      </w:r>
    </w:p>
    <w:p w14:paraId="59CD5794">
      <w:pPr>
        <w:spacing w:line="360" w:lineRule="auto"/>
        <w:ind w:firstLine="600"/>
        <w:rPr>
          <w:rFonts w:ascii="仿宋_GB2312" w:eastAsia="仿宋_GB2312"/>
        </w:rPr>
      </w:pPr>
      <w:bookmarkStart w:id="1624" w:name="_Hlk16247984"/>
      <w:bookmarkEnd w:id="1624"/>
      <w:r>
        <w:rPr>
          <w:rFonts w:hint="eastAsia" w:ascii="仿宋_GB2312" w:eastAsia="仿宋_GB2312"/>
        </w:rPr>
        <w:t>发包人应承担因其违约给承包人增加的费用和（或）延误的工期，并支付承包人合理的利润。此外，合同当事人可在专用合同条件中另行约定发包人违约责任的承担方式和计算方法。</w:t>
      </w:r>
    </w:p>
    <w:p w14:paraId="2C253D62">
      <w:pPr>
        <w:pStyle w:val="39"/>
        <w:widowControl/>
        <w:spacing w:afterLines="0"/>
        <w:ind w:left="0"/>
        <w:rPr>
          <w:rFonts w:hint="eastAsia"/>
          <w:b w:val="0"/>
          <w:bCs/>
          <w:sz w:val="21"/>
          <w:szCs w:val="21"/>
        </w:rPr>
      </w:pPr>
      <w:bookmarkStart w:id="1625" w:name="_Toc54862301"/>
      <w:bookmarkEnd w:id="1625"/>
      <w:bookmarkStart w:id="1626" w:name="_Ref11958660"/>
      <w:bookmarkEnd w:id="1626"/>
      <w:bookmarkStart w:id="1627" w:name="_Toc30391"/>
      <w:bookmarkEnd w:id="1627"/>
      <w:bookmarkStart w:id="1628" w:name="_Ref11958663"/>
      <w:bookmarkEnd w:id="1628"/>
      <w:bookmarkStart w:id="1629" w:name="_Toc31133"/>
      <w:bookmarkEnd w:id="1629"/>
      <w:r>
        <w:rPr>
          <w:rFonts w:hint="eastAsia"/>
          <w:b w:val="0"/>
          <w:bCs/>
          <w:sz w:val="21"/>
          <w:szCs w:val="21"/>
        </w:rPr>
        <w:t>15.2 承包人违约</w:t>
      </w:r>
    </w:p>
    <w:p w14:paraId="602CA46B">
      <w:pPr>
        <w:pStyle w:val="40"/>
        <w:spacing w:after="157"/>
        <w:ind w:left="0"/>
        <w:rPr>
          <w:rFonts w:hint="eastAsia" w:ascii="仿宋_GB2312" w:eastAsia="仿宋_GB2312"/>
          <w:sz w:val="21"/>
        </w:rPr>
      </w:pPr>
      <w:bookmarkStart w:id="1630" w:name="_Ref3841153"/>
      <w:bookmarkEnd w:id="1630"/>
      <w:r>
        <w:rPr>
          <w:rFonts w:hint="eastAsia" w:ascii="仿宋_GB2312" w:eastAsia="仿宋_GB2312"/>
          <w:sz w:val="21"/>
        </w:rPr>
        <w:t>1</w:t>
      </w:r>
      <w:r>
        <w:rPr>
          <w:rFonts w:ascii="仿宋_GB2312" w:eastAsia="仿宋_GB2312"/>
          <w:sz w:val="21"/>
        </w:rPr>
        <w:t xml:space="preserve">5.2.1 </w:t>
      </w:r>
      <w:r>
        <w:rPr>
          <w:rFonts w:hint="eastAsia" w:ascii="仿宋_GB2312" w:eastAsia="仿宋_GB2312"/>
          <w:sz w:val="21"/>
        </w:rPr>
        <w:t>承包人违约的情形</w:t>
      </w:r>
    </w:p>
    <w:p w14:paraId="1D8ECCA1">
      <w:pPr>
        <w:spacing w:line="360" w:lineRule="auto"/>
        <w:ind w:firstLine="600"/>
        <w:rPr>
          <w:rFonts w:ascii="仿宋_GB2312" w:eastAsia="仿宋_GB2312"/>
        </w:rPr>
      </w:pPr>
      <w:r>
        <w:rPr>
          <w:rFonts w:hint="eastAsia" w:ascii="仿宋_GB2312" w:eastAsia="仿宋_GB2312"/>
        </w:rPr>
        <w:t>除专用合同条件另有约定外，在履行合同过程中发生下列情况之一的，属于承包人违约：</w:t>
      </w:r>
    </w:p>
    <w:p w14:paraId="563E70F0">
      <w:pPr>
        <w:spacing w:line="360" w:lineRule="auto"/>
        <w:ind w:firstLine="600"/>
        <w:rPr>
          <w:rFonts w:ascii="仿宋_GB2312" w:eastAsia="仿宋_GB2312"/>
        </w:rPr>
      </w:pPr>
      <w:r>
        <w:rPr>
          <w:rFonts w:hint="eastAsia" w:ascii="仿宋_GB2312" w:eastAsia="仿宋_GB2312"/>
        </w:rPr>
        <w:t>（1） 承包人的原因导致的承包人文件、实施和竣工的工程不符合法律法规、工程质量验收标准以及合同约定；</w:t>
      </w:r>
    </w:p>
    <w:p w14:paraId="67A94059">
      <w:pPr>
        <w:spacing w:line="360" w:lineRule="auto"/>
        <w:ind w:firstLine="600"/>
        <w:rPr>
          <w:rFonts w:ascii="仿宋_GB2312" w:eastAsia="仿宋_GB2312"/>
        </w:rPr>
      </w:pPr>
      <w:r>
        <w:rPr>
          <w:rFonts w:hint="eastAsia" w:ascii="仿宋_GB2312" w:eastAsia="仿宋_GB2312"/>
        </w:rPr>
        <w:t>（2） 承包人违反合同约定进行转包或违法分包的；</w:t>
      </w:r>
    </w:p>
    <w:p w14:paraId="350BD7C5">
      <w:pPr>
        <w:spacing w:line="360" w:lineRule="auto"/>
        <w:ind w:firstLine="600"/>
        <w:rPr>
          <w:rFonts w:ascii="仿宋_GB2312" w:eastAsia="仿宋_GB2312"/>
        </w:rPr>
      </w:pPr>
      <w:r>
        <w:rPr>
          <w:rFonts w:hint="eastAsia" w:ascii="仿宋_GB2312" w:eastAsia="仿宋_GB2312"/>
        </w:rPr>
        <w:t>（3） 承包人违反约定采购和使用不合格材料或工程设备；</w:t>
      </w:r>
    </w:p>
    <w:p w14:paraId="4806A754">
      <w:pPr>
        <w:spacing w:line="360" w:lineRule="auto"/>
        <w:ind w:firstLine="600"/>
        <w:rPr>
          <w:rFonts w:ascii="仿宋_GB2312" w:eastAsia="仿宋_GB2312"/>
        </w:rPr>
      </w:pPr>
      <w:r>
        <w:rPr>
          <w:rFonts w:hint="eastAsia" w:ascii="仿宋_GB2312" w:eastAsia="仿宋_GB2312"/>
        </w:rPr>
        <w:t>（4） 因承包人原因导致工程质量不符合合同要求的；</w:t>
      </w:r>
    </w:p>
    <w:p w14:paraId="09A973C6">
      <w:pPr>
        <w:spacing w:line="360" w:lineRule="auto"/>
        <w:ind w:firstLine="600"/>
        <w:rPr>
          <w:rFonts w:ascii="仿宋_GB2312" w:eastAsia="仿宋_GB2312"/>
        </w:rPr>
      </w:pPr>
      <w:r>
        <w:rPr>
          <w:rFonts w:hint="eastAsia" w:ascii="仿宋_GB2312" w:eastAsia="仿宋_GB2312"/>
        </w:rPr>
        <w:t>（5） 承包人未经工程师批准，擅自将已按合同约定进入施工现场的施工设备、临时设施或材料撤离施工现场；</w:t>
      </w:r>
    </w:p>
    <w:p w14:paraId="47ECE8FF">
      <w:pPr>
        <w:spacing w:line="360" w:lineRule="auto"/>
        <w:ind w:firstLine="600"/>
        <w:rPr>
          <w:rFonts w:ascii="仿宋_GB2312" w:eastAsia="仿宋_GB2312"/>
        </w:rPr>
      </w:pPr>
      <w:r>
        <w:rPr>
          <w:rFonts w:hint="eastAsia" w:ascii="仿宋_GB2312" w:eastAsia="仿宋_GB2312"/>
        </w:rPr>
        <w:t>（6） 承包人未能按项目进度计划及时完成合同约定的工作，造成工期延误；</w:t>
      </w:r>
    </w:p>
    <w:p w14:paraId="7945F6EC">
      <w:pPr>
        <w:spacing w:line="360" w:lineRule="auto"/>
        <w:ind w:firstLine="600"/>
        <w:rPr>
          <w:rFonts w:ascii="仿宋_GB2312" w:eastAsia="仿宋_GB2312"/>
        </w:rPr>
      </w:pPr>
      <w:r>
        <w:rPr>
          <w:rFonts w:hint="eastAsia" w:ascii="仿宋_GB2312" w:eastAsia="仿宋_GB2312"/>
        </w:rPr>
        <w:t>（7） 由于承包人原因未能通过竣工试验或竣工后试验的；</w:t>
      </w:r>
    </w:p>
    <w:p w14:paraId="61C226A8">
      <w:pPr>
        <w:spacing w:line="360" w:lineRule="auto"/>
        <w:ind w:firstLine="600"/>
        <w:rPr>
          <w:rFonts w:ascii="仿宋_GB2312" w:eastAsia="仿宋_GB2312"/>
        </w:rPr>
      </w:pPr>
      <w:r>
        <w:rPr>
          <w:rFonts w:hint="eastAsia" w:ascii="仿宋_GB2312" w:eastAsia="仿宋_GB2312"/>
        </w:rPr>
        <w:t>（8） 承包人在缺陷责任期及保修期内，未能在合理期</w:t>
      </w:r>
      <w:r>
        <w:rPr>
          <w:rFonts w:hint="eastAsia" w:ascii="仿宋_GB2312" w:eastAsia="仿宋_GB2312"/>
          <w:lang w:eastAsia="zh-CN"/>
        </w:rPr>
        <w:t>限内</w:t>
      </w:r>
      <w:r>
        <w:rPr>
          <w:rFonts w:hint="eastAsia" w:ascii="仿宋_GB2312" w:eastAsia="仿宋_GB2312"/>
        </w:rPr>
        <w:t>对工程缺陷进行修复，或拒绝按发包人指示进行修复的；</w:t>
      </w:r>
    </w:p>
    <w:p w14:paraId="442B667C">
      <w:pPr>
        <w:spacing w:line="360" w:lineRule="auto"/>
        <w:ind w:firstLine="600"/>
        <w:rPr>
          <w:rFonts w:ascii="仿宋_GB2312" w:eastAsia="仿宋_GB2312"/>
        </w:rPr>
      </w:pPr>
      <w:r>
        <w:rPr>
          <w:rFonts w:hint="eastAsia" w:ascii="仿宋_GB2312" w:eastAsia="仿宋_GB2312"/>
        </w:rPr>
        <w:t>（9） 承包人明确表示或者以其行为表明不履行合同主要义务的；</w:t>
      </w:r>
    </w:p>
    <w:p w14:paraId="3F193765">
      <w:pPr>
        <w:spacing w:line="360" w:lineRule="auto"/>
        <w:ind w:firstLine="600"/>
        <w:rPr>
          <w:rFonts w:ascii="仿宋_GB2312" w:eastAsia="仿宋_GB2312"/>
        </w:rPr>
      </w:pPr>
      <w:r>
        <w:rPr>
          <w:rFonts w:hint="eastAsia" w:ascii="仿宋_GB2312" w:eastAsia="仿宋_GB2312"/>
        </w:rPr>
        <w:t>（1</w:t>
      </w:r>
      <w:r>
        <w:rPr>
          <w:rFonts w:ascii="仿宋_GB2312" w:eastAsia="仿宋_GB2312"/>
        </w:rPr>
        <w:t>0</w:t>
      </w:r>
      <w:r>
        <w:rPr>
          <w:rFonts w:hint="eastAsia" w:ascii="仿宋_GB2312" w:eastAsia="仿宋_GB2312"/>
        </w:rPr>
        <w:t>） 承包人未能按照合同约定履行其他义务的。</w:t>
      </w:r>
    </w:p>
    <w:p w14:paraId="710A6D09">
      <w:pPr>
        <w:pStyle w:val="40"/>
        <w:spacing w:after="157"/>
        <w:ind w:left="0"/>
        <w:rPr>
          <w:rFonts w:hint="eastAsia" w:ascii="仿宋_GB2312" w:eastAsia="仿宋_GB2312"/>
          <w:sz w:val="21"/>
        </w:rPr>
      </w:pPr>
      <w:bookmarkStart w:id="1631" w:name="_Ref531958512"/>
      <w:bookmarkEnd w:id="1631"/>
      <w:r>
        <w:rPr>
          <w:rFonts w:hint="eastAsia" w:ascii="仿宋_GB2312" w:eastAsia="仿宋_GB2312"/>
          <w:sz w:val="21"/>
        </w:rPr>
        <w:t>1</w:t>
      </w:r>
      <w:r>
        <w:rPr>
          <w:rFonts w:ascii="仿宋_GB2312" w:eastAsia="仿宋_GB2312"/>
          <w:sz w:val="21"/>
        </w:rPr>
        <w:t xml:space="preserve">5.2.2 </w:t>
      </w:r>
      <w:r>
        <w:rPr>
          <w:rFonts w:hint="eastAsia" w:ascii="仿宋_GB2312" w:eastAsia="仿宋_GB2312"/>
          <w:sz w:val="21"/>
        </w:rPr>
        <w:t>通知改正</w:t>
      </w:r>
    </w:p>
    <w:p w14:paraId="17256252">
      <w:pPr>
        <w:spacing w:line="360" w:lineRule="auto"/>
        <w:ind w:firstLine="600"/>
        <w:rPr>
          <w:rFonts w:ascii="仿宋_GB2312" w:eastAsia="仿宋_GB2312"/>
        </w:rPr>
      </w:pPr>
      <w:r>
        <w:rPr>
          <w:rFonts w:hint="eastAsia" w:ascii="仿宋_GB2312" w:eastAsia="仿宋_GB2312"/>
        </w:rPr>
        <w:t>承包人发生除第</w:t>
      </w:r>
      <w:r>
        <w:rPr>
          <w:rFonts w:ascii="仿宋_GB2312" w:eastAsia="仿宋_GB2312"/>
        </w:rPr>
        <w:t>15.2.1</w:t>
      </w:r>
      <w:r>
        <w:rPr>
          <w:rFonts w:hint="eastAsia" w:ascii="仿宋_GB2312" w:eastAsia="仿宋_GB2312"/>
        </w:rPr>
        <w:t>项第(7）目、第(9）目约定以外的其他违约情况时，工程师可以在专用合同条件约定的合理期限内向承包人发出整改通知，要求其在指定的期限内改正。</w:t>
      </w:r>
    </w:p>
    <w:p w14:paraId="7A167E2B">
      <w:pPr>
        <w:pStyle w:val="40"/>
        <w:spacing w:after="157"/>
        <w:ind w:left="0"/>
        <w:rPr>
          <w:rFonts w:hint="eastAsia" w:ascii="仿宋_GB2312" w:eastAsia="仿宋_GB2312"/>
          <w:sz w:val="21"/>
        </w:rPr>
      </w:pPr>
      <w:bookmarkStart w:id="1632" w:name="_Ref3841166"/>
      <w:bookmarkEnd w:id="1632"/>
      <w:r>
        <w:rPr>
          <w:rFonts w:hint="eastAsia" w:ascii="仿宋_GB2312" w:eastAsia="仿宋_GB2312"/>
          <w:sz w:val="21"/>
        </w:rPr>
        <w:t>1</w:t>
      </w:r>
      <w:r>
        <w:rPr>
          <w:rFonts w:ascii="仿宋_GB2312" w:eastAsia="仿宋_GB2312"/>
          <w:sz w:val="21"/>
        </w:rPr>
        <w:t xml:space="preserve">5.2.3 </w:t>
      </w:r>
      <w:r>
        <w:rPr>
          <w:rFonts w:hint="eastAsia" w:ascii="仿宋_GB2312" w:eastAsia="仿宋_GB2312"/>
          <w:sz w:val="21"/>
        </w:rPr>
        <w:t>承包人违约的责任</w:t>
      </w:r>
    </w:p>
    <w:p w14:paraId="771768F0">
      <w:pPr>
        <w:spacing w:line="360" w:lineRule="auto"/>
        <w:ind w:firstLine="600"/>
        <w:rPr>
          <w:rFonts w:ascii="仿宋_GB2312" w:eastAsia="仿宋_GB2312"/>
        </w:rPr>
      </w:pPr>
      <w:r>
        <w:rPr>
          <w:rFonts w:hint="eastAsia" w:ascii="仿宋_GB2312" w:eastAsia="仿宋_GB2312"/>
        </w:rPr>
        <w:t>承包人应承担因其违约行为而增加的费用和（或）延误的工期。此外，合同当事人可在专用合同条件中另行约定承包人违约责任的承担方式和计算方法。</w:t>
      </w:r>
    </w:p>
    <w:p w14:paraId="3B0BCD76">
      <w:pPr>
        <w:pStyle w:val="39"/>
        <w:widowControl/>
        <w:spacing w:afterLines="0"/>
        <w:ind w:left="0"/>
        <w:rPr>
          <w:rFonts w:hint="eastAsia"/>
          <w:b w:val="0"/>
          <w:bCs/>
          <w:sz w:val="21"/>
          <w:szCs w:val="21"/>
        </w:rPr>
      </w:pPr>
      <w:bookmarkStart w:id="1633" w:name="_Toc16703"/>
      <w:bookmarkEnd w:id="1633"/>
      <w:bookmarkStart w:id="1634" w:name="_Toc1468"/>
      <w:bookmarkEnd w:id="1634"/>
      <w:bookmarkStart w:id="1635" w:name="_Toc54862302"/>
      <w:bookmarkEnd w:id="1635"/>
      <w:r>
        <w:rPr>
          <w:rFonts w:hint="eastAsia"/>
          <w:b w:val="0"/>
          <w:bCs/>
          <w:sz w:val="21"/>
          <w:szCs w:val="21"/>
        </w:rPr>
        <w:t>15.3 第三人造成的违约</w:t>
      </w:r>
    </w:p>
    <w:p w14:paraId="002B1426">
      <w:pPr>
        <w:spacing w:line="360" w:lineRule="auto"/>
        <w:ind w:firstLine="600"/>
        <w:rPr>
          <w:rFonts w:ascii="仿宋_GB2312" w:eastAsia="仿宋_GB2312"/>
        </w:rPr>
      </w:pPr>
      <w:r>
        <w:rPr>
          <w:rFonts w:hint="eastAsia" w:ascii="仿宋_GB2312" w:eastAsia="仿宋_GB2312"/>
        </w:rPr>
        <w:t>在履行合同过程中，一方当事人因第三人的原因造成违约的，应当向对方当事人承担违约责任。一方当事人和第三人之间的纠纷，依照法律规定或者按照约定解决。</w:t>
      </w:r>
    </w:p>
    <w:p w14:paraId="674F4560">
      <w:pPr>
        <w:pStyle w:val="39"/>
        <w:widowControl/>
        <w:spacing w:afterLines="0"/>
        <w:ind w:left="0"/>
        <w:outlineLvl w:val="1"/>
        <w:rPr>
          <w:rFonts w:hint="eastAsia"/>
          <w:b w:val="0"/>
          <w:bCs/>
          <w:sz w:val="28"/>
          <w:szCs w:val="28"/>
        </w:rPr>
      </w:pPr>
      <w:bookmarkStart w:id="1636" w:name="_Toc54862303"/>
      <w:bookmarkEnd w:id="1636"/>
      <w:bookmarkStart w:id="1637" w:name="_Toc27773"/>
      <w:bookmarkEnd w:id="1637"/>
      <w:bookmarkStart w:id="1638" w:name="_Ref4510572"/>
      <w:bookmarkEnd w:id="1638"/>
      <w:bookmarkStart w:id="1639" w:name="_Toc16432"/>
      <w:bookmarkEnd w:id="1639"/>
      <w:bookmarkStart w:id="1640" w:name="_Ref532142069"/>
      <w:bookmarkStart w:id="1641" w:name="_Ref3840457"/>
      <w:r>
        <w:rPr>
          <w:rFonts w:hint="eastAsia"/>
          <w:b w:val="0"/>
          <w:bCs/>
          <w:sz w:val="28"/>
          <w:szCs w:val="28"/>
        </w:rPr>
        <w:t>第16条 合同解除</w:t>
      </w:r>
    </w:p>
    <w:p w14:paraId="5A9E628B">
      <w:pPr>
        <w:pStyle w:val="39"/>
        <w:widowControl/>
        <w:spacing w:afterLines="0"/>
        <w:ind w:left="0"/>
        <w:rPr>
          <w:rFonts w:hint="eastAsia"/>
          <w:b w:val="0"/>
          <w:bCs/>
          <w:sz w:val="21"/>
          <w:szCs w:val="21"/>
        </w:rPr>
      </w:pPr>
      <w:bookmarkStart w:id="1642" w:name="_Toc8390"/>
      <w:bookmarkEnd w:id="1642"/>
      <w:bookmarkStart w:id="1643" w:name="_Ref531958499"/>
      <w:bookmarkEnd w:id="1643"/>
      <w:bookmarkStart w:id="1644" w:name="_Toc1142"/>
      <w:bookmarkEnd w:id="1644"/>
      <w:bookmarkStart w:id="1645" w:name="_Ref531958502"/>
      <w:bookmarkEnd w:id="1645"/>
      <w:bookmarkStart w:id="1646" w:name="_Toc54862304"/>
      <w:bookmarkEnd w:id="1646"/>
      <w:r>
        <w:rPr>
          <w:rFonts w:hint="eastAsia"/>
          <w:b w:val="0"/>
          <w:bCs/>
          <w:sz w:val="21"/>
          <w:szCs w:val="21"/>
        </w:rPr>
        <w:t>16.1 由发包人解除合同</w:t>
      </w:r>
    </w:p>
    <w:p w14:paraId="698EB000">
      <w:pPr>
        <w:pStyle w:val="40"/>
        <w:spacing w:after="157"/>
        <w:ind w:left="0"/>
        <w:rPr>
          <w:rFonts w:hint="eastAsia" w:ascii="仿宋_GB2312" w:eastAsia="仿宋_GB2312"/>
          <w:sz w:val="21"/>
        </w:rPr>
      </w:pPr>
      <w:bookmarkStart w:id="1647" w:name="_Ref4535422"/>
      <w:bookmarkEnd w:id="1647"/>
      <w:r>
        <w:rPr>
          <w:rFonts w:hint="eastAsia" w:ascii="仿宋_GB2312" w:eastAsia="仿宋_GB2312"/>
          <w:sz w:val="21"/>
        </w:rPr>
        <w:t>1</w:t>
      </w:r>
      <w:r>
        <w:rPr>
          <w:rFonts w:ascii="仿宋_GB2312" w:eastAsia="仿宋_GB2312"/>
          <w:sz w:val="21"/>
        </w:rPr>
        <w:t xml:space="preserve">6.1.1 </w:t>
      </w:r>
      <w:r>
        <w:rPr>
          <w:rFonts w:hint="eastAsia" w:ascii="仿宋_GB2312" w:eastAsia="仿宋_GB2312"/>
          <w:sz w:val="21"/>
        </w:rPr>
        <w:t>因承包人违约解除合同</w:t>
      </w:r>
    </w:p>
    <w:p w14:paraId="00CC5BB8">
      <w:pPr>
        <w:spacing w:line="360" w:lineRule="auto"/>
        <w:ind w:firstLine="600"/>
        <w:rPr>
          <w:rFonts w:ascii="仿宋_GB2312" w:eastAsia="仿宋_GB2312"/>
        </w:rPr>
      </w:pPr>
      <w:r>
        <w:rPr>
          <w:rFonts w:hint="eastAsia" w:ascii="仿宋_GB2312" w:eastAsia="仿宋_GB2312"/>
        </w:rPr>
        <w:t>除专用合同条件另有约定外，发包人有权基于下列原因，以书面形式通知承包人解除合同，解除通知中应注明是根据第</w:t>
      </w:r>
      <w:r>
        <w:rPr>
          <w:rFonts w:ascii="仿宋_GB2312" w:eastAsia="仿宋_GB2312"/>
        </w:rPr>
        <w:t>16.1.1</w:t>
      </w:r>
      <w:r>
        <w:rPr>
          <w:rFonts w:hint="eastAsia" w:ascii="仿宋_GB2312" w:eastAsia="仿宋_GB2312"/>
        </w:rPr>
        <w:t>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w:t>
      </w:r>
      <w:r>
        <w:rPr>
          <w:rFonts w:ascii="仿宋_GB2312" w:eastAsia="仿宋_GB2312"/>
        </w:rPr>
        <w:t>5</w:t>
      </w:r>
      <w:r>
        <w:rPr>
          <w:rFonts w:hint="eastAsia" w:ascii="仿宋_GB2312" w:eastAsia="仿宋_GB2312"/>
        </w:rPr>
        <w:t>）目的情况下，发包人无须提前告知承包人其解除合同意向，可直接发出正式解除合同通知立即解除合同：</w:t>
      </w:r>
    </w:p>
    <w:p w14:paraId="31B46E93">
      <w:pPr>
        <w:spacing w:line="360" w:lineRule="auto"/>
        <w:ind w:firstLine="600"/>
        <w:rPr>
          <w:rFonts w:ascii="仿宋_GB2312" w:eastAsia="仿宋_GB2312"/>
        </w:rPr>
      </w:pPr>
      <w:bookmarkStart w:id="1648" w:name="_Hlk18839947"/>
      <w:bookmarkEnd w:id="1648"/>
      <w:r>
        <w:rPr>
          <w:rFonts w:hint="eastAsia" w:ascii="仿宋_GB2312" w:eastAsia="仿宋_GB2312"/>
        </w:rPr>
        <w:t>（1） 承包人未能遵守第</w:t>
      </w:r>
      <w:r>
        <w:rPr>
          <w:rFonts w:ascii="仿宋_GB2312" w:eastAsia="仿宋_GB2312"/>
        </w:rPr>
        <w:t>4.2</w:t>
      </w:r>
      <w:r>
        <w:rPr>
          <w:rFonts w:hint="eastAsia" w:ascii="仿宋_GB2312" w:eastAsia="仿宋_GB2312"/>
        </w:rPr>
        <w:t>款[履约担保]的约定；</w:t>
      </w:r>
    </w:p>
    <w:p w14:paraId="5E9DBF01">
      <w:pPr>
        <w:spacing w:line="360" w:lineRule="auto"/>
        <w:ind w:firstLine="600"/>
        <w:rPr>
          <w:rFonts w:ascii="仿宋_GB2312" w:eastAsia="仿宋_GB2312"/>
        </w:rPr>
      </w:pPr>
      <w:r>
        <w:rPr>
          <w:rFonts w:hint="eastAsia" w:ascii="仿宋_GB2312" w:eastAsia="仿宋_GB2312"/>
        </w:rPr>
        <w:t>（2） 承包人未能遵守第</w:t>
      </w:r>
      <w:r>
        <w:rPr>
          <w:rFonts w:ascii="仿宋_GB2312" w:eastAsia="仿宋_GB2312"/>
        </w:rPr>
        <w:t>4.5</w:t>
      </w:r>
      <w:r>
        <w:rPr>
          <w:rFonts w:hint="eastAsia" w:ascii="仿宋_GB2312" w:eastAsia="仿宋_GB2312"/>
        </w:rPr>
        <w:t>款[分包]有关分包和转包的约定；</w:t>
      </w:r>
    </w:p>
    <w:p w14:paraId="6D1B3739">
      <w:pPr>
        <w:spacing w:line="360" w:lineRule="auto"/>
        <w:ind w:firstLine="600"/>
        <w:rPr>
          <w:rFonts w:ascii="仿宋_GB2312" w:eastAsia="仿宋_GB2312"/>
        </w:rPr>
      </w:pPr>
      <w:r>
        <w:rPr>
          <w:rFonts w:hint="eastAsia" w:ascii="仿宋_GB2312" w:eastAsia="仿宋_GB2312"/>
        </w:rPr>
        <w:t>（3） 承包人实际进度明显落后于进度计划，并且未按发包人的指令采取措施并修正进度计划；</w:t>
      </w:r>
    </w:p>
    <w:p w14:paraId="16106C7D">
      <w:pPr>
        <w:spacing w:line="360" w:lineRule="auto"/>
        <w:ind w:firstLine="600"/>
        <w:rPr>
          <w:rFonts w:ascii="仿宋_GB2312" w:eastAsia="仿宋_GB2312"/>
        </w:rPr>
      </w:pPr>
      <w:r>
        <w:rPr>
          <w:rFonts w:hint="eastAsia" w:ascii="仿宋_GB2312" w:eastAsia="仿宋_GB2312"/>
        </w:rPr>
        <w:t>（4） 工程质量有严重缺陷，承包人无正当理由使修复开始日期拖延达28天以上；</w:t>
      </w:r>
    </w:p>
    <w:p w14:paraId="25E00630">
      <w:pPr>
        <w:spacing w:line="360" w:lineRule="auto"/>
        <w:ind w:firstLine="600"/>
        <w:rPr>
          <w:rFonts w:ascii="仿宋_GB2312" w:eastAsia="仿宋_GB2312"/>
        </w:rPr>
      </w:pPr>
      <w:r>
        <w:rPr>
          <w:rFonts w:hint="eastAsia" w:ascii="仿宋_GB2312" w:eastAsia="仿宋_GB2312"/>
        </w:rPr>
        <w:t>（5）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1C555B90">
      <w:pPr>
        <w:spacing w:line="360" w:lineRule="auto"/>
        <w:ind w:firstLine="600"/>
        <w:rPr>
          <w:rFonts w:ascii="仿宋_GB2312" w:eastAsia="仿宋_GB2312"/>
        </w:rPr>
      </w:pPr>
      <w:r>
        <w:rPr>
          <w:rFonts w:hint="eastAsia" w:ascii="仿宋_GB2312" w:eastAsia="仿宋_GB2312"/>
        </w:rPr>
        <w:t>（6） 承包人明确表示或以自己的行为表明不履行合同或经发包人以书面形式通知其履约后仍未能依约履行合同或以不适当的方式履行合同；</w:t>
      </w:r>
    </w:p>
    <w:p w14:paraId="2402F7F4">
      <w:pPr>
        <w:spacing w:line="360" w:lineRule="auto"/>
        <w:ind w:firstLine="600"/>
        <w:rPr>
          <w:rFonts w:ascii="仿宋_GB2312" w:eastAsia="仿宋_GB2312"/>
        </w:rPr>
      </w:pPr>
      <w:r>
        <w:rPr>
          <w:rFonts w:hint="eastAsia" w:ascii="仿宋_GB2312" w:eastAsia="仿宋_GB2312"/>
        </w:rPr>
        <w:t>（7） 未能通过的竣工试验、未能通过的竣工后试验，使工程的任何部分和（或）整个工程丧失了主要使用功能、生产功能；</w:t>
      </w:r>
    </w:p>
    <w:p w14:paraId="0EDD7663">
      <w:pPr>
        <w:spacing w:line="360" w:lineRule="auto"/>
        <w:ind w:firstLine="600"/>
        <w:rPr>
          <w:rFonts w:ascii="仿宋_GB2312" w:eastAsia="仿宋_GB2312"/>
        </w:rPr>
      </w:pPr>
      <w:r>
        <w:rPr>
          <w:rFonts w:hint="eastAsia" w:ascii="仿宋_GB2312" w:eastAsia="仿宋_GB2312"/>
        </w:rPr>
        <w:t>（8） 因承包人的原因暂停工作超过56天且暂停影响整个工程，或因承包人的原因暂停工作超过182天；</w:t>
      </w:r>
    </w:p>
    <w:p w14:paraId="0686ECDF">
      <w:pPr>
        <w:spacing w:line="360" w:lineRule="auto"/>
        <w:ind w:firstLine="600"/>
        <w:rPr>
          <w:rFonts w:ascii="仿宋_GB2312" w:eastAsia="仿宋_GB2312"/>
        </w:rPr>
      </w:pPr>
      <w:r>
        <w:rPr>
          <w:rFonts w:hint="eastAsia" w:ascii="仿宋_GB2312" w:eastAsia="仿宋_GB2312"/>
        </w:rPr>
        <w:t>（9） 承包人未能遵守第</w:t>
      </w:r>
      <w:r>
        <w:rPr>
          <w:rFonts w:ascii="仿宋_GB2312" w:eastAsia="仿宋_GB2312"/>
        </w:rPr>
        <w:t>8.2</w:t>
      </w:r>
      <w:r>
        <w:rPr>
          <w:rFonts w:hint="eastAsia" w:ascii="仿宋_GB2312" w:eastAsia="仿宋_GB2312"/>
        </w:rPr>
        <w:t>款[竣工日期]规定，延误超过1</w:t>
      </w:r>
      <w:r>
        <w:rPr>
          <w:rFonts w:ascii="仿宋_GB2312" w:eastAsia="仿宋_GB2312"/>
        </w:rPr>
        <w:t>82</w:t>
      </w:r>
      <w:r>
        <w:rPr>
          <w:rFonts w:hint="eastAsia" w:ascii="仿宋_GB2312" w:eastAsia="仿宋_GB2312"/>
        </w:rPr>
        <w:t>天；</w:t>
      </w:r>
    </w:p>
    <w:p w14:paraId="729AC907">
      <w:pPr>
        <w:spacing w:line="360" w:lineRule="auto"/>
        <w:ind w:firstLine="600"/>
        <w:rPr>
          <w:rFonts w:ascii="仿宋_GB2312" w:eastAsia="仿宋_GB2312"/>
        </w:rPr>
      </w:pPr>
      <w:r>
        <w:rPr>
          <w:rFonts w:hint="eastAsia" w:ascii="仿宋_GB2312" w:eastAsia="仿宋_GB2312"/>
        </w:rPr>
        <w:t>（1</w:t>
      </w:r>
      <w:r>
        <w:rPr>
          <w:rFonts w:ascii="仿宋_GB2312" w:eastAsia="仿宋_GB2312"/>
        </w:rPr>
        <w:t>0</w:t>
      </w:r>
      <w:r>
        <w:rPr>
          <w:rFonts w:hint="eastAsia" w:ascii="仿宋_GB2312" w:eastAsia="仿宋_GB2312"/>
        </w:rPr>
        <w:t>） 工程师根据第</w:t>
      </w:r>
      <w:r>
        <w:rPr>
          <w:rFonts w:ascii="仿宋_GB2312" w:eastAsia="仿宋_GB2312"/>
        </w:rPr>
        <w:t>15.2.2</w:t>
      </w:r>
      <w:r>
        <w:rPr>
          <w:rFonts w:hint="eastAsia" w:ascii="仿宋_GB2312" w:eastAsia="仿宋_GB2312"/>
        </w:rPr>
        <w:t>项[通知改正]发出整改通知后，承包人在指定的合理期限内仍不纠正违约行为并致使合同目的不能实现的。</w:t>
      </w:r>
    </w:p>
    <w:p w14:paraId="6FCD06C9">
      <w:pPr>
        <w:pStyle w:val="40"/>
        <w:spacing w:after="157"/>
        <w:ind w:left="0"/>
        <w:rPr>
          <w:rFonts w:hint="eastAsia" w:ascii="仿宋_GB2312" w:eastAsia="仿宋_GB2312"/>
          <w:sz w:val="21"/>
        </w:rPr>
      </w:pPr>
      <w:bookmarkStart w:id="1649" w:name="_Ref3841839"/>
      <w:bookmarkEnd w:id="1649"/>
      <w:bookmarkStart w:id="1650" w:name="_Ref4624315"/>
      <w:bookmarkEnd w:id="1650"/>
      <w:r>
        <w:rPr>
          <w:rFonts w:hint="eastAsia" w:ascii="仿宋_GB2312" w:eastAsia="仿宋_GB2312"/>
          <w:sz w:val="21"/>
        </w:rPr>
        <w:t>1</w:t>
      </w:r>
      <w:r>
        <w:rPr>
          <w:rFonts w:ascii="仿宋_GB2312" w:eastAsia="仿宋_GB2312"/>
          <w:sz w:val="21"/>
        </w:rPr>
        <w:t xml:space="preserve">6.1.2 </w:t>
      </w:r>
      <w:r>
        <w:rPr>
          <w:rFonts w:hint="eastAsia" w:ascii="仿宋_GB2312" w:eastAsia="仿宋_GB2312"/>
          <w:sz w:val="21"/>
        </w:rPr>
        <w:t>因承包人违约解除合同后承包人的义务</w:t>
      </w:r>
    </w:p>
    <w:p w14:paraId="5ECC8A5B">
      <w:pPr>
        <w:spacing w:line="360" w:lineRule="auto"/>
        <w:ind w:firstLine="600"/>
        <w:rPr>
          <w:rFonts w:ascii="仿宋_GB2312" w:eastAsia="仿宋_GB2312"/>
        </w:rPr>
      </w:pPr>
      <w:r>
        <w:rPr>
          <w:rFonts w:hint="eastAsia" w:ascii="仿宋_GB2312" w:eastAsia="仿宋_GB2312"/>
        </w:rPr>
        <w:t>合同解除后，承包人应按以下约定执行：</w:t>
      </w:r>
    </w:p>
    <w:p w14:paraId="51F1922C">
      <w:pPr>
        <w:spacing w:line="360" w:lineRule="auto"/>
        <w:ind w:firstLine="600"/>
        <w:rPr>
          <w:rFonts w:ascii="仿宋_GB2312" w:eastAsia="仿宋_GB2312"/>
        </w:rPr>
      </w:pPr>
      <w:r>
        <w:rPr>
          <w:rFonts w:hint="eastAsia" w:ascii="仿宋_GB2312" w:eastAsia="仿宋_GB2312"/>
        </w:rPr>
        <w:t>（1） 除了为保护生命、财产或工程安全、清理和必须执行的工作外，停止执行所有被通知解除的工作，并将相关人员撤离现场；</w:t>
      </w:r>
    </w:p>
    <w:p w14:paraId="688DC15B">
      <w:pPr>
        <w:spacing w:line="360" w:lineRule="auto"/>
        <w:ind w:firstLine="600"/>
        <w:rPr>
          <w:rFonts w:ascii="仿宋_GB2312" w:eastAsia="仿宋_GB2312"/>
        </w:rPr>
      </w:pPr>
      <w:r>
        <w:rPr>
          <w:rFonts w:hint="eastAsia" w:ascii="仿宋_GB2312" w:eastAsia="仿宋_GB2312"/>
        </w:rPr>
        <w:t>（2） 经发包人批准，承包人应将与被解除合同相关的和正在执行的分包合同及相关的责任和义务转让至发包人和（或）发包人指定方的名下，包括永久性工程及工程物资，以及相关工作；</w:t>
      </w:r>
    </w:p>
    <w:p w14:paraId="6DD29104">
      <w:pPr>
        <w:spacing w:line="360" w:lineRule="auto"/>
        <w:ind w:firstLine="600"/>
        <w:rPr>
          <w:rFonts w:ascii="仿宋_GB2312" w:eastAsia="仿宋_GB2312"/>
        </w:rPr>
      </w:pPr>
      <w:r>
        <w:rPr>
          <w:rFonts w:hint="eastAsia" w:ascii="仿宋_GB2312" w:eastAsia="仿宋_GB2312"/>
        </w:rPr>
        <w:t>（3） 移交已完成的永久性工程及负责已运抵现场的工程物资。在移交前，妥善做好已完工程和已运抵现场的工程物资的保管、维护和保养；</w:t>
      </w:r>
    </w:p>
    <w:p w14:paraId="5EEDDC6F">
      <w:pPr>
        <w:spacing w:line="360" w:lineRule="auto"/>
        <w:ind w:firstLine="600"/>
        <w:rPr>
          <w:rFonts w:ascii="仿宋_GB2312" w:eastAsia="仿宋_GB2312"/>
        </w:rPr>
      </w:pPr>
      <w:r>
        <w:rPr>
          <w:rFonts w:hint="eastAsia" w:ascii="仿宋_GB2312" w:eastAsia="仿宋_GB2312"/>
        </w:rPr>
        <w:t>（4） 将发包人提供的所有信息及承包人为本工程编制的设计文件、技术资料及其它文件移交给发包人。在承包人留有的资料文件中，销毁与发包人提供的所有信息相关的数据及资料的备份；</w:t>
      </w:r>
    </w:p>
    <w:p w14:paraId="061400FB">
      <w:pPr>
        <w:spacing w:line="360" w:lineRule="auto"/>
        <w:ind w:firstLine="600"/>
        <w:rPr>
          <w:rFonts w:ascii="仿宋_GB2312" w:eastAsia="仿宋_GB2312"/>
        </w:rPr>
      </w:pPr>
      <w:r>
        <w:rPr>
          <w:rFonts w:hint="eastAsia" w:ascii="仿宋_GB2312" w:eastAsia="仿宋_GB2312"/>
        </w:rPr>
        <w:t>（5） 移交相应实施阶段已经付款的并已完成的和尚待完成的设计文件、图纸、资料、操作维修手册、施工组织设计、质检资料、竣工资料等；</w:t>
      </w:r>
    </w:p>
    <w:p w14:paraId="1FA4045F">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6.1.3 </w:t>
      </w:r>
      <w:r>
        <w:rPr>
          <w:rFonts w:hint="eastAsia" w:ascii="仿宋_GB2312" w:eastAsia="仿宋_GB2312"/>
          <w:sz w:val="21"/>
        </w:rPr>
        <w:t>因承包人违约解除合同后的估价、付款和结算</w:t>
      </w:r>
    </w:p>
    <w:p w14:paraId="30A8F7CD">
      <w:pPr>
        <w:spacing w:line="360" w:lineRule="auto"/>
        <w:ind w:firstLine="600"/>
        <w:rPr>
          <w:rFonts w:ascii="仿宋_GB2312" w:eastAsia="仿宋_GB2312"/>
        </w:rPr>
      </w:pPr>
      <w:r>
        <w:rPr>
          <w:rFonts w:hint="eastAsia" w:ascii="仿宋_GB2312" w:eastAsia="仿宋_GB2312"/>
        </w:rPr>
        <w:t>因承包人原因导致合同解除的，则合同当事人应在合同解除后28天内完成估价、付款和清算，并按以下约定执行：</w:t>
      </w:r>
    </w:p>
    <w:p w14:paraId="0577603A">
      <w:pPr>
        <w:spacing w:line="360" w:lineRule="auto"/>
        <w:ind w:firstLine="600"/>
        <w:rPr>
          <w:rFonts w:ascii="仿宋_GB2312" w:eastAsia="仿宋_GB2312"/>
        </w:rPr>
      </w:pPr>
      <w:r>
        <w:rPr>
          <w:rFonts w:hint="eastAsia" w:ascii="仿宋_GB2312" w:eastAsia="仿宋_GB2312"/>
        </w:rPr>
        <w:t>（1） 合同解除后，按第</w:t>
      </w:r>
      <w:r>
        <w:rPr>
          <w:rFonts w:ascii="仿宋_GB2312" w:eastAsia="仿宋_GB2312"/>
        </w:rPr>
        <w:t>3.6</w:t>
      </w:r>
      <w:r>
        <w:rPr>
          <w:rFonts w:hint="eastAsia" w:ascii="仿宋_GB2312" w:eastAsia="仿宋_GB2312"/>
        </w:rPr>
        <w:t>款[商定或确定]商定或确定承包人实际完成工作对应的合同价款，以及承包人已提供的材料、工程设备、施工设备和临时工程等的价值；</w:t>
      </w:r>
    </w:p>
    <w:p w14:paraId="5887DAFB">
      <w:pPr>
        <w:spacing w:line="360" w:lineRule="auto"/>
        <w:ind w:firstLine="600"/>
        <w:rPr>
          <w:rFonts w:ascii="仿宋_GB2312" w:eastAsia="仿宋_GB2312"/>
        </w:rPr>
      </w:pPr>
      <w:r>
        <w:rPr>
          <w:rFonts w:hint="eastAsia" w:ascii="仿宋_GB2312" w:eastAsia="仿宋_GB2312"/>
        </w:rPr>
        <w:t>（2） 合同解除后，承包人应支付的违约金；</w:t>
      </w:r>
    </w:p>
    <w:p w14:paraId="1A94E0A8">
      <w:pPr>
        <w:spacing w:line="360" w:lineRule="auto"/>
        <w:ind w:firstLine="600"/>
        <w:rPr>
          <w:rFonts w:ascii="仿宋_GB2312" w:eastAsia="仿宋_GB2312"/>
        </w:rPr>
      </w:pPr>
      <w:r>
        <w:rPr>
          <w:rFonts w:hint="eastAsia" w:ascii="仿宋_GB2312" w:eastAsia="仿宋_GB2312"/>
        </w:rPr>
        <w:t>（3） 合同解除后，因解除合同给发包人造成的损失；</w:t>
      </w:r>
    </w:p>
    <w:p w14:paraId="5DB11BB7">
      <w:pPr>
        <w:spacing w:line="360" w:lineRule="auto"/>
        <w:ind w:firstLine="600"/>
        <w:rPr>
          <w:rFonts w:ascii="仿宋_GB2312" w:eastAsia="仿宋_GB2312"/>
        </w:rPr>
      </w:pPr>
      <w:r>
        <w:rPr>
          <w:rFonts w:hint="eastAsia" w:ascii="仿宋_GB2312" w:eastAsia="仿宋_GB2312"/>
        </w:rPr>
        <w:t>（4） 合同解除后，承包人应按照发包人的指示完成现场的清理和撤离；</w:t>
      </w:r>
    </w:p>
    <w:p w14:paraId="6CD263A7">
      <w:pPr>
        <w:spacing w:line="360" w:lineRule="auto"/>
        <w:ind w:firstLine="600"/>
        <w:rPr>
          <w:rFonts w:ascii="仿宋_GB2312" w:eastAsia="仿宋_GB2312"/>
        </w:rPr>
      </w:pPr>
      <w:r>
        <w:rPr>
          <w:rFonts w:hint="eastAsia" w:ascii="仿宋_GB2312" w:eastAsia="仿宋_GB2312"/>
        </w:rPr>
        <w:t>（5） 发包人和承包人应在合同解除后进行清算，出具最终结清付款证书，结清全部款项。</w:t>
      </w:r>
    </w:p>
    <w:p w14:paraId="51B619DA">
      <w:pPr>
        <w:spacing w:line="360" w:lineRule="auto"/>
        <w:ind w:firstLine="600"/>
        <w:rPr>
          <w:rFonts w:ascii="仿宋_GB2312" w:eastAsia="仿宋_GB2312"/>
        </w:rPr>
      </w:pPr>
      <w:r>
        <w:rPr>
          <w:rFonts w:hint="eastAsia" w:ascii="仿宋_GB2312" w:eastAsia="仿宋_GB2312"/>
        </w:rPr>
        <w:t>因承包人违约解除合同的，发包人有权暂停对承包人的付款，查清各项付款和已扣款项，发包人和承包人未能就合同解除后的清算和款项支付达成一致的，按照第</w:t>
      </w:r>
      <w:r>
        <w:rPr>
          <w:rFonts w:ascii="仿宋_GB2312" w:eastAsia="仿宋_GB2312"/>
        </w:rPr>
        <w:t>20条[争议解决]的约定处理</w:t>
      </w:r>
      <w:r>
        <w:rPr>
          <w:rFonts w:hint="eastAsia" w:ascii="仿宋_GB2312" w:eastAsia="仿宋_GB2312"/>
        </w:rPr>
        <w:t>。</w:t>
      </w:r>
    </w:p>
    <w:p w14:paraId="7BED3440">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6.1.4 </w:t>
      </w:r>
      <w:r>
        <w:rPr>
          <w:rFonts w:hint="eastAsia" w:ascii="仿宋_GB2312" w:eastAsia="仿宋_GB2312"/>
          <w:sz w:val="21"/>
        </w:rPr>
        <w:t>因承包人违约解除合同的合同权益转让</w:t>
      </w:r>
    </w:p>
    <w:p w14:paraId="2D75A756">
      <w:pPr>
        <w:spacing w:line="360" w:lineRule="auto"/>
        <w:ind w:firstLine="600"/>
        <w:rPr>
          <w:rFonts w:ascii="仿宋_GB2312" w:eastAsia="仿宋_GB2312"/>
        </w:rPr>
      </w:pPr>
      <w:r>
        <w:rPr>
          <w:rFonts w:hint="eastAsia" w:ascii="仿宋_GB2312" w:eastAsia="仿宋_GB2312"/>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765958D7">
      <w:pPr>
        <w:pStyle w:val="39"/>
        <w:widowControl/>
        <w:spacing w:afterLines="0"/>
        <w:ind w:left="0"/>
        <w:rPr>
          <w:rFonts w:hint="eastAsia"/>
          <w:b w:val="0"/>
          <w:bCs/>
          <w:sz w:val="21"/>
          <w:szCs w:val="21"/>
        </w:rPr>
      </w:pPr>
      <w:bookmarkStart w:id="1651" w:name="_Ref531958554"/>
      <w:bookmarkEnd w:id="1651"/>
      <w:bookmarkStart w:id="1652" w:name="_Toc54862305"/>
      <w:bookmarkEnd w:id="1652"/>
      <w:bookmarkStart w:id="1653" w:name="_Toc27794"/>
      <w:bookmarkEnd w:id="1653"/>
      <w:bookmarkStart w:id="1654" w:name="_Toc7728"/>
      <w:bookmarkEnd w:id="1654"/>
      <w:bookmarkStart w:id="1655" w:name="_Ref531958549"/>
      <w:bookmarkEnd w:id="1655"/>
      <w:r>
        <w:rPr>
          <w:rFonts w:hint="eastAsia"/>
          <w:b w:val="0"/>
          <w:bCs/>
          <w:sz w:val="21"/>
          <w:szCs w:val="21"/>
        </w:rPr>
        <w:t>16.2 由承包人解除合同</w:t>
      </w:r>
    </w:p>
    <w:p w14:paraId="6021749E">
      <w:pPr>
        <w:pStyle w:val="40"/>
        <w:spacing w:after="157"/>
        <w:ind w:left="0"/>
        <w:rPr>
          <w:rFonts w:hint="eastAsia" w:ascii="仿宋_GB2312" w:eastAsia="仿宋_GB2312"/>
          <w:sz w:val="21"/>
        </w:rPr>
      </w:pPr>
      <w:bookmarkStart w:id="1656" w:name="_Ref3841758"/>
      <w:bookmarkEnd w:id="1656"/>
      <w:r>
        <w:rPr>
          <w:rFonts w:hint="eastAsia" w:ascii="仿宋_GB2312" w:eastAsia="仿宋_GB2312"/>
          <w:sz w:val="21"/>
        </w:rPr>
        <w:t>1</w:t>
      </w:r>
      <w:r>
        <w:rPr>
          <w:rFonts w:ascii="仿宋_GB2312" w:eastAsia="仿宋_GB2312"/>
          <w:sz w:val="21"/>
        </w:rPr>
        <w:t xml:space="preserve">6.2.1 </w:t>
      </w:r>
      <w:r>
        <w:rPr>
          <w:rFonts w:hint="eastAsia" w:ascii="仿宋_GB2312" w:eastAsia="仿宋_GB2312"/>
          <w:sz w:val="21"/>
        </w:rPr>
        <w:t>因发包人违约解除合同</w:t>
      </w:r>
    </w:p>
    <w:p w14:paraId="7A7D77CE">
      <w:pPr>
        <w:spacing w:line="360" w:lineRule="auto"/>
        <w:ind w:firstLine="600"/>
        <w:rPr>
          <w:rFonts w:ascii="仿宋_GB2312" w:eastAsia="仿宋_GB2312"/>
        </w:rPr>
      </w:pPr>
      <w:r>
        <w:rPr>
          <w:rFonts w:hint="eastAsia" w:ascii="仿宋_GB2312" w:eastAsia="仿宋_GB2312"/>
        </w:rPr>
        <w:t>除专用合同条件另有约定外，承包人有权基于下列原因，以书面形式通知发包人解除合同，解除通知中应注明是根据第</w:t>
      </w:r>
      <w:r>
        <w:rPr>
          <w:rFonts w:ascii="仿宋_GB2312" w:eastAsia="仿宋_GB2312"/>
        </w:rPr>
        <w:t>16.2.1</w:t>
      </w:r>
      <w:r>
        <w:rPr>
          <w:rFonts w:hint="eastAsia" w:ascii="仿宋_GB2312" w:eastAsia="仿宋_GB2312"/>
        </w:rPr>
        <w:t>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p>
    <w:p w14:paraId="6BB3FF7B">
      <w:pPr>
        <w:spacing w:line="360" w:lineRule="auto"/>
        <w:ind w:firstLine="600"/>
        <w:rPr>
          <w:rFonts w:ascii="仿宋_GB2312" w:eastAsia="仿宋_GB2312"/>
        </w:rPr>
      </w:pPr>
      <w:r>
        <w:rPr>
          <w:rFonts w:hint="eastAsia" w:ascii="仿宋_GB2312" w:eastAsia="仿宋_GB2312"/>
        </w:rPr>
        <w:t>（1） 承包人就发包人未能遵守第2.</w:t>
      </w:r>
      <w:r>
        <w:rPr>
          <w:rFonts w:ascii="仿宋_GB2312" w:eastAsia="仿宋_GB2312"/>
        </w:rPr>
        <w:t>5.2</w:t>
      </w:r>
      <w:r>
        <w:rPr>
          <w:rFonts w:hint="eastAsia" w:ascii="仿宋_GB2312" w:eastAsia="仿宋_GB2312"/>
        </w:rPr>
        <w:t>项关于发包人的资金安排发出通知后42天内，仍未收到合理的证明；</w:t>
      </w:r>
    </w:p>
    <w:p w14:paraId="34F0B0ED">
      <w:pPr>
        <w:spacing w:line="360" w:lineRule="auto"/>
        <w:ind w:firstLine="600"/>
        <w:rPr>
          <w:rFonts w:ascii="仿宋_GB2312" w:eastAsia="仿宋_GB2312"/>
        </w:rPr>
      </w:pPr>
      <w:r>
        <w:rPr>
          <w:rFonts w:hint="eastAsia" w:ascii="仿宋_GB2312" w:eastAsia="仿宋_GB2312"/>
        </w:rPr>
        <w:t xml:space="preserve">（2） 在第14条规定的付款时间到期后42天内，承包人仍未收到应付款项； </w:t>
      </w:r>
    </w:p>
    <w:p w14:paraId="21997BE9">
      <w:pPr>
        <w:spacing w:line="360" w:lineRule="auto"/>
        <w:ind w:firstLine="600"/>
        <w:rPr>
          <w:rFonts w:ascii="仿宋_GB2312" w:eastAsia="仿宋_GB2312"/>
        </w:rPr>
      </w:pPr>
      <w:r>
        <w:rPr>
          <w:rFonts w:hint="eastAsia" w:ascii="仿宋_GB2312" w:eastAsia="仿宋_GB2312"/>
        </w:rPr>
        <w:t>（3） 发包人实质上未能根据合同约定履行其义务，构成根本性违约；</w:t>
      </w:r>
    </w:p>
    <w:p w14:paraId="6E79CE0E">
      <w:pPr>
        <w:spacing w:line="360" w:lineRule="auto"/>
        <w:ind w:firstLine="600"/>
        <w:rPr>
          <w:rFonts w:ascii="仿宋_GB2312" w:eastAsia="仿宋_GB2312"/>
        </w:rPr>
      </w:pPr>
      <w:r>
        <w:rPr>
          <w:rFonts w:hint="eastAsia" w:ascii="仿宋_GB2312" w:eastAsia="仿宋_GB2312"/>
        </w:rPr>
        <w:t>（4） 发承包双方订立本合同协议书后的84天内，承包人未收到根据第</w:t>
      </w:r>
      <w:r>
        <w:rPr>
          <w:rFonts w:ascii="仿宋_GB2312" w:eastAsia="仿宋_GB2312"/>
        </w:rPr>
        <w:t>8.1</w:t>
      </w:r>
      <w:r>
        <w:rPr>
          <w:rFonts w:hint="eastAsia" w:ascii="仿宋_GB2312" w:eastAsia="仿宋_GB2312"/>
        </w:rPr>
        <w:t>款[开始工作]的开始工作通知；</w:t>
      </w:r>
    </w:p>
    <w:p w14:paraId="63332FF7">
      <w:pPr>
        <w:spacing w:line="360" w:lineRule="auto"/>
        <w:ind w:firstLine="600"/>
        <w:rPr>
          <w:rFonts w:ascii="仿宋_GB2312" w:eastAsia="仿宋_GB2312"/>
        </w:rPr>
      </w:pPr>
      <w:r>
        <w:rPr>
          <w:rFonts w:hint="eastAsia" w:ascii="仿宋_GB2312" w:eastAsia="仿宋_GB2312"/>
        </w:rPr>
        <w:t>（5）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0C399124">
      <w:pPr>
        <w:spacing w:line="360" w:lineRule="auto"/>
        <w:ind w:firstLine="600"/>
        <w:rPr>
          <w:rFonts w:ascii="仿宋_GB2312" w:eastAsia="仿宋_GB2312"/>
        </w:rPr>
      </w:pPr>
      <w:r>
        <w:rPr>
          <w:rFonts w:hint="eastAsia" w:ascii="仿宋_GB2312" w:eastAsia="仿宋_GB2312"/>
        </w:rPr>
        <w:t>（6） 发包人未能遵守第</w:t>
      </w:r>
      <w:r>
        <w:rPr>
          <w:rFonts w:ascii="仿宋_GB2312" w:eastAsia="仿宋_GB2312"/>
        </w:rPr>
        <w:t>2.5.3</w:t>
      </w:r>
      <w:r>
        <w:rPr>
          <w:rFonts w:hint="eastAsia" w:ascii="仿宋_GB2312" w:eastAsia="仿宋_GB2312"/>
        </w:rPr>
        <w:t>项的约定提交支付担保；</w:t>
      </w:r>
    </w:p>
    <w:p w14:paraId="06DEBB22">
      <w:pPr>
        <w:spacing w:line="360" w:lineRule="auto"/>
        <w:ind w:firstLine="600"/>
        <w:rPr>
          <w:rFonts w:ascii="仿宋_GB2312" w:eastAsia="仿宋_GB2312"/>
        </w:rPr>
      </w:pPr>
      <w:r>
        <w:rPr>
          <w:rFonts w:hint="eastAsia" w:ascii="仿宋_GB2312" w:eastAsia="仿宋_GB2312"/>
        </w:rPr>
        <w:t>（7） 发包人未能执行第</w:t>
      </w:r>
      <w:r>
        <w:rPr>
          <w:rFonts w:ascii="仿宋_GB2312" w:eastAsia="仿宋_GB2312"/>
        </w:rPr>
        <w:t>15.1.2</w:t>
      </w:r>
      <w:r>
        <w:rPr>
          <w:rFonts w:hint="eastAsia" w:ascii="仿宋_GB2312" w:eastAsia="仿宋_GB2312"/>
        </w:rPr>
        <w:t>项[通知改正]的约定，致使合同目的不能实现的；</w:t>
      </w:r>
    </w:p>
    <w:p w14:paraId="6F72D3BA">
      <w:pPr>
        <w:spacing w:line="360" w:lineRule="auto"/>
        <w:ind w:firstLine="600"/>
        <w:rPr>
          <w:rFonts w:ascii="仿宋_GB2312" w:eastAsia="仿宋_GB2312"/>
        </w:rPr>
      </w:pPr>
      <w:r>
        <w:rPr>
          <w:rFonts w:hint="eastAsia" w:ascii="仿宋_GB2312" w:eastAsia="仿宋_GB2312"/>
        </w:rPr>
        <w:t>（8） 因发包人的原因暂停工作超过56天且暂停影响整个工程，或因发包人的原因暂停工作超过182天的；</w:t>
      </w:r>
    </w:p>
    <w:p w14:paraId="456D5077">
      <w:pPr>
        <w:spacing w:line="360" w:lineRule="auto"/>
        <w:ind w:firstLine="600"/>
        <w:rPr>
          <w:rFonts w:ascii="仿宋_GB2312" w:eastAsia="仿宋_GB2312"/>
        </w:rPr>
      </w:pPr>
      <w:r>
        <w:rPr>
          <w:rFonts w:hint="eastAsia" w:ascii="仿宋_GB2312" w:eastAsia="仿宋_GB2312"/>
        </w:rPr>
        <w:t>（9） 因发包人原因造成开始工作日期迟于承包人收到中标通知书（或在无中标通知书的情况下，订立本合同之日）后第</w:t>
      </w:r>
      <w:r>
        <w:rPr>
          <w:rFonts w:ascii="仿宋_GB2312" w:eastAsia="仿宋_GB2312"/>
        </w:rPr>
        <w:t>84</w:t>
      </w:r>
      <w:r>
        <w:rPr>
          <w:rFonts w:hint="eastAsia" w:ascii="仿宋_GB2312" w:eastAsia="仿宋_GB2312"/>
        </w:rPr>
        <w:t>天的。</w:t>
      </w:r>
    </w:p>
    <w:p w14:paraId="78C76506">
      <w:pPr>
        <w:spacing w:line="360" w:lineRule="auto"/>
        <w:ind w:firstLine="600"/>
        <w:rPr>
          <w:rFonts w:ascii="仿宋_GB2312" w:eastAsia="仿宋_GB2312"/>
        </w:rPr>
      </w:pPr>
      <w:r>
        <w:rPr>
          <w:rFonts w:hint="eastAsia" w:ascii="仿宋_GB2312" w:eastAsia="仿宋_GB2312"/>
        </w:rPr>
        <w:t>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p>
    <w:p w14:paraId="0946F496">
      <w:pPr>
        <w:pStyle w:val="40"/>
        <w:spacing w:after="157"/>
        <w:ind w:left="0"/>
        <w:rPr>
          <w:rFonts w:hint="eastAsia" w:ascii="仿宋_GB2312" w:eastAsia="仿宋_GB2312"/>
          <w:sz w:val="21"/>
        </w:rPr>
      </w:pPr>
      <w:bookmarkStart w:id="1657" w:name="_Ref4624336"/>
      <w:bookmarkEnd w:id="1657"/>
      <w:bookmarkStart w:id="1658" w:name="_Ref3842018"/>
      <w:bookmarkEnd w:id="1658"/>
      <w:r>
        <w:rPr>
          <w:rFonts w:hint="eastAsia" w:ascii="仿宋_GB2312" w:eastAsia="仿宋_GB2312"/>
          <w:sz w:val="21"/>
        </w:rPr>
        <w:t>1</w:t>
      </w:r>
      <w:r>
        <w:rPr>
          <w:rFonts w:ascii="仿宋_GB2312" w:eastAsia="仿宋_GB2312"/>
          <w:sz w:val="21"/>
        </w:rPr>
        <w:t xml:space="preserve">6.2.2 </w:t>
      </w:r>
      <w:r>
        <w:rPr>
          <w:rFonts w:hint="eastAsia" w:ascii="仿宋_GB2312" w:eastAsia="仿宋_GB2312"/>
          <w:sz w:val="21"/>
        </w:rPr>
        <w:t>因发包人违约解除合同后承包人的义务</w:t>
      </w:r>
    </w:p>
    <w:p w14:paraId="290B6AE2">
      <w:pPr>
        <w:pStyle w:val="42"/>
        <w:spacing w:line="360" w:lineRule="auto"/>
        <w:ind w:left="400" w:firstLine="425"/>
        <w:rPr>
          <w:rFonts w:ascii="仿宋_GB2312" w:eastAsia="仿宋_GB2312"/>
        </w:rPr>
      </w:pPr>
      <w:r>
        <w:rPr>
          <w:rFonts w:hint="eastAsia" w:ascii="仿宋_GB2312" w:eastAsia="仿宋_GB2312"/>
        </w:rPr>
        <w:t>合同解除后，承包人应按以下约定执行：</w:t>
      </w:r>
    </w:p>
    <w:p w14:paraId="4765FF6E">
      <w:pPr>
        <w:spacing w:line="360" w:lineRule="auto"/>
        <w:ind w:firstLine="600"/>
        <w:rPr>
          <w:rFonts w:ascii="仿宋_GB2312" w:eastAsia="仿宋_GB2312"/>
        </w:rPr>
      </w:pPr>
      <w:r>
        <w:rPr>
          <w:rFonts w:hint="eastAsia" w:ascii="仿宋_GB2312" w:eastAsia="仿宋_GB2312"/>
        </w:rPr>
        <w:t>（1） 除为保护生命、财产、工程安全的工作外，停止所有进一步的工作；承包人因执行该保护工作而产生费用的，由发包人承担；</w:t>
      </w:r>
    </w:p>
    <w:p w14:paraId="676CC0F5">
      <w:pPr>
        <w:spacing w:line="360" w:lineRule="auto"/>
        <w:ind w:firstLine="600"/>
        <w:rPr>
          <w:rFonts w:ascii="仿宋_GB2312" w:eastAsia="仿宋_GB2312"/>
        </w:rPr>
      </w:pPr>
      <w:r>
        <w:rPr>
          <w:rFonts w:hint="eastAsia" w:ascii="仿宋_GB2312" w:eastAsia="仿宋_GB2312"/>
        </w:rPr>
        <w:t>（2） 向发包人移交承包人已获得支付的承包人文件、生产设备、材料和其他工作；</w:t>
      </w:r>
    </w:p>
    <w:p w14:paraId="0718D4FF">
      <w:pPr>
        <w:spacing w:line="360" w:lineRule="auto"/>
        <w:ind w:firstLine="600"/>
        <w:rPr>
          <w:rFonts w:ascii="仿宋_GB2312" w:eastAsia="仿宋_GB2312"/>
        </w:rPr>
      </w:pPr>
      <w:r>
        <w:rPr>
          <w:rFonts w:hint="eastAsia" w:ascii="仿宋_GB2312" w:eastAsia="仿宋_GB2312"/>
        </w:rPr>
        <w:t>（3） 从现场运走除为了安全需要以外的所有属于承包人的其他货物，并撤离现场。</w:t>
      </w:r>
    </w:p>
    <w:p w14:paraId="14984672">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6.2.3 </w:t>
      </w:r>
      <w:r>
        <w:rPr>
          <w:rFonts w:hint="eastAsia" w:ascii="仿宋_GB2312" w:eastAsia="仿宋_GB2312"/>
          <w:sz w:val="21"/>
        </w:rPr>
        <w:t>因发包人违约解除合同后的付款</w:t>
      </w:r>
    </w:p>
    <w:p w14:paraId="152B15EF">
      <w:pPr>
        <w:spacing w:line="360" w:lineRule="auto"/>
        <w:ind w:firstLine="600"/>
        <w:rPr>
          <w:rFonts w:ascii="仿宋_GB2312" w:eastAsia="仿宋_GB2312"/>
        </w:rPr>
      </w:pPr>
      <w:r>
        <w:rPr>
          <w:rFonts w:hint="eastAsia" w:ascii="仿宋_GB2312" w:eastAsia="仿宋_GB2312"/>
        </w:rPr>
        <w:t>承包人按照本款约定解除合同的，发包人应在解除合同后28天内支付下列款项，并退还履约担保：</w:t>
      </w:r>
    </w:p>
    <w:p w14:paraId="17961A50">
      <w:pPr>
        <w:spacing w:line="360" w:lineRule="auto"/>
        <w:ind w:firstLine="600"/>
        <w:rPr>
          <w:rFonts w:ascii="仿宋_GB2312" w:eastAsia="仿宋_GB2312"/>
        </w:rPr>
      </w:pPr>
      <w:r>
        <w:rPr>
          <w:rFonts w:hint="eastAsia" w:ascii="仿宋_GB2312" w:eastAsia="仿宋_GB2312"/>
        </w:rPr>
        <w:t>（1） 合同解除前所完成工作的价款；</w:t>
      </w:r>
    </w:p>
    <w:p w14:paraId="6E30E303">
      <w:pPr>
        <w:spacing w:line="360" w:lineRule="auto"/>
        <w:ind w:firstLine="600"/>
        <w:rPr>
          <w:rFonts w:ascii="仿宋_GB2312" w:eastAsia="仿宋_GB2312"/>
        </w:rPr>
      </w:pPr>
      <w:r>
        <w:rPr>
          <w:rFonts w:hint="eastAsia" w:ascii="仿宋_GB2312" w:eastAsia="仿宋_GB2312"/>
        </w:rPr>
        <w:t>（2） 承包人为工程施工订购并已付款的材料、工程设备和其他物品的价款；发包人付款后，该材料、工程设备和其他物品归发包人所有；</w:t>
      </w:r>
    </w:p>
    <w:p w14:paraId="0918CFD4">
      <w:pPr>
        <w:spacing w:line="360" w:lineRule="auto"/>
        <w:ind w:firstLine="600"/>
        <w:rPr>
          <w:rFonts w:ascii="仿宋_GB2312" w:eastAsia="仿宋_GB2312"/>
        </w:rPr>
      </w:pPr>
      <w:r>
        <w:rPr>
          <w:rFonts w:hint="eastAsia" w:ascii="仿宋_GB2312" w:eastAsia="仿宋_GB2312"/>
        </w:rPr>
        <w:t>（3） 承包人为完成工程所发生的，而发包人未支付的金额；</w:t>
      </w:r>
    </w:p>
    <w:p w14:paraId="38511238">
      <w:pPr>
        <w:spacing w:line="360" w:lineRule="auto"/>
        <w:ind w:firstLine="600"/>
        <w:rPr>
          <w:rFonts w:ascii="仿宋_GB2312" w:eastAsia="仿宋_GB2312"/>
        </w:rPr>
      </w:pPr>
      <w:r>
        <w:rPr>
          <w:rFonts w:hint="eastAsia" w:ascii="仿宋_GB2312" w:eastAsia="仿宋_GB2312"/>
        </w:rPr>
        <w:t>（4） 承包人撤离施工现场以及遣散承包人人员的款项；</w:t>
      </w:r>
    </w:p>
    <w:p w14:paraId="0F7402A0">
      <w:pPr>
        <w:spacing w:line="360" w:lineRule="auto"/>
        <w:ind w:firstLine="600"/>
        <w:rPr>
          <w:rFonts w:ascii="仿宋_GB2312" w:eastAsia="仿宋_GB2312"/>
        </w:rPr>
      </w:pPr>
      <w:r>
        <w:rPr>
          <w:rFonts w:hint="eastAsia" w:ascii="仿宋_GB2312" w:eastAsia="仿宋_GB2312"/>
        </w:rPr>
        <w:t>（5） 按照合同约定在合同解除前应支付的违约金；</w:t>
      </w:r>
    </w:p>
    <w:p w14:paraId="7F8F0F1B">
      <w:pPr>
        <w:spacing w:line="360" w:lineRule="auto"/>
        <w:ind w:firstLine="600"/>
        <w:rPr>
          <w:rFonts w:ascii="仿宋_GB2312" w:eastAsia="仿宋_GB2312"/>
        </w:rPr>
      </w:pPr>
      <w:r>
        <w:rPr>
          <w:rFonts w:hint="eastAsia" w:ascii="仿宋_GB2312" w:eastAsia="仿宋_GB2312"/>
        </w:rPr>
        <w:t>（6） 按照合同约定应当支付给承包人的其他款项；</w:t>
      </w:r>
    </w:p>
    <w:p w14:paraId="37361EA5">
      <w:pPr>
        <w:spacing w:line="360" w:lineRule="auto"/>
        <w:ind w:firstLine="600"/>
        <w:rPr>
          <w:rFonts w:ascii="仿宋_GB2312" w:eastAsia="仿宋_GB2312"/>
        </w:rPr>
      </w:pPr>
      <w:r>
        <w:rPr>
          <w:rFonts w:hint="eastAsia" w:ascii="仿宋_GB2312" w:eastAsia="仿宋_GB2312"/>
        </w:rPr>
        <w:t>（7） 按照合同约定应返还的质量保证金；</w:t>
      </w:r>
    </w:p>
    <w:p w14:paraId="4CB994C2">
      <w:pPr>
        <w:spacing w:line="360" w:lineRule="auto"/>
        <w:ind w:firstLine="600"/>
        <w:rPr>
          <w:rFonts w:ascii="仿宋_GB2312" w:eastAsia="仿宋_GB2312"/>
        </w:rPr>
      </w:pPr>
      <w:r>
        <w:rPr>
          <w:rFonts w:hint="eastAsia" w:ascii="仿宋_GB2312" w:eastAsia="仿宋_GB2312"/>
        </w:rPr>
        <w:t>（8） 因解除合同给承包人造成的损失。</w:t>
      </w:r>
    </w:p>
    <w:p w14:paraId="4275C56B">
      <w:pPr>
        <w:spacing w:line="360" w:lineRule="auto"/>
        <w:ind w:firstLine="600"/>
        <w:rPr>
          <w:rFonts w:ascii="仿宋_GB2312" w:eastAsia="仿宋_GB2312"/>
        </w:rPr>
      </w:pPr>
      <w:r>
        <w:rPr>
          <w:rFonts w:hint="eastAsia" w:ascii="仿宋_GB2312" w:eastAsia="仿宋_GB2312"/>
        </w:rPr>
        <w:t>承包人应妥善做好已完成工程和与工程有关的已购材料、工程设备的保护和移交工作，并将施工设备和人员撤出施工现场，发包人应为承包人撤出提供必要条件。</w:t>
      </w:r>
    </w:p>
    <w:p w14:paraId="3495439F">
      <w:pPr>
        <w:pStyle w:val="39"/>
        <w:widowControl/>
        <w:spacing w:afterLines="0"/>
        <w:ind w:left="0"/>
        <w:rPr>
          <w:rFonts w:hint="eastAsia"/>
          <w:b w:val="0"/>
          <w:bCs/>
          <w:sz w:val="21"/>
          <w:szCs w:val="21"/>
        </w:rPr>
      </w:pPr>
      <w:bookmarkStart w:id="1659" w:name="_Toc28457"/>
      <w:bookmarkEnd w:id="1659"/>
      <w:bookmarkStart w:id="1660" w:name="_Toc6418"/>
      <w:bookmarkEnd w:id="1660"/>
      <w:bookmarkStart w:id="1661" w:name="_Toc54862306"/>
      <w:bookmarkEnd w:id="1661"/>
      <w:bookmarkStart w:id="1662" w:name="_Ref3841966"/>
      <w:bookmarkEnd w:id="1662"/>
      <w:r>
        <w:rPr>
          <w:rFonts w:hint="eastAsia"/>
          <w:b w:val="0"/>
          <w:bCs/>
          <w:sz w:val="21"/>
          <w:szCs w:val="21"/>
        </w:rPr>
        <w:t>16.3 合同解除后的事项</w:t>
      </w:r>
    </w:p>
    <w:p w14:paraId="02E64477">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6.3.1 </w:t>
      </w:r>
      <w:r>
        <w:rPr>
          <w:rFonts w:hint="eastAsia" w:ascii="仿宋_GB2312" w:eastAsia="仿宋_GB2312"/>
          <w:sz w:val="21"/>
        </w:rPr>
        <w:t>结算约定依然有效</w:t>
      </w:r>
    </w:p>
    <w:p w14:paraId="24A6E036">
      <w:pPr>
        <w:spacing w:line="360" w:lineRule="auto"/>
        <w:ind w:firstLine="600"/>
        <w:rPr>
          <w:rFonts w:ascii="仿宋_GB2312" w:eastAsia="仿宋_GB2312"/>
        </w:rPr>
      </w:pPr>
      <w:r>
        <w:rPr>
          <w:rFonts w:hint="eastAsia" w:ascii="仿宋_GB2312" w:eastAsia="仿宋_GB2312"/>
        </w:rPr>
        <w:t>合同解除后，由发包人或由承包人解除合同的结算及结算后的付款约定仍然有效，直至解除合同的结算工作结清。</w:t>
      </w:r>
    </w:p>
    <w:p w14:paraId="6AB11906">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6.3.2 </w:t>
      </w:r>
      <w:r>
        <w:rPr>
          <w:rFonts w:hint="eastAsia" w:ascii="仿宋_GB2312" w:eastAsia="仿宋_GB2312"/>
          <w:sz w:val="21"/>
        </w:rPr>
        <w:t>解除合同的争议</w:t>
      </w:r>
    </w:p>
    <w:p w14:paraId="2AAB3277">
      <w:pPr>
        <w:spacing w:line="360" w:lineRule="auto"/>
        <w:ind w:firstLine="600"/>
        <w:rPr>
          <w:rFonts w:ascii="仿宋_GB2312" w:eastAsia="仿宋_GB2312"/>
        </w:rPr>
      </w:pPr>
      <w:bookmarkStart w:id="1663" w:name="_Hlk18988355"/>
      <w:bookmarkEnd w:id="1663"/>
      <w:r>
        <w:rPr>
          <w:rFonts w:hint="eastAsia" w:ascii="仿宋_GB2312" w:eastAsia="仿宋_GB2312"/>
        </w:rPr>
        <w:t>双方对解除合同或解除合同后的结算有争议的，按照第</w:t>
      </w:r>
      <w:r>
        <w:rPr>
          <w:rFonts w:ascii="仿宋_GB2312" w:eastAsia="仿宋_GB2312"/>
        </w:rPr>
        <w:t>20条</w:t>
      </w:r>
      <w:r>
        <w:rPr>
          <w:rFonts w:hint="eastAsia" w:ascii="仿宋_GB2312" w:eastAsia="仿宋_GB2312"/>
        </w:rPr>
        <w:t>[</w:t>
      </w:r>
      <w:r>
        <w:rPr>
          <w:rFonts w:ascii="仿宋_GB2312" w:eastAsia="仿宋_GB2312"/>
        </w:rPr>
        <w:t>争议解决</w:t>
      </w:r>
      <w:r>
        <w:rPr>
          <w:rFonts w:hint="eastAsia" w:ascii="仿宋_GB2312" w:eastAsia="仿宋_GB2312"/>
        </w:rPr>
        <w:t>]的约定处理。</w:t>
      </w:r>
    </w:p>
    <w:p w14:paraId="25D6A18A">
      <w:pPr>
        <w:pStyle w:val="39"/>
        <w:widowControl/>
        <w:spacing w:afterLines="0"/>
        <w:ind w:left="0"/>
        <w:outlineLvl w:val="1"/>
        <w:rPr>
          <w:rFonts w:hint="eastAsia"/>
          <w:b w:val="0"/>
          <w:bCs/>
          <w:sz w:val="28"/>
          <w:szCs w:val="28"/>
        </w:rPr>
      </w:pPr>
      <w:bookmarkStart w:id="1664" w:name="_Toc5541"/>
      <w:bookmarkEnd w:id="1664"/>
      <w:bookmarkStart w:id="1665" w:name="_Toc7471"/>
      <w:bookmarkEnd w:id="1665"/>
      <w:bookmarkStart w:id="1666" w:name="_Toc54862307"/>
      <w:bookmarkEnd w:id="1666"/>
      <w:bookmarkStart w:id="1667" w:name="_Ref3840974"/>
      <w:bookmarkEnd w:id="1667"/>
      <w:bookmarkStart w:id="1668" w:name="_Ref3840605"/>
      <w:r>
        <w:rPr>
          <w:rFonts w:hint="eastAsia"/>
          <w:b w:val="0"/>
          <w:bCs/>
          <w:sz w:val="28"/>
          <w:szCs w:val="28"/>
        </w:rPr>
        <w:t>第17条 不可抗力</w:t>
      </w:r>
    </w:p>
    <w:p w14:paraId="284CD32B">
      <w:pPr>
        <w:pStyle w:val="39"/>
        <w:widowControl/>
        <w:spacing w:afterLines="0"/>
        <w:ind w:left="0"/>
        <w:rPr>
          <w:rFonts w:hint="eastAsia"/>
          <w:b w:val="0"/>
          <w:bCs/>
          <w:sz w:val="21"/>
          <w:szCs w:val="21"/>
        </w:rPr>
      </w:pPr>
      <w:bookmarkStart w:id="1669" w:name="_Toc3002"/>
      <w:bookmarkEnd w:id="1669"/>
      <w:bookmarkStart w:id="1670" w:name="_Toc14045"/>
      <w:bookmarkEnd w:id="1670"/>
      <w:bookmarkStart w:id="1671" w:name="_Toc54862308"/>
      <w:bookmarkEnd w:id="1671"/>
      <w:bookmarkStart w:id="1672" w:name="_Ref531958161"/>
      <w:bookmarkEnd w:id="1672"/>
      <w:bookmarkStart w:id="1673" w:name="_Ref531958158"/>
      <w:bookmarkEnd w:id="1673"/>
      <w:r>
        <w:rPr>
          <w:rFonts w:hint="eastAsia"/>
          <w:b w:val="0"/>
          <w:bCs/>
          <w:sz w:val="21"/>
          <w:szCs w:val="21"/>
        </w:rPr>
        <w:t>17.1 不可抗力的定义</w:t>
      </w:r>
    </w:p>
    <w:p w14:paraId="73B7445A">
      <w:pPr>
        <w:spacing w:line="360" w:lineRule="auto"/>
        <w:ind w:firstLine="600"/>
        <w:rPr>
          <w:rFonts w:ascii="仿宋_GB2312" w:eastAsia="仿宋_GB2312"/>
        </w:rPr>
      </w:pPr>
      <w:r>
        <w:rPr>
          <w:rFonts w:hint="eastAsia" w:ascii="仿宋_GB2312" w:eastAsia="仿宋_GB2312"/>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592889CE">
      <w:pPr>
        <w:pStyle w:val="39"/>
        <w:widowControl/>
        <w:spacing w:afterLines="0"/>
        <w:ind w:left="0"/>
        <w:rPr>
          <w:rFonts w:hint="eastAsia"/>
          <w:b w:val="0"/>
          <w:bCs/>
          <w:sz w:val="21"/>
          <w:szCs w:val="21"/>
        </w:rPr>
      </w:pPr>
      <w:bookmarkStart w:id="1674" w:name="_Toc30430"/>
      <w:bookmarkEnd w:id="1674"/>
      <w:bookmarkStart w:id="1675" w:name="_Toc995"/>
      <w:bookmarkEnd w:id="1675"/>
      <w:bookmarkStart w:id="1676" w:name="_Toc54862309"/>
      <w:bookmarkEnd w:id="1676"/>
      <w:r>
        <w:rPr>
          <w:rFonts w:hint="eastAsia"/>
          <w:b w:val="0"/>
          <w:bCs/>
          <w:sz w:val="21"/>
          <w:szCs w:val="21"/>
        </w:rPr>
        <w:t>17.2 不可抗力的通知</w:t>
      </w:r>
    </w:p>
    <w:p w14:paraId="4D56D974">
      <w:pPr>
        <w:spacing w:line="360" w:lineRule="auto"/>
        <w:ind w:firstLine="600"/>
        <w:rPr>
          <w:rFonts w:ascii="仿宋_GB2312" w:eastAsia="仿宋_GB2312"/>
        </w:rPr>
      </w:pPr>
      <w:r>
        <w:rPr>
          <w:rFonts w:hint="eastAsia" w:ascii="仿宋_GB2312" w:eastAsia="仿宋_GB2312"/>
        </w:rPr>
        <w:t>合同一方当事人觉察或发现不可抗力事件发生，使其履行合同义务受到阻碍时，有义务立即通知合同另一方当事人和工程师，书面说明不可抗力和受阻碍的详细情况，并提供必要的证明。</w:t>
      </w:r>
    </w:p>
    <w:p w14:paraId="354BA38C">
      <w:pPr>
        <w:spacing w:line="360" w:lineRule="auto"/>
        <w:ind w:firstLine="600"/>
        <w:rPr>
          <w:rFonts w:ascii="仿宋_GB2312" w:eastAsia="仿宋_GB2312"/>
        </w:rPr>
      </w:pPr>
      <w:r>
        <w:rPr>
          <w:rFonts w:hint="eastAsia" w:ascii="仿宋_GB2312" w:eastAsia="仿宋_GB2312"/>
        </w:rPr>
        <w:t>不可抗力持续发生的，合同一方当事人应每隔28天向合同另一方当事人和工程师提交中间报告，说明不可抗力和履行合同受阻的情况，并于不可抗力事件结束后28天内提交最终报告及有关资料。</w:t>
      </w:r>
    </w:p>
    <w:p w14:paraId="1D9BF9D4">
      <w:pPr>
        <w:pStyle w:val="39"/>
        <w:widowControl/>
        <w:spacing w:afterLines="0"/>
        <w:ind w:left="0"/>
        <w:rPr>
          <w:rFonts w:hint="eastAsia"/>
          <w:b w:val="0"/>
          <w:bCs/>
          <w:sz w:val="21"/>
          <w:szCs w:val="21"/>
        </w:rPr>
      </w:pPr>
      <w:bookmarkStart w:id="1677" w:name="_Toc54862310"/>
      <w:bookmarkEnd w:id="1677"/>
      <w:bookmarkStart w:id="1678" w:name="_Toc26319"/>
      <w:bookmarkEnd w:id="1678"/>
      <w:bookmarkStart w:id="1679" w:name="_Toc29373"/>
      <w:bookmarkEnd w:id="1679"/>
      <w:r>
        <w:rPr>
          <w:rFonts w:hint="eastAsia"/>
          <w:b w:val="0"/>
          <w:bCs/>
          <w:sz w:val="21"/>
          <w:szCs w:val="21"/>
        </w:rPr>
        <w:t>17.3 将损失减至最小的义务</w:t>
      </w:r>
    </w:p>
    <w:p w14:paraId="3ACE12E3">
      <w:pPr>
        <w:spacing w:line="360" w:lineRule="auto"/>
        <w:ind w:firstLine="600"/>
        <w:rPr>
          <w:rFonts w:ascii="仿宋_GB2312" w:eastAsia="仿宋_GB2312"/>
        </w:rPr>
      </w:pPr>
      <w:r>
        <w:rPr>
          <w:rFonts w:hint="eastAsia" w:ascii="仿宋_GB2312" w:eastAsia="仿宋_GB2312"/>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716063F4">
      <w:pPr>
        <w:pStyle w:val="39"/>
        <w:widowControl/>
        <w:spacing w:afterLines="0"/>
        <w:ind w:left="0"/>
        <w:rPr>
          <w:rFonts w:hint="eastAsia"/>
          <w:b w:val="0"/>
          <w:bCs/>
          <w:sz w:val="21"/>
          <w:szCs w:val="21"/>
        </w:rPr>
      </w:pPr>
      <w:bookmarkStart w:id="1680" w:name="_Toc30751"/>
      <w:bookmarkEnd w:id="1680"/>
      <w:bookmarkStart w:id="1681" w:name="_Toc30294"/>
      <w:bookmarkEnd w:id="1681"/>
      <w:bookmarkStart w:id="1682" w:name="_Ref3840916"/>
      <w:bookmarkEnd w:id="1682"/>
      <w:bookmarkStart w:id="1683" w:name="_Ref531958172"/>
      <w:bookmarkEnd w:id="1683"/>
      <w:bookmarkStart w:id="1684" w:name="_Toc54862311"/>
      <w:bookmarkEnd w:id="1684"/>
      <w:bookmarkStart w:id="1685" w:name="_Ref531958170"/>
      <w:bookmarkEnd w:id="1685"/>
      <w:r>
        <w:rPr>
          <w:rFonts w:hint="eastAsia"/>
          <w:b w:val="0"/>
          <w:bCs/>
          <w:sz w:val="21"/>
          <w:szCs w:val="21"/>
        </w:rPr>
        <w:t>17.4 不可抗力后果的承担</w:t>
      </w:r>
    </w:p>
    <w:p w14:paraId="29A08AB9">
      <w:pPr>
        <w:spacing w:line="360" w:lineRule="auto"/>
        <w:ind w:firstLine="600"/>
        <w:rPr>
          <w:rFonts w:ascii="仿宋_GB2312" w:eastAsia="仿宋_GB2312"/>
        </w:rPr>
      </w:pPr>
      <w:r>
        <w:rPr>
          <w:rFonts w:hint="eastAsia" w:ascii="仿宋_GB2312" w:eastAsia="仿宋_GB2312"/>
        </w:rPr>
        <w:t>不可抗力导致的人员伤亡、财产损失、费用增加和（或）工期延误等后果，由合同当事人按以下原则承担：</w:t>
      </w:r>
    </w:p>
    <w:p w14:paraId="6C202B10">
      <w:pPr>
        <w:spacing w:line="360" w:lineRule="auto"/>
        <w:ind w:firstLine="600"/>
        <w:rPr>
          <w:rFonts w:ascii="仿宋_GB2312" w:eastAsia="仿宋_GB2312"/>
        </w:rPr>
      </w:pPr>
      <w:r>
        <w:rPr>
          <w:rFonts w:hint="eastAsia" w:ascii="仿宋_GB2312" w:eastAsia="仿宋_GB2312"/>
        </w:rPr>
        <w:t>（1） 永久工程，包括已运至施工现场的材料和工程设备的损害，以及因工程损害造成的第三人人员伤亡和财产损失由发包人承担；</w:t>
      </w:r>
    </w:p>
    <w:p w14:paraId="7B2DF0CF">
      <w:pPr>
        <w:spacing w:line="360" w:lineRule="auto"/>
        <w:ind w:firstLine="600"/>
        <w:rPr>
          <w:rFonts w:ascii="仿宋_GB2312" w:eastAsia="仿宋_GB2312"/>
        </w:rPr>
      </w:pPr>
      <w:r>
        <w:rPr>
          <w:rFonts w:hint="eastAsia" w:ascii="仿宋_GB2312" w:eastAsia="仿宋_GB2312"/>
        </w:rPr>
        <w:t>（2） 承包人提供的施工设备的损坏由承包人承担；</w:t>
      </w:r>
    </w:p>
    <w:p w14:paraId="2EC1831A">
      <w:pPr>
        <w:spacing w:line="360" w:lineRule="auto"/>
        <w:ind w:firstLine="600"/>
        <w:rPr>
          <w:rFonts w:ascii="仿宋_GB2312" w:eastAsia="仿宋_GB2312"/>
        </w:rPr>
      </w:pPr>
      <w:r>
        <w:rPr>
          <w:rFonts w:hint="eastAsia" w:ascii="仿宋_GB2312" w:eastAsia="仿宋_GB2312"/>
        </w:rPr>
        <w:t>（3） 发包人和承包人各自承担其人员伤亡及其他财产损失；</w:t>
      </w:r>
    </w:p>
    <w:p w14:paraId="5D600506">
      <w:pPr>
        <w:spacing w:line="360" w:lineRule="auto"/>
        <w:ind w:firstLine="600"/>
        <w:rPr>
          <w:rFonts w:ascii="仿宋_GB2312" w:eastAsia="仿宋_GB2312"/>
        </w:rPr>
      </w:pPr>
      <w:bookmarkStart w:id="1686" w:name="_Hlk51507024"/>
      <w:bookmarkEnd w:id="1686"/>
      <w:r>
        <w:rPr>
          <w:rFonts w:hint="eastAsia" w:ascii="仿宋_GB2312" w:eastAsia="仿宋_GB2312"/>
        </w:rPr>
        <w:t>（4） 因不可抗力影响承包人履行合同约定的义务，已经引起或将引起工期延误的，应当顺延工期，由此导致承包人停工的费用损失由发包人和承包人合理分担，停工期间必须支付的现场必要的工人工资由发包人承担；</w:t>
      </w:r>
    </w:p>
    <w:p w14:paraId="7BA493BF">
      <w:pPr>
        <w:spacing w:line="360" w:lineRule="auto"/>
        <w:ind w:firstLine="600"/>
        <w:rPr>
          <w:rFonts w:ascii="仿宋_GB2312" w:eastAsia="仿宋_GB2312"/>
        </w:rPr>
      </w:pPr>
      <w:r>
        <w:rPr>
          <w:rFonts w:hint="eastAsia" w:ascii="仿宋_GB2312" w:eastAsia="仿宋_GB2312"/>
        </w:rPr>
        <w:t>（5） 因不可抗力引起或将引起工期延误，发包人指示赶工的，由此增加的赶工费用由发包人承担；</w:t>
      </w:r>
    </w:p>
    <w:p w14:paraId="44FB8193">
      <w:pPr>
        <w:spacing w:line="360" w:lineRule="auto"/>
        <w:ind w:firstLine="600"/>
        <w:rPr>
          <w:rFonts w:ascii="仿宋_GB2312" w:eastAsia="仿宋_GB2312"/>
        </w:rPr>
      </w:pPr>
      <w:r>
        <w:rPr>
          <w:rFonts w:hint="eastAsia" w:ascii="仿宋_GB2312" w:eastAsia="仿宋_GB2312"/>
        </w:rPr>
        <w:t>（6） 承包人在停工期间按照工程师或发包人要求照管、清理和修复工程的费用由发包人承担。</w:t>
      </w:r>
    </w:p>
    <w:p w14:paraId="43C97D6B">
      <w:pPr>
        <w:spacing w:line="360" w:lineRule="auto"/>
        <w:ind w:firstLine="600"/>
        <w:rPr>
          <w:rFonts w:ascii="仿宋_GB2312" w:eastAsia="仿宋_GB2312"/>
        </w:rPr>
      </w:pPr>
      <w:r>
        <w:rPr>
          <w:rFonts w:hint="eastAsia" w:ascii="仿宋_GB2312" w:eastAsia="仿宋_GB2312"/>
        </w:rPr>
        <w:t>不可抗力引起的后果及造成的损失由合同当事人按照法律规定及合同约定各自承担。不可抗力发生前已完成的工程应当按照合同约定进行支付。</w:t>
      </w:r>
    </w:p>
    <w:p w14:paraId="7D7EB7A0">
      <w:pPr>
        <w:pStyle w:val="39"/>
        <w:widowControl/>
        <w:spacing w:afterLines="0"/>
        <w:ind w:left="0"/>
        <w:rPr>
          <w:rFonts w:hint="eastAsia"/>
          <w:b w:val="0"/>
          <w:bCs/>
          <w:sz w:val="21"/>
          <w:szCs w:val="21"/>
        </w:rPr>
      </w:pPr>
      <w:bookmarkStart w:id="1687" w:name="_Toc7203"/>
      <w:bookmarkEnd w:id="1687"/>
      <w:bookmarkStart w:id="1688" w:name="_Toc10841"/>
      <w:bookmarkEnd w:id="1688"/>
      <w:bookmarkStart w:id="1689" w:name="_Toc54862312"/>
      <w:bookmarkEnd w:id="1689"/>
      <w:r>
        <w:rPr>
          <w:rFonts w:hint="eastAsia"/>
          <w:b w:val="0"/>
          <w:bCs/>
          <w:sz w:val="21"/>
          <w:szCs w:val="21"/>
        </w:rPr>
        <w:t>17.5 不可抗力影响分包人</w:t>
      </w:r>
    </w:p>
    <w:p w14:paraId="07EE2570">
      <w:pPr>
        <w:spacing w:line="360" w:lineRule="auto"/>
        <w:ind w:firstLine="600"/>
        <w:rPr>
          <w:rFonts w:ascii="仿宋_GB2312" w:eastAsia="仿宋_GB2312"/>
        </w:rPr>
      </w:pPr>
      <w:r>
        <w:rPr>
          <w:rFonts w:hint="eastAsia" w:ascii="仿宋_GB2312" w:eastAsia="仿宋_GB2312"/>
        </w:rPr>
        <w:t>分包人根据分包合同的约定，有权获得更多或者更广的不可抗力而免除某些义务时，承包人不得以分包合同中不可抗力约定向发包人抗辩免除其义务。</w:t>
      </w:r>
    </w:p>
    <w:p w14:paraId="3602B25A">
      <w:pPr>
        <w:pStyle w:val="39"/>
        <w:widowControl/>
        <w:spacing w:afterLines="0"/>
        <w:ind w:left="0"/>
        <w:rPr>
          <w:rFonts w:hint="eastAsia"/>
          <w:b w:val="0"/>
          <w:bCs/>
          <w:sz w:val="21"/>
          <w:szCs w:val="21"/>
        </w:rPr>
      </w:pPr>
      <w:bookmarkStart w:id="1690" w:name="_Ref4538024"/>
      <w:bookmarkEnd w:id="1690"/>
      <w:bookmarkStart w:id="1691" w:name="_Ref3840892"/>
      <w:bookmarkEnd w:id="1691"/>
      <w:bookmarkStart w:id="1692" w:name="_Toc54862313"/>
      <w:bookmarkEnd w:id="1692"/>
      <w:bookmarkStart w:id="1693" w:name="_Ref531958184"/>
      <w:bookmarkEnd w:id="1693"/>
      <w:bookmarkStart w:id="1694" w:name="_Ref531958181"/>
      <w:bookmarkEnd w:id="1694"/>
      <w:bookmarkStart w:id="1695" w:name="_Toc5699"/>
      <w:bookmarkEnd w:id="1695"/>
      <w:bookmarkStart w:id="1696" w:name="_Toc25596"/>
      <w:bookmarkEnd w:id="1696"/>
      <w:r>
        <w:rPr>
          <w:rFonts w:hint="eastAsia"/>
          <w:b w:val="0"/>
          <w:bCs/>
          <w:sz w:val="21"/>
          <w:szCs w:val="21"/>
        </w:rPr>
        <w:t>17.6 因不可抗力解除合同</w:t>
      </w:r>
    </w:p>
    <w:p w14:paraId="6D43517C">
      <w:pPr>
        <w:spacing w:line="360" w:lineRule="auto"/>
        <w:ind w:firstLine="600"/>
        <w:rPr>
          <w:rFonts w:ascii="仿宋_GB2312" w:eastAsia="仿宋_GB2312"/>
        </w:rPr>
      </w:pPr>
      <w:r>
        <w:rPr>
          <w:rFonts w:hint="eastAsia" w:ascii="仿宋_GB2312" w:eastAsia="仿宋_GB2312"/>
        </w:rPr>
        <w:t>因单次不可抗力导致合同无法履行连续超过84天或累计超过140天的，发包人和承包人均有权解除合同。合同解除后，承包人应按照第</w:t>
      </w:r>
      <w:r>
        <w:rPr>
          <w:rFonts w:ascii="仿宋_GB2312" w:eastAsia="仿宋_GB2312"/>
        </w:rPr>
        <w:t>10.5</w:t>
      </w:r>
      <w:r>
        <w:rPr>
          <w:rFonts w:hint="eastAsia" w:ascii="仿宋_GB2312" w:eastAsia="仿宋_GB2312"/>
        </w:rPr>
        <w:t>款[竣工退场]的规定进行。由双方当事人按照第</w:t>
      </w:r>
      <w:r>
        <w:rPr>
          <w:rFonts w:ascii="仿宋_GB2312" w:eastAsia="仿宋_GB2312"/>
        </w:rPr>
        <w:t>3.6</w:t>
      </w:r>
      <w:r>
        <w:rPr>
          <w:rFonts w:hint="eastAsia" w:ascii="仿宋_GB2312" w:eastAsia="仿宋_GB2312"/>
        </w:rPr>
        <w:t>款[商定或确定]商定或确定发包人应支付的款项，该款项包括：</w:t>
      </w:r>
    </w:p>
    <w:p w14:paraId="5A54DDBB">
      <w:pPr>
        <w:spacing w:line="360" w:lineRule="auto"/>
        <w:ind w:firstLine="600"/>
        <w:outlineLvl w:val="3"/>
        <w:rPr>
          <w:rFonts w:ascii="仿宋_GB2312" w:eastAsia="仿宋_GB2312"/>
        </w:rPr>
      </w:pPr>
      <w:r>
        <w:rPr>
          <w:rFonts w:hint="eastAsia" w:ascii="仿宋_GB2312" w:eastAsia="仿宋_GB2312"/>
        </w:rPr>
        <w:t>（1） 合同解除前承包人已完成工作的价款；</w:t>
      </w:r>
    </w:p>
    <w:p w14:paraId="209FF7F3">
      <w:pPr>
        <w:spacing w:line="360" w:lineRule="auto"/>
        <w:ind w:firstLine="600"/>
        <w:rPr>
          <w:rFonts w:ascii="仿宋_GB2312" w:eastAsia="仿宋_GB2312"/>
        </w:rPr>
      </w:pPr>
      <w:r>
        <w:rPr>
          <w:rFonts w:hint="eastAsia" w:ascii="仿宋_GB2312" w:eastAsia="仿宋_GB2312"/>
        </w:rPr>
        <w:t>（2） 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32C45769">
      <w:pPr>
        <w:spacing w:line="360" w:lineRule="auto"/>
        <w:ind w:firstLine="600"/>
        <w:rPr>
          <w:rFonts w:ascii="仿宋_GB2312" w:eastAsia="仿宋_GB2312"/>
        </w:rPr>
      </w:pPr>
      <w:r>
        <w:rPr>
          <w:rFonts w:hint="eastAsia" w:ascii="仿宋_GB2312" w:eastAsia="仿宋_GB2312"/>
        </w:rPr>
        <w:t>（3） 发包人指示承包人退货或解除订货合同而产生的费用，或因不能退货或解除合同而产生的损失；</w:t>
      </w:r>
    </w:p>
    <w:p w14:paraId="77A5BE5A">
      <w:pPr>
        <w:spacing w:line="360" w:lineRule="auto"/>
        <w:ind w:firstLine="600"/>
        <w:rPr>
          <w:rFonts w:ascii="仿宋_GB2312" w:eastAsia="仿宋_GB2312"/>
        </w:rPr>
      </w:pPr>
      <w:r>
        <w:rPr>
          <w:rFonts w:hint="eastAsia" w:ascii="仿宋_GB2312" w:eastAsia="仿宋_GB2312"/>
        </w:rPr>
        <w:t>（4） 承包人撤离施工现场以及遣散承包人人员的费用；</w:t>
      </w:r>
    </w:p>
    <w:p w14:paraId="17F37A33">
      <w:pPr>
        <w:spacing w:line="360" w:lineRule="auto"/>
        <w:ind w:firstLine="600"/>
        <w:rPr>
          <w:rFonts w:ascii="仿宋_GB2312" w:eastAsia="仿宋_GB2312"/>
        </w:rPr>
      </w:pPr>
      <w:r>
        <w:rPr>
          <w:rFonts w:hint="eastAsia" w:ascii="仿宋_GB2312" w:eastAsia="仿宋_GB2312"/>
        </w:rPr>
        <w:t>（5） 按照合同约定在合同解除前应支付给承包人的其他款项；</w:t>
      </w:r>
    </w:p>
    <w:p w14:paraId="6CC6482A">
      <w:pPr>
        <w:spacing w:line="360" w:lineRule="auto"/>
        <w:ind w:firstLine="600"/>
        <w:rPr>
          <w:rFonts w:ascii="仿宋_GB2312" w:eastAsia="仿宋_GB2312"/>
        </w:rPr>
      </w:pPr>
      <w:r>
        <w:rPr>
          <w:rFonts w:hint="eastAsia" w:ascii="仿宋_GB2312" w:eastAsia="仿宋_GB2312"/>
        </w:rPr>
        <w:t>（6） 扣减承包人按照合同约定应向发包人支付的款项；</w:t>
      </w:r>
    </w:p>
    <w:p w14:paraId="08B21B5E">
      <w:pPr>
        <w:spacing w:line="360" w:lineRule="auto"/>
        <w:ind w:firstLine="600"/>
        <w:rPr>
          <w:rFonts w:ascii="仿宋_GB2312" w:eastAsia="仿宋_GB2312"/>
        </w:rPr>
      </w:pPr>
      <w:r>
        <w:rPr>
          <w:rFonts w:hint="eastAsia" w:ascii="仿宋_GB2312" w:eastAsia="仿宋_GB2312"/>
        </w:rPr>
        <w:t>（7） 双方商定或确定的其他款项。</w:t>
      </w:r>
    </w:p>
    <w:p w14:paraId="1664E224">
      <w:pPr>
        <w:spacing w:line="360" w:lineRule="auto"/>
        <w:ind w:firstLine="600"/>
        <w:rPr>
          <w:rFonts w:ascii="仿宋_GB2312" w:eastAsia="仿宋_GB2312"/>
        </w:rPr>
      </w:pPr>
      <w:r>
        <w:rPr>
          <w:rFonts w:hint="eastAsia" w:ascii="仿宋_GB2312" w:eastAsia="仿宋_GB2312"/>
        </w:rPr>
        <w:t>除专用合同条件另有约定外，合同解除后，发包人应当在商定或确定上述款项后28天内完成上述款项的支付。</w:t>
      </w:r>
    </w:p>
    <w:bookmarkEnd w:id="1668"/>
    <w:p w14:paraId="0006F84C">
      <w:pPr>
        <w:pStyle w:val="39"/>
        <w:widowControl/>
        <w:spacing w:afterLines="0"/>
        <w:ind w:left="0"/>
        <w:outlineLvl w:val="1"/>
        <w:rPr>
          <w:rFonts w:hint="eastAsia"/>
          <w:b w:val="0"/>
          <w:bCs/>
          <w:sz w:val="21"/>
          <w:szCs w:val="21"/>
        </w:rPr>
      </w:pPr>
      <w:bookmarkStart w:id="1697" w:name="_Ref11848274"/>
      <w:bookmarkEnd w:id="1697"/>
      <w:bookmarkStart w:id="1698" w:name="_Toc16332"/>
      <w:bookmarkEnd w:id="1698"/>
      <w:bookmarkStart w:id="1699" w:name="_Ref11848264"/>
      <w:bookmarkEnd w:id="1699"/>
      <w:bookmarkStart w:id="1700" w:name="_Toc27448"/>
      <w:bookmarkEnd w:id="1700"/>
      <w:bookmarkStart w:id="1701" w:name="_Toc54862314"/>
      <w:bookmarkEnd w:id="1701"/>
      <w:r>
        <w:rPr>
          <w:rFonts w:hint="eastAsia"/>
          <w:b w:val="0"/>
          <w:bCs/>
          <w:sz w:val="28"/>
          <w:szCs w:val="28"/>
        </w:rPr>
        <w:t>第18条 保险</w:t>
      </w:r>
    </w:p>
    <w:p w14:paraId="275D2E85">
      <w:pPr>
        <w:pStyle w:val="39"/>
        <w:widowControl/>
        <w:spacing w:afterLines="0"/>
        <w:ind w:left="0"/>
        <w:rPr>
          <w:rFonts w:hint="eastAsia"/>
          <w:b w:val="0"/>
          <w:bCs/>
          <w:sz w:val="21"/>
          <w:szCs w:val="21"/>
        </w:rPr>
      </w:pPr>
      <w:bookmarkStart w:id="1702" w:name="_Toc25891"/>
      <w:bookmarkEnd w:id="1702"/>
      <w:bookmarkStart w:id="1703" w:name="_Ref3840730"/>
      <w:bookmarkEnd w:id="1703"/>
      <w:bookmarkStart w:id="1704" w:name="_Toc20617"/>
      <w:bookmarkEnd w:id="1704"/>
      <w:bookmarkStart w:id="1705" w:name="_Toc54862315"/>
      <w:bookmarkEnd w:id="1705"/>
      <w:bookmarkStart w:id="1706" w:name="_Ref3840734"/>
      <w:bookmarkEnd w:id="1706"/>
      <w:bookmarkStart w:id="1707" w:name="_Toc351203616"/>
      <w:r>
        <w:rPr>
          <w:rFonts w:hint="eastAsia"/>
          <w:b w:val="0"/>
          <w:bCs/>
          <w:sz w:val="21"/>
          <w:szCs w:val="21"/>
        </w:rPr>
        <w:t>18.1 设计和工程保险</w:t>
      </w:r>
    </w:p>
    <w:p w14:paraId="2CEFB96C">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8.1.1 </w:t>
      </w:r>
      <w:r>
        <w:rPr>
          <w:rFonts w:hint="eastAsia" w:ascii="仿宋_GB2312" w:eastAsia="仿宋_GB2312"/>
          <w:sz w:val="21"/>
        </w:rPr>
        <w:t>双方应按照专用合同条件的约定向双方同意的保险人投保建设工程设计责任险、建筑安装工程一切险等保险。具体的投保险种、保险范围、保险金额、保险费率、保险期限等有关内容应当在专用合同条件中明确约定。</w:t>
      </w:r>
    </w:p>
    <w:p w14:paraId="22838CAC">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8.1.2 </w:t>
      </w:r>
      <w:r>
        <w:rPr>
          <w:rFonts w:hint="eastAsia" w:ascii="仿宋_GB2312" w:eastAsia="仿宋_GB2312"/>
          <w:sz w:val="21"/>
        </w:rPr>
        <w:t>双方应按照专用合同条件的约定投保第三者责任险，并在缺陷责任期终止证书颁发前维持其持续有效。第三者责任险最低投保额应在专用合同条件内约定。</w:t>
      </w:r>
    </w:p>
    <w:p w14:paraId="10E7D844">
      <w:pPr>
        <w:pStyle w:val="39"/>
        <w:widowControl/>
        <w:spacing w:afterLines="0"/>
        <w:ind w:left="0"/>
        <w:rPr>
          <w:rFonts w:hint="eastAsia"/>
          <w:b w:val="0"/>
          <w:bCs/>
          <w:sz w:val="21"/>
          <w:szCs w:val="21"/>
        </w:rPr>
      </w:pPr>
      <w:bookmarkStart w:id="1708" w:name="_Ref3840683"/>
      <w:bookmarkEnd w:id="1708"/>
      <w:bookmarkStart w:id="1709" w:name="_Toc4600"/>
      <w:bookmarkEnd w:id="1709"/>
      <w:bookmarkStart w:id="1710" w:name="_Toc54862316"/>
      <w:bookmarkEnd w:id="1710"/>
      <w:bookmarkStart w:id="1711" w:name="_Toc10619"/>
      <w:bookmarkEnd w:id="1711"/>
      <w:r>
        <w:rPr>
          <w:rFonts w:hint="eastAsia"/>
          <w:b w:val="0"/>
          <w:bCs/>
          <w:sz w:val="21"/>
          <w:szCs w:val="21"/>
        </w:rPr>
        <w:t>18.2 工伤和意外伤害保险</w:t>
      </w:r>
    </w:p>
    <w:p w14:paraId="41212CF8">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8.2.1 </w:t>
      </w:r>
      <w:r>
        <w:rPr>
          <w:rFonts w:hint="eastAsia" w:ascii="仿宋_GB2312" w:eastAsia="仿宋_GB2312"/>
          <w:sz w:val="21"/>
        </w:rPr>
        <w:t>发包人应依照法律规定为其在施工现场的雇用人员办理工伤保险，并缴纳工伤保险费；并要求工程师及由发包人为履行合同聘请的第三方在施工现场的雇用人员依法办理工伤保险。</w:t>
      </w:r>
    </w:p>
    <w:p w14:paraId="56BB7E3C">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8.2.2 </w:t>
      </w:r>
      <w:r>
        <w:rPr>
          <w:rFonts w:hint="eastAsia" w:ascii="仿宋_GB2312" w:eastAsia="仿宋_GB2312"/>
          <w:sz w:val="21"/>
        </w:rPr>
        <w:t>承包人应依照法律规定为其履行合同雇用的全部人员办理工伤保险，并缴纳工伤保险费，并要求分包人及由承包人为履行合同聘请的第三方雇用的全部人员依法办理工伤保险。</w:t>
      </w:r>
    </w:p>
    <w:p w14:paraId="121D6785">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8.2.3 </w:t>
      </w:r>
      <w:r>
        <w:rPr>
          <w:rFonts w:hint="eastAsia" w:ascii="仿宋_GB2312" w:eastAsia="仿宋_GB2312"/>
          <w:sz w:val="21"/>
        </w:rPr>
        <w:t>发包人和承包人可以为其施工现场的全部人员办理意外伤害保险并支付保险费，包括其员工及为履行合同聘请的第三方的人员，具体事项由合同当事人在专用合同条件约定。</w:t>
      </w:r>
    </w:p>
    <w:p w14:paraId="1C791985">
      <w:pPr>
        <w:pStyle w:val="39"/>
        <w:widowControl/>
        <w:spacing w:afterLines="0"/>
        <w:ind w:left="0"/>
        <w:rPr>
          <w:rFonts w:hint="eastAsia"/>
          <w:b w:val="0"/>
          <w:bCs/>
          <w:sz w:val="21"/>
          <w:szCs w:val="21"/>
        </w:rPr>
      </w:pPr>
      <w:bookmarkStart w:id="1712" w:name="_Toc54862317"/>
      <w:bookmarkEnd w:id="1712"/>
      <w:bookmarkStart w:id="1713" w:name="_Ref3840782"/>
      <w:bookmarkEnd w:id="1713"/>
      <w:bookmarkStart w:id="1714" w:name="_Toc9128"/>
      <w:bookmarkEnd w:id="1714"/>
      <w:bookmarkStart w:id="1715" w:name="_Toc8033"/>
      <w:bookmarkEnd w:id="1715"/>
      <w:r>
        <w:rPr>
          <w:rFonts w:hint="eastAsia"/>
          <w:b w:val="0"/>
          <w:bCs/>
          <w:sz w:val="21"/>
          <w:szCs w:val="21"/>
        </w:rPr>
        <w:t>18.3 货物保险</w:t>
      </w:r>
    </w:p>
    <w:p w14:paraId="281951B8">
      <w:pPr>
        <w:spacing w:line="360" w:lineRule="auto"/>
        <w:ind w:firstLine="600"/>
        <w:rPr>
          <w:rFonts w:ascii="仿宋_GB2312" w:eastAsia="仿宋_GB2312"/>
        </w:rPr>
      </w:pPr>
      <w:r>
        <w:rPr>
          <w:rFonts w:hint="eastAsia" w:ascii="仿宋_GB2312" w:eastAsia="仿宋_GB2312"/>
        </w:rPr>
        <w:t>承包人应</w:t>
      </w:r>
      <w:r>
        <w:rPr>
          <w:rFonts w:hint="eastAsia" w:ascii="仿宋_GB2312" w:eastAsia="仿宋_GB2312"/>
          <w:iCs/>
        </w:rPr>
        <w:t>按照</w:t>
      </w:r>
      <w:r>
        <w:rPr>
          <w:rFonts w:hint="eastAsia" w:ascii="仿宋_GB2312" w:eastAsia="仿宋_GB2312"/>
        </w:rPr>
        <w:t>专用合同条件的约定为</w:t>
      </w:r>
      <w:r>
        <w:rPr>
          <w:rFonts w:hint="eastAsia" w:ascii="仿宋_GB2312" w:eastAsia="仿宋_GB2312"/>
          <w:iCs/>
        </w:rPr>
        <w:t>运抵现场的</w:t>
      </w:r>
      <w:r>
        <w:rPr>
          <w:rFonts w:hint="eastAsia" w:ascii="仿宋_GB2312" w:eastAsia="仿宋_GB2312"/>
        </w:rPr>
        <w:t>施工设备、材料、工程设备和临时工程等办理财产保险，保险期限自上述货物运抵现场至其不再为工程所需要为止。</w:t>
      </w:r>
    </w:p>
    <w:p w14:paraId="74E7DB4C">
      <w:pPr>
        <w:pStyle w:val="39"/>
        <w:widowControl/>
        <w:spacing w:afterLines="0"/>
        <w:ind w:left="0"/>
        <w:rPr>
          <w:rFonts w:hint="eastAsia"/>
          <w:b w:val="0"/>
          <w:bCs/>
          <w:sz w:val="21"/>
          <w:szCs w:val="21"/>
        </w:rPr>
      </w:pPr>
      <w:bookmarkStart w:id="1716" w:name="_Toc15389"/>
      <w:bookmarkEnd w:id="1716"/>
      <w:bookmarkStart w:id="1717" w:name="_Ref4692238"/>
      <w:bookmarkEnd w:id="1717"/>
      <w:bookmarkStart w:id="1718" w:name="_Toc1798"/>
      <w:bookmarkEnd w:id="1718"/>
      <w:bookmarkStart w:id="1719" w:name="_Toc54862318"/>
      <w:bookmarkEnd w:id="1719"/>
      <w:bookmarkStart w:id="1720" w:name="_Ref4692231"/>
      <w:bookmarkEnd w:id="1720"/>
      <w:r>
        <w:rPr>
          <w:rFonts w:hint="eastAsia"/>
          <w:b w:val="0"/>
          <w:bCs/>
          <w:sz w:val="21"/>
          <w:szCs w:val="21"/>
        </w:rPr>
        <w:t>18.4 其他保险</w:t>
      </w:r>
    </w:p>
    <w:bookmarkEnd w:id="1707"/>
    <w:p w14:paraId="11C1DEE0">
      <w:pPr>
        <w:spacing w:line="360" w:lineRule="auto"/>
        <w:ind w:firstLine="600"/>
        <w:rPr>
          <w:rFonts w:ascii="仿宋_GB2312" w:eastAsia="仿宋_GB2312"/>
        </w:rPr>
      </w:pPr>
      <w:bookmarkStart w:id="1721" w:name="_Toc351203617"/>
      <w:bookmarkStart w:id="1722" w:name="_Toc337558832"/>
      <w:bookmarkStart w:id="1723" w:name="_Toc296503126"/>
      <w:bookmarkStart w:id="1724" w:name="_Toc296346627"/>
      <w:r>
        <w:rPr>
          <w:rFonts w:hint="eastAsia" w:ascii="仿宋_GB2312" w:eastAsia="仿宋_GB2312"/>
        </w:rPr>
        <w:t>发包人应按照工程总承包模式所适用的法律法规和专用合同条件约定，投保其他保险并保持保险有效，其投保费用由发包人自行承担。承包人应按照工程总承包模式所适用法律法规和专用合同条件约定投保相应保险并保持保险有效，其投保费用包含在合同价格中，但在合同执行过程中，新颁布适用的法律法规规定由承包人投保的强制保险，应根据本合同第</w:t>
      </w:r>
      <w:r>
        <w:rPr>
          <w:rFonts w:ascii="仿宋_GB2312" w:eastAsia="仿宋_GB2312"/>
        </w:rPr>
        <w:t>13条</w:t>
      </w:r>
      <w:r>
        <w:rPr>
          <w:rFonts w:hint="eastAsia" w:ascii="仿宋_GB2312" w:eastAsia="仿宋_GB2312"/>
        </w:rPr>
        <w:t>[</w:t>
      </w:r>
      <w:r>
        <w:rPr>
          <w:rFonts w:ascii="仿宋_GB2312" w:eastAsia="仿宋_GB2312"/>
        </w:rPr>
        <w:t>变更与调整</w:t>
      </w:r>
      <w:r>
        <w:rPr>
          <w:rFonts w:hint="eastAsia" w:ascii="仿宋_GB2312" w:eastAsia="仿宋_GB2312"/>
        </w:rPr>
        <w:t>]的约定增加合同价款。</w:t>
      </w:r>
    </w:p>
    <w:p w14:paraId="00EBFF0B">
      <w:pPr>
        <w:pStyle w:val="39"/>
        <w:widowControl/>
        <w:spacing w:afterLines="0"/>
        <w:ind w:left="0"/>
        <w:rPr>
          <w:rFonts w:hint="eastAsia"/>
          <w:b w:val="0"/>
          <w:bCs/>
          <w:sz w:val="21"/>
          <w:szCs w:val="21"/>
        </w:rPr>
      </w:pPr>
      <w:bookmarkStart w:id="1725" w:name="_Toc21749"/>
      <w:bookmarkEnd w:id="1725"/>
      <w:bookmarkStart w:id="1726" w:name="_Toc54862319"/>
      <w:bookmarkEnd w:id="1726"/>
      <w:bookmarkStart w:id="1727" w:name="_Toc1132"/>
      <w:bookmarkEnd w:id="1727"/>
      <w:bookmarkStart w:id="1728" w:name="_Ref3840659"/>
      <w:bookmarkEnd w:id="1728"/>
      <w:r>
        <w:rPr>
          <w:rFonts w:hint="eastAsia"/>
          <w:b w:val="0"/>
          <w:bCs/>
          <w:sz w:val="21"/>
          <w:szCs w:val="21"/>
        </w:rPr>
        <w:t>18.5 对各项保险的一般要求</w:t>
      </w:r>
    </w:p>
    <w:p w14:paraId="3D9E601B">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8.5.1 </w:t>
      </w:r>
      <w:r>
        <w:rPr>
          <w:rFonts w:hint="eastAsia" w:ascii="仿宋_GB2312" w:eastAsia="仿宋_GB2312"/>
          <w:sz w:val="21"/>
        </w:rPr>
        <w:t>持续保险</w:t>
      </w:r>
    </w:p>
    <w:bookmarkEnd w:id="1721"/>
    <w:bookmarkEnd w:id="1722"/>
    <w:bookmarkEnd w:id="1723"/>
    <w:bookmarkEnd w:id="1724"/>
    <w:p w14:paraId="60188E03">
      <w:pPr>
        <w:spacing w:line="360" w:lineRule="auto"/>
        <w:ind w:firstLine="600"/>
        <w:rPr>
          <w:rFonts w:ascii="仿宋_GB2312" w:eastAsia="仿宋_GB2312"/>
        </w:rPr>
      </w:pPr>
      <w:r>
        <w:rPr>
          <w:rFonts w:hint="eastAsia" w:ascii="仿宋_GB2312" w:eastAsia="仿宋_GB2312"/>
        </w:rPr>
        <w:t>合同当事人应与保险人保持联系，使保险人能够随时了解工程实施中的变动，并确保按保险合同条款要求持续保险。</w:t>
      </w:r>
    </w:p>
    <w:p w14:paraId="5D8AE2B2">
      <w:pPr>
        <w:pStyle w:val="40"/>
        <w:spacing w:after="157"/>
        <w:ind w:left="0"/>
        <w:rPr>
          <w:rFonts w:hint="eastAsia" w:ascii="仿宋_GB2312" w:eastAsia="仿宋_GB2312"/>
          <w:sz w:val="21"/>
        </w:rPr>
      </w:pPr>
      <w:bookmarkStart w:id="1729" w:name="_Ref4777650"/>
      <w:bookmarkEnd w:id="1729"/>
      <w:r>
        <w:rPr>
          <w:rFonts w:hint="eastAsia" w:ascii="仿宋_GB2312" w:eastAsia="仿宋_GB2312"/>
          <w:sz w:val="21"/>
        </w:rPr>
        <w:t>1</w:t>
      </w:r>
      <w:r>
        <w:rPr>
          <w:rFonts w:ascii="仿宋_GB2312" w:eastAsia="仿宋_GB2312"/>
          <w:sz w:val="21"/>
        </w:rPr>
        <w:t xml:space="preserve">8.5.2 </w:t>
      </w:r>
      <w:r>
        <w:rPr>
          <w:rFonts w:hint="eastAsia" w:ascii="仿宋_GB2312" w:eastAsia="仿宋_GB2312"/>
          <w:sz w:val="21"/>
        </w:rPr>
        <w:t>保险凭证</w:t>
      </w:r>
    </w:p>
    <w:p w14:paraId="32AEE0B3">
      <w:pPr>
        <w:spacing w:line="360" w:lineRule="auto"/>
        <w:ind w:firstLine="600"/>
        <w:rPr>
          <w:rFonts w:ascii="仿宋_GB2312" w:eastAsia="仿宋_GB2312"/>
        </w:rPr>
      </w:pPr>
      <w:r>
        <w:rPr>
          <w:rFonts w:hint="eastAsia" w:ascii="仿宋_GB2312" w:eastAsia="仿宋_GB2312"/>
        </w:rPr>
        <w:t>合同当事人应及时向另一方当事人提交其已投保的各项保险的凭证和保险单复印件，保险单必须与专用合同条件约定的条件保持一致。</w:t>
      </w:r>
    </w:p>
    <w:p w14:paraId="1BEC9505">
      <w:pPr>
        <w:pStyle w:val="40"/>
        <w:spacing w:after="157"/>
        <w:ind w:left="0"/>
        <w:rPr>
          <w:rFonts w:hint="eastAsia" w:ascii="仿宋_GB2312" w:eastAsia="仿宋_GB2312"/>
          <w:sz w:val="21"/>
        </w:rPr>
      </w:pPr>
      <w:r>
        <w:rPr>
          <w:rFonts w:hint="eastAsia" w:ascii="仿宋_GB2312" w:eastAsia="仿宋_GB2312"/>
          <w:sz w:val="21"/>
        </w:rPr>
        <w:t>1</w:t>
      </w:r>
      <w:r>
        <w:rPr>
          <w:rFonts w:ascii="仿宋_GB2312" w:eastAsia="仿宋_GB2312"/>
          <w:sz w:val="21"/>
        </w:rPr>
        <w:t xml:space="preserve">8.5.3 </w:t>
      </w:r>
      <w:r>
        <w:rPr>
          <w:rFonts w:hint="eastAsia" w:ascii="仿宋_GB2312" w:eastAsia="仿宋_GB2312"/>
          <w:sz w:val="21"/>
        </w:rPr>
        <w:t>未按约定投保的补救</w:t>
      </w:r>
    </w:p>
    <w:p w14:paraId="23BC404B">
      <w:pPr>
        <w:spacing w:line="360" w:lineRule="auto"/>
        <w:ind w:firstLine="600"/>
        <w:rPr>
          <w:rFonts w:ascii="仿宋_GB2312" w:eastAsia="仿宋_GB2312"/>
        </w:rPr>
      </w:pPr>
      <w:r>
        <w:rPr>
          <w:rFonts w:hint="eastAsia" w:ascii="仿宋_GB2312" w:eastAsia="仿宋_GB2312"/>
        </w:rPr>
        <w:t>负有投保义务的一方当事人未按合同约定办理保险，或未能使保险持续有效的，则另一方当事人可代为办理，所需费用由负有投保义务的一方当事人承担。</w:t>
      </w:r>
    </w:p>
    <w:p w14:paraId="712F48AE">
      <w:pPr>
        <w:spacing w:line="360" w:lineRule="auto"/>
        <w:ind w:firstLine="600"/>
        <w:rPr>
          <w:rFonts w:ascii="仿宋_GB2312" w:eastAsia="仿宋_GB2312"/>
        </w:rPr>
      </w:pPr>
      <w:bookmarkStart w:id="1730" w:name="_Toc337558834"/>
      <w:bookmarkEnd w:id="1730"/>
      <w:bookmarkStart w:id="1731" w:name="_Toc351203619"/>
      <w:bookmarkEnd w:id="1731"/>
      <w:r>
        <w:rPr>
          <w:rFonts w:hint="eastAsia" w:ascii="仿宋_GB2312" w:eastAsia="仿宋_GB2312"/>
        </w:rPr>
        <w:t>负有投保义务的一方当事人未按合同约定办理某项保险，导致受益人未能得到足额赔偿的，由负有投保义务的一方当事人负责按照原应从该项保险得到的保险金数额进行补足。</w:t>
      </w:r>
    </w:p>
    <w:p w14:paraId="2124A000">
      <w:pPr>
        <w:pStyle w:val="40"/>
        <w:spacing w:after="157"/>
        <w:ind w:left="0"/>
        <w:rPr>
          <w:rFonts w:hint="eastAsia" w:ascii="仿宋_GB2312" w:eastAsia="仿宋_GB2312"/>
          <w:sz w:val="21"/>
        </w:rPr>
      </w:pPr>
      <w:bookmarkStart w:id="1732" w:name="_Ref4692685"/>
      <w:bookmarkEnd w:id="1732"/>
      <w:r>
        <w:rPr>
          <w:rFonts w:hint="eastAsia" w:ascii="仿宋_GB2312" w:eastAsia="仿宋_GB2312"/>
          <w:sz w:val="21"/>
        </w:rPr>
        <w:t>1</w:t>
      </w:r>
      <w:r>
        <w:rPr>
          <w:rFonts w:ascii="仿宋_GB2312" w:eastAsia="仿宋_GB2312"/>
          <w:sz w:val="21"/>
        </w:rPr>
        <w:t xml:space="preserve">8.5.4 </w:t>
      </w:r>
      <w:r>
        <w:rPr>
          <w:rFonts w:hint="eastAsia" w:ascii="仿宋_GB2312" w:eastAsia="仿宋_GB2312"/>
          <w:sz w:val="21"/>
        </w:rPr>
        <w:t>通知义务</w:t>
      </w:r>
    </w:p>
    <w:p w14:paraId="3E99375A">
      <w:pPr>
        <w:spacing w:line="360" w:lineRule="auto"/>
        <w:ind w:firstLine="600"/>
        <w:rPr>
          <w:rFonts w:ascii="仿宋_GB2312" w:eastAsia="仿宋_GB2312"/>
        </w:rPr>
      </w:pPr>
      <w:r>
        <w:rPr>
          <w:rFonts w:hint="eastAsia" w:ascii="仿宋_GB2312" w:eastAsia="仿宋_GB2312"/>
        </w:rPr>
        <w:t>除专用合同条件另有约定外，任何一方当事人变更除工伤保险之外的保险合同时，应事先征得另一方当事人同意，并通知工程师。</w:t>
      </w:r>
    </w:p>
    <w:p w14:paraId="57AFDA5C">
      <w:pPr>
        <w:spacing w:line="360" w:lineRule="auto"/>
        <w:ind w:firstLine="600"/>
        <w:rPr>
          <w:rFonts w:ascii="仿宋_GB2312" w:eastAsia="仿宋_GB2312"/>
        </w:rPr>
      </w:pPr>
      <w:r>
        <w:rPr>
          <w:rFonts w:hint="eastAsia" w:ascii="仿宋_GB2312" w:eastAsia="仿宋_GB2312"/>
        </w:rPr>
        <w:t>保险事故发生时，投保人应按照保险合同规定的条件和期限及时向保险人报告。发包人和承包人应当在知道保险事故发生后及时通知对方。</w:t>
      </w:r>
    </w:p>
    <w:p w14:paraId="04AC76CE">
      <w:pPr>
        <w:spacing w:line="360" w:lineRule="auto"/>
        <w:ind w:firstLine="600"/>
        <w:rPr>
          <w:rFonts w:ascii="仿宋_GB2312" w:eastAsia="仿宋_GB2312"/>
        </w:rPr>
      </w:pPr>
      <w:r>
        <w:rPr>
          <w:rFonts w:hint="eastAsia" w:ascii="仿宋_GB2312" w:eastAsia="仿宋_GB2312"/>
        </w:rPr>
        <w:t>双方按本条规定投保不减少双方在合同下的其他义务。</w:t>
      </w:r>
    </w:p>
    <w:bookmarkEnd w:id="1640"/>
    <w:bookmarkEnd w:id="1641"/>
    <w:p w14:paraId="24D3D232">
      <w:pPr>
        <w:pStyle w:val="39"/>
        <w:widowControl/>
        <w:spacing w:afterLines="0"/>
        <w:ind w:left="0"/>
        <w:outlineLvl w:val="1"/>
        <w:rPr>
          <w:rFonts w:hint="eastAsia"/>
          <w:b w:val="0"/>
          <w:bCs/>
          <w:sz w:val="21"/>
          <w:szCs w:val="21"/>
        </w:rPr>
      </w:pPr>
      <w:bookmarkStart w:id="1733" w:name="_Toc17273"/>
      <w:bookmarkEnd w:id="1733"/>
      <w:bookmarkStart w:id="1734" w:name="_Ref11874997"/>
      <w:bookmarkEnd w:id="1734"/>
      <w:bookmarkStart w:id="1735" w:name="_Toc32300"/>
      <w:bookmarkEnd w:id="1735"/>
      <w:bookmarkStart w:id="1736" w:name="_Toc54862320"/>
      <w:bookmarkEnd w:id="1736"/>
      <w:r>
        <w:rPr>
          <w:rFonts w:hint="eastAsia"/>
          <w:b w:val="0"/>
          <w:bCs/>
          <w:sz w:val="28"/>
          <w:szCs w:val="28"/>
        </w:rPr>
        <w:t>第19条 索赔</w:t>
      </w:r>
    </w:p>
    <w:p w14:paraId="6C056806">
      <w:pPr>
        <w:pStyle w:val="39"/>
        <w:widowControl/>
        <w:spacing w:afterLines="0"/>
        <w:ind w:left="0"/>
        <w:rPr>
          <w:rFonts w:hint="eastAsia"/>
          <w:b w:val="0"/>
          <w:bCs/>
          <w:sz w:val="21"/>
          <w:szCs w:val="21"/>
        </w:rPr>
      </w:pPr>
      <w:bookmarkStart w:id="1737" w:name="_Toc16839"/>
      <w:bookmarkEnd w:id="1737"/>
      <w:bookmarkStart w:id="1738" w:name="_Toc54862321"/>
      <w:bookmarkEnd w:id="1738"/>
      <w:bookmarkStart w:id="1739" w:name="_Ref4798164"/>
      <w:bookmarkEnd w:id="1739"/>
      <w:bookmarkStart w:id="1740" w:name="_Toc31287"/>
      <w:bookmarkEnd w:id="1740"/>
      <w:bookmarkStart w:id="1741" w:name="_Ref4798173"/>
      <w:bookmarkEnd w:id="1741"/>
      <w:r>
        <w:rPr>
          <w:rFonts w:hint="eastAsia"/>
          <w:b w:val="0"/>
          <w:bCs/>
          <w:sz w:val="21"/>
          <w:szCs w:val="21"/>
        </w:rPr>
        <w:t>19.1 索赔的提出</w:t>
      </w:r>
    </w:p>
    <w:p w14:paraId="52338FB0">
      <w:pPr>
        <w:spacing w:line="360" w:lineRule="auto"/>
        <w:ind w:firstLine="600"/>
        <w:rPr>
          <w:rFonts w:ascii="仿宋_GB2312" w:eastAsia="仿宋_GB2312"/>
        </w:rPr>
      </w:pPr>
      <w:r>
        <w:rPr>
          <w:rFonts w:hint="eastAsia" w:ascii="仿宋_GB2312" w:eastAsia="仿宋_GB2312"/>
        </w:rPr>
        <w:t>根据合同约定，任意一方认为有权得到追加/减少付款、延长缺陷责任期和（或）延长工期的，应按以下程序向对方提出索赔：</w:t>
      </w:r>
    </w:p>
    <w:p w14:paraId="79A43412">
      <w:pPr>
        <w:spacing w:line="360" w:lineRule="auto"/>
        <w:ind w:firstLine="600"/>
        <w:rPr>
          <w:rFonts w:ascii="仿宋_GB2312" w:eastAsia="仿宋_GB2312"/>
        </w:rPr>
      </w:pPr>
      <w:r>
        <w:rPr>
          <w:rFonts w:hint="eastAsia" w:ascii="仿宋_GB2312" w:eastAsia="仿宋_GB2312"/>
        </w:rPr>
        <w:t>（1） 索赔方应在知道或应当知道索赔事件发生后28天内，向对方递交索赔意向通知书，并说明发生索赔事件的事由；索赔方未在前述28天内发出索赔意向通知书的，丧失要求追加</w:t>
      </w:r>
      <w:r>
        <w:rPr>
          <w:rFonts w:ascii="仿宋_GB2312" w:eastAsia="仿宋_GB2312"/>
        </w:rPr>
        <w:t>/减少付款、延长缺陷责任期和（或）延长工期</w:t>
      </w:r>
      <w:r>
        <w:rPr>
          <w:rFonts w:hint="eastAsia" w:ascii="仿宋_GB2312" w:eastAsia="仿宋_GB2312"/>
        </w:rPr>
        <w:t>的权利；</w:t>
      </w:r>
    </w:p>
    <w:p w14:paraId="226458AD">
      <w:pPr>
        <w:spacing w:line="360" w:lineRule="auto"/>
        <w:ind w:firstLine="600"/>
        <w:rPr>
          <w:rFonts w:ascii="仿宋_GB2312" w:eastAsia="仿宋_GB2312"/>
        </w:rPr>
      </w:pPr>
      <w:r>
        <w:rPr>
          <w:rFonts w:hint="eastAsia" w:ascii="仿宋_GB2312" w:eastAsia="仿宋_GB2312"/>
        </w:rPr>
        <w:t>（2） 索赔方应在发出索赔意向通知书后28天内，向对方正式递交索赔报告；索赔报告应详细说明索赔理由以及要求追加的付款金额、延长缺陷责任期和（或）延长的工期，并附必要的记录和证明材料；</w:t>
      </w:r>
    </w:p>
    <w:p w14:paraId="3113A4D5">
      <w:pPr>
        <w:spacing w:line="360" w:lineRule="auto"/>
        <w:ind w:firstLine="600"/>
        <w:rPr>
          <w:rFonts w:ascii="仿宋_GB2312" w:eastAsia="仿宋_GB2312"/>
        </w:rPr>
      </w:pPr>
      <w:r>
        <w:rPr>
          <w:rFonts w:hint="eastAsia" w:ascii="仿宋_GB2312" w:eastAsia="仿宋_GB2312"/>
        </w:rPr>
        <w:t>（3） 索赔事件具有持续影响的，索赔方应每月递交延续索赔通知，说明持续影响的实际情况和记录，列出累计的追加付款金额、延长缺陷责任期和（或）工期延长天数；</w:t>
      </w:r>
    </w:p>
    <w:p w14:paraId="535CA576">
      <w:pPr>
        <w:spacing w:line="360" w:lineRule="auto"/>
        <w:ind w:firstLine="600"/>
        <w:rPr>
          <w:rFonts w:ascii="仿宋_GB2312" w:eastAsia="仿宋_GB2312"/>
        </w:rPr>
      </w:pPr>
      <w:bookmarkStart w:id="1742" w:name="_Ref4796178"/>
      <w:bookmarkEnd w:id="1742"/>
      <w:r>
        <w:rPr>
          <w:rFonts w:hint="eastAsia" w:ascii="仿宋_GB2312" w:eastAsia="仿宋_GB2312"/>
        </w:rPr>
        <w:t>（4） 在索赔事件影响结束后28天内，索赔方应向对方递交最终索赔报告，说明最终要求索赔的追加付款金额、延长缺陷责任期和（或）延长的工期，并附必要的记录和证明材料。</w:t>
      </w:r>
    </w:p>
    <w:p w14:paraId="3B201AE6">
      <w:pPr>
        <w:spacing w:line="360" w:lineRule="auto"/>
        <w:ind w:firstLine="600"/>
        <w:rPr>
          <w:rFonts w:ascii="仿宋_GB2312" w:eastAsia="仿宋_GB2312"/>
        </w:rPr>
      </w:pPr>
      <w:r>
        <w:rPr>
          <w:rFonts w:hint="eastAsia" w:ascii="仿宋_GB2312" w:eastAsia="仿宋_GB2312"/>
        </w:rPr>
        <w:t>（5） 承包人作为索赔方时，其索赔意向通知书、索赔报告及相关索赔文件应向工程师提出；发包人作为索赔方时，其索赔意向通知书、索赔报告及相关索赔文件可自行向承包人提出或由工程师向承包人提出。</w:t>
      </w:r>
    </w:p>
    <w:p w14:paraId="4E4136CD">
      <w:pPr>
        <w:pStyle w:val="39"/>
        <w:widowControl/>
        <w:spacing w:afterLines="0"/>
        <w:ind w:left="0"/>
        <w:rPr>
          <w:rFonts w:hint="eastAsia"/>
          <w:b w:val="0"/>
          <w:bCs/>
          <w:sz w:val="21"/>
          <w:szCs w:val="21"/>
        </w:rPr>
      </w:pPr>
      <w:bookmarkStart w:id="1743" w:name="_Ref4796254"/>
      <w:bookmarkEnd w:id="1743"/>
      <w:bookmarkStart w:id="1744" w:name="_Toc54862322"/>
      <w:bookmarkEnd w:id="1744"/>
      <w:bookmarkStart w:id="1745" w:name="_Ref4796262"/>
      <w:bookmarkEnd w:id="1745"/>
      <w:bookmarkStart w:id="1746" w:name="_Toc1741"/>
      <w:bookmarkEnd w:id="1746"/>
      <w:bookmarkStart w:id="1747" w:name="_Toc4182"/>
      <w:bookmarkEnd w:id="1747"/>
      <w:r>
        <w:rPr>
          <w:rFonts w:hint="eastAsia"/>
          <w:b w:val="0"/>
          <w:bCs/>
          <w:sz w:val="21"/>
          <w:szCs w:val="21"/>
        </w:rPr>
        <w:t>19.2 承包人索赔的处理程序</w:t>
      </w:r>
    </w:p>
    <w:p w14:paraId="502C8AAA">
      <w:pPr>
        <w:spacing w:line="360" w:lineRule="auto"/>
        <w:ind w:firstLine="600"/>
        <w:rPr>
          <w:rFonts w:ascii="仿宋_GB2312" w:eastAsia="仿宋_GB2312"/>
        </w:rPr>
      </w:pPr>
      <w:r>
        <w:rPr>
          <w:rFonts w:hint="eastAsia" w:ascii="仿宋_GB2312" w:eastAsia="仿宋_GB2312"/>
        </w:rPr>
        <w:t>（1） 工程师收到承包人提交的索赔报告后，应及时审查索赔报告的内容、查验承包人的记录和证明材料，必要时工程师可要求承包人提交全部原始记录副本。</w:t>
      </w:r>
    </w:p>
    <w:p w14:paraId="5A90C938">
      <w:pPr>
        <w:spacing w:line="360" w:lineRule="auto"/>
        <w:ind w:firstLine="600"/>
        <w:rPr>
          <w:rFonts w:ascii="仿宋_GB2312" w:eastAsia="仿宋_GB2312"/>
        </w:rPr>
      </w:pPr>
      <w:r>
        <w:rPr>
          <w:rFonts w:hint="eastAsia" w:ascii="仿宋_GB2312" w:eastAsia="仿宋_GB2312"/>
        </w:rPr>
        <w:t>（2） 工程师应按第</w:t>
      </w:r>
      <w:r>
        <w:rPr>
          <w:rFonts w:ascii="仿宋_GB2312" w:eastAsia="仿宋_GB2312"/>
        </w:rPr>
        <w:t>3.6</w:t>
      </w:r>
      <w:r>
        <w:rPr>
          <w:rFonts w:hint="eastAsia" w:ascii="仿宋_GB2312" w:eastAsia="仿宋_GB2312"/>
        </w:rPr>
        <w:t>款[商定或确定]商定或确定追加的付款和（或）延长的工期，并在收到上述索赔报告或有关索赔的进一步证明材料后及时书面告知发包人，并在42天内，将发包人书面认氢化可的</w:t>
      </w:r>
      <w:r>
        <w:rPr>
          <w:rFonts w:hint="eastAsia" w:ascii="仿宋_GB2312" w:eastAsia="仿宋_GB2312"/>
          <w:lang w:eastAsia="zh-CN"/>
        </w:rPr>
        <w:t>索赔</w:t>
      </w:r>
      <w:r>
        <w:rPr>
          <w:rFonts w:hint="eastAsia" w:ascii="仿宋_GB2312" w:eastAsia="仿宋_GB2312"/>
        </w:rPr>
        <w:t>处理结果答复承包人。工程师在收到索赔报告或有关索赔的进一步证明材料后的42天内不予答复的，视为认可索赔。</w:t>
      </w:r>
    </w:p>
    <w:p w14:paraId="6E534936">
      <w:pPr>
        <w:spacing w:line="360" w:lineRule="auto"/>
        <w:ind w:firstLine="600"/>
        <w:rPr>
          <w:rFonts w:ascii="仿宋_GB2312" w:eastAsia="仿宋_GB2312"/>
        </w:rPr>
      </w:pPr>
      <w:r>
        <w:rPr>
          <w:rFonts w:hint="eastAsia" w:ascii="仿宋_GB2312" w:eastAsia="仿宋_GB2312"/>
        </w:rPr>
        <w:t>（3） 承包人接受索赔处理结果的，发包人应在作出索赔处理结果答复后28天内完成支付。承包人不接受索赔处理结果的，按照第</w:t>
      </w:r>
      <w:r>
        <w:rPr>
          <w:rFonts w:ascii="仿宋_GB2312" w:eastAsia="仿宋_GB2312"/>
        </w:rPr>
        <w:t>20条</w:t>
      </w:r>
      <w:r>
        <w:rPr>
          <w:rFonts w:hint="eastAsia" w:ascii="仿宋_GB2312" w:eastAsia="仿宋_GB2312"/>
        </w:rPr>
        <w:t>[争议解决]约定处理。</w:t>
      </w:r>
    </w:p>
    <w:p w14:paraId="5D54AC7F">
      <w:pPr>
        <w:pStyle w:val="39"/>
        <w:widowControl/>
        <w:spacing w:afterLines="0"/>
        <w:ind w:left="0"/>
        <w:rPr>
          <w:rFonts w:hint="eastAsia"/>
          <w:b w:val="0"/>
          <w:bCs/>
          <w:sz w:val="21"/>
          <w:szCs w:val="21"/>
        </w:rPr>
      </w:pPr>
      <w:bookmarkStart w:id="1748" w:name="_Toc54862323"/>
      <w:bookmarkEnd w:id="1748"/>
      <w:bookmarkStart w:id="1749" w:name="_Toc5301"/>
      <w:bookmarkEnd w:id="1749"/>
      <w:bookmarkStart w:id="1750" w:name="_Toc26504"/>
      <w:bookmarkEnd w:id="1750"/>
      <w:r>
        <w:rPr>
          <w:rFonts w:hint="eastAsia"/>
          <w:b w:val="0"/>
          <w:bCs/>
          <w:sz w:val="21"/>
          <w:szCs w:val="21"/>
        </w:rPr>
        <w:t>19.3 发包人索赔的处理程序</w:t>
      </w:r>
    </w:p>
    <w:p w14:paraId="51B346D0">
      <w:pPr>
        <w:spacing w:line="360" w:lineRule="auto"/>
        <w:ind w:firstLine="600"/>
        <w:rPr>
          <w:rFonts w:ascii="仿宋_GB2312" w:eastAsia="仿宋_GB2312"/>
        </w:rPr>
      </w:pPr>
      <w:r>
        <w:rPr>
          <w:rFonts w:hint="eastAsia" w:ascii="仿宋_GB2312" w:eastAsia="仿宋_GB2312"/>
        </w:rPr>
        <w:t>（1） 承包人收到发包人提交的索赔报告后，应及时审查索赔报告的内容、查验发包人证明材料；</w:t>
      </w:r>
    </w:p>
    <w:p w14:paraId="6F913D05">
      <w:pPr>
        <w:spacing w:line="360" w:lineRule="auto"/>
        <w:ind w:firstLine="600"/>
        <w:rPr>
          <w:rFonts w:ascii="仿宋_GB2312" w:eastAsia="仿宋_GB2312"/>
        </w:rPr>
      </w:pPr>
      <w:r>
        <w:rPr>
          <w:rFonts w:hint="eastAsia" w:ascii="仿宋_GB2312" w:eastAsia="仿宋_GB2312"/>
        </w:rPr>
        <w:t>（2） 承包人应在收到上述索赔报告或有关索赔的进一步证明材料后42天内，将索赔处理结果答复发包人。承包人在收到索赔通知书或有关索赔的进一步证明材料后的42天内不予答复的，视为认可索赔。</w:t>
      </w:r>
    </w:p>
    <w:p w14:paraId="255B50B2">
      <w:pPr>
        <w:spacing w:line="360" w:lineRule="auto"/>
        <w:ind w:firstLine="600"/>
        <w:rPr>
          <w:rFonts w:ascii="仿宋_GB2312" w:eastAsia="仿宋_GB2312"/>
        </w:rPr>
      </w:pPr>
      <w:r>
        <w:rPr>
          <w:rFonts w:hint="eastAsia" w:ascii="仿宋_GB2312" w:eastAsia="仿宋_GB2312"/>
        </w:rPr>
        <w:t>（3） 发包人接受索赔处理结果的，发包人可从应支付给承包人的合同价款中扣除赔付的金额或延长缺陷责任期；发包人不接受索赔处理结果的，按第</w:t>
      </w:r>
      <w:r>
        <w:rPr>
          <w:rFonts w:ascii="仿宋_GB2312" w:eastAsia="仿宋_GB2312"/>
        </w:rPr>
        <w:t>20条</w:t>
      </w:r>
      <w:r>
        <w:rPr>
          <w:rFonts w:hint="eastAsia" w:ascii="仿宋_GB2312" w:eastAsia="仿宋_GB2312"/>
        </w:rPr>
        <w:t>[争议解决]约定处理。</w:t>
      </w:r>
    </w:p>
    <w:p w14:paraId="0BC64A7C">
      <w:pPr>
        <w:pStyle w:val="39"/>
        <w:widowControl/>
        <w:spacing w:afterLines="0"/>
        <w:ind w:left="0"/>
        <w:rPr>
          <w:rFonts w:hint="eastAsia"/>
          <w:b w:val="0"/>
          <w:bCs/>
          <w:sz w:val="21"/>
          <w:szCs w:val="21"/>
        </w:rPr>
      </w:pPr>
      <w:bookmarkStart w:id="1751" w:name="_Toc54862324"/>
      <w:bookmarkEnd w:id="1751"/>
      <w:bookmarkStart w:id="1752" w:name="_Toc10004"/>
      <w:bookmarkEnd w:id="1752"/>
      <w:bookmarkStart w:id="1753" w:name="_Toc17123"/>
      <w:bookmarkEnd w:id="1753"/>
      <w:r>
        <w:rPr>
          <w:rFonts w:hint="eastAsia"/>
          <w:b w:val="0"/>
          <w:bCs/>
          <w:sz w:val="21"/>
          <w:szCs w:val="21"/>
        </w:rPr>
        <w:t>19.4 提出索赔的期限</w:t>
      </w:r>
    </w:p>
    <w:p w14:paraId="41CB7536">
      <w:pPr>
        <w:spacing w:line="360" w:lineRule="auto"/>
        <w:ind w:firstLine="600"/>
        <w:rPr>
          <w:rFonts w:ascii="仿宋_GB2312" w:eastAsia="仿宋_GB2312"/>
        </w:rPr>
      </w:pPr>
      <w:bookmarkStart w:id="1754" w:name="_Ref3826634"/>
      <w:bookmarkStart w:id="1755" w:name="_Ref3826629"/>
      <w:r>
        <w:rPr>
          <w:rFonts w:hint="eastAsia" w:ascii="仿宋_GB2312" w:eastAsia="仿宋_GB2312"/>
        </w:rPr>
        <w:t>（1） 承包人按第</w:t>
      </w:r>
      <w:r>
        <w:rPr>
          <w:rFonts w:ascii="仿宋_GB2312" w:eastAsia="仿宋_GB2312"/>
        </w:rPr>
        <w:t>14.5</w:t>
      </w:r>
      <w:r>
        <w:rPr>
          <w:rFonts w:hint="eastAsia" w:ascii="仿宋_GB2312" w:eastAsia="仿宋_GB2312"/>
        </w:rPr>
        <w:t>款[竣工结算]约定接收竣工付款证书后，应被认为已无权再提出在合同工程接收证书颁发前所发生的任何索赔。</w:t>
      </w:r>
    </w:p>
    <w:bookmarkEnd w:id="1754"/>
    <w:bookmarkEnd w:id="1755"/>
    <w:p w14:paraId="0F394DA7">
      <w:pPr>
        <w:spacing w:line="360" w:lineRule="auto"/>
        <w:ind w:firstLine="600"/>
        <w:rPr>
          <w:rFonts w:ascii="仿宋_GB2312" w:eastAsia="仿宋_GB2312"/>
        </w:rPr>
      </w:pPr>
      <w:r>
        <w:rPr>
          <w:rFonts w:hint="eastAsia" w:ascii="仿宋_GB2312" w:eastAsia="仿宋_GB2312"/>
        </w:rPr>
        <w:t>（2） 承包人按第</w:t>
      </w:r>
      <w:r>
        <w:rPr>
          <w:rFonts w:ascii="仿宋_GB2312" w:eastAsia="仿宋_GB2312"/>
        </w:rPr>
        <w:t>14.7</w:t>
      </w:r>
      <w:r>
        <w:rPr>
          <w:rFonts w:hint="eastAsia" w:ascii="仿宋_GB2312" w:eastAsia="仿宋_GB2312"/>
        </w:rPr>
        <w:t>款[</w:t>
      </w:r>
      <w:r>
        <w:rPr>
          <w:rFonts w:ascii="仿宋_GB2312" w:eastAsia="仿宋_GB2312"/>
        </w:rPr>
        <w:t>最终结清</w:t>
      </w:r>
      <w:r>
        <w:rPr>
          <w:rFonts w:hint="eastAsia" w:ascii="仿宋_GB2312" w:eastAsia="仿宋_GB2312"/>
        </w:rPr>
        <w:t>]提交的最终结清申请单中，只限于提出工程接收证书颁发后发生的索赔。提出索赔的期限均自接受最终结清证书时终止。</w:t>
      </w:r>
    </w:p>
    <w:p w14:paraId="5A4B4CF7">
      <w:pPr>
        <w:pStyle w:val="39"/>
        <w:widowControl/>
        <w:spacing w:afterLines="0"/>
        <w:ind w:left="0"/>
        <w:outlineLvl w:val="1"/>
        <w:rPr>
          <w:rFonts w:hint="eastAsia"/>
          <w:b w:val="0"/>
          <w:bCs/>
          <w:sz w:val="28"/>
          <w:szCs w:val="28"/>
        </w:rPr>
      </w:pPr>
      <w:bookmarkStart w:id="1756" w:name="_Ref532142075"/>
      <w:bookmarkEnd w:id="1756"/>
      <w:bookmarkStart w:id="1757" w:name="_Ref532197861"/>
      <w:bookmarkEnd w:id="1757"/>
      <w:bookmarkStart w:id="1758" w:name="_Toc54862325"/>
      <w:bookmarkEnd w:id="1758"/>
      <w:bookmarkStart w:id="1759" w:name="_Toc9254"/>
      <w:bookmarkEnd w:id="1759"/>
      <w:bookmarkStart w:id="1760" w:name="_Toc9129"/>
      <w:bookmarkEnd w:id="1760"/>
      <w:r>
        <w:rPr>
          <w:rFonts w:hint="eastAsia"/>
          <w:b w:val="0"/>
          <w:bCs/>
          <w:sz w:val="28"/>
          <w:szCs w:val="28"/>
        </w:rPr>
        <w:t>第20条 争议解决</w:t>
      </w:r>
    </w:p>
    <w:p w14:paraId="01B46C97">
      <w:pPr>
        <w:pStyle w:val="39"/>
        <w:widowControl/>
        <w:spacing w:afterLines="0"/>
        <w:ind w:left="0"/>
        <w:rPr>
          <w:rFonts w:hint="eastAsia"/>
          <w:b w:val="0"/>
          <w:bCs/>
          <w:sz w:val="21"/>
          <w:szCs w:val="21"/>
        </w:rPr>
      </w:pPr>
      <w:bookmarkStart w:id="1761" w:name="_Ref415507198"/>
      <w:bookmarkEnd w:id="1761"/>
      <w:bookmarkStart w:id="1762" w:name="_Toc6898"/>
      <w:bookmarkEnd w:id="1762"/>
      <w:bookmarkStart w:id="1763" w:name="_Toc54862326"/>
      <w:bookmarkEnd w:id="1763"/>
      <w:bookmarkStart w:id="1764" w:name="_Toc9192"/>
      <w:bookmarkEnd w:id="1764"/>
      <w:r>
        <w:rPr>
          <w:rFonts w:hint="eastAsia"/>
          <w:b w:val="0"/>
          <w:bCs/>
          <w:sz w:val="21"/>
          <w:szCs w:val="21"/>
        </w:rPr>
        <w:t>20.1 和解</w:t>
      </w:r>
    </w:p>
    <w:p w14:paraId="160FF860">
      <w:pPr>
        <w:spacing w:line="360" w:lineRule="auto"/>
        <w:ind w:firstLine="600"/>
        <w:rPr>
          <w:rFonts w:ascii="仿宋_GB2312" w:eastAsia="仿宋_GB2312"/>
        </w:rPr>
      </w:pPr>
      <w:r>
        <w:rPr>
          <w:rFonts w:hint="eastAsia" w:ascii="仿宋_GB2312" w:eastAsia="仿宋_GB2312"/>
        </w:rPr>
        <w:t>合同当事人可以就争议自行和解，自行和解达成协议的经双方签字并盖章后作为合同补充文件，双方均应遵照执行。</w:t>
      </w:r>
    </w:p>
    <w:p w14:paraId="19A72B3B">
      <w:pPr>
        <w:pStyle w:val="39"/>
        <w:widowControl/>
        <w:spacing w:afterLines="0"/>
        <w:ind w:left="0"/>
        <w:rPr>
          <w:rFonts w:hint="eastAsia"/>
          <w:b w:val="0"/>
          <w:bCs/>
          <w:sz w:val="21"/>
          <w:szCs w:val="21"/>
        </w:rPr>
      </w:pPr>
      <w:bookmarkStart w:id="1765" w:name="_Toc17718"/>
      <w:bookmarkEnd w:id="1765"/>
      <w:bookmarkStart w:id="1766" w:name="_Toc20972"/>
      <w:bookmarkEnd w:id="1766"/>
      <w:bookmarkStart w:id="1767" w:name="_Toc54862327"/>
      <w:bookmarkEnd w:id="1767"/>
      <w:r>
        <w:rPr>
          <w:rFonts w:hint="eastAsia"/>
          <w:b w:val="0"/>
          <w:bCs/>
          <w:sz w:val="21"/>
          <w:szCs w:val="21"/>
        </w:rPr>
        <w:t>20.2 调解</w:t>
      </w:r>
    </w:p>
    <w:p w14:paraId="39F69C1B">
      <w:pPr>
        <w:spacing w:line="360" w:lineRule="auto"/>
        <w:ind w:firstLine="600"/>
        <w:rPr>
          <w:rFonts w:ascii="仿宋_GB2312" w:eastAsia="仿宋_GB2312"/>
        </w:rPr>
      </w:pPr>
      <w:r>
        <w:rPr>
          <w:rFonts w:hint="eastAsia" w:ascii="仿宋_GB2312" w:eastAsia="仿宋_GB2312"/>
        </w:rPr>
        <w:t>合同当事人可以就争议请求建设行政主管部门、行业协会或其他第三方进行调解，调解达成协议的，经双方签字盖章后作为合同补充文件，双方均应遵照执行。</w:t>
      </w:r>
    </w:p>
    <w:p w14:paraId="6DFA8905">
      <w:pPr>
        <w:pStyle w:val="39"/>
        <w:widowControl/>
        <w:spacing w:afterLines="0"/>
        <w:ind w:left="0"/>
        <w:rPr>
          <w:rFonts w:hint="eastAsia"/>
          <w:b w:val="0"/>
          <w:bCs/>
          <w:sz w:val="21"/>
          <w:szCs w:val="21"/>
        </w:rPr>
      </w:pPr>
      <w:bookmarkStart w:id="1768" w:name="_Ref532221527"/>
      <w:bookmarkEnd w:id="1768"/>
      <w:bookmarkStart w:id="1769" w:name="_Toc54862328"/>
      <w:bookmarkEnd w:id="1769"/>
      <w:bookmarkStart w:id="1770" w:name="_Toc27305"/>
      <w:bookmarkEnd w:id="1770"/>
      <w:bookmarkStart w:id="1771" w:name="_Toc7676"/>
      <w:bookmarkEnd w:id="1771"/>
      <w:bookmarkStart w:id="1772" w:name="_Ref532221532"/>
      <w:bookmarkEnd w:id="1772"/>
      <w:r>
        <w:rPr>
          <w:rFonts w:hint="eastAsia"/>
          <w:b w:val="0"/>
          <w:bCs/>
          <w:sz w:val="21"/>
          <w:szCs w:val="21"/>
        </w:rPr>
        <w:t>20.3 争议评审</w:t>
      </w:r>
    </w:p>
    <w:p w14:paraId="2BA940B8">
      <w:pPr>
        <w:spacing w:line="360" w:lineRule="auto"/>
        <w:ind w:firstLine="600"/>
        <w:rPr>
          <w:rFonts w:ascii="仿宋_GB2312" w:eastAsia="仿宋_GB2312"/>
        </w:rPr>
      </w:pPr>
      <w:r>
        <w:rPr>
          <w:rFonts w:hint="eastAsia" w:ascii="仿宋_GB2312" w:eastAsia="仿宋_GB2312"/>
        </w:rPr>
        <w:t>合同当事人在专用合同条件中约定采取争议评审方式及评审规则解决争议的，按下列约定执行：</w:t>
      </w:r>
    </w:p>
    <w:p w14:paraId="47E34322">
      <w:pPr>
        <w:pStyle w:val="40"/>
        <w:spacing w:after="157"/>
        <w:ind w:left="0"/>
        <w:rPr>
          <w:rFonts w:hint="eastAsia" w:ascii="仿宋_GB2312" w:eastAsia="仿宋_GB2312"/>
          <w:sz w:val="21"/>
        </w:rPr>
      </w:pPr>
      <w:r>
        <w:rPr>
          <w:rFonts w:hint="eastAsia" w:ascii="仿宋_GB2312" w:eastAsia="仿宋_GB2312"/>
          <w:sz w:val="21"/>
        </w:rPr>
        <w:t>2</w:t>
      </w:r>
      <w:r>
        <w:rPr>
          <w:rFonts w:ascii="仿宋_GB2312" w:eastAsia="仿宋_GB2312"/>
          <w:sz w:val="21"/>
        </w:rPr>
        <w:t xml:space="preserve">0.3.1 </w:t>
      </w:r>
      <w:r>
        <w:rPr>
          <w:rFonts w:hint="eastAsia" w:ascii="仿宋_GB2312" w:eastAsia="仿宋_GB2312"/>
          <w:sz w:val="21"/>
        </w:rPr>
        <w:t>争议评审小组的确定</w:t>
      </w:r>
    </w:p>
    <w:p w14:paraId="583C03B2">
      <w:pPr>
        <w:spacing w:line="360" w:lineRule="auto"/>
        <w:ind w:firstLine="600"/>
        <w:rPr>
          <w:rFonts w:ascii="仿宋_GB2312" w:eastAsia="仿宋_GB2312"/>
        </w:rPr>
      </w:pPr>
      <w:r>
        <w:rPr>
          <w:rFonts w:hint="eastAsia" w:ascii="仿宋_GB2312" w:eastAsia="仿宋_GB2312"/>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36DB3371">
      <w:pPr>
        <w:spacing w:line="360" w:lineRule="auto"/>
        <w:ind w:firstLine="600"/>
        <w:rPr>
          <w:rFonts w:ascii="仿宋_GB2312" w:eastAsia="仿宋_GB2312"/>
        </w:rPr>
      </w:pPr>
      <w:r>
        <w:rPr>
          <w:rFonts w:hint="eastAsia" w:ascii="仿宋_GB2312" w:eastAsia="仿宋_GB2312"/>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06791EB8">
      <w:pPr>
        <w:spacing w:line="360" w:lineRule="auto"/>
        <w:ind w:firstLine="600"/>
        <w:rPr>
          <w:rFonts w:ascii="仿宋_GB2312" w:eastAsia="仿宋_GB2312"/>
        </w:rPr>
      </w:pPr>
      <w:r>
        <w:rPr>
          <w:rFonts w:hint="eastAsia" w:ascii="仿宋_GB2312" w:eastAsia="仿宋_GB2312"/>
        </w:rPr>
        <w:t>除专用合同条件另有约定外，争议评审员报酬由发包人和承包人各承担一半。</w:t>
      </w:r>
    </w:p>
    <w:p w14:paraId="2A5857F9">
      <w:pPr>
        <w:pStyle w:val="40"/>
        <w:spacing w:after="157"/>
        <w:ind w:left="0"/>
        <w:rPr>
          <w:rFonts w:hint="eastAsia" w:ascii="仿宋_GB2312" w:eastAsia="仿宋_GB2312"/>
          <w:sz w:val="21"/>
        </w:rPr>
      </w:pPr>
      <w:bookmarkStart w:id="1773" w:name="_Ref532287270"/>
      <w:bookmarkEnd w:id="1773"/>
      <w:r>
        <w:rPr>
          <w:rFonts w:hint="eastAsia" w:ascii="仿宋_GB2312" w:eastAsia="仿宋_GB2312"/>
          <w:sz w:val="21"/>
        </w:rPr>
        <w:t>2</w:t>
      </w:r>
      <w:r>
        <w:rPr>
          <w:rFonts w:ascii="仿宋_GB2312" w:eastAsia="仿宋_GB2312"/>
          <w:sz w:val="21"/>
        </w:rPr>
        <w:t xml:space="preserve">0.3.2 </w:t>
      </w:r>
      <w:r>
        <w:rPr>
          <w:rFonts w:hint="eastAsia" w:ascii="仿宋_GB2312" w:eastAsia="仿宋_GB2312"/>
          <w:sz w:val="21"/>
        </w:rPr>
        <w:t>争议的避免</w:t>
      </w:r>
    </w:p>
    <w:p w14:paraId="52364C4D">
      <w:pPr>
        <w:spacing w:line="360" w:lineRule="auto"/>
        <w:ind w:firstLine="600"/>
        <w:rPr>
          <w:rFonts w:ascii="仿宋_GB2312" w:eastAsia="仿宋_GB2312"/>
        </w:rPr>
      </w:pPr>
      <w:r>
        <w:rPr>
          <w:rFonts w:hint="eastAsia" w:ascii="仿宋_GB2312" w:eastAsia="仿宋_GB2312"/>
        </w:rPr>
        <w:t>合同当事人协商一致，可以共同书面请求争议评审小组，就合同履行过程中可能出现争议的情况提供协助或进行非正式讨论，争议评审小组应给出公正的意见或建议。</w:t>
      </w:r>
    </w:p>
    <w:p w14:paraId="397A1E4B">
      <w:pPr>
        <w:spacing w:line="360" w:lineRule="auto"/>
        <w:ind w:firstLine="600"/>
        <w:rPr>
          <w:rFonts w:ascii="仿宋_GB2312" w:eastAsia="仿宋_GB2312"/>
        </w:rPr>
      </w:pPr>
      <w:r>
        <w:rPr>
          <w:rFonts w:hint="eastAsia" w:ascii="仿宋_GB2312" w:eastAsia="仿宋_GB2312"/>
        </w:rPr>
        <w:t>此类协助或非正式讨论可在任何会议、施工现场视察或其他场合进行，并且除专用合同条件另有约定外，发包人和承包人均应出席。</w:t>
      </w:r>
    </w:p>
    <w:p w14:paraId="1E70BB3B">
      <w:pPr>
        <w:spacing w:line="360" w:lineRule="auto"/>
        <w:ind w:firstLine="600"/>
        <w:rPr>
          <w:rFonts w:ascii="仿宋_GB2312" w:eastAsia="仿宋_GB2312"/>
        </w:rPr>
      </w:pPr>
      <w:r>
        <w:rPr>
          <w:rFonts w:hint="eastAsia" w:ascii="仿宋_GB2312" w:eastAsia="仿宋_GB2312"/>
        </w:rPr>
        <w:t>争议评审小组在此类非正式讨论上给出的任何意见或建议，无论是口头还是书面的，对发包人和承包人不具有约束力，争议评审小组在之后的争议评审程序或决定中也不受此类意见或建议的约束。</w:t>
      </w:r>
    </w:p>
    <w:p w14:paraId="5960FA10">
      <w:pPr>
        <w:pStyle w:val="40"/>
        <w:spacing w:after="157"/>
        <w:ind w:left="0"/>
        <w:rPr>
          <w:rFonts w:hint="eastAsia" w:ascii="仿宋_GB2312" w:eastAsia="仿宋_GB2312"/>
          <w:sz w:val="21"/>
        </w:rPr>
      </w:pPr>
      <w:bookmarkStart w:id="1774" w:name="_Ref4695594"/>
      <w:bookmarkEnd w:id="1774"/>
      <w:r>
        <w:rPr>
          <w:rFonts w:hint="eastAsia" w:ascii="仿宋_GB2312" w:eastAsia="仿宋_GB2312"/>
          <w:sz w:val="21"/>
        </w:rPr>
        <w:t>2</w:t>
      </w:r>
      <w:r>
        <w:rPr>
          <w:rFonts w:ascii="仿宋_GB2312" w:eastAsia="仿宋_GB2312"/>
          <w:sz w:val="21"/>
        </w:rPr>
        <w:t xml:space="preserve">0.3.3 </w:t>
      </w:r>
      <w:r>
        <w:rPr>
          <w:rFonts w:hint="eastAsia" w:ascii="仿宋_GB2312" w:eastAsia="仿宋_GB2312"/>
          <w:sz w:val="21"/>
        </w:rPr>
        <w:t>争议评审小组的决定</w:t>
      </w:r>
    </w:p>
    <w:p w14:paraId="0DA87D3D">
      <w:pPr>
        <w:spacing w:line="360" w:lineRule="auto"/>
        <w:ind w:firstLine="600"/>
        <w:rPr>
          <w:rFonts w:ascii="仿宋_GB2312" w:eastAsia="仿宋_GB2312"/>
        </w:rPr>
      </w:pPr>
      <w:r>
        <w:rPr>
          <w:rFonts w:hint="eastAsia" w:ascii="仿宋_GB2312" w:eastAsia="仿宋_GB2312"/>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14:paraId="29120B29">
      <w:pPr>
        <w:pStyle w:val="40"/>
        <w:spacing w:after="157"/>
        <w:ind w:left="0"/>
        <w:rPr>
          <w:rFonts w:hint="eastAsia" w:ascii="仿宋_GB2312" w:eastAsia="仿宋_GB2312"/>
          <w:sz w:val="21"/>
        </w:rPr>
      </w:pPr>
      <w:r>
        <w:rPr>
          <w:rFonts w:hint="eastAsia" w:ascii="仿宋_GB2312" w:eastAsia="仿宋_GB2312"/>
          <w:sz w:val="21"/>
        </w:rPr>
        <w:t>2</w:t>
      </w:r>
      <w:r>
        <w:rPr>
          <w:rFonts w:ascii="仿宋_GB2312" w:eastAsia="仿宋_GB2312"/>
          <w:sz w:val="21"/>
        </w:rPr>
        <w:t xml:space="preserve">0.3.4 </w:t>
      </w:r>
      <w:r>
        <w:rPr>
          <w:rFonts w:hint="eastAsia" w:ascii="仿宋_GB2312" w:eastAsia="仿宋_GB2312"/>
          <w:sz w:val="21"/>
        </w:rPr>
        <w:t>争议评审小组决定的效力</w:t>
      </w:r>
    </w:p>
    <w:p w14:paraId="57C3168B">
      <w:pPr>
        <w:spacing w:line="360" w:lineRule="auto"/>
        <w:ind w:firstLine="600"/>
        <w:rPr>
          <w:rFonts w:ascii="仿宋_GB2312" w:eastAsia="仿宋_GB2312"/>
        </w:rPr>
      </w:pPr>
      <w:r>
        <w:rPr>
          <w:rFonts w:hint="eastAsia" w:ascii="仿宋_GB2312" w:eastAsia="仿宋_GB2312"/>
        </w:rPr>
        <w:t>争议评审小组作出的书面决定经合同当事人签字确认后，对双方具有约束力，双方应遵照执行。</w:t>
      </w:r>
    </w:p>
    <w:p w14:paraId="6ED36B5B">
      <w:pPr>
        <w:spacing w:line="360" w:lineRule="auto"/>
        <w:ind w:firstLine="600"/>
        <w:rPr>
          <w:rFonts w:ascii="仿宋_GB2312" w:eastAsia="仿宋_GB2312"/>
        </w:rPr>
      </w:pPr>
      <w:r>
        <w:rPr>
          <w:rFonts w:hint="eastAsia" w:ascii="仿宋_GB2312" w:eastAsia="仿宋_GB2312"/>
        </w:rPr>
        <w:t>任何一方当事人不接受争议评审小组决定或不履行争议评审小组决定的，双方可以选择采用其他争议解决方式。</w:t>
      </w:r>
    </w:p>
    <w:p w14:paraId="756FBBCF">
      <w:pPr>
        <w:spacing w:line="360" w:lineRule="auto"/>
        <w:ind w:firstLine="600"/>
        <w:rPr>
          <w:rFonts w:ascii="仿宋_GB2312" w:eastAsia="仿宋_GB2312"/>
        </w:rPr>
      </w:pPr>
      <w:r>
        <w:rPr>
          <w:rFonts w:hint="eastAsia" w:ascii="仿宋_GB2312" w:eastAsia="仿宋_GB2312"/>
        </w:rPr>
        <w:t>任何一方当事人不接受争议评审小组的决定，并不影响暂时执行争议评审小组的决定，直到在后续的采用其他争议解决方式中对争议评审小组的决定进行了改变。</w:t>
      </w:r>
    </w:p>
    <w:p w14:paraId="2A9ED398">
      <w:pPr>
        <w:pStyle w:val="39"/>
        <w:widowControl/>
        <w:spacing w:afterLines="0"/>
        <w:ind w:left="0"/>
        <w:rPr>
          <w:rFonts w:hint="eastAsia"/>
          <w:b w:val="0"/>
          <w:bCs/>
          <w:sz w:val="21"/>
          <w:szCs w:val="21"/>
        </w:rPr>
      </w:pPr>
      <w:bookmarkStart w:id="1775" w:name="_Ref532221752"/>
      <w:bookmarkEnd w:id="1775"/>
      <w:bookmarkStart w:id="1776" w:name="_Ref532221748"/>
      <w:bookmarkEnd w:id="1776"/>
      <w:bookmarkStart w:id="1777" w:name="_Toc16968"/>
      <w:bookmarkEnd w:id="1777"/>
      <w:bookmarkStart w:id="1778" w:name="_Toc54862329"/>
      <w:bookmarkEnd w:id="1778"/>
      <w:bookmarkStart w:id="1779" w:name="_Toc27364"/>
      <w:bookmarkEnd w:id="1779"/>
      <w:r>
        <w:rPr>
          <w:rFonts w:hint="eastAsia"/>
          <w:b w:val="0"/>
          <w:bCs/>
          <w:sz w:val="21"/>
          <w:szCs w:val="21"/>
        </w:rPr>
        <w:t>20.4 仲裁或诉讼</w:t>
      </w:r>
    </w:p>
    <w:p w14:paraId="6D3CB012">
      <w:pPr>
        <w:spacing w:line="360" w:lineRule="auto"/>
        <w:ind w:firstLine="600"/>
        <w:rPr>
          <w:rFonts w:ascii="仿宋_GB2312" w:eastAsia="仿宋_GB2312"/>
        </w:rPr>
      </w:pPr>
      <w:r>
        <w:rPr>
          <w:rFonts w:hint="eastAsia" w:ascii="仿宋_GB2312" w:eastAsia="仿宋_GB2312"/>
        </w:rPr>
        <w:t>因合同及合同有关事项产生的争议，合同当事人可以在专用合同条件中约定以下一种方式解决争议：</w:t>
      </w:r>
    </w:p>
    <w:p w14:paraId="36B0CFBF">
      <w:pPr>
        <w:pStyle w:val="42"/>
        <w:spacing w:line="360" w:lineRule="auto"/>
        <w:ind w:left="841"/>
        <w:rPr>
          <w:rFonts w:ascii="仿宋_GB2312" w:eastAsia="仿宋_GB2312"/>
        </w:rPr>
      </w:pPr>
      <w:r>
        <w:rPr>
          <w:rFonts w:hint="eastAsia" w:ascii="仿宋_GB2312" w:eastAsia="仿宋_GB2312"/>
        </w:rPr>
        <w:t>（1） 向约定的仲裁委员会申请仲裁；</w:t>
      </w:r>
    </w:p>
    <w:p w14:paraId="649897EC">
      <w:pPr>
        <w:pStyle w:val="42"/>
        <w:spacing w:line="360" w:lineRule="auto"/>
        <w:ind w:left="841"/>
        <w:rPr>
          <w:rFonts w:ascii="仿宋_GB2312" w:eastAsia="仿宋_GB2312"/>
        </w:rPr>
      </w:pPr>
      <w:r>
        <w:rPr>
          <w:rFonts w:hint="eastAsia" w:ascii="仿宋_GB2312" w:eastAsia="仿宋_GB2312"/>
        </w:rPr>
        <w:t>（2） 向有管辖权的人民法院起诉。</w:t>
      </w:r>
    </w:p>
    <w:p w14:paraId="2290A860">
      <w:pPr>
        <w:pStyle w:val="39"/>
        <w:widowControl/>
        <w:spacing w:afterLines="0"/>
        <w:ind w:left="0"/>
        <w:rPr>
          <w:rFonts w:hint="eastAsia"/>
          <w:b w:val="0"/>
          <w:bCs/>
          <w:sz w:val="21"/>
          <w:szCs w:val="21"/>
        </w:rPr>
      </w:pPr>
      <w:bookmarkStart w:id="1780" w:name="_Toc23424"/>
      <w:bookmarkEnd w:id="1780"/>
      <w:bookmarkStart w:id="1781" w:name="_Toc16525"/>
      <w:bookmarkEnd w:id="1781"/>
      <w:bookmarkStart w:id="1782" w:name="_Toc54862330"/>
      <w:bookmarkEnd w:id="1782"/>
      <w:r>
        <w:rPr>
          <w:rFonts w:hint="eastAsia"/>
          <w:b w:val="0"/>
          <w:bCs/>
          <w:sz w:val="21"/>
          <w:szCs w:val="21"/>
        </w:rPr>
        <w:t>20.5 争议解决条款效力</w:t>
      </w:r>
    </w:p>
    <w:p w14:paraId="0CA09E33">
      <w:pPr>
        <w:spacing w:line="360" w:lineRule="auto"/>
        <w:ind w:firstLine="600"/>
        <w:rPr>
          <w:rFonts w:ascii="仿宋_GB2312" w:eastAsia="仿宋_GB2312"/>
        </w:rPr>
      </w:pPr>
      <w:r>
        <w:rPr>
          <w:rFonts w:hint="eastAsia" w:ascii="仿宋_GB2312" w:eastAsia="仿宋_GB2312"/>
        </w:rPr>
        <w:t>合同有关争议解决的条款独立存在，合同不生效、无效、被撤销或者终止的，不影响合同中有关争议解决条款的效力。</w:t>
      </w:r>
    </w:p>
    <w:p w14:paraId="672E713F">
      <w:pPr>
        <w:pStyle w:val="36"/>
        <w:numPr>
          <w:ilvl w:val="0"/>
          <w:numId w:val="0"/>
        </w:numPr>
        <w:outlineLvl w:val="9"/>
        <w:rPr>
          <w:rFonts w:hint="eastAsia"/>
          <w:b w:val="0"/>
          <w:sz w:val="36"/>
          <w:szCs w:val="36"/>
        </w:rPr>
      </w:pPr>
    </w:p>
    <w:p w14:paraId="7ABD0A60">
      <w:pPr>
        <w:rPr>
          <w:bCs/>
          <w:sz w:val="36"/>
          <w:szCs w:val="36"/>
        </w:rPr>
      </w:pPr>
    </w:p>
    <w:p w14:paraId="3EF5A2C5">
      <w:pPr>
        <w:pStyle w:val="29"/>
        <w:rPr>
          <w:bCs/>
          <w:color w:val="auto"/>
          <w:sz w:val="36"/>
          <w:szCs w:val="36"/>
        </w:rPr>
      </w:pPr>
    </w:p>
    <w:p w14:paraId="5227FB70">
      <w:pPr>
        <w:pStyle w:val="29"/>
        <w:rPr>
          <w:bCs/>
          <w:color w:val="auto"/>
          <w:sz w:val="36"/>
          <w:szCs w:val="36"/>
        </w:rPr>
      </w:pPr>
    </w:p>
    <w:p w14:paraId="190F87A4">
      <w:pPr>
        <w:pStyle w:val="29"/>
        <w:rPr>
          <w:bCs/>
          <w:color w:val="auto"/>
          <w:sz w:val="36"/>
          <w:szCs w:val="36"/>
        </w:rPr>
      </w:pPr>
    </w:p>
    <w:p w14:paraId="48ED574D">
      <w:pPr>
        <w:pStyle w:val="29"/>
        <w:rPr>
          <w:bCs/>
          <w:color w:val="auto"/>
          <w:sz w:val="36"/>
          <w:szCs w:val="36"/>
        </w:rPr>
      </w:pPr>
    </w:p>
    <w:p w14:paraId="66742F28">
      <w:pPr>
        <w:pStyle w:val="29"/>
        <w:rPr>
          <w:bCs/>
          <w:color w:val="auto"/>
          <w:sz w:val="36"/>
          <w:szCs w:val="36"/>
        </w:rPr>
      </w:pPr>
    </w:p>
    <w:p w14:paraId="6978C5A9">
      <w:pPr>
        <w:pStyle w:val="29"/>
        <w:rPr>
          <w:bCs/>
          <w:color w:val="auto"/>
          <w:sz w:val="36"/>
          <w:szCs w:val="36"/>
        </w:rPr>
      </w:pPr>
    </w:p>
    <w:p w14:paraId="799963D1">
      <w:pPr>
        <w:pStyle w:val="29"/>
        <w:rPr>
          <w:bCs/>
          <w:color w:val="auto"/>
          <w:sz w:val="36"/>
          <w:szCs w:val="36"/>
        </w:rPr>
      </w:pPr>
    </w:p>
    <w:p w14:paraId="34956D9D">
      <w:pPr>
        <w:pStyle w:val="29"/>
        <w:rPr>
          <w:bCs/>
          <w:color w:val="auto"/>
          <w:sz w:val="36"/>
          <w:szCs w:val="36"/>
        </w:rPr>
      </w:pPr>
    </w:p>
    <w:p w14:paraId="1C9755BC">
      <w:pPr>
        <w:pStyle w:val="29"/>
        <w:rPr>
          <w:bCs/>
          <w:color w:val="auto"/>
          <w:sz w:val="36"/>
          <w:szCs w:val="36"/>
        </w:rPr>
      </w:pPr>
    </w:p>
    <w:p w14:paraId="28BE004C">
      <w:pPr>
        <w:pStyle w:val="29"/>
        <w:rPr>
          <w:bCs/>
          <w:color w:val="auto"/>
          <w:sz w:val="36"/>
          <w:szCs w:val="36"/>
        </w:rPr>
      </w:pPr>
    </w:p>
    <w:p w14:paraId="56C882DA">
      <w:pPr>
        <w:pStyle w:val="36"/>
        <w:numPr>
          <w:ilvl w:val="0"/>
          <w:numId w:val="7"/>
        </w:numPr>
        <w:jc w:val="center"/>
        <w:rPr>
          <w:rFonts w:hint="eastAsia"/>
          <w:b w:val="0"/>
          <w:sz w:val="36"/>
          <w:szCs w:val="36"/>
        </w:rPr>
      </w:pPr>
      <w:bookmarkStart w:id="1783" w:name="_Toc6740"/>
      <w:bookmarkEnd w:id="1783"/>
      <w:bookmarkStart w:id="1784" w:name="_Toc54862331"/>
      <w:bookmarkEnd w:id="1784"/>
      <w:r>
        <w:rPr>
          <w:rFonts w:hint="eastAsia"/>
          <w:b w:val="0"/>
          <w:sz w:val="36"/>
          <w:szCs w:val="36"/>
        </w:rPr>
        <w:t>专用合同条件</w:t>
      </w:r>
    </w:p>
    <w:p w14:paraId="51D5727E">
      <w:pPr>
        <w:ind w:firstLine="1467" w:firstLineChars="696"/>
      </w:pPr>
      <w:r>
        <w:rPr>
          <w:rFonts w:hint="eastAsia" w:ascii="宋体" w:hAnsi="宋体" w:cs="宋体"/>
          <w:b/>
          <w:bCs/>
        </w:rPr>
        <w:t>说明：专用合同条件中的空白内容，在签订合同时约定。</w:t>
      </w:r>
    </w:p>
    <w:p w14:paraId="5AEE0640">
      <w:pPr>
        <w:pStyle w:val="43"/>
        <w:spacing w:before="0" w:after="0"/>
        <w:jc w:val="left"/>
        <w:outlineLvl w:val="2"/>
        <w:rPr>
          <w:rFonts w:hint="eastAsia" w:ascii="黑体" w:hAnsi="黑体" w:eastAsia="黑体"/>
          <w:b w:val="0"/>
          <w:sz w:val="28"/>
          <w:szCs w:val="28"/>
        </w:rPr>
      </w:pPr>
      <w:bookmarkStart w:id="1785" w:name="_Toc54862332"/>
      <w:bookmarkEnd w:id="1785"/>
      <w:bookmarkStart w:id="1786" w:name="_Toc15613"/>
      <w:bookmarkEnd w:id="1786"/>
      <w:bookmarkStart w:id="1787" w:name="_Toc17766"/>
      <w:bookmarkEnd w:id="1787"/>
      <w:r>
        <w:rPr>
          <w:rFonts w:hint="eastAsia" w:ascii="黑体" w:hAnsi="黑体" w:eastAsia="黑体"/>
          <w:b w:val="0"/>
          <w:sz w:val="28"/>
          <w:szCs w:val="28"/>
        </w:rPr>
        <w:t>第</w:t>
      </w:r>
      <w:r>
        <w:rPr>
          <w:rFonts w:ascii="黑体" w:hAnsi="黑体" w:eastAsia="黑体"/>
          <w:b w:val="0"/>
          <w:sz w:val="28"/>
          <w:szCs w:val="28"/>
        </w:rPr>
        <w:t>1条</w:t>
      </w:r>
      <w:r>
        <w:rPr>
          <w:rFonts w:hint="eastAsia" w:ascii="黑体" w:hAnsi="黑体" w:eastAsia="黑体"/>
          <w:b w:val="0"/>
          <w:sz w:val="28"/>
          <w:szCs w:val="28"/>
        </w:rPr>
        <w:t xml:space="preserve"> 一般约定</w:t>
      </w:r>
    </w:p>
    <w:p w14:paraId="3CA21D10">
      <w:pPr>
        <w:spacing w:line="360" w:lineRule="auto"/>
        <w:ind w:firstLine="600"/>
        <w:outlineLvl w:val="3"/>
        <w:rPr>
          <w:rFonts w:hint="eastAsia" w:ascii="黑体" w:hAnsi="黑体" w:eastAsia="黑体"/>
        </w:rPr>
      </w:pPr>
      <w:r>
        <w:rPr>
          <w:rFonts w:ascii="黑体" w:hAnsi="黑体" w:eastAsia="黑体"/>
        </w:rPr>
        <w:t xml:space="preserve">1.1 </w:t>
      </w:r>
      <w:r>
        <w:rPr>
          <w:rFonts w:hint="eastAsia" w:ascii="黑体" w:hAnsi="黑体" w:eastAsia="黑体"/>
        </w:rPr>
        <w:t>词语定义和解释</w:t>
      </w:r>
    </w:p>
    <w:p w14:paraId="23CD08FF">
      <w:pPr>
        <w:spacing w:line="360" w:lineRule="auto"/>
        <w:ind w:firstLine="600"/>
        <w:outlineLvl w:val="4"/>
        <w:rPr>
          <w:rFonts w:ascii="仿宋_GB2312" w:eastAsia="仿宋_GB2312"/>
        </w:rPr>
      </w:pPr>
      <w:r>
        <w:rPr>
          <w:rFonts w:ascii="仿宋_GB2312" w:eastAsia="仿宋_GB2312"/>
        </w:rPr>
        <w:t xml:space="preserve">1.1.1 </w:t>
      </w:r>
      <w:r>
        <w:rPr>
          <w:rFonts w:hint="eastAsia" w:ascii="仿宋_GB2312" w:eastAsia="仿宋_GB2312"/>
        </w:rPr>
        <w:t>合同</w:t>
      </w:r>
    </w:p>
    <w:p w14:paraId="68C1B994">
      <w:pPr>
        <w:spacing w:line="360" w:lineRule="auto"/>
        <w:ind w:firstLine="600"/>
        <w:rPr>
          <w:rFonts w:ascii="仿宋_GB2312" w:eastAsia="仿宋_GB2312"/>
        </w:rPr>
      </w:pPr>
      <w:r>
        <w:rPr>
          <w:rFonts w:ascii="仿宋_GB2312" w:eastAsia="仿宋_GB2312"/>
        </w:rPr>
        <w:t xml:space="preserve">1.1.1.10 </w:t>
      </w:r>
      <w:r>
        <w:rPr>
          <w:rFonts w:hint="eastAsia" w:ascii="仿宋_GB2312" w:eastAsia="仿宋_GB2312"/>
        </w:rPr>
        <w:t>其他合同文件：</w:t>
      </w:r>
    </w:p>
    <w:p w14:paraId="56652C0D">
      <w:pPr>
        <w:spacing w:line="360" w:lineRule="auto"/>
        <w:ind w:firstLine="600"/>
        <w:outlineLvl w:val="4"/>
        <w:rPr>
          <w:rFonts w:ascii="仿宋_GB2312" w:eastAsia="仿宋_GB2312"/>
        </w:rPr>
      </w:pPr>
      <w:r>
        <w:rPr>
          <w:rFonts w:ascii="仿宋_GB2312" w:eastAsia="仿宋_GB2312"/>
        </w:rPr>
        <w:t xml:space="preserve">1.1.3 </w:t>
      </w:r>
      <w:r>
        <w:rPr>
          <w:rFonts w:hint="eastAsia" w:ascii="仿宋_GB2312" w:eastAsia="仿宋_GB2312"/>
        </w:rPr>
        <w:t>工程和设备</w:t>
      </w:r>
    </w:p>
    <w:p w14:paraId="2D9F5A44">
      <w:pPr>
        <w:spacing w:line="360" w:lineRule="auto"/>
        <w:ind w:firstLine="600"/>
        <w:rPr>
          <w:rFonts w:ascii="仿宋_GB2312" w:eastAsia="仿宋_GB2312"/>
        </w:rPr>
      </w:pPr>
      <w:r>
        <w:rPr>
          <w:rFonts w:ascii="仿宋_GB2312" w:eastAsia="仿宋_GB2312"/>
        </w:rPr>
        <w:t xml:space="preserve">1.1.3.5 </w:t>
      </w:r>
      <w:r>
        <w:rPr>
          <w:rFonts w:hint="eastAsia" w:ascii="仿宋_GB2312" w:eastAsia="仿宋_GB2312"/>
        </w:rPr>
        <w:t>单位/区段工程的范围：</w:t>
      </w:r>
    </w:p>
    <w:p w14:paraId="0245F4B1">
      <w:pPr>
        <w:spacing w:line="360" w:lineRule="auto"/>
        <w:ind w:firstLine="600"/>
        <w:rPr>
          <w:rFonts w:ascii="仿宋_GB2312" w:eastAsia="仿宋_GB2312"/>
        </w:rPr>
      </w:pPr>
      <w:r>
        <w:rPr>
          <w:rFonts w:ascii="仿宋_GB2312" w:eastAsia="仿宋_GB2312"/>
        </w:rPr>
        <w:t xml:space="preserve">1.1.3.9 </w:t>
      </w:r>
      <w:r>
        <w:rPr>
          <w:rFonts w:hint="eastAsia" w:ascii="仿宋_GB2312" w:eastAsia="仿宋_GB2312"/>
        </w:rPr>
        <w:t>作为施工场所组成部分的其他场所包括：</w:t>
      </w:r>
    </w:p>
    <w:p w14:paraId="28BB5C4B">
      <w:pPr>
        <w:spacing w:line="360" w:lineRule="auto"/>
        <w:ind w:firstLine="600"/>
        <w:rPr>
          <w:rFonts w:ascii="仿宋_GB2312" w:eastAsia="仿宋_GB2312"/>
        </w:rPr>
      </w:pPr>
      <w:r>
        <w:rPr>
          <w:rFonts w:ascii="仿宋_GB2312" w:eastAsia="仿宋_GB2312"/>
        </w:rPr>
        <w:t xml:space="preserve">1.1.3.10 </w:t>
      </w:r>
      <w:r>
        <w:rPr>
          <w:rFonts w:hint="eastAsia" w:ascii="仿宋_GB2312" w:eastAsia="仿宋_GB2312"/>
        </w:rPr>
        <w:t>永久占地包括：</w:t>
      </w:r>
    </w:p>
    <w:p w14:paraId="7EF3CE17">
      <w:pPr>
        <w:spacing w:line="360" w:lineRule="auto"/>
        <w:ind w:firstLine="600"/>
        <w:rPr>
          <w:rFonts w:ascii="仿宋_GB2312" w:eastAsia="仿宋_GB2312"/>
        </w:rPr>
      </w:pPr>
      <w:r>
        <w:rPr>
          <w:rFonts w:ascii="仿宋_GB2312" w:eastAsia="仿宋_GB2312"/>
        </w:rPr>
        <w:t xml:space="preserve">1.1.3.11 </w:t>
      </w:r>
      <w:r>
        <w:rPr>
          <w:rFonts w:hint="eastAsia" w:ascii="仿宋_GB2312" w:eastAsia="仿宋_GB2312"/>
        </w:rPr>
        <w:t>临时占地包括：</w:t>
      </w:r>
    </w:p>
    <w:p w14:paraId="1BC7B55D">
      <w:pPr>
        <w:spacing w:line="360" w:lineRule="auto"/>
        <w:ind w:firstLine="600"/>
        <w:outlineLvl w:val="3"/>
        <w:rPr>
          <w:rFonts w:hint="eastAsia" w:ascii="黑体" w:hAnsi="黑体" w:eastAsia="黑体"/>
        </w:rPr>
      </w:pPr>
      <w:r>
        <w:rPr>
          <w:rFonts w:ascii="黑体" w:hAnsi="黑体" w:eastAsia="黑体"/>
        </w:rPr>
        <w:t xml:space="preserve">1.2 </w:t>
      </w:r>
      <w:r>
        <w:rPr>
          <w:rFonts w:hint="eastAsia" w:ascii="黑体" w:hAnsi="黑体" w:eastAsia="黑体"/>
        </w:rPr>
        <w:t>语言文字</w:t>
      </w:r>
    </w:p>
    <w:p w14:paraId="47721FF2">
      <w:pPr>
        <w:spacing w:line="360" w:lineRule="auto"/>
        <w:ind w:firstLine="600"/>
        <w:rPr>
          <w:rFonts w:ascii="仿宋_GB2312" w:eastAsia="仿宋_GB2312"/>
        </w:rPr>
      </w:pPr>
      <w:r>
        <w:rPr>
          <w:rFonts w:hint="eastAsia" w:ascii="仿宋_GB2312" w:eastAsia="仿宋_GB2312"/>
        </w:rPr>
        <w:t>本合同除使用汉语外，还使用语言。</w:t>
      </w:r>
    </w:p>
    <w:p w14:paraId="03C2C71E">
      <w:pPr>
        <w:spacing w:line="360" w:lineRule="auto"/>
        <w:ind w:firstLine="600"/>
        <w:outlineLvl w:val="3"/>
        <w:rPr>
          <w:rFonts w:hint="eastAsia" w:ascii="黑体" w:hAnsi="黑体" w:eastAsia="黑体"/>
        </w:rPr>
      </w:pPr>
      <w:r>
        <w:rPr>
          <w:rFonts w:ascii="黑体" w:hAnsi="黑体" w:eastAsia="黑体"/>
        </w:rPr>
        <w:t xml:space="preserve">1.3 </w:t>
      </w:r>
      <w:r>
        <w:rPr>
          <w:rFonts w:hint="eastAsia" w:ascii="黑体" w:hAnsi="黑体" w:eastAsia="黑体"/>
        </w:rPr>
        <w:t>法律</w:t>
      </w:r>
    </w:p>
    <w:p w14:paraId="3A208B01">
      <w:pPr>
        <w:spacing w:line="360" w:lineRule="auto"/>
        <w:ind w:firstLine="600"/>
        <w:rPr>
          <w:rFonts w:ascii="仿宋_GB2312" w:eastAsia="仿宋_GB2312"/>
        </w:rPr>
      </w:pPr>
      <w:r>
        <w:rPr>
          <w:rFonts w:hint="eastAsia" w:ascii="仿宋_GB2312" w:eastAsia="仿宋_GB2312"/>
        </w:rPr>
        <w:t>适用于合同的其他规范性文件：</w:t>
      </w:r>
    </w:p>
    <w:p w14:paraId="753919B0">
      <w:pPr>
        <w:spacing w:line="360" w:lineRule="auto"/>
        <w:ind w:firstLine="600"/>
        <w:outlineLvl w:val="3"/>
        <w:rPr>
          <w:rFonts w:hint="eastAsia" w:ascii="黑体" w:hAnsi="黑体" w:eastAsia="黑体"/>
        </w:rPr>
      </w:pPr>
      <w:r>
        <w:rPr>
          <w:rFonts w:ascii="黑体" w:hAnsi="黑体" w:eastAsia="黑体"/>
        </w:rPr>
        <w:t xml:space="preserve">1.4 </w:t>
      </w:r>
      <w:r>
        <w:rPr>
          <w:rFonts w:hint="eastAsia" w:ascii="黑体" w:hAnsi="黑体" w:eastAsia="黑体"/>
        </w:rPr>
        <w:t>标准和规范</w:t>
      </w:r>
    </w:p>
    <w:p w14:paraId="2CCDD5AC">
      <w:pPr>
        <w:spacing w:line="360" w:lineRule="auto"/>
        <w:ind w:firstLine="600"/>
        <w:outlineLvl w:val="4"/>
        <w:rPr>
          <w:rFonts w:ascii="仿宋_GB2312" w:eastAsia="仿宋_GB2312"/>
        </w:rPr>
      </w:pPr>
      <w:r>
        <w:rPr>
          <w:rFonts w:ascii="仿宋_GB2312" w:eastAsia="仿宋_GB2312"/>
        </w:rPr>
        <w:t xml:space="preserve">1.4.1 </w:t>
      </w:r>
      <w:r>
        <w:rPr>
          <w:rFonts w:hint="eastAsia" w:ascii="仿宋_GB2312" w:eastAsia="仿宋_GB2312"/>
        </w:rPr>
        <w:t>适用于本合同的标准、规范（名称）包括：</w:t>
      </w:r>
    </w:p>
    <w:p w14:paraId="2126D738">
      <w:pPr>
        <w:spacing w:line="360" w:lineRule="auto"/>
        <w:ind w:firstLine="600"/>
        <w:rPr>
          <w:rFonts w:ascii="仿宋_GB2312" w:eastAsia="仿宋_GB2312"/>
        </w:rPr>
      </w:pPr>
      <w:r>
        <w:rPr>
          <w:rFonts w:ascii="仿宋_GB2312" w:eastAsia="仿宋_GB2312"/>
        </w:rPr>
        <w:t xml:space="preserve">1.4.2 </w:t>
      </w:r>
      <w:r>
        <w:rPr>
          <w:rFonts w:hint="eastAsia" w:ascii="仿宋_GB2312" w:eastAsia="仿宋_GB2312"/>
        </w:rPr>
        <w:t>发包人提供的国外标准、规范的名称：发包人提供的国外标准、规范的份数：发包人提供的国外标准、规范的时间：</w:t>
      </w:r>
    </w:p>
    <w:p w14:paraId="092F27EB">
      <w:pPr>
        <w:spacing w:line="360" w:lineRule="auto"/>
        <w:ind w:firstLine="600"/>
        <w:rPr>
          <w:rFonts w:ascii="仿宋_GB2312" w:eastAsia="仿宋_GB2312"/>
        </w:rPr>
      </w:pPr>
      <w:r>
        <w:rPr>
          <w:rFonts w:ascii="仿宋_GB2312" w:eastAsia="仿宋_GB2312"/>
        </w:rPr>
        <w:t xml:space="preserve">1.4.3 </w:t>
      </w:r>
      <w:r>
        <w:rPr>
          <w:rFonts w:hint="eastAsia" w:ascii="仿宋_GB2312" w:eastAsia="仿宋_GB2312"/>
        </w:rPr>
        <w:t>没有成文规范、标准规定的约定：</w:t>
      </w:r>
    </w:p>
    <w:p w14:paraId="057BE84E">
      <w:pPr>
        <w:spacing w:line="360" w:lineRule="auto"/>
        <w:ind w:firstLine="600"/>
        <w:rPr>
          <w:rFonts w:ascii="仿宋_GB2312" w:eastAsia="仿宋_GB2312"/>
        </w:rPr>
      </w:pPr>
      <w:r>
        <w:rPr>
          <w:rFonts w:ascii="仿宋_GB2312" w:eastAsia="仿宋_GB2312"/>
        </w:rPr>
        <w:t xml:space="preserve">1.4.4 </w:t>
      </w:r>
      <w:r>
        <w:rPr>
          <w:rFonts w:hint="eastAsia" w:ascii="仿宋_GB2312" w:eastAsia="仿宋_GB2312"/>
        </w:rPr>
        <w:t>发包人对工程的技术标准、功能要求：</w:t>
      </w:r>
    </w:p>
    <w:p w14:paraId="2CA4D974">
      <w:pPr>
        <w:spacing w:line="360" w:lineRule="auto"/>
        <w:ind w:firstLine="600"/>
        <w:outlineLvl w:val="3"/>
        <w:rPr>
          <w:rFonts w:hint="eastAsia" w:ascii="黑体" w:hAnsi="黑体" w:eastAsia="黑体"/>
        </w:rPr>
      </w:pPr>
      <w:r>
        <w:rPr>
          <w:rFonts w:ascii="黑体" w:hAnsi="黑体" w:eastAsia="黑体"/>
        </w:rPr>
        <w:t xml:space="preserve">1.5 </w:t>
      </w:r>
      <w:r>
        <w:rPr>
          <w:rFonts w:hint="eastAsia" w:ascii="黑体" w:hAnsi="黑体" w:eastAsia="黑体"/>
        </w:rPr>
        <w:t>合同文件的优先顺序</w:t>
      </w:r>
    </w:p>
    <w:p w14:paraId="7C53FBF7">
      <w:pPr>
        <w:spacing w:line="360" w:lineRule="auto"/>
        <w:ind w:firstLine="600"/>
        <w:rPr>
          <w:rFonts w:ascii="仿宋_GB2312" w:eastAsia="仿宋_GB2312"/>
        </w:rPr>
      </w:pPr>
      <w:r>
        <w:rPr>
          <w:rFonts w:hint="eastAsia" w:ascii="仿宋_GB2312" w:eastAsia="仿宋_GB2312"/>
        </w:rPr>
        <w:t>合同文件组成及优先顺序为：</w:t>
      </w:r>
    </w:p>
    <w:p w14:paraId="7D0F6A10">
      <w:pPr>
        <w:spacing w:line="360" w:lineRule="auto"/>
        <w:ind w:firstLine="600"/>
        <w:outlineLvl w:val="3"/>
        <w:rPr>
          <w:rFonts w:hint="eastAsia" w:ascii="黑体" w:hAnsi="黑体" w:eastAsia="黑体"/>
        </w:rPr>
      </w:pPr>
      <w:r>
        <w:rPr>
          <w:rFonts w:ascii="黑体" w:hAnsi="黑体" w:eastAsia="黑体"/>
        </w:rPr>
        <w:t xml:space="preserve">1.6 </w:t>
      </w:r>
      <w:r>
        <w:rPr>
          <w:rFonts w:hint="eastAsia" w:ascii="黑体" w:hAnsi="黑体" w:eastAsia="黑体"/>
        </w:rPr>
        <w:t>文件的提供和照管</w:t>
      </w:r>
    </w:p>
    <w:p w14:paraId="3F284EAC">
      <w:pPr>
        <w:spacing w:line="360" w:lineRule="auto"/>
        <w:ind w:firstLine="600"/>
        <w:outlineLvl w:val="4"/>
        <w:rPr>
          <w:rFonts w:ascii="仿宋_GB2312" w:eastAsia="仿宋_GB2312"/>
        </w:rPr>
      </w:pPr>
      <w:r>
        <w:rPr>
          <w:rFonts w:ascii="仿宋_GB2312" w:eastAsia="仿宋_GB2312"/>
        </w:rPr>
        <w:t xml:space="preserve">1.6.1 </w:t>
      </w:r>
      <w:r>
        <w:rPr>
          <w:rFonts w:hint="eastAsia" w:ascii="仿宋_GB2312" w:eastAsia="仿宋_GB2312"/>
        </w:rPr>
        <w:t>发包人文件的提供</w:t>
      </w:r>
    </w:p>
    <w:p w14:paraId="5668F3A1">
      <w:pPr>
        <w:spacing w:line="360" w:lineRule="auto"/>
        <w:ind w:firstLine="600"/>
        <w:rPr>
          <w:rFonts w:ascii="仿宋_GB2312" w:eastAsia="仿宋_GB2312"/>
        </w:rPr>
      </w:pPr>
      <w:r>
        <w:rPr>
          <w:rFonts w:hint="eastAsia" w:ascii="仿宋_GB2312" w:eastAsia="仿宋_GB2312"/>
        </w:rPr>
        <w:t>发包人文件的提供期限、名称、数量和形式：</w:t>
      </w:r>
    </w:p>
    <w:p w14:paraId="3E3558FC">
      <w:pPr>
        <w:spacing w:line="360" w:lineRule="auto"/>
        <w:ind w:firstLine="600"/>
        <w:outlineLvl w:val="4"/>
        <w:rPr>
          <w:rFonts w:ascii="仿宋_GB2312" w:eastAsia="仿宋_GB2312"/>
        </w:rPr>
      </w:pPr>
      <w:r>
        <w:rPr>
          <w:rFonts w:ascii="仿宋_GB2312" w:eastAsia="仿宋_GB2312"/>
        </w:rPr>
        <w:t xml:space="preserve">1.6.2 </w:t>
      </w:r>
      <w:r>
        <w:rPr>
          <w:rFonts w:hint="eastAsia" w:ascii="仿宋_GB2312" w:eastAsia="仿宋_GB2312"/>
        </w:rPr>
        <w:t>承包人文件的提供</w:t>
      </w:r>
    </w:p>
    <w:p w14:paraId="4704AB46">
      <w:pPr>
        <w:spacing w:line="360" w:lineRule="auto"/>
        <w:ind w:firstLine="600"/>
        <w:rPr>
          <w:rFonts w:ascii="仿宋_GB2312" w:eastAsia="仿宋_GB2312"/>
        </w:rPr>
      </w:pPr>
      <w:r>
        <w:rPr>
          <w:rFonts w:hint="eastAsia" w:ascii="仿宋_GB2312" w:eastAsia="仿宋_GB2312"/>
        </w:rPr>
        <w:t>承包人文件的内容、提供期限、名称、数量和形式：</w:t>
      </w:r>
    </w:p>
    <w:p w14:paraId="3CE24235">
      <w:pPr>
        <w:spacing w:line="360" w:lineRule="auto"/>
        <w:ind w:firstLine="600"/>
        <w:outlineLvl w:val="4"/>
        <w:rPr>
          <w:rFonts w:ascii="仿宋_GB2312" w:eastAsia="仿宋_GB2312"/>
        </w:rPr>
      </w:pPr>
      <w:r>
        <w:rPr>
          <w:rFonts w:ascii="仿宋_GB2312" w:eastAsia="仿宋_GB2312"/>
        </w:rPr>
        <w:t xml:space="preserve">1.6.4 </w:t>
      </w:r>
      <w:r>
        <w:rPr>
          <w:rFonts w:hint="eastAsia" w:ascii="仿宋_GB2312" w:eastAsia="仿宋_GB2312"/>
        </w:rPr>
        <w:t>文件的照管</w:t>
      </w:r>
    </w:p>
    <w:p w14:paraId="3FB82F95">
      <w:pPr>
        <w:spacing w:line="360" w:lineRule="auto"/>
        <w:ind w:firstLine="600"/>
        <w:rPr>
          <w:rFonts w:ascii="仿宋_GB2312" w:eastAsia="仿宋_GB2312"/>
        </w:rPr>
      </w:pPr>
      <w:r>
        <w:rPr>
          <w:rFonts w:hint="eastAsia" w:ascii="仿宋_GB2312" w:eastAsia="仿宋_GB2312"/>
        </w:rPr>
        <w:t>关于现场文件准备的约定：</w:t>
      </w:r>
    </w:p>
    <w:p w14:paraId="15997137">
      <w:pPr>
        <w:spacing w:line="360" w:lineRule="auto"/>
        <w:ind w:firstLine="600"/>
        <w:outlineLvl w:val="3"/>
        <w:rPr>
          <w:rFonts w:hint="eastAsia" w:ascii="黑体" w:hAnsi="黑体" w:eastAsia="黑体"/>
        </w:rPr>
      </w:pPr>
      <w:r>
        <w:rPr>
          <w:rFonts w:ascii="黑体" w:hAnsi="黑体" w:eastAsia="黑体"/>
        </w:rPr>
        <w:t xml:space="preserve">1.7 </w:t>
      </w:r>
      <w:r>
        <w:rPr>
          <w:rFonts w:hint="eastAsia" w:ascii="黑体" w:hAnsi="黑体" w:eastAsia="黑体"/>
        </w:rPr>
        <w:t>联络</w:t>
      </w:r>
    </w:p>
    <w:p w14:paraId="48D2CE5B">
      <w:pPr>
        <w:spacing w:line="360" w:lineRule="auto"/>
        <w:ind w:firstLine="600"/>
        <w:outlineLvl w:val="4"/>
        <w:rPr>
          <w:rFonts w:ascii="仿宋_GB2312" w:eastAsia="仿宋_GB2312"/>
        </w:rPr>
      </w:pPr>
      <w:r>
        <w:rPr>
          <w:rFonts w:ascii="仿宋_GB2312" w:eastAsia="仿宋_GB2312"/>
        </w:rPr>
        <w:t xml:space="preserve">1.7.2 </w:t>
      </w:r>
      <w:r>
        <w:rPr>
          <w:rFonts w:hint="eastAsia" w:ascii="仿宋_GB2312" w:eastAsia="仿宋_GB2312"/>
        </w:rPr>
        <w:t>发包人指定的送达方式（包括电子传输方式）：</w:t>
      </w:r>
    </w:p>
    <w:p w14:paraId="335AA3CE">
      <w:pPr>
        <w:spacing w:line="360" w:lineRule="auto"/>
        <w:ind w:firstLine="600"/>
        <w:rPr>
          <w:rFonts w:ascii="仿宋_GB2312" w:eastAsia="仿宋_GB2312"/>
        </w:rPr>
      </w:pPr>
      <w:r>
        <w:rPr>
          <w:rFonts w:hint="eastAsia" w:ascii="仿宋_GB2312" w:eastAsia="仿宋_GB2312"/>
        </w:rPr>
        <w:t>发包人的送达地址：</w:t>
      </w:r>
    </w:p>
    <w:p w14:paraId="62C27BA5">
      <w:pPr>
        <w:spacing w:line="360" w:lineRule="auto"/>
        <w:ind w:firstLine="600"/>
        <w:rPr>
          <w:rFonts w:ascii="仿宋_GB2312" w:eastAsia="仿宋_GB2312"/>
        </w:rPr>
      </w:pPr>
      <w:r>
        <w:rPr>
          <w:rFonts w:hint="eastAsia" w:ascii="仿宋_GB2312" w:eastAsia="仿宋_GB2312"/>
        </w:rPr>
        <w:t>承包人指定的送达方式（包括电子传输方式）： 。</w:t>
      </w:r>
    </w:p>
    <w:p w14:paraId="68369BBF">
      <w:pPr>
        <w:spacing w:line="360" w:lineRule="auto"/>
        <w:ind w:firstLine="600"/>
        <w:rPr>
          <w:rFonts w:ascii="仿宋_GB2312" w:eastAsia="仿宋_GB2312"/>
        </w:rPr>
      </w:pPr>
      <w:r>
        <w:rPr>
          <w:rFonts w:hint="eastAsia" w:ascii="仿宋_GB2312" w:eastAsia="仿宋_GB2312"/>
        </w:rPr>
        <w:t>承包人的送达地址：</w:t>
      </w:r>
    </w:p>
    <w:p w14:paraId="40116061">
      <w:pPr>
        <w:spacing w:line="360" w:lineRule="auto"/>
        <w:ind w:firstLine="600"/>
        <w:outlineLvl w:val="3"/>
        <w:rPr>
          <w:rFonts w:hint="eastAsia" w:ascii="黑体" w:hAnsi="黑体" w:eastAsia="黑体"/>
        </w:rPr>
      </w:pPr>
      <w:r>
        <w:rPr>
          <w:rFonts w:ascii="黑体" w:hAnsi="黑体" w:eastAsia="黑体"/>
        </w:rPr>
        <w:t xml:space="preserve">1.10 </w:t>
      </w:r>
      <w:r>
        <w:rPr>
          <w:rFonts w:hint="eastAsia" w:ascii="黑体" w:hAnsi="黑体" w:eastAsia="黑体"/>
        </w:rPr>
        <w:t>知识产权</w:t>
      </w:r>
    </w:p>
    <w:p w14:paraId="2E3C4F6F">
      <w:pPr>
        <w:spacing w:line="360" w:lineRule="auto"/>
        <w:ind w:firstLine="600"/>
        <w:rPr>
          <w:rFonts w:ascii="仿宋_GB2312" w:eastAsia="仿宋_GB2312"/>
        </w:rPr>
      </w:pPr>
      <w:r>
        <w:rPr>
          <w:rFonts w:ascii="仿宋_GB2312" w:eastAsia="仿宋_GB2312"/>
        </w:rPr>
        <w:t xml:space="preserve">1.10.1 </w:t>
      </w:r>
      <w:r>
        <w:rPr>
          <w:rFonts w:hint="eastAsia" w:ascii="仿宋_GB2312" w:eastAsia="仿宋_GB2312"/>
        </w:rPr>
        <w:t>由发包人（或以发包人名义）编制的《发包人要求》和其他文件的著作权归属：</w:t>
      </w:r>
    </w:p>
    <w:p w14:paraId="6555A0FD">
      <w:pPr>
        <w:spacing w:line="360" w:lineRule="auto"/>
        <w:ind w:firstLine="600"/>
        <w:rPr>
          <w:rFonts w:ascii="仿宋_GB2312" w:eastAsia="仿宋_GB2312"/>
        </w:rPr>
      </w:pPr>
      <w:r>
        <w:rPr>
          <w:rFonts w:ascii="仿宋_GB2312" w:eastAsia="仿宋_GB2312"/>
        </w:rPr>
        <w:t xml:space="preserve">1.10.2 </w:t>
      </w:r>
      <w:r>
        <w:rPr>
          <w:rFonts w:hint="eastAsia" w:ascii="仿宋_GB2312" w:eastAsia="仿宋_GB2312"/>
        </w:rPr>
        <w:t>由承包人（或以承包人名义）为实施工程所编制的文件、承包人完成的设计工作成果和建造完成的建筑物的知识产权归属：</w:t>
      </w:r>
    </w:p>
    <w:p w14:paraId="0E53BB9C">
      <w:pPr>
        <w:spacing w:line="360" w:lineRule="auto"/>
        <w:ind w:firstLine="600"/>
        <w:rPr>
          <w:rFonts w:ascii="仿宋_GB2312" w:eastAsia="仿宋_GB2312"/>
        </w:rPr>
      </w:pPr>
      <w:r>
        <w:rPr>
          <w:rFonts w:ascii="仿宋_GB2312" w:eastAsia="仿宋_GB2312"/>
        </w:rPr>
        <w:t xml:space="preserve">1.10.4 </w:t>
      </w:r>
      <w:r>
        <w:rPr>
          <w:rFonts w:hint="eastAsia" w:ascii="仿宋_GB2312" w:eastAsia="仿宋_GB2312"/>
        </w:rPr>
        <w:t>承包人在投标文件中采用的专利、专有技术、技术秘密的使用费的承担方式。</w:t>
      </w:r>
    </w:p>
    <w:p w14:paraId="7CDBC53D">
      <w:pPr>
        <w:spacing w:line="360" w:lineRule="auto"/>
        <w:ind w:firstLine="600"/>
        <w:outlineLvl w:val="3"/>
        <w:rPr>
          <w:rFonts w:hint="eastAsia" w:ascii="黑体" w:hAnsi="黑体" w:eastAsia="黑体"/>
        </w:rPr>
      </w:pPr>
      <w:r>
        <w:rPr>
          <w:rFonts w:ascii="黑体" w:hAnsi="黑体" w:eastAsia="黑体"/>
        </w:rPr>
        <w:t xml:space="preserve">1.11 </w:t>
      </w:r>
      <w:r>
        <w:rPr>
          <w:rFonts w:hint="eastAsia" w:ascii="黑体" w:hAnsi="黑体" w:eastAsia="黑体"/>
        </w:rPr>
        <w:t>保密</w:t>
      </w:r>
    </w:p>
    <w:p w14:paraId="739CCD2E">
      <w:pPr>
        <w:spacing w:line="360" w:lineRule="auto"/>
        <w:ind w:firstLine="600"/>
        <w:rPr>
          <w:rFonts w:ascii="仿宋_GB2312" w:eastAsia="仿宋_GB2312"/>
        </w:rPr>
      </w:pPr>
      <w:r>
        <w:rPr>
          <w:rFonts w:hint="eastAsia" w:ascii="仿宋_GB2312" w:eastAsia="仿宋_GB2312"/>
        </w:rPr>
        <w:t>双方订立的商业保密协议（名称）：作为本合同附件。</w:t>
      </w:r>
    </w:p>
    <w:p w14:paraId="2AB74349">
      <w:pPr>
        <w:spacing w:line="360" w:lineRule="auto"/>
        <w:ind w:firstLine="600"/>
        <w:rPr>
          <w:rFonts w:ascii="仿宋_GB2312" w:eastAsia="仿宋_GB2312"/>
        </w:rPr>
      </w:pPr>
      <w:r>
        <w:rPr>
          <w:rFonts w:hint="eastAsia" w:ascii="仿宋_GB2312" w:eastAsia="仿宋_GB2312"/>
        </w:rPr>
        <w:t>双方订立的技术保密协议（名称）：作为本合同附件。</w:t>
      </w:r>
    </w:p>
    <w:p w14:paraId="20923793">
      <w:pPr>
        <w:spacing w:line="360" w:lineRule="auto"/>
        <w:ind w:firstLine="600"/>
        <w:outlineLvl w:val="3"/>
        <w:rPr>
          <w:rFonts w:hint="eastAsia" w:ascii="黑体" w:hAnsi="黑体" w:eastAsia="黑体"/>
        </w:rPr>
      </w:pPr>
      <w:r>
        <w:rPr>
          <w:rFonts w:ascii="黑体" w:hAnsi="黑体" w:eastAsia="黑体"/>
        </w:rPr>
        <w:t xml:space="preserve">1.13 </w:t>
      </w:r>
      <w:r>
        <w:rPr>
          <w:rFonts w:hint="eastAsia" w:ascii="黑体" w:hAnsi="黑体" w:eastAsia="黑体"/>
        </w:rPr>
        <w:t>责任限制</w:t>
      </w:r>
    </w:p>
    <w:p w14:paraId="7E44C713">
      <w:pPr>
        <w:spacing w:line="360" w:lineRule="auto"/>
        <w:ind w:firstLine="600"/>
        <w:rPr>
          <w:rFonts w:ascii="仿宋_GB2312" w:eastAsia="仿宋_GB2312"/>
        </w:rPr>
      </w:pPr>
      <w:r>
        <w:rPr>
          <w:rFonts w:hint="eastAsia" w:ascii="仿宋_GB2312" w:eastAsia="仿宋_GB2312"/>
        </w:rPr>
        <w:t>承包人对发包人赔偿责任的最高限额为。</w:t>
      </w:r>
    </w:p>
    <w:p w14:paraId="6ADE6097">
      <w:pPr>
        <w:spacing w:line="360" w:lineRule="auto"/>
        <w:ind w:firstLine="600"/>
        <w:outlineLvl w:val="3"/>
        <w:rPr>
          <w:rFonts w:hint="eastAsia" w:ascii="黑体" w:hAnsi="黑体" w:eastAsia="黑体"/>
        </w:rPr>
      </w:pPr>
      <w:r>
        <w:rPr>
          <w:rFonts w:ascii="黑体" w:hAnsi="黑体" w:eastAsia="黑体"/>
        </w:rPr>
        <w:t xml:space="preserve">1.14 </w:t>
      </w:r>
      <w:r>
        <w:rPr>
          <w:rFonts w:hint="eastAsia" w:ascii="黑体" w:hAnsi="黑体" w:eastAsia="黑体"/>
        </w:rPr>
        <w:t>建筑信息模型技术的应用</w:t>
      </w:r>
    </w:p>
    <w:p w14:paraId="60D5A09A">
      <w:pPr>
        <w:spacing w:line="360" w:lineRule="auto"/>
        <w:ind w:firstLine="600"/>
        <w:rPr>
          <w:rFonts w:ascii="仿宋_GB2312" w:eastAsia="仿宋_GB2312"/>
        </w:rPr>
      </w:pPr>
      <w:r>
        <w:rPr>
          <w:rFonts w:hint="eastAsia" w:ascii="仿宋_GB2312" w:eastAsia="仿宋_GB2312"/>
        </w:rPr>
        <w:t>关于建筑信息模型技术的开发、使用、存储、传输、交付及费用约定如下：</w:t>
      </w:r>
    </w:p>
    <w:p w14:paraId="011BE0B4">
      <w:pPr>
        <w:pStyle w:val="43"/>
        <w:spacing w:before="0" w:after="0"/>
        <w:jc w:val="left"/>
        <w:outlineLvl w:val="2"/>
        <w:rPr>
          <w:rFonts w:hint="eastAsia" w:ascii="黑体" w:hAnsi="黑体" w:eastAsia="黑体"/>
          <w:b w:val="0"/>
          <w:sz w:val="28"/>
          <w:szCs w:val="28"/>
        </w:rPr>
      </w:pPr>
      <w:bookmarkStart w:id="1788" w:name="_Toc19236"/>
      <w:bookmarkEnd w:id="1788"/>
      <w:bookmarkStart w:id="1789" w:name="_Toc2490"/>
      <w:bookmarkEnd w:id="1789"/>
      <w:bookmarkStart w:id="1790" w:name="_Toc54862333"/>
      <w:bookmarkEnd w:id="1790"/>
      <w:r>
        <w:rPr>
          <w:rFonts w:hint="eastAsia" w:ascii="黑体" w:hAnsi="黑体" w:eastAsia="黑体"/>
          <w:b w:val="0"/>
          <w:sz w:val="28"/>
          <w:szCs w:val="28"/>
        </w:rPr>
        <w:t>第2条 发包人</w:t>
      </w:r>
    </w:p>
    <w:p w14:paraId="0B03B169">
      <w:pPr>
        <w:spacing w:line="360" w:lineRule="auto"/>
        <w:ind w:firstLine="600"/>
        <w:outlineLvl w:val="3"/>
        <w:rPr>
          <w:rFonts w:hint="eastAsia" w:ascii="黑体" w:hAnsi="黑体" w:eastAsia="黑体"/>
        </w:rPr>
      </w:pPr>
      <w:r>
        <w:rPr>
          <w:rFonts w:hint="eastAsia" w:ascii="黑体" w:hAnsi="黑体" w:eastAsia="黑体"/>
        </w:rPr>
        <w:t>2.2 提供施工现场和工作条件</w:t>
      </w:r>
    </w:p>
    <w:p w14:paraId="62EE125B">
      <w:pPr>
        <w:spacing w:line="360" w:lineRule="auto"/>
        <w:ind w:firstLine="600"/>
        <w:outlineLvl w:val="4"/>
        <w:rPr>
          <w:rFonts w:ascii="仿宋_GB2312" w:eastAsia="仿宋_GB2312"/>
        </w:rPr>
      </w:pPr>
      <w:r>
        <w:rPr>
          <w:rFonts w:ascii="仿宋_GB2312" w:eastAsia="仿宋_GB2312"/>
        </w:rPr>
        <w:t xml:space="preserve">2.2.1 </w:t>
      </w:r>
      <w:r>
        <w:rPr>
          <w:rFonts w:hint="eastAsia" w:ascii="仿宋_GB2312" w:eastAsia="仿宋_GB2312"/>
        </w:rPr>
        <w:t>提供施工现场</w:t>
      </w:r>
    </w:p>
    <w:p w14:paraId="6CBC4DD2">
      <w:pPr>
        <w:spacing w:line="360" w:lineRule="auto"/>
        <w:ind w:firstLine="600"/>
        <w:rPr>
          <w:rFonts w:ascii="仿宋_GB2312" w:eastAsia="仿宋_GB2312"/>
        </w:rPr>
      </w:pPr>
      <w:r>
        <w:rPr>
          <w:rFonts w:hint="eastAsia" w:ascii="仿宋_GB2312" w:eastAsia="仿宋_GB2312"/>
        </w:rPr>
        <w:t>关于发包人提供施工现场的范围和期限：</w:t>
      </w:r>
    </w:p>
    <w:p w14:paraId="29F454F4">
      <w:pPr>
        <w:spacing w:line="360" w:lineRule="auto"/>
        <w:ind w:firstLine="600"/>
        <w:outlineLvl w:val="4"/>
        <w:rPr>
          <w:rFonts w:ascii="仿宋_GB2312" w:eastAsia="仿宋_GB2312"/>
        </w:rPr>
      </w:pPr>
      <w:r>
        <w:rPr>
          <w:rFonts w:ascii="仿宋_GB2312" w:eastAsia="仿宋_GB2312"/>
        </w:rPr>
        <w:t xml:space="preserve">2.2.2 </w:t>
      </w:r>
      <w:r>
        <w:rPr>
          <w:rFonts w:hint="eastAsia" w:ascii="仿宋_GB2312" w:eastAsia="仿宋_GB2312"/>
        </w:rPr>
        <w:t>提供工作条件</w:t>
      </w:r>
    </w:p>
    <w:p w14:paraId="250B167A">
      <w:pPr>
        <w:spacing w:line="360" w:lineRule="auto"/>
        <w:ind w:firstLine="600"/>
        <w:rPr>
          <w:rFonts w:ascii="仿宋_GB2312" w:eastAsia="仿宋_GB2312"/>
        </w:rPr>
      </w:pPr>
      <w:r>
        <w:rPr>
          <w:rFonts w:hint="eastAsia" w:ascii="仿宋_GB2312" w:eastAsia="仿宋_GB2312"/>
        </w:rPr>
        <w:t>关于发包人应负责提供的工作条件包括：</w:t>
      </w:r>
    </w:p>
    <w:p w14:paraId="1E939948">
      <w:pPr>
        <w:spacing w:line="360" w:lineRule="auto"/>
        <w:ind w:firstLine="600"/>
        <w:outlineLvl w:val="3"/>
        <w:rPr>
          <w:rFonts w:hint="eastAsia" w:ascii="黑体" w:hAnsi="黑体" w:eastAsia="黑体"/>
        </w:rPr>
      </w:pPr>
      <w:r>
        <w:rPr>
          <w:rFonts w:hint="eastAsia" w:ascii="黑体" w:hAnsi="黑体" w:eastAsia="黑体"/>
        </w:rPr>
        <w:t>2.3 提供基础资料</w:t>
      </w:r>
    </w:p>
    <w:p w14:paraId="5BB61BA4">
      <w:pPr>
        <w:spacing w:line="360" w:lineRule="auto"/>
        <w:ind w:firstLine="600"/>
        <w:rPr>
          <w:rFonts w:ascii="仿宋_GB2312" w:eastAsia="仿宋_GB2312"/>
        </w:rPr>
      </w:pPr>
      <w:r>
        <w:rPr>
          <w:rFonts w:hint="eastAsia" w:ascii="仿宋_GB2312" w:eastAsia="仿宋_GB2312"/>
        </w:rPr>
        <w:t>关于发包人应提供的基础资料的范围和期限：</w:t>
      </w:r>
    </w:p>
    <w:p w14:paraId="4C32584C">
      <w:pPr>
        <w:spacing w:line="360" w:lineRule="auto"/>
        <w:ind w:firstLine="600"/>
        <w:outlineLvl w:val="3"/>
        <w:rPr>
          <w:rFonts w:hint="eastAsia" w:ascii="黑体" w:hAnsi="黑体" w:eastAsia="黑体"/>
        </w:rPr>
      </w:pPr>
      <w:r>
        <w:rPr>
          <w:rFonts w:hint="eastAsia" w:ascii="黑体" w:hAnsi="黑体" w:eastAsia="黑体"/>
        </w:rPr>
        <w:t>2.5 支付合同价款</w:t>
      </w:r>
    </w:p>
    <w:p w14:paraId="39BCBA42">
      <w:pPr>
        <w:spacing w:line="360" w:lineRule="auto"/>
        <w:ind w:firstLine="600"/>
        <w:outlineLvl w:val="4"/>
        <w:rPr>
          <w:rFonts w:ascii="仿宋_GB2312" w:eastAsia="仿宋_GB2312"/>
        </w:rPr>
      </w:pPr>
      <w:r>
        <w:rPr>
          <w:rFonts w:ascii="仿宋_GB2312" w:eastAsia="仿宋_GB2312"/>
        </w:rPr>
        <w:t xml:space="preserve">2.5.2 </w:t>
      </w:r>
      <w:r>
        <w:rPr>
          <w:rFonts w:hint="eastAsia" w:ascii="仿宋_GB2312" w:eastAsia="仿宋_GB2312"/>
        </w:rPr>
        <w:t>发包人提供资金来源证明及资金安排的期限要求：</w:t>
      </w:r>
    </w:p>
    <w:p w14:paraId="21658B1C">
      <w:pPr>
        <w:spacing w:line="360" w:lineRule="auto"/>
        <w:ind w:firstLine="600"/>
        <w:rPr>
          <w:rFonts w:ascii="仿宋_GB2312" w:eastAsia="仿宋_GB2312"/>
        </w:rPr>
      </w:pPr>
      <w:r>
        <w:rPr>
          <w:rFonts w:ascii="仿宋_GB2312" w:eastAsia="仿宋_GB2312"/>
        </w:rPr>
        <w:t xml:space="preserve">2.5.3 </w:t>
      </w:r>
      <w:r>
        <w:rPr>
          <w:rFonts w:hint="eastAsia" w:ascii="仿宋_GB2312" w:eastAsia="仿宋_GB2312"/>
        </w:rPr>
        <w:t>发包人提供支付担保的形式、期限、金额（或比例）：</w:t>
      </w:r>
    </w:p>
    <w:p w14:paraId="1856E189">
      <w:pPr>
        <w:spacing w:line="360" w:lineRule="auto"/>
        <w:ind w:firstLine="600"/>
        <w:outlineLvl w:val="3"/>
        <w:rPr>
          <w:rFonts w:hint="eastAsia" w:ascii="黑体" w:hAnsi="黑体" w:eastAsia="黑体"/>
        </w:rPr>
      </w:pPr>
      <w:r>
        <w:rPr>
          <w:rFonts w:hint="eastAsia" w:ascii="黑体" w:hAnsi="黑体" w:eastAsia="黑体"/>
        </w:rPr>
        <w:t>2.7 其他义务</w:t>
      </w:r>
    </w:p>
    <w:p w14:paraId="074DCA04">
      <w:pPr>
        <w:spacing w:line="360" w:lineRule="auto"/>
        <w:ind w:firstLine="600"/>
        <w:rPr>
          <w:rFonts w:ascii="仿宋_GB2312" w:eastAsia="仿宋_GB2312"/>
        </w:rPr>
      </w:pPr>
      <w:r>
        <w:rPr>
          <w:rFonts w:hint="eastAsia" w:ascii="仿宋_GB2312" w:eastAsia="仿宋_GB2312"/>
        </w:rPr>
        <w:t>发包人应履行的其他义务：</w:t>
      </w:r>
    </w:p>
    <w:p w14:paraId="511D8D71">
      <w:pPr>
        <w:pStyle w:val="43"/>
        <w:spacing w:before="0" w:after="0"/>
        <w:jc w:val="left"/>
        <w:outlineLvl w:val="2"/>
        <w:rPr>
          <w:rFonts w:hint="eastAsia" w:ascii="黑体" w:hAnsi="黑体" w:eastAsia="黑体"/>
          <w:b w:val="0"/>
          <w:sz w:val="28"/>
          <w:szCs w:val="28"/>
        </w:rPr>
      </w:pPr>
      <w:bookmarkStart w:id="1791" w:name="_Toc54862334"/>
      <w:bookmarkEnd w:id="1791"/>
      <w:bookmarkStart w:id="1792" w:name="_Toc13842"/>
      <w:bookmarkEnd w:id="1792"/>
      <w:bookmarkStart w:id="1793" w:name="_Toc17291"/>
      <w:bookmarkEnd w:id="1793"/>
      <w:r>
        <w:rPr>
          <w:rFonts w:hint="eastAsia" w:ascii="黑体" w:hAnsi="黑体" w:eastAsia="黑体"/>
          <w:b w:val="0"/>
          <w:sz w:val="28"/>
          <w:szCs w:val="28"/>
        </w:rPr>
        <w:t>第3条 发包人的管理</w:t>
      </w:r>
    </w:p>
    <w:p w14:paraId="64DFCCC1">
      <w:pPr>
        <w:spacing w:line="360" w:lineRule="auto"/>
        <w:ind w:firstLine="600"/>
        <w:outlineLvl w:val="3"/>
        <w:rPr>
          <w:rFonts w:hint="eastAsia" w:ascii="黑体" w:hAnsi="黑体" w:eastAsia="黑体"/>
        </w:rPr>
      </w:pPr>
      <w:r>
        <w:rPr>
          <w:rFonts w:hint="eastAsia" w:ascii="黑体" w:hAnsi="黑体" w:eastAsia="黑体"/>
        </w:rPr>
        <w:t>3.1 发包人代表</w:t>
      </w:r>
    </w:p>
    <w:p w14:paraId="3578AF14">
      <w:pPr>
        <w:spacing w:line="360" w:lineRule="auto"/>
        <w:ind w:firstLine="600"/>
        <w:rPr>
          <w:rFonts w:ascii="仿宋_GB2312" w:eastAsia="仿宋_GB2312"/>
        </w:rPr>
      </w:pPr>
      <w:r>
        <w:rPr>
          <w:rFonts w:hint="eastAsia" w:ascii="仿宋_GB2312" w:eastAsia="仿宋_GB2312"/>
        </w:rPr>
        <w:t>发包人代表的姓名：</w:t>
      </w:r>
    </w:p>
    <w:p w14:paraId="504A8A61">
      <w:pPr>
        <w:spacing w:line="360" w:lineRule="auto"/>
        <w:ind w:firstLine="600"/>
        <w:rPr>
          <w:rFonts w:ascii="仿宋_GB2312" w:eastAsia="仿宋_GB2312"/>
        </w:rPr>
      </w:pPr>
      <w:r>
        <w:rPr>
          <w:rFonts w:hint="eastAsia" w:ascii="仿宋_GB2312" w:eastAsia="仿宋_GB2312"/>
        </w:rPr>
        <w:t>发包人代表的身份证号：</w:t>
      </w:r>
    </w:p>
    <w:p w14:paraId="03DE2A64">
      <w:pPr>
        <w:spacing w:line="360" w:lineRule="auto"/>
        <w:ind w:firstLine="600"/>
        <w:rPr>
          <w:rFonts w:ascii="仿宋_GB2312" w:eastAsia="仿宋_GB2312"/>
        </w:rPr>
      </w:pPr>
      <w:r>
        <w:rPr>
          <w:rFonts w:hint="eastAsia" w:ascii="仿宋_GB2312" w:eastAsia="仿宋_GB2312"/>
        </w:rPr>
        <w:t>发包人代表的职务：</w:t>
      </w:r>
    </w:p>
    <w:p w14:paraId="4F85418E">
      <w:pPr>
        <w:spacing w:line="360" w:lineRule="auto"/>
        <w:ind w:firstLine="600"/>
        <w:rPr>
          <w:rFonts w:ascii="仿宋_GB2312" w:eastAsia="仿宋_GB2312"/>
        </w:rPr>
      </w:pPr>
      <w:r>
        <w:rPr>
          <w:rFonts w:hint="eastAsia" w:ascii="仿宋_GB2312" w:eastAsia="仿宋_GB2312"/>
        </w:rPr>
        <w:t>发包人代表的联系电话：</w:t>
      </w:r>
    </w:p>
    <w:p w14:paraId="18B25DAA">
      <w:pPr>
        <w:spacing w:line="360" w:lineRule="auto"/>
        <w:ind w:firstLine="600"/>
        <w:rPr>
          <w:rFonts w:ascii="仿宋_GB2312" w:eastAsia="仿宋_GB2312"/>
        </w:rPr>
      </w:pPr>
      <w:r>
        <w:rPr>
          <w:rFonts w:hint="eastAsia" w:ascii="仿宋_GB2312" w:eastAsia="仿宋_GB2312"/>
        </w:rPr>
        <w:t>发包人代表的电子邮箱：</w:t>
      </w:r>
    </w:p>
    <w:p w14:paraId="617998DF">
      <w:pPr>
        <w:spacing w:line="360" w:lineRule="auto"/>
        <w:ind w:firstLine="600"/>
        <w:rPr>
          <w:rFonts w:ascii="仿宋_GB2312" w:eastAsia="仿宋_GB2312"/>
        </w:rPr>
      </w:pPr>
      <w:r>
        <w:rPr>
          <w:rFonts w:hint="eastAsia" w:ascii="仿宋_GB2312" w:eastAsia="仿宋_GB2312"/>
        </w:rPr>
        <w:t>发包人代表的通信地址：</w:t>
      </w:r>
    </w:p>
    <w:p w14:paraId="5CCC5C4B">
      <w:pPr>
        <w:spacing w:line="360" w:lineRule="auto"/>
        <w:ind w:firstLine="600"/>
        <w:rPr>
          <w:rFonts w:ascii="仿宋_GB2312" w:eastAsia="仿宋_GB2312"/>
        </w:rPr>
      </w:pPr>
      <w:r>
        <w:rPr>
          <w:rFonts w:hint="eastAsia" w:ascii="仿宋_GB2312" w:eastAsia="仿宋_GB2312"/>
        </w:rPr>
        <w:t>发包人对发包人代表的授权范围如下：</w:t>
      </w:r>
    </w:p>
    <w:p w14:paraId="0CDB9990">
      <w:pPr>
        <w:spacing w:line="360" w:lineRule="auto"/>
        <w:ind w:firstLine="600"/>
        <w:rPr>
          <w:rFonts w:ascii="仿宋_GB2312" w:eastAsia="仿宋_GB2312"/>
        </w:rPr>
      </w:pPr>
      <w:r>
        <w:rPr>
          <w:rFonts w:hint="eastAsia" w:ascii="仿宋_GB2312" w:eastAsia="仿宋_GB2312"/>
        </w:rPr>
        <w:t>发包人代表的职责：</w:t>
      </w:r>
    </w:p>
    <w:p w14:paraId="3D46C2F0">
      <w:pPr>
        <w:spacing w:line="360" w:lineRule="auto"/>
        <w:ind w:firstLine="600"/>
        <w:outlineLvl w:val="3"/>
        <w:rPr>
          <w:rFonts w:hint="eastAsia" w:ascii="黑体" w:hAnsi="黑体" w:eastAsia="黑体"/>
        </w:rPr>
      </w:pPr>
      <w:r>
        <w:rPr>
          <w:rFonts w:hint="eastAsia" w:ascii="黑体" w:hAnsi="黑体" w:eastAsia="黑体"/>
        </w:rPr>
        <w:t>3.2 发包人人员</w:t>
      </w:r>
    </w:p>
    <w:p w14:paraId="4BF45B7D">
      <w:pPr>
        <w:spacing w:line="360" w:lineRule="auto"/>
        <w:ind w:firstLine="600"/>
        <w:rPr>
          <w:rFonts w:ascii="仿宋_GB2312" w:eastAsia="仿宋_GB2312"/>
        </w:rPr>
      </w:pPr>
      <w:r>
        <w:rPr>
          <w:rFonts w:ascii="仿宋_GB2312" w:eastAsia="仿宋_GB2312"/>
        </w:rPr>
        <w:t>发包人人员姓名</w:t>
      </w:r>
      <w:r>
        <w:rPr>
          <w:rFonts w:hint="eastAsia" w:ascii="仿宋_GB2312" w:eastAsia="仿宋_GB2312"/>
        </w:rPr>
        <w:t>：</w:t>
      </w:r>
    </w:p>
    <w:p w14:paraId="1A361A60">
      <w:pPr>
        <w:spacing w:line="360" w:lineRule="auto"/>
        <w:ind w:firstLine="600"/>
        <w:rPr>
          <w:rFonts w:ascii="仿宋_GB2312" w:eastAsia="仿宋_GB2312"/>
        </w:rPr>
      </w:pPr>
      <w:r>
        <w:rPr>
          <w:rFonts w:ascii="仿宋_GB2312" w:eastAsia="仿宋_GB2312"/>
        </w:rPr>
        <w:t>发包人人员职务</w:t>
      </w:r>
      <w:r>
        <w:rPr>
          <w:rFonts w:hint="eastAsia" w:ascii="仿宋_GB2312" w:eastAsia="仿宋_GB2312"/>
        </w:rPr>
        <w:t>：</w:t>
      </w:r>
    </w:p>
    <w:p w14:paraId="5C99107E">
      <w:pPr>
        <w:spacing w:line="360" w:lineRule="auto"/>
        <w:ind w:firstLine="600"/>
        <w:rPr>
          <w:rFonts w:ascii="仿宋_GB2312" w:eastAsia="仿宋_GB2312"/>
        </w:rPr>
      </w:pPr>
      <w:r>
        <w:rPr>
          <w:rFonts w:ascii="仿宋_GB2312" w:eastAsia="仿宋_GB2312"/>
        </w:rPr>
        <w:t>发包人人员职责</w:t>
      </w:r>
      <w:r>
        <w:rPr>
          <w:rFonts w:hint="eastAsia" w:ascii="仿宋_GB2312" w:eastAsia="仿宋_GB2312"/>
        </w:rPr>
        <w:t>：</w:t>
      </w:r>
    </w:p>
    <w:p w14:paraId="1EACB424">
      <w:pPr>
        <w:spacing w:line="360" w:lineRule="auto"/>
        <w:ind w:firstLine="600"/>
        <w:outlineLvl w:val="3"/>
        <w:rPr>
          <w:rFonts w:hint="eastAsia" w:ascii="黑体" w:hAnsi="黑体" w:eastAsia="黑体"/>
        </w:rPr>
      </w:pPr>
      <w:r>
        <w:rPr>
          <w:rFonts w:hint="eastAsia" w:ascii="黑体" w:hAnsi="黑体" w:eastAsia="黑体"/>
        </w:rPr>
        <w:t>3.3 工程师</w:t>
      </w:r>
    </w:p>
    <w:p w14:paraId="3A8F74DB">
      <w:pPr>
        <w:spacing w:line="360" w:lineRule="auto"/>
        <w:ind w:firstLine="600"/>
        <w:rPr>
          <w:rFonts w:ascii="仿宋_GB2312" w:eastAsia="仿宋_GB2312"/>
        </w:rPr>
      </w:pPr>
      <w:r>
        <w:rPr>
          <w:rFonts w:hint="eastAsia" w:ascii="仿宋_GB2312" w:eastAsia="仿宋_GB2312"/>
        </w:rPr>
        <w:t>3</w:t>
      </w:r>
      <w:r>
        <w:rPr>
          <w:rFonts w:ascii="仿宋_GB2312" w:eastAsia="仿宋_GB2312"/>
        </w:rPr>
        <w:t xml:space="preserve">.3.1 </w:t>
      </w:r>
      <w:r>
        <w:rPr>
          <w:rFonts w:hint="eastAsia" w:ascii="仿宋_GB2312" w:eastAsia="仿宋_GB2312"/>
        </w:rPr>
        <w:t>工程师名称：工程师监督管理</w:t>
      </w:r>
      <w:r>
        <w:rPr>
          <w:rFonts w:ascii="仿宋_GB2312" w:eastAsia="仿宋_GB2312"/>
        </w:rPr>
        <w:t>范围</w:t>
      </w:r>
      <w:r>
        <w:rPr>
          <w:rFonts w:hint="eastAsia" w:ascii="仿宋_GB2312" w:eastAsia="仿宋_GB2312"/>
        </w:rPr>
        <w:t>、内容：工程师</w:t>
      </w:r>
      <w:r>
        <w:rPr>
          <w:rFonts w:ascii="仿宋_GB2312" w:eastAsia="仿宋_GB2312"/>
        </w:rPr>
        <w:t>权限</w:t>
      </w:r>
      <w:r>
        <w:rPr>
          <w:rFonts w:hint="eastAsia" w:ascii="仿宋_GB2312" w:eastAsia="仿宋_GB2312"/>
        </w:rPr>
        <w:t>：</w:t>
      </w:r>
    </w:p>
    <w:p w14:paraId="53D73B02">
      <w:pPr>
        <w:spacing w:line="360" w:lineRule="auto"/>
        <w:ind w:firstLine="600"/>
        <w:outlineLvl w:val="3"/>
        <w:rPr>
          <w:rFonts w:hint="eastAsia" w:ascii="黑体" w:hAnsi="黑体" w:eastAsia="黑体"/>
        </w:rPr>
      </w:pPr>
      <w:r>
        <w:rPr>
          <w:rFonts w:hint="eastAsia" w:ascii="黑体" w:hAnsi="黑体" w:eastAsia="黑体"/>
        </w:rPr>
        <w:t>3.6 商定或确定</w:t>
      </w:r>
    </w:p>
    <w:p w14:paraId="44E0FC4A">
      <w:pPr>
        <w:spacing w:line="360" w:lineRule="auto"/>
        <w:ind w:firstLine="600"/>
        <w:outlineLvl w:val="4"/>
        <w:rPr>
          <w:rFonts w:ascii="仿宋_GB2312" w:eastAsia="仿宋_GB2312"/>
        </w:rPr>
      </w:pPr>
      <w:r>
        <w:rPr>
          <w:rFonts w:hint="eastAsia" w:ascii="仿宋_GB2312" w:eastAsia="仿宋_GB2312"/>
        </w:rPr>
        <w:t>3</w:t>
      </w:r>
      <w:r>
        <w:rPr>
          <w:rFonts w:ascii="仿宋_GB2312" w:eastAsia="仿宋_GB2312"/>
        </w:rPr>
        <w:t>.6.2 关于</w:t>
      </w:r>
      <w:r>
        <w:rPr>
          <w:rFonts w:hint="eastAsia" w:ascii="仿宋_GB2312" w:eastAsia="仿宋_GB2312"/>
        </w:rPr>
        <w:t>商定</w:t>
      </w:r>
      <w:r>
        <w:rPr>
          <w:rFonts w:ascii="仿宋_GB2312" w:eastAsia="仿宋_GB2312"/>
        </w:rPr>
        <w:t>时间限制的具体约定</w:t>
      </w:r>
      <w:r>
        <w:rPr>
          <w:rFonts w:hint="eastAsia" w:ascii="仿宋_GB2312" w:eastAsia="仿宋_GB2312"/>
        </w:rPr>
        <w:t>：</w:t>
      </w:r>
    </w:p>
    <w:p w14:paraId="3F479A10">
      <w:pPr>
        <w:spacing w:line="360" w:lineRule="auto"/>
        <w:ind w:firstLine="600"/>
        <w:rPr>
          <w:rFonts w:ascii="仿宋_GB2312" w:eastAsia="仿宋_GB2312"/>
        </w:rPr>
      </w:pPr>
      <w:r>
        <w:rPr>
          <w:rFonts w:ascii="仿宋_GB2312" w:eastAsia="仿宋_GB2312"/>
        </w:rPr>
        <w:t>3.6.3 关于</w:t>
      </w:r>
      <w:r>
        <w:rPr>
          <w:rFonts w:hint="eastAsia" w:ascii="仿宋_GB2312" w:eastAsia="仿宋_GB2312"/>
        </w:rPr>
        <w:t>商定或确定</w:t>
      </w:r>
      <w:r>
        <w:rPr>
          <w:rFonts w:ascii="仿宋_GB2312" w:eastAsia="仿宋_GB2312"/>
        </w:rPr>
        <w:t>效力的具体约定</w:t>
      </w:r>
      <w:r>
        <w:rPr>
          <w:rFonts w:hint="eastAsia" w:ascii="仿宋_GB2312" w:eastAsia="仿宋_GB2312"/>
        </w:rPr>
        <w:t>：</w:t>
      </w:r>
      <w:r>
        <w:rPr>
          <w:rFonts w:ascii="仿宋_GB2312" w:eastAsia="仿宋_GB2312"/>
        </w:rPr>
        <w:t>关于对</w:t>
      </w:r>
      <w:r>
        <w:rPr>
          <w:rFonts w:hint="eastAsia" w:ascii="仿宋_GB2312" w:eastAsia="仿宋_GB2312"/>
        </w:rPr>
        <w:t>工程师的确定提出异议</w:t>
      </w:r>
      <w:r>
        <w:rPr>
          <w:rFonts w:ascii="仿宋_GB2312" w:eastAsia="仿宋_GB2312"/>
        </w:rPr>
        <w:t>的具体约定</w:t>
      </w:r>
      <w:r>
        <w:rPr>
          <w:rFonts w:hint="eastAsia" w:ascii="仿宋_GB2312" w:eastAsia="仿宋_GB2312"/>
        </w:rPr>
        <w:t>：</w:t>
      </w:r>
    </w:p>
    <w:p w14:paraId="2AE13E7D">
      <w:pPr>
        <w:spacing w:line="360" w:lineRule="auto"/>
        <w:ind w:firstLine="600"/>
        <w:outlineLvl w:val="3"/>
        <w:rPr>
          <w:rFonts w:hint="eastAsia" w:ascii="黑体" w:hAnsi="黑体" w:eastAsia="黑体"/>
        </w:rPr>
      </w:pPr>
      <w:r>
        <w:rPr>
          <w:rFonts w:hint="eastAsia" w:ascii="黑体" w:hAnsi="黑体" w:eastAsia="黑体"/>
        </w:rPr>
        <w:t>3.7 会议</w:t>
      </w:r>
    </w:p>
    <w:p w14:paraId="2EB00221">
      <w:pPr>
        <w:spacing w:line="360" w:lineRule="auto"/>
        <w:ind w:firstLine="600"/>
        <w:rPr>
          <w:rFonts w:ascii="仿宋_GB2312" w:eastAsia="仿宋_GB2312"/>
        </w:rPr>
      </w:pPr>
      <w:r>
        <w:rPr>
          <w:rFonts w:hint="eastAsia" w:ascii="仿宋_GB2312" w:eastAsia="仿宋_GB2312"/>
        </w:rPr>
        <w:t>3</w:t>
      </w:r>
      <w:r>
        <w:rPr>
          <w:rFonts w:ascii="仿宋_GB2312" w:eastAsia="仿宋_GB2312"/>
        </w:rPr>
        <w:t>.7.1 关于召开会议</w:t>
      </w:r>
      <w:r>
        <w:rPr>
          <w:rFonts w:hint="eastAsia" w:ascii="仿宋_GB2312" w:eastAsia="仿宋_GB2312"/>
        </w:rPr>
        <w:t>的具体约定：</w:t>
      </w:r>
    </w:p>
    <w:p w14:paraId="0FE3BD03">
      <w:pPr>
        <w:spacing w:line="360" w:lineRule="auto"/>
        <w:ind w:firstLine="600"/>
        <w:rPr>
          <w:rFonts w:ascii="仿宋_GB2312" w:eastAsia="仿宋_GB2312"/>
        </w:rPr>
      </w:pPr>
      <w:r>
        <w:rPr>
          <w:rFonts w:hint="eastAsia" w:ascii="仿宋_GB2312" w:eastAsia="仿宋_GB2312"/>
        </w:rPr>
        <w:t>3</w:t>
      </w:r>
      <w:r>
        <w:rPr>
          <w:rFonts w:ascii="仿宋_GB2312" w:eastAsia="仿宋_GB2312"/>
        </w:rPr>
        <w:t xml:space="preserve">.7.2 </w:t>
      </w:r>
      <w:r>
        <w:rPr>
          <w:rFonts w:hint="eastAsia" w:ascii="仿宋_GB2312" w:eastAsia="仿宋_GB2312"/>
        </w:rPr>
        <w:t>关于保存和提供会议纪要</w:t>
      </w:r>
      <w:r>
        <w:rPr>
          <w:rFonts w:ascii="仿宋_GB2312" w:eastAsia="仿宋_GB2312"/>
        </w:rPr>
        <w:t>的具体约定</w:t>
      </w:r>
      <w:r>
        <w:rPr>
          <w:rFonts w:hint="eastAsia" w:ascii="仿宋_GB2312" w:eastAsia="仿宋_GB2312"/>
        </w:rPr>
        <w:t>：</w:t>
      </w:r>
    </w:p>
    <w:p w14:paraId="147AB627">
      <w:pPr>
        <w:pStyle w:val="43"/>
        <w:spacing w:before="0" w:after="0"/>
        <w:jc w:val="left"/>
        <w:outlineLvl w:val="2"/>
        <w:rPr>
          <w:rFonts w:hint="eastAsia" w:ascii="黑体" w:hAnsi="黑体" w:eastAsia="黑体"/>
          <w:b w:val="0"/>
          <w:sz w:val="28"/>
          <w:szCs w:val="28"/>
        </w:rPr>
      </w:pPr>
      <w:bookmarkStart w:id="1794" w:name="_Toc54862335"/>
      <w:bookmarkEnd w:id="1794"/>
      <w:bookmarkStart w:id="1795" w:name="_Toc10992"/>
      <w:bookmarkEnd w:id="1795"/>
      <w:bookmarkStart w:id="1796" w:name="_Toc10051"/>
      <w:bookmarkEnd w:id="1796"/>
      <w:r>
        <w:rPr>
          <w:rFonts w:hint="eastAsia" w:ascii="黑体" w:hAnsi="黑体" w:eastAsia="黑体"/>
          <w:b w:val="0"/>
          <w:sz w:val="28"/>
          <w:szCs w:val="28"/>
        </w:rPr>
        <w:t>第4条 承包人</w:t>
      </w:r>
    </w:p>
    <w:p w14:paraId="175997DD">
      <w:pPr>
        <w:spacing w:line="360" w:lineRule="auto"/>
        <w:ind w:firstLine="600"/>
        <w:outlineLvl w:val="3"/>
        <w:rPr>
          <w:rFonts w:hint="eastAsia" w:ascii="黑体" w:hAnsi="黑体" w:eastAsia="黑体"/>
        </w:rPr>
      </w:pPr>
      <w:r>
        <w:rPr>
          <w:rFonts w:hint="eastAsia" w:ascii="黑体" w:hAnsi="黑体" w:eastAsia="黑体"/>
        </w:rPr>
        <w:t>4.1 承包人的一般义务</w:t>
      </w:r>
    </w:p>
    <w:p w14:paraId="596C36CB">
      <w:pPr>
        <w:spacing w:line="360" w:lineRule="auto"/>
        <w:ind w:firstLine="600"/>
        <w:rPr>
          <w:rFonts w:ascii="仿宋_GB2312" w:eastAsia="仿宋_GB2312"/>
        </w:rPr>
      </w:pPr>
      <w:r>
        <w:rPr>
          <w:rFonts w:hint="eastAsia" w:ascii="仿宋_GB2312" w:eastAsia="仿宋_GB2312"/>
        </w:rPr>
        <w:t>承包人应履行的其他义务：</w:t>
      </w:r>
    </w:p>
    <w:p w14:paraId="0F36AF77">
      <w:pPr>
        <w:spacing w:line="360" w:lineRule="auto"/>
        <w:ind w:firstLine="600"/>
        <w:outlineLvl w:val="3"/>
        <w:rPr>
          <w:rFonts w:hint="eastAsia" w:ascii="黑体" w:hAnsi="黑体" w:eastAsia="黑体"/>
        </w:rPr>
      </w:pPr>
      <w:r>
        <w:rPr>
          <w:rFonts w:hint="eastAsia" w:ascii="黑体" w:hAnsi="黑体" w:eastAsia="黑体"/>
        </w:rPr>
        <w:t>4.2 履约担保</w:t>
      </w:r>
    </w:p>
    <w:p w14:paraId="01BD601F">
      <w:pPr>
        <w:spacing w:line="360" w:lineRule="auto"/>
        <w:ind w:firstLine="600"/>
        <w:rPr>
          <w:rFonts w:ascii="仿宋_GB2312" w:eastAsia="仿宋_GB2312"/>
        </w:rPr>
      </w:pPr>
      <w:r>
        <w:rPr>
          <w:rFonts w:hint="eastAsia" w:ascii="仿宋_GB2312" w:eastAsia="仿宋_GB2312"/>
        </w:rPr>
        <w:t>承包人是否提供履约担保：</w:t>
      </w:r>
    </w:p>
    <w:p w14:paraId="24447E64">
      <w:pPr>
        <w:spacing w:line="360" w:lineRule="auto"/>
        <w:ind w:firstLine="600"/>
        <w:rPr>
          <w:rFonts w:ascii="仿宋_GB2312" w:eastAsia="仿宋_GB2312"/>
        </w:rPr>
      </w:pPr>
      <w:r>
        <w:rPr>
          <w:rFonts w:hint="eastAsia" w:ascii="仿宋_GB2312" w:eastAsia="仿宋_GB2312"/>
        </w:rPr>
        <w:t>履约担保的方式、金额及期限：</w:t>
      </w:r>
    </w:p>
    <w:p w14:paraId="7B95EFD4">
      <w:pPr>
        <w:spacing w:line="360" w:lineRule="auto"/>
        <w:ind w:firstLine="600"/>
        <w:outlineLvl w:val="3"/>
        <w:rPr>
          <w:rFonts w:hint="eastAsia" w:ascii="黑体" w:hAnsi="黑体" w:eastAsia="黑体"/>
        </w:rPr>
      </w:pPr>
      <w:r>
        <w:rPr>
          <w:rFonts w:hint="eastAsia" w:ascii="黑体" w:hAnsi="黑体" w:eastAsia="黑体"/>
        </w:rPr>
        <w:t>4.3 工程总承包项目经理</w:t>
      </w:r>
    </w:p>
    <w:p w14:paraId="0E425294">
      <w:pPr>
        <w:spacing w:line="360" w:lineRule="auto"/>
        <w:ind w:firstLine="600"/>
        <w:outlineLvl w:val="4"/>
        <w:rPr>
          <w:rFonts w:ascii="仿宋_GB2312" w:eastAsia="仿宋_GB2312"/>
        </w:rPr>
      </w:pPr>
      <w:r>
        <w:rPr>
          <w:rFonts w:ascii="仿宋_GB2312" w:eastAsia="仿宋_GB2312"/>
        </w:rPr>
        <w:t xml:space="preserve">4.3.1 </w:t>
      </w:r>
      <w:r>
        <w:rPr>
          <w:rFonts w:hint="eastAsia" w:ascii="仿宋_GB2312" w:eastAsia="仿宋_GB2312"/>
        </w:rPr>
        <w:t>工程总承包项目经理姓名：</w:t>
      </w:r>
    </w:p>
    <w:p w14:paraId="47B0C272">
      <w:pPr>
        <w:spacing w:line="360" w:lineRule="auto"/>
        <w:ind w:firstLine="600"/>
        <w:rPr>
          <w:rFonts w:ascii="仿宋_GB2312" w:eastAsia="仿宋_GB2312"/>
        </w:rPr>
      </w:pPr>
      <w:r>
        <w:rPr>
          <w:rFonts w:hint="eastAsia" w:ascii="仿宋_GB2312" w:eastAsia="仿宋_GB2312"/>
        </w:rPr>
        <w:t>执业资格或职称类型：</w:t>
      </w:r>
    </w:p>
    <w:p w14:paraId="37200ED5">
      <w:pPr>
        <w:spacing w:line="360" w:lineRule="auto"/>
        <w:ind w:firstLine="600"/>
        <w:rPr>
          <w:rFonts w:ascii="仿宋_GB2312" w:eastAsia="仿宋_GB2312"/>
        </w:rPr>
      </w:pPr>
      <w:r>
        <w:rPr>
          <w:rFonts w:hint="eastAsia" w:ascii="仿宋_GB2312" w:eastAsia="仿宋_GB2312"/>
        </w:rPr>
        <w:t>执业资格证或职称证号码：</w:t>
      </w:r>
    </w:p>
    <w:p w14:paraId="06C151D2">
      <w:pPr>
        <w:spacing w:line="360" w:lineRule="auto"/>
        <w:ind w:firstLine="600"/>
        <w:rPr>
          <w:rFonts w:ascii="仿宋_GB2312" w:eastAsia="仿宋_GB2312"/>
        </w:rPr>
      </w:pPr>
      <w:r>
        <w:rPr>
          <w:rFonts w:hint="eastAsia" w:ascii="仿宋_GB2312" w:eastAsia="仿宋_GB2312"/>
        </w:rPr>
        <w:t>联系电话：</w:t>
      </w:r>
    </w:p>
    <w:p w14:paraId="7B735C81">
      <w:pPr>
        <w:spacing w:line="360" w:lineRule="auto"/>
        <w:ind w:firstLine="600"/>
        <w:rPr>
          <w:rFonts w:ascii="仿宋_GB2312" w:eastAsia="仿宋_GB2312"/>
        </w:rPr>
      </w:pPr>
      <w:r>
        <w:rPr>
          <w:rFonts w:hint="eastAsia" w:ascii="仿宋_GB2312" w:eastAsia="仿宋_GB2312"/>
        </w:rPr>
        <w:t>电子邮箱：</w:t>
      </w:r>
    </w:p>
    <w:p w14:paraId="4EAF9E22">
      <w:pPr>
        <w:spacing w:line="360" w:lineRule="auto"/>
        <w:ind w:firstLine="600"/>
        <w:rPr>
          <w:rFonts w:ascii="仿宋_GB2312" w:eastAsia="仿宋_GB2312"/>
        </w:rPr>
      </w:pPr>
      <w:r>
        <w:rPr>
          <w:rFonts w:hint="eastAsia" w:ascii="仿宋_GB2312" w:eastAsia="仿宋_GB2312"/>
        </w:rPr>
        <w:t>通信地址：</w:t>
      </w:r>
    </w:p>
    <w:p w14:paraId="1436457A">
      <w:pPr>
        <w:spacing w:line="360" w:lineRule="auto"/>
        <w:ind w:firstLine="600"/>
        <w:rPr>
          <w:rFonts w:ascii="仿宋_GB2312" w:eastAsia="仿宋_GB2312"/>
        </w:rPr>
      </w:pPr>
      <w:r>
        <w:rPr>
          <w:rFonts w:ascii="仿宋_GB2312" w:eastAsia="仿宋_GB2312"/>
        </w:rPr>
        <w:t>承包人未提交劳动合同，以及没有为工程总承包项目经理缴纳社会保险证明的违约责任</w:t>
      </w:r>
      <w:r>
        <w:rPr>
          <w:rFonts w:hint="eastAsia" w:ascii="仿宋_GB2312" w:eastAsia="仿宋_GB2312"/>
        </w:rPr>
        <w:t>：</w:t>
      </w:r>
    </w:p>
    <w:p w14:paraId="57A88534">
      <w:pPr>
        <w:spacing w:line="360" w:lineRule="auto"/>
        <w:ind w:firstLine="600"/>
        <w:outlineLvl w:val="4"/>
        <w:rPr>
          <w:rFonts w:ascii="仿宋_GB2312" w:eastAsia="仿宋_GB2312"/>
        </w:rPr>
      </w:pPr>
      <w:r>
        <w:rPr>
          <w:rFonts w:ascii="仿宋_GB2312" w:eastAsia="仿宋_GB2312"/>
        </w:rPr>
        <w:t xml:space="preserve">4.3.2 </w:t>
      </w:r>
      <w:r>
        <w:rPr>
          <w:rFonts w:hint="eastAsia" w:ascii="仿宋_GB2312" w:eastAsia="仿宋_GB2312"/>
        </w:rPr>
        <w:t>工程总承包项目经理每月在现场的时间要求：</w:t>
      </w:r>
    </w:p>
    <w:p w14:paraId="2CE6294B">
      <w:pPr>
        <w:spacing w:line="360" w:lineRule="auto"/>
        <w:ind w:firstLine="600"/>
        <w:rPr>
          <w:rFonts w:ascii="仿宋_GB2312" w:eastAsia="仿宋_GB2312"/>
        </w:rPr>
      </w:pPr>
      <w:r>
        <w:rPr>
          <w:rFonts w:hint="eastAsia" w:ascii="仿宋_GB2312" w:eastAsia="仿宋_GB2312"/>
        </w:rPr>
        <w:t>工程总承包项目经理未经批准擅自离开施工现场的违约责任：</w:t>
      </w:r>
    </w:p>
    <w:p w14:paraId="54A2C247">
      <w:pPr>
        <w:spacing w:line="360" w:lineRule="auto"/>
        <w:ind w:firstLine="600"/>
        <w:rPr>
          <w:rFonts w:ascii="仿宋_GB2312" w:eastAsia="仿宋_GB2312"/>
        </w:rPr>
      </w:pPr>
      <w:r>
        <w:rPr>
          <w:rFonts w:ascii="仿宋_GB2312" w:eastAsia="仿宋_GB2312"/>
        </w:rPr>
        <w:t xml:space="preserve">4.3.3 </w:t>
      </w:r>
      <w:r>
        <w:rPr>
          <w:rFonts w:hint="eastAsia" w:ascii="仿宋_GB2312" w:eastAsia="仿宋_GB2312"/>
        </w:rPr>
        <w:t>承包人对工程总承包项目经理的授权范围：</w:t>
      </w:r>
    </w:p>
    <w:p w14:paraId="58042DE8">
      <w:pPr>
        <w:spacing w:line="360" w:lineRule="auto"/>
        <w:ind w:firstLine="600"/>
        <w:rPr>
          <w:rFonts w:ascii="仿宋_GB2312" w:eastAsia="仿宋_GB2312"/>
        </w:rPr>
      </w:pPr>
      <w:r>
        <w:rPr>
          <w:rFonts w:ascii="仿宋_GB2312" w:eastAsia="仿宋_GB2312"/>
        </w:rPr>
        <w:t xml:space="preserve">4.3.4 </w:t>
      </w:r>
      <w:r>
        <w:rPr>
          <w:rFonts w:hint="eastAsia" w:ascii="仿宋_GB2312" w:eastAsia="仿宋_GB2312"/>
        </w:rPr>
        <w:t>承包人</w:t>
      </w:r>
      <w:r>
        <w:rPr>
          <w:rFonts w:ascii="仿宋_GB2312" w:eastAsia="仿宋_GB2312"/>
        </w:rPr>
        <w:t>擅自更换工程总承包项目经理的违约</w:t>
      </w:r>
      <w:r>
        <w:rPr>
          <w:rFonts w:hint="eastAsia" w:ascii="仿宋_GB2312" w:eastAsia="仿宋_GB2312"/>
        </w:rPr>
        <w:t>责任：</w:t>
      </w:r>
    </w:p>
    <w:p w14:paraId="65E2B3E3">
      <w:pPr>
        <w:spacing w:line="360" w:lineRule="auto"/>
        <w:ind w:firstLine="600"/>
        <w:rPr>
          <w:rFonts w:ascii="仿宋_GB2312" w:eastAsia="仿宋_GB2312"/>
        </w:rPr>
      </w:pPr>
      <w:r>
        <w:rPr>
          <w:rFonts w:ascii="仿宋_GB2312" w:eastAsia="仿宋_GB2312"/>
        </w:rPr>
        <w:t>4.3.5 承包人无正当理由拒绝更换工程总承包项目经理的违约责任</w:t>
      </w:r>
      <w:r>
        <w:rPr>
          <w:rFonts w:hint="eastAsia" w:ascii="仿宋_GB2312" w:eastAsia="仿宋_GB2312"/>
        </w:rPr>
        <w:t>：</w:t>
      </w:r>
    </w:p>
    <w:p w14:paraId="5583B771">
      <w:pPr>
        <w:spacing w:line="360" w:lineRule="auto"/>
        <w:ind w:firstLine="600"/>
        <w:outlineLvl w:val="3"/>
        <w:rPr>
          <w:rFonts w:hint="eastAsia" w:ascii="黑体" w:hAnsi="黑体" w:eastAsia="黑体"/>
        </w:rPr>
      </w:pPr>
      <w:r>
        <w:rPr>
          <w:rFonts w:hint="eastAsia" w:ascii="黑体" w:hAnsi="黑体" w:eastAsia="黑体"/>
        </w:rPr>
        <w:t>4.4 承包人人员</w:t>
      </w:r>
    </w:p>
    <w:p w14:paraId="7ABA075E">
      <w:pPr>
        <w:spacing w:line="360" w:lineRule="auto"/>
        <w:ind w:firstLine="600"/>
        <w:outlineLvl w:val="4"/>
        <w:rPr>
          <w:rFonts w:ascii="仿宋_GB2312" w:eastAsia="仿宋_GB2312"/>
        </w:rPr>
      </w:pPr>
      <w:r>
        <w:rPr>
          <w:rFonts w:ascii="仿宋_GB2312" w:eastAsia="仿宋_GB2312"/>
        </w:rPr>
        <w:t xml:space="preserve">4.4.1 </w:t>
      </w:r>
      <w:r>
        <w:rPr>
          <w:rFonts w:hint="eastAsia" w:ascii="仿宋_GB2312" w:eastAsia="仿宋_GB2312"/>
        </w:rPr>
        <w:t>人员安排</w:t>
      </w:r>
    </w:p>
    <w:p w14:paraId="682B86D8">
      <w:pPr>
        <w:spacing w:line="360" w:lineRule="auto"/>
        <w:ind w:firstLine="600"/>
        <w:rPr>
          <w:rFonts w:ascii="仿宋_GB2312" w:eastAsia="仿宋_GB2312"/>
        </w:rPr>
      </w:pPr>
      <w:r>
        <w:rPr>
          <w:rFonts w:ascii="仿宋_GB2312" w:eastAsia="仿宋_GB2312"/>
        </w:rPr>
        <w:t>承包人</w:t>
      </w:r>
      <w:r>
        <w:rPr>
          <w:rFonts w:hint="eastAsia" w:ascii="仿宋_GB2312" w:eastAsia="仿宋_GB2312"/>
        </w:rPr>
        <w:t>提交</w:t>
      </w:r>
      <w:r>
        <w:rPr>
          <w:rFonts w:ascii="仿宋_GB2312" w:eastAsia="仿宋_GB2312"/>
        </w:rPr>
        <w:t>项目管理机构及施工现场人员安排的报告</w:t>
      </w:r>
      <w:r>
        <w:rPr>
          <w:rFonts w:hint="eastAsia" w:ascii="仿宋_GB2312" w:eastAsia="仿宋_GB2312"/>
        </w:rPr>
        <w:t>的期限：</w:t>
      </w:r>
    </w:p>
    <w:p w14:paraId="09B530EB">
      <w:pPr>
        <w:spacing w:line="360" w:lineRule="auto"/>
        <w:ind w:firstLine="600"/>
        <w:rPr>
          <w:rFonts w:ascii="仿宋_GB2312" w:eastAsia="仿宋_GB2312"/>
        </w:rPr>
      </w:pPr>
      <w:r>
        <w:rPr>
          <w:rFonts w:hint="eastAsia" w:ascii="仿宋_GB2312" w:eastAsia="仿宋_GB2312"/>
        </w:rPr>
        <w:t>承包人提交关键人员信息及注册执业资格等证明其具备担任关键人员能力的相关文件的期限：</w:t>
      </w:r>
    </w:p>
    <w:p w14:paraId="34F2722F">
      <w:pPr>
        <w:spacing w:line="360" w:lineRule="auto"/>
        <w:ind w:firstLine="600"/>
        <w:outlineLvl w:val="4"/>
        <w:rPr>
          <w:rFonts w:ascii="仿宋_GB2312" w:eastAsia="仿宋_GB2312"/>
        </w:rPr>
      </w:pPr>
      <w:r>
        <w:rPr>
          <w:rFonts w:ascii="仿宋_GB2312" w:eastAsia="仿宋_GB2312"/>
        </w:rPr>
        <w:t xml:space="preserve">4.4.2 </w:t>
      </w:r>
      <w:r>
        <w:rPr>
          <w:rFonts w:hint="eastAsia" w:ascii="仿宋_GB2312" w:eastAsia="仿宋_GB2312"/>
        </w:rPr>
        <w:t>关键人员更换</w:t>
      </w:r>
    </w:p>
    <w:p w14:paraId="338D1DF1">
      <w:pPr>
        <w:spacing w:line="360" w:lineRule="auto"/>
        <w:ind w:firstLine="600"/>
        <w:rPr>
          <w:rFonts w:ascii="仿宋_GB2312" w:eastAsia="仿宋_GB2312"/>
        </w:rPr>
      </w:pPr>
      <w:r>
        <w:rPr>
          <w:rFonts w:ascii="仿宋_GB2312" w:eastAsia="仿宋_GB2312"/>
        </w:rPr>
        <w:t>承包人擅自更换</w:t>
      </w:r>
      <w:r>
        <w:rPr>
          <w:rFonts w:hint="eastAsia" w:ascii="仿宋_GB2312" w:eastAsia="仿宋_GB2312"/>
        </w:rPr>
        <w:t>关键人员</w:t>
      </w:r>
      <w:r>
        <w:rPr>
          <w:rFonts w:ascii="仿宋_GB2312" w:eastAsia="仿宋_GB2312"/>
        </w:rPr>
        <w:t>的违约责任</w:t>
      </w:r>
      <w:r>
        <w:rPr>
          <w:rFonts w:hint="eastAsia" w:ascii="仿宋_GB2312" w:eastAsia="仿宋_GB2312"/>
        </w:rPr>
        <w:t>：</w:t>
      </w:r>
    </w:p>
    <w:p w14:paraId="4E86E8FA">
      <w:pPr>
        <w:spacing w:line="360" w:lineRule="auto"/>
        <w:ind w:firstLine="600"/>
        <w:rPr>
          <w:rFonts w:ascii="仿宋_GB2312" w:eastAsia="仿宋_GB2312"/>
        </w:rPr>
      </w:pPr>
      <w:r>
        <w:rPr>
          <w:rFonts w:ascii="仿宋_GB2312" w:eastAsia="仿宋_GB2312"/>
        </w:rPr>
        <w:t>承包人无正当理由拒绝撤换</w:t>
      </w:r>
      <w:r>
        <w:rPr>
          <w:rFonts w:hint="eastAsia" w:ascii="仿宋_GB2312" w:eastAsia="仿宋_GB2312"/>
        </w:rPr>
        <w:t>关键人员</w:t>
      </w:r>
      <w:r>
        <w:rPr>
          <w:rFonts w:ascii="仿宋_GB2312" w:eastAsia="仿宋_GB2312"/>
        </w:rPr>
        <w:t>的违约责任</w:t>
      </w:r>
      <w:r>
        <w:rPr>
          <w:rFonts w:hint="eastAsia" w:ascii="仿宋_GB2312" w:eastAsia="仿宋_GB2312"/>
        </w:rPr>
        <w:t>：</w:t>
      </w:r>
    </w:p>
    <w:p w14:paraId="53F48130">
      <w:pPr>
        <w:spacing w:line="360" w:lineRule="auto"/>
        <w:ind w:firstLine="600"/>
        <w:outlineLvl w:val="4"/>
        <w:rPr>
          <w:rFonts w:ascii="仿宋_GB2312" w:eastAsia="仿宋_GB2312"/>
        </w:rPr>
      </w:pPr>
      <w:r>
        <w:rPr>
          <w:rFonts w:ascii="仿宋_GB2312" w:eastAsia="仿宋_GB2312"/>
        </w:rPr>
        <w:t xml:space="preserve">4.4.3 </w:t>
      </w:r>
      <w:r>
        <w:rPr>
          <w:rFonts w:hint="eastAsia" w:ascii="仿宋_GB2312" w:eastAsia="仿宋_GB2312"/>
        </w:rPr>
        <w:t>现场管理关键人员在岗要求</w:t>
      </w:r>
    </w:p>
    <w:p w14:paraId="730E1154">
      <w:pPr>
        <w:spacing w:line="360" w:lineRule="auto"/>
        <w:ind w:firstLine="600"/>
        <w:rPr>
          <w:rFonts w:ascii="仿宋_GB2312" w:eastAsia="仿宋_GB2312"/>
        </w:rPr>
      </w:pPr>
      <w:r>
        <w:rPr>
          <w:rFonts w:ascii="仿宋_GB2312" w:eastAsia="仿宋_GB2312"/>
        </w:rPr>
        <w:t>承包人</w:t>
      </w:r>
      <w:r>
        <w:rPr>
          <w:rFonts w:hint="eastAsia" w:ascii="仿宋_GB2312" w:eastAsia="仿宋_GB2312"/>
        </w:rPr>
        <w:t>现场管理关键</w:t>
      </w:r>
      <w:r>
        <w:rPr>
          <w:rFonts w:ascii="仿宋_GB2312" w:eastAsia="仿宋_GB2312"/>
        </w:rPr>
        <w:t>人员离开施工现场的批准要求</w:t>
      </w:r>
      <w:r>
        <w:rPr>
          <w:rFonts w:hint="eastAsia" w:ascii="仿宋_GB2312" w:eastAsia="仿宋_GB2312"/>
        </w:rPr>
        <w:t>：</w:t>
      </w:r>
    </w:p>
    <w:p w14:paraId="5FA89DC6">
      <w:pPr>
        <w:spacing w:line="360" w:lineRule="auto"/>
        <w:ind w:firstLine="600"/>
        <w:rPr>
          <w:rFonts w:ascii="仿宋_GB2312" w:eastAsia="仿宋_GB2312"/>
        </w:rPr>
      </w:pPr>
      <w:r>
        <w:rPr>
          <w:rFonts w:hint="eastAsia" w:ascii="仿宋_GB2312" w:eastAsia="仿宋_GB2312"/>
        </w:rPr>
        <w:t>承包人现场管理关键人员擅自离开施工现场的违约责任：</w:t>
      </w:r>
    </w:p>
    <w:p w14:paraId="57C6234F">
      <w:pPr>
        <w:spacing w:line="360" w:lineRule="auto"/>
        <w:ind w:firstLine="600"/>
        <w:outlineLvl w:val="3"/>
        <w:rPr>
          <w:rFonts w:hint="eastAsia" w:ascii="黑体" w:hAnsi="黑体" w:eastAsia="黑体"/>
        </w:rPr>
      </w:pPr>
      <w:r>
        <w:rPr>
          <w:rFonts w:hint="eastAsia" w:ascii="黑体" w:hAnsi="黑体" w:eastAsia="黑体"/>
        </w:rPr>
        <w:t>4.5 分包</w:t>
      </w:r>
    </w:p>
    <w:p w14:paraId="064096D2">
      <w:pPr>
        <w:spacing w:line="360" w:lineRule="auto"/>
        <w:ind w:firstLine="600"/>
        <w:outlineLvl w:val="4"/>
        <w:rPr>
          <w:rFonts w:ascii="仿宋_GB2312" w:eastAsia="仿宋_GB2312"/>
        </w:rPr>
      </w:pPr>
      <w:r>
        <w:rPr>
          <w:rFonts w:ascii="仿宋_GB2312" w:eastAsia="仿宋_GB2312"/>
        </w:rPr>
        <w:t xml:space="preserve">4.5.1 </w:t>
      </w:r>
      <w:r>
        <w:rPr>
          <w:rFonts w:hint="eastAsia" w:ascii="仿宋_GB2312" w:eastAsia="仿宋_GB2312"/>
        </w:rPr>
        <w:t>一般约定</w:t>
      </w:r>
    </w:p>
    <w:p w14:paraId="7C085B45">
      <w:pPr>
        <w:spacing w:line="360" w:lineRule="auto"/>
        <w:ind w:firstLine="600"/>
        <w:rPr>
          <w:rFonts w:ascii="仿宋_GB2312" w:eastAsia="仿宋_GB2312"/>
        </w:rPr>
      </w:pPr>
      <w:r>
        <w:rPr>
          <w:rFonts w:ascii="仿宋_GB2312" w:eastAsia="仿宋_GB2312"/>
        </w:rPr>
        <w:t>禁止分包的工程包括</w:t>
      </w:r>
      <w:r>
        <w:rPr>
          <w:rFonts w:hint="eastAsia" w:ascii="仿宋_GB2312" w:eastAsia="仿宋_GB2312"/>
        </w:rPr>
        <w:t>：</w:t>
      </w:r>
    </w:p>
    <w:p w14:paraId="61F157D7">
      <w:pPr>
        <w:spacing w:line="360" w:lineRule="auto"/>
        <w:ind w:firstLine="600"/>
        <w:outlineLvl w:val="4"/>
        <w:rPr>
          <w:rFonts w:ascii="仿宋_GB2312" w:eastAsia="仿宋_GB2312"/>
        </w:rPr>
      </w:pPr>
      <w:r>
        <w:rPr>
          <w:rFonts w:ascii="仿宋_GB2312" w:eastAsia="仿宋_GB2312"/>
        </w:rPr>
        <w:t xml:space="preserve">4.5.2 </w:t>
      </w:r>
      <w:r>
        <w:rPr>
          <w:rFonts w:hint="eastAsia" w:ascii="仿宋_GB2312" w:eastAsia="仿宋_GB2312"/>
        </w:rPr>
        <w:t>分包的确定</w:t>
      </w:r>
    </w:p>
    <w:p w14:paraId="34056ED7">
      <w:pPr>
        <w:spacing w:line="360" w:lineRule="auto"/>
        <w:ind w:firstLine="600"/>
        <w:rPr>
          <w:rFonts w:ascii="仿宋_GB2312" w:eastAsia="仿宋_GB2312"/>
        </w:rPr>
      </w:pPr>
      <w:r>
        <w:rPr>
          <w:rFonts w:ascii="仿宋_GB2312" w:eastAsia="仿宋_GB2312"/>
        </w:rPr>
        <w:t>允许分包的工程包括</w:t>
      </w:r>
      <w:r>
        <w:rPr>
          <w:rFonts w:hint="eastAsia" w:ascii="仿宋_GB2312" w:eastAsia="仿宋_GB2312"/>
        </w:rPr>
        <w:t>：</w:t>
      </w:r>
    </w:p>
    <w:p w14:paraId="4F06993A">
      <w:pPr>
        <w:spacing w:line="360" w:lineRule="auto"/>
        <w:ind w:firstLine="600"/>
        <w:rPr>
          <w:rFonts w:ascii="仿宋_GB2312" w:eastAsia="仿宋_GB2312"/>
        </w:rPr>
      </w:pPr>
      <w:r>
        <w:rPr>
          <w:rFonts w:ascii="仿宋_GB2312" w:eastAsia="仿宋_GB2312"/>
        </w:rPr>
        <w:t>其他关于分包的约定</w:t>
      </w:r>
      <w:r>
        <w:rPr>
          <w:rFonts w:hint="eastAsia" w:ascii="仿宋_GB2312" w:eastAsia="仿宋_GB2312"/>
        </w:rPr>
        <w:t>：</w:t>
      </w:r>
    </w:p>
    <w:p w14:paraId="4713C5E0">
      <w:pPr>
        <w:spacing w:line="360" w:lineRule="auto"/>
        <w:ind w:firstLine="600"/>
        <w:outlineLvl w:val="4"/>
        <w:rPr>
          <w:rFonts w:ascii="仿宋_GB2312" w:eastAsia="仿宋_GB2312"/>
        </w:rPr>
      </w:pPr>
      <w:r>
        <w:rPr>
          <w:rFonts w:ascii="仿宋_GB2312" w:eastAsia="仿宋_GB2312"/>
        </w:rPr>
        <w:t xml:space="preserve">4.5.5 </w:t>
      </w:r>
      <w:r>
        <w:rPr>
          <w:rFonts w:hint="eastAsia" w:ascii="仿宋_GB2312" w:eastAsia="仿宋_GB2312"/>
        </w:rPr>
        <w:t>分包合同价款支付</w:t>
      </w:r>
    </w:p>
    <w:p w14:paraId="35759304">
      <w:pPr>
        <w:spacing w:line="360" w:lineRule="auto"/>
        <w:ind w:firstLine="600"/>
        <w:rPr>
          <w:rFonts w:ascii="仿宋_GB2312" w:eastAsia="仿宋_GB2312"/>
        </w:rPr>
      </w:pPr>
      <w:r>
        <w:rPr>
          <w:rFonts w:hint="eastAsia" w:ascii="仿宋_GB2312" w:eastAsia="仿宋_GB2312"/>
        </w:rPr>
        <w:t>关于分包合同价款支付的约定：</w:t>
      </w:r>
    </w:p>
    <w:p w14:paraId="66174351">
      <w:pPr>
        <w:spacing w:line="360" w:lineRule="auto"/>
        <w:ind w:firstLine="600"/>
        <w:outlineLvl w:val="3"/>
        <w:rPr>
          <w:rFonts w:hint="eastAsia" w:ascii="黑体" w:hAnsi="黑体" w:eastAsia="黑体"/>
        </w:rPr>
      </w:pPr>
      <w:r>
        <w:rPr>
          <w:rFonts w:hint="eastAsia" w:ascii="黑体" w:hAnsi="黑体" w:eastAsia="黑体"/>
        </w:rPr>
        <w:t>4.6 联合体</w:t>
      </w:r>
    </w:p>
    <w:p w14:paraId="499EFC14">
      <w:pPr>
        <w:spacing w:line="360" w:lineRule="auto"/>
        <w:ind w:firstLine="600"/>
        <w:outlineLvl w:val="4"/>
        <w:rPr>
          <w:rFonts w:ascii="仿宋_GB2312" w:eastAsia="仿宋_GB2312"/>
        </w:rPr>
      </w:pPr>
      <w:r>
        <w:rPr>
          <w:rFonts w:hint="eastAsia" w:ascii="仿宋_GB2312" w:eastAsia="仿宋_GB2312"/>
        </w:rPr>
        <w:t>4</w:t>
      </w:r>
      <w:r>
        <w:rPr>
          <w:rFonts w:ascii="仿宋_GB2312" w:eastAsia="仿宋_GB2312"/>
        </w:rPr>
        <w:t xml:space="preserve">.6.2 </w:t>
      </w:r>
      <w:r>
        <w:rPr>
          <w:rFonts w:hint="eastAsia" w:ascii="仿宋_GB2312" w:eastAsia="仿宋_GB2312"/>
        </w:rPr>
        <w:t>联合体各成员的分工、费用收取、发票开具等事项：</w:t>
      </w:r>
    </w:p>
    <w:p w14:paraId="3A2CC543">
      <w:pPr>
        <w:spacing w:line="360" w:lineRule="auto"/>
        <w:ind w:firstLine="600"/>
        <w:outlineLvl w:val="3"/>
        <w:rPr>
          <w:rFonts w:hint="eastAsia" w:ascii="黑体" w:hAnsi="黑体" w:eastAsia="黑体"/>
        </w:rPr>
      </w:pPr>
      <w:r>
        <w:rPr>
          <w:rFonts w:hint="eastAsia" w:ascii="黑体" w:hAnsi="黑体" w:eastAsia="黑体"/>
        </w:rPr>
        <w:t>4.7 承包人现场查勘</w:t>
      </w:r>
    </w:p>
    <w:p w14:paraId="713A2597">
      <w:pPr>
        <w:spacing w:line="360" w:lineRule="auto"/>
        <w:ind w:firstLine="600"/>
        <w:outlineLvl w:val="4"/>
        <w:rPr>
          <w:rFonts w:ascii="仿宋_GB2312" w:eastAsia="仿宋_GB2312"/>
        </w:rPr>
      </w:pPr>
      <w:r>
        <w:rPr>
          <w:rFonts w:hint="eastAsia" w:ascii="仿宋_GB2312" w:eastAsia="仿宋_GB2312"/>
        </w:rPr>
        <w:t>4</w:t>
      </w:r>
      <w:r>
        <w:rPr>
          <w:rFonts w:ascii="仿宋_GB2312" w:eastAsia="仿宋_GB2312"/>
        </w:rPr>
        <w:t xml:space="preserve">.7.1 </w:t>
      </w:r>
      <w:r>
        <w:rPr>
          <w:rFonts w:hint="eastAsia" w:ascii="仿宋_GB2312" w:eastAsia="仿宋_GB2312"/>
        </w:rPr>
        <w:t>双方当事人对现场查勘的责任承担的约定：</w:t>
      </w:r>
    </w:p>
    <w:p w14:paraId="4CFB041A">
      <w:pPr>
        <w:spacing w:line="360" w:lineRule="auto"/>
        <w:ind w:firstLine="600"/>
        <w:outlineLvl w:val="3"/>
        <w:rPr>
          <w:rFonts w:hint="eastAsia" w:ascii="黑体" w:hAnsi="黑体" w:eastAsia="黑体"/>
        </w:rPr>
      </w:pPr>
      <w:r>
        <w:rPr>
          <w:rFonts w:hint="eastAsia" w:ascii="黑体" w:hAnsi="黑体" w:eastAsia="黑体"/>
        </w:rPr>
        <w:t>4.8 不可预见的困难</w:t>
      </w:r>
    </w:p>
    <w:p w14:paraId="5AEFBBC6">
      <w:pPr>
        <w:spacing w:line="360" w:lineRule="auto"/>
        <w:ind w:firstLine="600"/>
        <w:rPr>
          <w:rFonts w:ascii="仿宋_GB2312" w:eastAsia="仿宋_GB2312"/>
        </w:rPr>
      </w:pPr>
      <w:r>
        <w:rPr>
          <w:rFonts w:hint="eastAsia" w:ascii="仿宋_GB2312" w:eastAsia="仿宋_GB2312"/>
        </w:rPr>
        <w:t>不可预见的困难包括：</w:t>
      </w:r>
    </w:p>
    <w:p w14:paraId="6B236879">
      <w:pPr>
        <w:pStyle w:val="43"/>
        <w:spacing w:before="0" w:after="0"/>
        <w:jc w:val="left"/>
        <w:outlineLvl w:val="2"/>
        <w:rPr>
          <w:rFonts w:hint="eastAsia" w:ascii="黑体" w:hAnsi="黑体" w:eastAsia="黑体"/>
          <w:b w:val="0"/>
          <w:sz w:val="28"/>
          <w:szCs w:val="28"/>
        </w:rPr>
      </w:pPr>
      <w:bookmarkStart w:id="1797" w:name="_Toc5987"/>
      <w:bookmarkEnd w:id="1797"/>
      <w:bookmarkStart w:id="1798" w:name="_Toc2681"/>
      <w:bookmarkEnd w:id="1798"/>
      <w:bookmarkStart w:id="1799" w:name="_Toc54862336"/>
      <w:bookmarkEnd w:id="1799"/>
      <w:r>
        <w:rPr>
          <w:rFonts w:hint="eastAsia" w:ascii="黑体" w:hAnsi="黑体" w:eastAsia="黑体"/>
          <w:b w:val="0"/>
          <w:sz w:val="28"/>
          <w:szCs w:val="28"/>
        </w:rPr>
        <w:t>第5条 设计</w:t>
      </w:r>
    </w:p>
    <w:p w14:paraId="2A89198C">
      <w:pPr>
        <w:spacing w:line="360" w:lineRule="auto"/>
        <w:ind w:firstLine="600"/>
        <w:outlineLvl w:val="3"/>
        <w:rPr>
          <w:rFonts w:hint="eastAsia" w:ascii="黑体" w:hAnsi="黑体" w:eastAsia="黑体"/>
        </w:rPr>
      </w:pPr>
      <w:r>
        <w:rPr>
          <w:rFonts w:hint="eastAsia" w:ascii="黑体" w:hAnsi="黑体" w:eastAsia="黑体"/>
        </w:rPr>
        <w:t>5.2 承包人文件审查</w:t>
      </w:r>
    </w:p>
    <w:p w14:paraId="4DD06CD2">
      <w:pPr>
        <w:spacing w:line="360" w:lineRule="auto"/>
        <w:ind w:firstLine="600"/>
        <w:outlineLvl w:val="4"/>
        <w:rPr>
          <w:rFonts w:ascii="仿宋_GB2312" w:eastAsia="仿宋_GB2312"/>
        </w:rPr>
      </w:pPr>
      <w:r>
        <w:rPr>
          <w:rFonts w:hint="eastAsia" w:ascii="仿宋_GB2312" w:eastAsia="仿宋_GB2312"/>
        </w:rPr>
        <w:t>5</w:t>
      </w:r>
      <w:r>
        <w:rPr>
          <w:rFonts w:ascii="仿宋_GB2312" w:eastAsia="仿宋_GB2312"/>
        </w:rPr>
        <w:t xml:space="preserve">.2.1 </w:t>
      </w:r>
      <w:r>
        <w:rPr>
          <w:rFonts w:hint="eastAsia" w:ascii="仿宋_GB2312" w:eastAsia="仿宋_GB2312"/>
        </w:rPr>
        <w:t>承包人文件审查的期限：</w:t>
      </w:r>
    </w:p>
    <w:p w14:paraId="2EAC3BE2">
      <w:pPr>
        <w:spacing w:line="360" w:lineRule="auto"/>
        <w:ind w:firstLine="600"/>
        <w:rPr>
          <w:rFonts w:ascii="仿宋_GB2312" w:eastAsia="仿宋_GB2312"/>
        </w:rPr>
      </w:pPr>
      <w:r>
        <w:rPr>
          <w:rFonts w:ascii="仿宋_GB2312" w:eastAsia="仿宋_GB2312"/>
        </w:rPr>
        <w:t xml:space="preserve">5.2.2 </w:t>
      </w:r>
      <w:r>
        <w:rPr>
          <w:rFonts w:hint="eastAsia" w:ascii="仿宋_GB2312" w:eastAsia="仿宋_GB2312"/>
        </w:rPr>
        <w:t>审查会议的审查形式和时间安排为：审查会议的相关费用由承担。</w:t>
      </w:r>
    </w:p>
    <w:p w14:paraId="5568408A">
      <w:pPr>
        <w:spacing w:line="360" w:lineRule="auto"/>
        <w:ind w:firstLine="600"/>
        <w:outlineLvl w:val="4"/>
        <w:rPr>
          <w:rFonts w:ascii="仿宋_GB2312" w:eastAsia="仿宋_GB2312"/>
        </w:rPr>
      </w:pPr>
      <w:r>
        <w:rPr>
          <w:rFonts w:hint="eastAsia" w:ascii="仿宋_GB2312" w:eastAsia="仿宋_GB2312"/>
        </w:rPr>
        <w:t>5</w:t>
      </w:r>
      <w:r>
        <w:rPr>
          <w:rFonts w:ascii="仿宋_GB2312" w:eastAsia="仿宋_GB2312"/>
        </w:rPr>
        <w:t xml:space="preserve">.2.3 </w:t>
      </w:r>
      <w:r>
        <w:rPr>
          <w:rFonts w:hint="eastAsia" w:ascii="仿宋_GB2312" w:eastAsia="仿宋_GB2312"/>
        </w:rPr>
        <w:t>关于第三方审查单位的约定：</w:t>
      </w:r>
    </w:p>
    <w:p w14:paraId="793D0F53">
      <w:pPr>
        <w:spacing w:line="360" w:lineRule="auto"/>
        <w:ind w:firstLine="600"/>
        <w:outlineLvl w:val="3"/>
        <w:rPr>
          <w:rFonts w:hint="eastAsia" w:ascii="黑体" w:hAnsi="黑体" w:eastAsia="黑体"/>
        </w:rPr>
      </w:pPr>
      <w:r>
        <w:rPr>
          <w:rFonts w:hint="eastAsia" w:ascii="黑体" w:hAnsi="黑体" w:eastAsia="黑体"/>
        </w:rPr>
        <w:t>5.3 培训</w:t>
      </w:r>
    </w:p>
    <w:p w14:paraId="5DB1AE18">
      <w:pPr>
        <w:spacing w:line="360" w:lineRule="auto"/>
        <w:ind w:firstLine="600"/>
        <w:rPr>
          <w:rFonts w:ascii="仿宋_GB2312" w:eastAsia="仿宋_GB2312"/>
        </w:rPr>
      </w:pPr>
      <w:r>
        <w:rPr>
          <w:rFonts w:hint="eastAsia" w:ascii="仿宋_GB2312" w:eastAsia="仿宋_GB2312"/>
        </w:rPr>
        <w:t>培训的时长为，承包人应为培训提供的人员、设施和其他必要条件为。</w:t>
      </w:r>
    </w:p>
    <w:p w14:paraId="45D4FAD4">
      <w:pPr>
        <w:spacing w:line="360" w:lineRule="auto"/>
        <w:ind w:firstLine="600"/>
        <w:outlineLvl w:val="3"/>
        <w:rPr>
          <w:rFonts w:hint="eastAsia" w:ascii="黑体" w:hAnsi="黑体" w:eastAsia="黑体"/>
        </w:rPr>
      </w:pPr>
      <w:r>
        <w:rPr>
          <w:rFonts w:hint="eastAsia" w:ascii="黑体" w:hAnsi="黑体" w:eastAsia="黑体"/>
        </w:rPr>
        <w:t>5.4 竣工文件</w:t>
      </w:r>
    </w:p>
    <w:p w14:paraId="51C6A4FC">
      <w:pPr>
        <w:spacing w:line="360" w:lineRule="auto"/>
        <w:ind w:firstLine="600"/>
        <w:rPr>
          <w:rFonts w:ascii="仿宋_GB2312" w:eastAsia="仿宋_GB2312"/>
        </w:rPr>
      </w:pPr>
      <w:r>
        <w:rPr>
          <w:rFonts w:ascii="仿宋_GB2312" w:eastAsia="仿宋_GB2312"/>
        </w:rPr>
        <w:t xml:space="preserve">5.4.1 </w:t>
      </w:r>
      <w:r>
        <w:rPr>
          <w:rFonts w:hint="eastAsia" w:ascii="仿宋_GB2312" w:eastAsia="仿宋_GB2312"/>
        </w:rPr>
        <w:t>竣工文件的形式、提供的份数、技术标准以及其他相关要求：</w:t>
      </w:r>
    </w:p>
    <w:p w14:paraId="0BE8706E">
      <w:pPr>
        <w:spacing w:line="360" w:lineRule="auto"/>
        <w:ind w:firstLine="600"/>
        <w:outlineLvl w:val="4"/>
        <w:rPr>
          <w:rFonts w:ascii="仿宋_GB2312" w:eastAsia="仿宋_GB2312"/>
        </w:rPr>
      </w:pPr>
      <w:r>
        <w:rPr>
          <w:rFonts w:hint="eastAsia" w:ascii="仿宋_GB2312" w:eastAsia="仿宋_GB2312"/>
        </w:rPr>
        <w:t>5</w:t>
      </w:r>
      <w:r>
        <w:rPr>
          <w:rFonts w:ascii="仿宋_GB2312" w:eastAsia="仿宋_GB2312"/>
        </w:rPr>
        <w:t xml:space="preserve">.4.3 </w:t>
      </w:r>
      <w:r>
        <w:rPr>
          <w:rFonts w:hint="eastAsia" w:ascii="仿宋_GB2312" w:eastAsia="仿宋_GB2312"/>
        </w:rPr>
        <w:t>关于竣工文件的其他约定：</w:t>
      </w:r>
    </w:p>
    <w:p w14:paraId="57FAE5FD">
      <w:pPr>
        <w:spacing w:line="360" w:lineRule="auto"/>
        <w:ind w:firstLine="600"/>
        <w:outlineLvl w:val="3"/>
        <w:rPr>
          <w:rFonts w:hint="eastAsia" w:ascii="黑体" w:hAnsi="黑体" w:eastAsia="黑体"/>
        </w:rPr>
      </w:pPr>
      <w:r>
        <w:rPr>
          <w:rFonts w:hint="eastAsia" w:ascii="黑体" w:hAnsi="黑体" w:eastAsia="黑体"/>
        </w:rPr>
        <w:t>5.5 操作和维修手册</w:t>
      </w:r>
    </w:p>
    <w:p w14:paraId="47A0D0BF">
      <w:pPr>
        <w:spacing w:line="360" w:lineRule="auto"/>
        <w:ind w:firstLine="600"/>
        <w:outlineLvl w:val="4"/>
        <w:rPr>
          <w:rFonts w:ascii="仿宋_GB2312" w:eastAsia="仿宋_GB2312"/>
        </w:rPr>
      </w:pPr>
      <w:r>
        <w:rPr>
          <w:rFonts w:ascii="仿宋_GB2312" w:eastAsia="仿宋_GB2312"/>
        </w:rPr>
        <w:t xml:space="preserve">5.5.3 </w:t>
      </w:r>
      <w:r>
        <w:rPr>
          <w:rFonts w:hint="eastAsia" w:ascii="仿宋_GB2312" w:eastAsia="仿宋_GB2312"/>
        </w:rPr>
        <w:t>对最终操作和维修手册的约定：</w:t>
      </w:r>
    </w:p>
    <w:p w14:paraId="7F73DF0E">
      <w:pPr>
        <w:pStyle w:val="43"/>
        <w:spacing w:before="0" w:after="0"/>
        <w:jc w:val="left"/>
        <w:outlineLvl w:val="2"/>
        <w:rPr>
          <w:rFonts w:hint="eastAsia" w:ascii="黑体" w:hAnsi="黑体" w:eastAsia="黑体"/>
          <w:b w:val="0"/>
          <w:sz w:val="28"/>
          <w:szCs w:val="28"/>
        </w:rPr>
      </w:pPr>
      <w:bookmarkStart w:id="1800" w:name="_Toc12330"/>
      <w:bookmarkEnd w:id="1800"/>
      <w:bookmarkStart w:id="1801" w:name="_Toc54862337"/>
      <w:bookmarkEnd w:id="1801"/>
      <w:bookmarkStart w:id="1802" w:name="_Toc27862"/>
      <w:bookmarkEnd w:id="1802"/>
      <w:r>
        <w:rPr>
          <w:rFonts w:hint="eastAsia" w:ascii="黑体" w:hAnsi="黑体" w:eastAsia="黑体"/>
          <w:b w:val="0"/>
          <w:sz w:val="28"/>
          <w:szCs w:val="28"/>
        </w:rPr>
        <w:t>第6条 材料、工程设备</w:t>
      </w:r>
    </w:p>
    <w:p w14:paraId="13483892">
      <w:pPr>
        <w:spacing w:line="360" w:lineRule="auto"/>
        <w:ind w:firstLine="600"/>
        <w:outlineLvl w:val="3"/>
        <w:rPr>
          <w:rFonts w:hint="eastAsia" w:ascii="黑体" w:hAnsi="黑体" w:eastAsia="黑体"/>
        </w:rPr>
      </w:pPr>
      <w:r>
        <w:rPr>
          <w:rFonts w:hint="eastAsia" w:ascii="黑体" w:hAnsi="黑体" w:eastAsia="黑体"/>
        </w:rPr>
        <w:t>6.1 实施方法</w:t>
      </w:r>
    </w:p>
    <w:p w14:paraId="351CA8B8">
      <w:pPr>
        <w:spacing w:line="360" w:lineRule="auto"/>
        <w:ind w:firstLine="600"/>
        <w:rPr>
          <w:rFonts w:ascii="仿宋_GB2312" w:eastAsia="仿宋_GB2312"/>
        </w:rPr>
      </w:pPr>
      <w:r>
        <w:rPr>
          <w:rFonts w:hint="eastAsia" w:ascii="仿宋_GB2312" w:eastAsia="仿宋_GB2312"/>
        </w:rPr>
        <w:t>双方当事人约定的实施方法、设备、设施和材料：</w:t>
      </w:r>
    </w:p>
    <w:p w14:paraId="2F7EBD90">
      <w:pPr>
        <w:spacing w:line="360" w:lineRule="auto"/>
        <w:ind w:firstLine="600"/>
        <w:outlineLvl w:val="3"/>
        <w:rPr>
          <w:rFonts w:hint="eastAsia" w:ascii="黑体" w:hAnsi="黑体" w:eastAsia="黑体"/>
        </w:rPr>
      </w:pPr>
      <w:r>
        <w:rPr>
          <w:rFonts w:hint="eastAsia" w:ascii="黑体" w:hAnsi="黑体" w:eastAsia="黑体"/>
        </w:rPr>
        <w:t>6.2 材料和工程设备</w:t>
      </w:r>
    </w:p>
    <w:p w14:paraId="4AEA0FA8">
      <w:pPr>
        <w:spacing w:line="360" w:lineRule="auto"/>
        <w:ind w:firstLine="600"/>
        <w:outlineLvl w:val="4"/>
        <w:rPr>
          <w:rFonts w:ascii="仿宋_GB2312" w:eastAsia="仿宋_GB2312"/>
        </w:rPr>
      </w:pPr>
      <w:r>
        <w:rPr>
          <w:rFonts w:ascii="仿宋_GB2312" w:eastAsia="仿宋_GB2312"/>
        </w:rPr>
        <w:t xml:space="preserve">6.2.1 </w:t>
      </w:r>
      <w:r>
        <w:rPr>
          <w:rFonts w:hint="eastAsia" w:ascii="仿宋_GB2312" w:eastAsia="仿宋_GB2312"/>
        </w:rPr>
        <w:t>发包人提供的材料和工程设备</w:t>
      </w:r>
    </w:p>
    <w:p w14:paraId="409DE3E4">
      <w:pPr>
        <w:spacing w:line="360" w:lineRule="auto"/>
        <w:ind w:firstLine="600"/>
        <w:rPr>
          <w:rFonts w:ascii="仿宋_GB2312" w:eastAsia="仿宋_GB2312"/>
        </w:rPr>
      </w:pPr>
      <w:r>
        <w:rPr>
          <w:rFonts w:hint="eastAsia" w:ascii="仿宋_GB2312" w:eastAsia="仿宋_GB2312"/>
        </w:rPr>
        <w:t>发包人提供的材料和工程设备验收后，负责接收、运输和保管。</w:t>
      </w:r>
    </w:p>
    <w:p w14:paraId="7346704E">
      <w:pPr>
        <w:spacing w:line="360" w:lineRule="auto"/>
        <w:ind w:firstLine="600"/>
        <w:outlineLvl w:val="4"/>
        <w:rPr>
          <w:rFonts w:ascii="仿宋_GB2312" w:eastAsia="仿宋_GB2312"/>
        </w:rPr>
      </w:pPr>
      <w:r>
        <w:rPr>
          <w:rFonts w:ascii="仿宋_GB2312" w:eastAsia="仿宋_GB2312"/>
        </w:rPr>
        <w:t xml:space="preserve">6.2.2 </w:t>
      </w:r>
      <w:r>
        <w:rPr>
          <w:rFonts w:hint="eastAsia" w:ascii="仿宋_GB2312" w:eastAsia="仿宋_GB2312"/>
        </w:rPr>
        <w:t>承包人提供的材料和工程设备</w:t>
      </w:r>
    </w:p>
    <w:p w14:paraId="73AAA98B">
      <w:pPr>
        <w:spacing w:line="360" w:lineRule="auto"/>
        <w:ind w:firstLine="600"/>
        <w:rPr>
          <w:rFonts w:ascii="仿宋_GB2312" w:eastAsia="仿宋_GB2312"/>
        </w:rPr>
      </w:pPr>
      <w:r>
        <w:rPr>
          <w:rFonts w:hint="eastAsia" w:ascii="仿宋_GB2312" w:eastAsia="仿宋_GB2312"/>
        </w:rPr>
        <w:t>材料和工程设备的类别、估算数量：</w:t>
      </w:r>
    </w:p>
    <w:p w14:paraId="605C1DA5">
      <w:pPr>
        <w:spacing w:line="360" w:lineRule="auto"/>
        <w:ind w:firstLine="600"/>
        <w:rPr>
          <w:rFonts w:ascii="仿宋_GB2312" w:eastAsia="仿宋_GB2312"/>
        </w:rPr>
      </w:pPr>
      <w:r>
        <w:rPr>
          <w:rFonts w:hint="eastAsia" w:ascii="仿宋_GB2312" w:eastAsia="仿宋_GB2312"/>
        </w:rPr>
        <w:t>竣工后试验的生产性材料的类别或（和）清单：</w:t>
      </w:r>
    </w:p>
    <w:p w14:paraId="581533CC">
      <w:pPr>
        <w:spacing w:line="360" w:lineRule="auto"/>
        <w:ind w:firstLine="600"/>
        <w:outlineLvl w:val="4"/>
        <w:rPr>
          <w:rFonts w:ascii="仿宋_GB2312" w:eastAsia="仿宋_GB2312"/>
        </w:rPr>
      </w:pPr>
      <w:r>
        <w:rPr>
          <w:rFonts w:ascii="仿宋_GB2312" w:eastAsia="仿宋_GB2312"/>
        </w:rPr>
        <w:t xml:space="preserve">6.2.3 </w:t>
      </w:r>
      <w:r>
        <w:rPr>
          <w:rFonts w:hint="eastAsia" w:ascii="仿宋_GB2312" w:eastAsia="仿宋_GB2312"/>
        </w:rPr>
        <w:t>材料和工程设备的保管</w:t>
      </w:r>
    </w:p>
    <w:p w14:paraId="30D09990">
      <w:pPr>
        <w:spacing w:line="360" w:lineRule="auto"/>
        <w:ind w:firstLine="600"/>
        <w:rPr>
          <w:rFonts w:ascii="仿宋_GB2312" w:eastAsia="仿宋_GB2312"/>
        </w:rPr>
      </w:pPr>
      <w:r>
        <w:rPr>
          <w:rFonts w:hint="eastAsia" w:ascii="仿宋_GB2312" w:eastAsia="仿宋_GB2312"/>
        </w:rPr>
        <w:t>发包人供应的材料和工程设备的保管费用由承担。</w:t>
      </w:r>
    </w:p>
    <w:p w14:paraId="7BCBBD6C">
      <w:pPr>
        <w:spacing w:line="360" w:lineRule="auto"/>
        <w:ind w:firstLine="600"/>
        <w:rPr>
          <w:rFonts w:ascii="仿宋_GB2312" w:eastAsia="仿宋_GB2312"/>
        </w:rPr>
      </w:pPr>
      <w:r>
        <w:rPr>
          <w:rFonts w:hint="eastAsia" w:ascii="仿宋_GB2312" w:eastAsia="仿宋_GB2312"/>
        </w:rPr>
        <w:t>承包人提交保管、维护方案的时间：</w:t>
      </w:r>
    </w:p>
    <w:p w14:paraId="629A84DD">
      <w:pPr>
        <w:spacing w:line="360" w:lineRule="auto"/>
        <w:ind w:firstLine="600"/>
        <w:rPr>
          <w:rFonts w:ascii="仿宋_GB2312" w:eastAsia="仿宋_GB2312"/>
        </w:rPr>
      </w:pPr>
      <w:r>
        <w:rPr>
          <w:rFonts w:hint="eastAsia" w:ascii="仿宋_GB2312" w:eastAsia="仿宋_GB2312"/>
        </w:rPr>
        <w:t>发包人提供的库房、堆场、设施和设备：</w:t>
      </w:r>
    </w:p>
    <w:p w14:paraId="1384D6F2">
      <w:pPr>
        <w:spacing w:line="360" w:lineRule="auto"/>
        <w:ind w:firstLine="600"/>
        <w:outlineLvl w:val="3"/>
        <w:rPr>
          <w:rFonts w:hint="eastAsia" w:ascii="黑体" w:hAnsi="黑体" w:eastAsia="黑体"/>
        </w:rPr>
      </w:pPr>
      <w:r>
        <w:rPr>
          <w:rFonts w:hint="eastAsia" w:ascii="黑体" w:hAnsi="黑体" w:eastAsia="黑体"/>
        </w:rPr>
        <w:t>6.3 样品</w:t>
      </w:r>
    </w:p>
    <w:p w14:paraId="667516FB">
      <w:pPr>
        <w:spacing w:line="360" w:lineRule="auto"/>
        <w:ind w:firstLine="600"/>
        <w:outlineLvl w:val="4"/>
        <w:rPr>
          <w:rFonts w:ascii="仿宋_GB2312" w:eastAsia="仿宋_GB2312"/>
        </w:rPr>
      </w:pPr>
      <w:r>
        <w:rPr>
          <w:rFonts w:hint="eastAsia" w:ascii="仿宋_GB2312" w:eastAsia="仿宋_GB2312"/>
        </w:rPr>
        <w:t>6</w:t>
      </w:r>
      <w:r>
        <w:rPr>
          <w:rFonts w:ascii="仿宋_GB2312" w:eastAsia="仿宋_GB2312"/>
        </w:rPr>
        <w:t xml:space="preserve">.3.1 </w:t>
      </w:r>
      <w:r>
        <w:rPr>
          <w:rFonts w:hint="eastAsia" w:ascii="仿宋_GB2312" w:eastAsia="仿宋_GB2312"/>
        </w:rPr>
        <w:t>样品的报送与封存</w:t>
      </w:r>
    </w:p>
    <w:p w14:paraId="33E24EE7">
      <w:pPr>
        <w:spacing w:line="360" w:lineRule="auto"/>
        <w:ind w:firstLine="600"/>
        <w:rPr>
          <w:rFonts w:ascii="仿宋_GB2312" w:eastAsia="仿宋_GB2312"/>
        </w:rPr>
      </w:pPr>
      <w:r>
        <w:rPr>
          <w:rFonts w:ascii="仿宋_GB2312" w:eastAsia="仿宋_GB2312"/>
        </w:rPr>
        <w:t>需要承包人报送样品的材料或工程设备</w:t>
      </w:r>
      <w:r>
        <w:rPr>
          <w:rFonts w:hint="eastAsia" w:ascii="仿宋_GB2312" w:eastAsia="仿宋_GB2312"/>
        </w:rPr>
        <w:t>，样品种类、名称、规格、数量：</w:t>
      </w:r>
    </w:p>
    <w:p w14:paraId="7325EFDA">
      <w:pPr>
        <w:spacing w:line="360" w:lineRule="auto"/>
        <w:ind w:firstLine="600"/>
        <w:outlineLvl w:val="3"/>
        <w:rPr>
          <w:rFonts w:hint="eastAsia" w:ascii="黑体" w:hAnsi="黑体" w:eastAsia="黑体"/>
        </w:rPr>
      </w:pPr>
      <w:r>
        <w:rPr>
          <w:rFonts w:hint="eastAsia" w:ascii="黑体" w:hAnsi="黑体" w:eastAsia="黑体"/>
        </w:rPr>
        <w:t>6.4 质量检查</w:t>
      </w:r>
    </w:p>
    <w:p w14:paraId="0611BD1B">
      <w:pPr>
        <w:spacing w:line="360" w:lineRule="auto"/>
        <w:ind w:firstLine="600"/>
        <w:outlineLvl w:val="4"/>
        <w:rPr>
          <w:rFonts w:ascii="仿宋_GB2312" w:eastAsia="仿宋_GB2312"/>
        </w:rPr>
      </w:pPr>
      <w:r>
        <w:rPr>
          <w:rFonts w:ascii="仿宋_GB2312" w:eastAsia="仿宋_GB2312"/>
        </w:rPr>
        <w:t xml:space="preserve">6.4.1 </w:t>
      </w:r>
      <w:r>
        <w:rPr>
          <w:rFonts w:hint="eastAsia" w:ascii="仿宋_GB2312" w:eastAsia="仿宋_GB2312"/>
        </w:rPr>
        <w:t>工程质量要求</w:t>
      </w:r>
    </w:p>
    <w:p w14:paraId="21E7009B">
      <w:pPr>
        <w:spacing w:line="360" w:lineRule="auto"/>
        <w:ind w:firstLine="600"/>
        <w:rPr>
          <w:rFonts w:ascii="仿宋_GB2312" w:eastAsia="仿宋_GB2312"/>
        </w:rPr>
      </w:pPr>
      <w:r>
        <w:rPr>
          <w:rFonts w:hint="eastAsia" w:ascii="仿宋_GB2312" w:eastAsia="仿宋_GB2312"/>
        </w:rPr>
        <w:t>工程质量的特殊标准或要求：</w:t>
      </w:r>
    </w:p>
    <w:p w14:paraId="4AAB4901">
      <w:pPr>
        <w:spacing w:line="360" w:lineRule="auto"/>
        <w:ind w:firstLine="600"/>
        <w:outlineLvl w:val="4"/>
        <w:rPr>
          <w:rFonts w:ascii="仿宋_GB2312" w:eastAsia="仿宋_GB2312"/>
        </w:rPr>
      </w:pPr>
      <w:r>
        <w:rPr>
          <w:rFonts w:ascii="仿宋_GB2312" w:eastAsia="仿宋_GB2312"/>
        </w:rPr>
        <w:t xml:space="preserve">6.4.2 </w:t>
      </w:r>
      <w:r>
        <w:rPr>
          <w:rFonts w:hint="eastAsia" w:ascii="仿宋_GB2312" w:eastAsia="仿宋_GB2312"/>
        </w:rPr>
        <w:t>质量检查</w:t>
      </w:r>
    </w:p>
    <w:p w14:paraId="113EE3A2">
      <w:pPr>
        <w:spacing w:line="360" w:lineRule="auto"/>
        <w:ind w:firstLine="600"/>
        <w:rPr>
          <w:rFonts w:ascii="仿宋_GB2312" w:eastAsia="仿宋_GB2312"/>
        </w:rPr>
      </w:pPr>
      <w:r>
        <w:rPr>
          <w:rFonts w:hint="eastAsia" w:ascii="仿宋_GB2312" w:eastAsia="仿宋_GB2312"/>
        </w:rPr>
        <w:t>除通用合同条件已列明的质量检查的地点外，发包人有权进行质量检查的其他地点：</w:t>
      </w:r>
    </w:p>
    <w:p w14:paraId="0221F59A">
      <w:pPr>
        <w:spacing w:line="360" w:lineRule="auto"/>
        <w:ind w:firstLine="600"/>
        <w:outlineLvl w:val="4"/>
        <w:rPr>
          <w:rFonts w:ascii="仿宋_GB2312" w:eastAsia="仿宋_GB2312"/>
        </w:rPr>
      </w:pPr>
      <w:r>
        <w:rPr>
          <w:rFonts w:ascii="仿宋_GB2312" w:eastAsia="仿宋_GB2312"/>
        </w:rPr>
        <w:t xml:space="preserve">6.4.3 </w:t>
      </w:r>
      <w:r>
        <w:rPr>
          <w:rFonts w:hint="eastAsia" w:ascii="仿宋_GB2312" w:eastAsia="仿宋_GB2312"/>
        </w:rPr>
        <w:t>隐蔽工程检查</w:t>
      </w:r>
    </w:p>
    <w:p w14:paraId="60511D4A">
      <w:pPr>
        <w:spacing w:line="360" w:lineRule="auto"/>
        <w:ind w:firstLine="600"/>
        <w:rPr>
          <w:rFonts w:ascii="仿宋_GB2312" w:eastAsia="仿宋_GB2312"/>
        </w:rPr>
      </w:pPr>
      <w:r>
        <w:rPr>
          <w:rFonts w:hint="eastAsia" w:ascii="仿宋_GB2312" w:eastAsia="仿宋_GB2312"/>
        </w:rPr>
        <w:t>关于隐蔽工程和中间验收的特别约定：</w:t>
      </w:r>
    </w:p>
    <w:p w14:paraId="67D31E5D">
      <w:pPr>
        <w:spacing w:line="360" w:lineRule="auto"/>
        <w:ind w:firstLine="600"/>
        <w:outlineLvl w:val="3"/>
        <w:rPr>
          <w:rFonts w:hint="eastAsia" w:ascii="黑体" w:hAnsi="黑体" w:eastAsia="黑体"/>
        </w:rPr>
      </w:pPr>
      <w:r>
        <w:rPr>
          <w:rFonts w:hint="eastAsia" w:ascii="黑体" w:hAnsi="黑体" w:eastAsia="黑体"/>
        </w:rPr>
        <w:t>6.5 由承包人试验和检验</w:t>
      </w:r>
    </w:p>
    <w:p w14:paraId="14437C79">
      <w:pPr>
        <w:spacing w:line="360" w:lineRule="auto"/>
        <w:ind w:firstLine="600"/>
        <w:outlineLvl w:val="4"/>
        <w:rPr>
          <w:rFonts w:ascii="仿宋_GB2312" w:eastAsia="仿宋_GB2312"/>
        </w:rPr>
      </w:pPr>
      <w:r>
        <w:rPr>
          <w:rFonts w:hint="eastAsia" w:ascii="仿宋_GB2312" w:eastAsia="仿宋_GB2312"/>
        </w:rPr>
        <w:t>6</w:t>
      </w:r>
      <w:r>
        <w:rPr>
          <w:rFonts w:ascii="仿宋_GB2312" w:eastAsia="仿宋_GB2312"/>
        </w:rPr>
        <w:t xml:space="preserve">.5.1 </w:t>
      </w:r>
      <w:r>
        <w:rPr>
          <w:rFonts w:hint="eastAsia" w:ascii="仿宋_GB2312" w:eastAsia="仿宋_GB2312"/>
        </w:rPr>
        <w:t>试验设备与试验人员</w:t>
      </w:r>
    </w:p>
    <w:p w14:paraId="29EC7323">
      <w:pPr>
        <w:spacing w:line="360" w:lineRule="auto"/>
        <w:ind w:firstLine="600"/>
        <w:rPr>
          <w:rFonts w:ascii="仿宋_GB2312" w:eastAsia="仿宋_GB2312"/>
        </w:rPr>
      </w:pPr>
      <w:r>
        <w:rPr>
          <w:rFonts w:hint="eastAsia" w:ascii="仿宋_GB2312" w:eastAsia="仿宋_GB2312"/>
        </w:rPr>
        <w:t>试验的内容、时间和地点：</w:t>
      </w:r>
    </w:p>
    <w:p w14:paraId="44221582">
      <w:pPr>
        <w:spacing w:line="360" w:lineRule="auto"/>
        <w:ind w:firstLine="600"/>
        <w:rPr>
          <w:rFonts w:ascii="仿宋_GB2312" w:eastAsia="仿宋_GB2312"/>
        </w:rPr>
      </w:pPr>
      <w:r>
        <w:rPr>
          <w:rFonts w:hint="eastAsia" w:ascii="仿宋_GB2312" w:eastAsia="仿宋_GB2312"/>
        </w:rPr>
        <w:t>试验所需要的试验设备、取样装置、试验场所和试验条件：</w:t>
      </w:r>
    </w:p>
    <w:p w14:paraId="7ED65F4A">
      <w:pPr>
        <w:spacing w:line="360" w:lineRule="auto"/>
        <w:ind w:firstLine="600"/>
        <w:rPr>
          <w:rFonts w:ascii="仿宋_GB2312" w:eastAsia="仿宋_GB2312"/>
          <w:u w:val="single"/>
        </w:rPr>
      </w:pPr>
      <w:r>
        <w:rPr>
          <w:rFonts w:hint="eastAsia" w:ascii="仿宋_GB2312" w:eastAsia="仿宋_GB2312"/>
        </w:rPr>
        <w:t>试验和检验费用的计价原则：</w:t>
      </w:r>
    </w:p>
    <w:p w14:paraId="064F7B93">
      <w:pPr>
        <w:pStyle w:val="43"/>
        <w:spacing w:before="0" w:after="0"/>
        <w:jc w:val="left"/>
        <w:outlineLvl w:val="2"/>
        <w:rPr>
          <w:rFonts w:hint="eastAsia" w:ascii="黑体" w:hAnsi="黑体" w:eastAsia="黑体"/>
          <w:b w:val="0"/>
          <w:sz w:val="28"/>
          <w:szCs w:val="28"/>
        </w:rPr>
      </w:pPr>
      <w:bookmarkStart w:id="1803" w:name="_Toc21510"/>
      <w:bookmarkEnd w:id="1803"/>
      <w:bookmarkStart w:id="1804" w:name="_Toc13833"/>
      <w:bookmarkEnd w:id="1804"/>
      <w:bookmarkStart w:id="1805" w:name="_Toc54862338"/>
      <w:bookmarkEnd w:id="1805"/>
      <w:r>
        <w:rPr>
          <w:rFonts w:hint="eastAsia" w:ascii="黑体" w:hAnsi="黑体" w:eastAsia="黑体"/>
          <w:b w:val="0"/>
          <w:sz w:val="28"/>
          <w:szCs w:val="28"/>
        </w:rPr>
        <w:t>第7条 施工</w:t>
      </w:r>
    </w:p>
    <w:p w14:paraId="106FCF87">
      <w:pPr>
        <w:spacing w:line="360" w:lineRule="auto"/>
        <w:ind w:firstLine="600"/>
        <w:outlineLvl w:val="3"/>
        <w:rPr>
          <w:rFonts w:hint="eastAsia" w:ascii="黑体" w:hAnsi="黑体" w:eastAsia="黑体"/>
        </w:rPr>
      </w:pPr>
      <w:r>
        <w:rPr>
          <w:rFonts w:hint="eastAsia" w:ascii="黑体" w:hAnsi="黑体" w:eastAsia="黑体"/>
        </w:rPr>
        <w:t>7.1 交通运输</w:t>
      </w:r>
    </w:p>
    <w:p w14:paraId="12AF08BA">
      <w:pPr>
        <w:spacing w:line="360" w:lineRule="auto"/>
        <w:ind w:firstLine="600"/>
        <w:outlineLvl w:val="4"/>
        <w:rPr>
          <w:rFonts w:ascii="仿宋_GB2312" w:eastAsia="仿宋_GB2312"/>
        </w:rPr>
      </w:pPr>
      <w:r>
        <w:rPr>
          <w:rFonts w:ascii="仿宋_GB2312" w:eastAsia="仿宋_GB2312"/>
        </w:rPr>
        <w:t xml:space="preserve">7.1.1 </w:t>
      </w:r>
      <w:r>
        <w:rPr>
          <w:rFonts w:hint="eastAsia" w:ascii="仿宋_GB2312" w:eastAsia="仿宋_GB2312"/>
        </w:rPr>
        <w:t>出入现场的权利</w:t>
      </w:r>
    </w:p>
    <w:p w14:paraId="38F672CD">
      <w:pPr>
        <w:spacing w:line="360" w:lineRule="auto"/>
        <w:ind w:firstLine="600"/>
        <w:rPr>
          <w:rFonts w:ascii="仿宋_GB2312" w:eastAsia="仿宋_GB2312"/>
        </w:rPr>
      </w:pPr>
      <w:r>
        <w:rPr>
          <w:rFonts w:hint="eastAsia" w:ascii="仿宋_GB2312" w:eastAsia="仿宋_GB2312"/>
        </w:rPr>
        <w:t>关于出入现场的权利的约定：</w:t>
      </w:r>
    </w:p>
    <w:p w14:paraId="1D5AE148">
      <w:pPr>
        <w:spacing w:line="360" w:lineRule="auto"/>
        <w:ind w:firstLine="600"/>
        <w:outlineLvl w:val="4"/>
        <w:rPr>
          <w:rFonts w:ascii="仿宋_GB2312" w:eastAsia="仿宋_GB2312"/>
        </w:rPr>
      </w:pPr>
      <w:r>
        <w:rPr>
          <w:rFonts w:ascii="仿宋_GB2312" w:eastAsia="仿宋_GB2312"/>
        </w:rPr>
        <w:t xml:space="preserve">7.1.2 </w:t>
      </w:r>
      <w:r>
        <w:rPr>
          <w:rFonts w:hint="eastAsia" w:ascii="仿宋_GB2312" w:eastAsia="仿宋_GB2312"/>
        </w:rPr>
        <w:t>场外交通</w:t>
      </w:r>
    </w:p>
    <w:p w14:paraId="0E995D50">
      <w:pPr>
        <w:spacing w:line="360" w:lineRule="auto"/>
        <w:ind w:firstLine="600"/>
        <w:rPr>
          <w:rFonts w:ascii="仿宋_GB2312" w:eastAsia="仿宋_GB2312"/>
        </w:rPr>
      </w:pPr>
      <w:r>
        <w:rPr>
          <w:rFonts w:hint="eastAsia" w:ascii="仿宋_GB2312" w:eastAsia="仿宋_GB2312"/>
        </w:rPr>
        <w:t>关于场外交通的特别约定：</w:t>
      </w:r>
    </w:p>
    <w:p w14:paraId="6EF74D52">
      <w:pPr>
        <w:spacing w:line="360" w:lineRule="auto"/>
        <w:ind w:firstLine="600"/>
        <w:outlineLvl w:val="4"/>
        <w:rPr>
          <w:rFonts w:ascii="仿宋_GB2312" w:eastAsia="仿宋_GB2312"/>
        </w:rPr>
      </w:pPr>
      <w:r>
        <w:rPr>
          <w:rFonts w:ascii="仿宋_GB2312" w:eastAsia="仿宋_GB2312"/>
        </w:rPr>
        <w:t xml:space="preserve">7.1.3 </w:t>
      </w:r>
      <w:r>
        <w:rPr>
          <w:rFonts w:hint="eastAsia" w:ascii="仿宋_GB2312" w:eastAsia="仿宋_GB2312"/>
        </w:rPr>
        <w:t>场内交通</w:t>
      </w:r>
    </w:p>
    <w:p w14:paraId="04504CC2">
      <w:pPr>
        <w:spacing w:line="360" w:lineRule="auto"/>
        <w:ind w:firstLine="600"/>
        <w:rPr>
          <w:rFonts w:ascii="仿宋_GB2312" w:eastAsia="仿宋_GB2312"/>
        </w:rPr>
      </w:pPr>
      <w:r>
        <w:rPr>
          <w:rFonts w:hint="eastAsia" w:ascii="仿宋_GB2312" w:eastAsia="仿宋_GB2312"/>
        </w:rPr>
        <w:t>关于场内交通的特别约定：</w:t>
      </w:r>
    </w:p>
    <w:p w14:paraId="1B7839F7">
      <w:pPr>
        <w:spacing w:line="360" w:lineRule="auto"/>
        <w:ind w:firstLine="600"/>
        <w:rPr>
          <w:rFonts w:ascii="仿宋_GB2312" w:eastAsia="仿宋_GB2312"/>
        </w:rPr>
      </w:pPr>
      <w:r>
        <w:rPr>
          <w:rFonts w:hint="eastAsia" w:ascii="仿宋_GB2312" w:eastAsia="仿宋_GB2312"/>
        </w:rPr>
        <w:t>关于场内交通与场外交通边界的约定：</w:t>
      </w:r>
    </w:p>
    <w:p w14:paraId="0048D7D5">
      <w:pPr>
        <w:spacing w:line="360" w:lineRule="auto"/>
        <w:ind w:firstLine="600"/>
        <w:outlineLvl w:val="4"/>
        <w:rPr>
          <w:rFonts w:ascii="仿宋_GB2312" w:eastAsia="仿宋_GB2312"/>
        </w:rPr>
      </w:pPr>
      <w:r>
        <w:rPr>
          <w:rFonts w:ascii="仿宋_GB2312" w:eastAsia="仿宋_GB2312"/>
        </w:rPr>
        <w:t xml:space="preserve">7.1.4 </w:t>
      </w:r>
      <w:r>
        <w:rPr>
          <w:rFonts w:hint="eastAsia" w:ascii="仿宋_GB2312" w:eastAsia="仿宋_GB2312"/>
        </w:rPr>
        <w:t>超大件和超重件的运输</w:t>
      </w:r>
    </w:p>
    <w:p w14:paraId="3E7909CC">
      <w:pPr>
        <w:spacing w:line="360" w:lineRule="auto"/>
        <w:ind w:firstLine="600"/>
        <w:rPr>
          <w:rFonts w:ascii="仿宋_GB2312" w:eastAsia="仿宋_GB2312"/>
        </w:rPr>
      </w:pPr>
      <w:r>
        <w:rPr>
          <w:rFonts w:hint="eastAsia" w:ascii="仿宋_GB2312" w:eastAsia="仿宋_GB2312"/>
        </w:rPr>
        <w:t>运输超大件或超重件所需的道路和桥梁临时加固改造费用和其他有关费用由</w:t>
      </w:r>
      <w:r>
        <w:rPr>
          <w:rFonts w:ascii="仿宋_GB2312" w:eastAsia="仿宋_GB2312"/>
        </w:rPr>
        <w:t>承担。</w:t>
      </w:r>
    </w:p>
    <w:p w14:paraId="561518FF">
      <w:pPr>
        <w:spacing w:line="360" w:lineRule="auto"/>
        <w:ind w:firstLine="600"/>
        <w:outlineLvl w:val="3"/>
        <w:rPr>
          <w:rFonts w:hint="eastAsia" w:ascii="黑体" w:hAnsi="黑体" w:eastAsia="黑体"/>
        </w:rPr>
      </w:pPr>
      <w:r>
        <w:rPr>
          <w:rFonts w:hint="eastAsia" w:ascii="黑体" w:hAnsi="黑体" w:eastAsia="黑体"/>
        </w:rPr>
        <w:t>7.2 施工设备和临时设施</w:t>
      </w:r>
    </w:p>
    <w:p w14:paraId="3260A9C6">
      <w:pPr>
        <w:spacing w:line="360" w:lineRule="auto"/>
        <w:ind w:firstLine="600"/>
        <w:outlineLvl w:val="4"/>
        <w:rPr>
          <w:rFonts w:ascii="仿宋_GB2312" w:eastAsia="仿宋_GB2312"/>
        </w:rPr>
      </w:pPr>
      <w:r>
        <w:rPr>
          <w:rFonts w:ascii="仿宋_GB2312" w:eastAsia="仿宋_GB2312"/>
        </w:rPr>
        <w:t xml:space="preserve">7.2.1 </w:t>
      </w:r>
      <w:r>
        <w:rPr>
          <w:rFonts w:hint="eastAsia" w:ascii="仿宋_GB2312" w:eastAsia="仿宋_GB2312"/>
        </w:rPr>
        <w:t>承包人提供的施工设备和临时设施</w:t>
      </w:r>
    </w:p>
    <w:p w14:paraId="417875CC">
      <w:pPr>
        <w:spacing w:line="360" w:lineRule="auto"/>
        <w:ind w:firstLine="600"/>
        <w:rPr>
          <w:rFonts w:ascii="仿宋_GB2312" w:eastAsia="仿宋_GB2312"/>
        </w:rPr>
      </w:pPr>
      <w:r>
        <w:rPr>
          <w:rFonts w:hint="eastAsia" w:ascii="仿宋_GB2312" w:eastAsia="仿宋_GB2312"/>
        </w:rPr>
        <w:t>临时设施的费用和临时占地手续和费用承担的特别约定：</w:t>
      </w:r>
    </w:p>
    <w:p w14:paraId="59E4CF53">
      <w:pPr>
        <w:spacing w:line="360" w:lineRule="auto"/>
        <w:ind w:firstLine="600"/>
        <w:outlineLvl w:val="4"/>
        <w:rPr>
          <w:rFonts w:ascii="仿宋_GB2312" w:eastAsia="仿宋_GB2312"/>
        </w:rPr>
      </w:pPr>
      <w:r>
        <w:rPr>
          <w:rFonts w:ascii="仿宋_GB2312" w:eastAsia="仿宋_GB2312"/>
        </w:rPr>
        <w:t xml:space="preserve">7.2.2 </w:t>
      </w:r>
      <w:r>
        <w:rPr>
          <w:rFonts w:hint="eastAsia" w:ascii="仿宋_GB2312" w:eastAsia="仿宋_GB2312"/>
        </w:rPr>
        <w:t>发包人提供的施工设备和临时设施</w:t>
      </w:r>
    </w:p>
    <w:p w14:paraId="1D26FCBD">
      <w:pPr>
        <w:spacing w:line="360" w:lineRule="auto"/>
        <w:ind w:firstLine="600"/>
        <w:rPr>
          <w:rFonts w:ascii="仿宋_GB2312" w:eastAsia="仿宋_GB2312"/>
        </w:rPr>
      </w:pPr>
      <w:r>
        <w:rPr>
          <w:rFonts w:hint="eastAsia" w:ascii="仿宋_GB2312" w:eastAsia="仿宋_GB2312"/>
        </w:rPr>
        <w:t>发包人提供的施工设备或临时设施范围：</w:t>
      </w:r>
    </w:p>
    <w:p w14:paraId="2AC9FDD0">
      <w:pPr>
        <w:spacing w:line="360" w:lineRule="auto"/>
        <w:ind w:firstLine="600"/>
        <w:outlineLvl w:val="3"/>
        <w:rPr>
          <w:rFonts w:hint="eastAsia" w:ascii="黑体" w:hAnsi="黑体" w:eastAsia="黑体"/>
        </w:rPr>
      </w:pPr>
      <w:r>
        <w:rPr>
          <w:rFonts w:hint="eastAsia" w:ascii="黑体" w:hAnsi="黑体" w:eastAsia="黑体"/>
        </w:rPr>
        <w:t>7.3 现场合作</w:t>
      </w:r>
    </w:p>
    <w:p w14:paraId="1E9E725C">
      <w:pPr>
        <w:spacing w:line="360" w:lineRule="auto"/>
        <w:ind w:firstLine="600"/>
        <w:rPr>
          <w:rFonts w:ascii="仿宋_GB2312" w:eastAsia="仿宋_GB2312"/>
        </w:rPr>
      </w:pPr>
      <w:r>
        <w:rPr>
          <w:rFonts w:hint="eastAsia" w:ascii="仿宋_GB2312" w:eastAsia="仿宋_GB2312"/>
        </w:rPr>
        <w:t>关于现场合作费用的特别约定：</w:t>
      </w:r>
    </w:p>
    <w:p w14:paraId="453538EE">
      <w:pPr>
        <w:spacing w:line="360" w:lineRule="auto"/>
        <w:ind w:firstLine="600"/>
        <w:outlineLvl w:val="3"/>
        <w:rPr>
          <w:rFonts w:hint="eastAsia" w:ascii="黑体" w:hAnsi="黑体" w:eastAsia="黑体"/>
        </w:rPr>
      </w:pPr>
      <w:r>
        <w:rPr>
          <w:rFonts w:hint="eastAsia" w:ascii="黑体" w:hAnsi="黑体" w:eastAsia="黑体"/>
        </w:rPr>
        <w:t>7.4 测量放线</w:t>
      </w:r>
    </w:p>
    <w:p w14:paraId="0983C8C7">
      <w:pPr>
        <w:spacing w:line="360" w:lineRule="auto"/>
        <w:ind w:firstLine="600"/>
        <w:rPr>
          <w:rFonts w:ascii="仿宋_GB2312" w:eastAsia="仿宋_GB2312"/>
        </w:rPr>
      </w:pPr>
      <w:r>
        <w:rPr>
          <w:rFonts w:hint="eastAsia" w:ascii="仿宋_GB2312" w:eastAsia="仿宋_GB2312"/>
        </w:rPr>
        <w:t>7</w:t>
      </w:r>
      <w:r>
        <w:rPr>
          <w:rFonts w:ascii="仿宋_GB2312" w:eastAsia="仿宋_GB2312"/>
        </w:rPr>
        <w:t xml:space="preserve">.4.1 </w:t>
      </w:r>
      <w:r>
        <w:rPr>
          <w:rFonts w:hint="eastAsia" w:ascii="仿宋_GB2312" w:eastAsia="仿宋_GB2312"/>
        </w:rPr>
        <w:t>关于测量放线的特别约定的技术规范：施工控制网资料的告知期限：</w:t>
      </w:r>
    </w:p>
    <w:p w14:paraId="251B747F">
      <w:pPr>
        <w:spacing w:line="360" w:lineRule="auto"/>
        <w:ind w:firstLine="600"/>
        <w:outlineLvl w:val="3"/>
        <w:rPr>
          <w:rFonts w:hint="eastAsia" w:ascii="黑体" w:hAnsi="黑体" w:eastAsia="黑体"/>
        </w:rPr>
      </w:pPr>
      <w:r>
        <w:rPr>
          <w:rFonts w:hint="eastAsia" w:ascii="黑体" w:hAnsi="黑体" w:eastAsia="黑体"/>
        </w:rPr>
        <w:t>7.5 现场劳动用工</w:t>
      </w:r>
    </w:p>
    <w:p w14:paraId="2C166D07">
      <w:pPr>
        <w:spacing w:line="360" w:lineRule="auto"/>
        <w:ind w:firstLine="600"/>
        <w:rPr>
          <w:rFonts w:ascii="仿宋_GB2312" w:eastAsia="仿宋_GB2312"/>
        </w:rPr>
      </w:pPr>
      <w:r>
        <w:rPr>
          <w:rFonts w:hint="eastAsia" w:ascii="仿宋_GB2312" w:eastAsia="仿宋_GB2312"/>
        </w:rPr>
        <w:t>7</w:t>
      </w:r>
      <w:r>
        <w:rPr>
          <w:rFonts w:ascii="仿宋_GB2312" w:eastAsia="仿宋_GB2312"/>
        </w:rPr>
        <w:t xml:space="preserve">.5.2 </w:t>
      </w:r>
      <w:r>
        <w:rPr>
          <w:rFonts w:hint="eastAsia" w:ascii="仿宋_GB2312" w:eastAsia="仿宋_GB2312"/>
        </w:rPr>
        <w:t>合同当事人对建筑工人工资清偿事宜和违约责任的约定：</w:t>
      </w:r>
    </w:p>
    <w:p w14:paraId="4D04A9B2">
      <w:pPr>
        <w:spacing w:line="360" w:lineRule="auto"/>
        <w:ind w:firstLine="600"/>
        <w:outlineLvl w:val="3"/>
        <w:rPr>
          <w:rFonts w:hint="eastAsia" w:ascii="黑体" w:hAnsi="黑体" w:eastAsia="黑体"/>
        </w:rPr>
      </w:pPr>
      <w:r>
        <w:rPr>
          <w:rFonts w:hint="eastAsia" w:ascii="黑体" w:hAnsi="黑体" w:eastAsia="黑体"/>
        </w:rPr>
        <w:t>7.6 安全文明施工</w:t>
      </w:r>
    </w:p>
    <w:p w14:paraId="4E689163">
      <w:pPr>
        <w:spacing w:line="360" w:lineRule="auto"/>
        <w:ind w:firstLine="600"/>
        <w:outlineLvl w:val="4"/>
        <w:rPr>
          <w:rFonts w:ascii="仿宋_GB2312" w:eastAsia="仿宋_GB2312"/>
        </w:rPr>
      </w:pPr>
      <w:r>
        <w:rPr>
          <w:rFonts w:ascii="仿宋_GB2312" w:eastAsia="仿宋_GB2312"/>
        </w:rPr>
        <w:t xml:space="preserve">7.6.1 </w:t>
      </w:r>
      <w:r>
        <w:rPr>
          <w:rFonts w:hint="eastAsia" w:ascii="仿宋_GB2312" w:eastAsia="仿宋_GB2312"/>
        </w:rPr>
        <w:t>安全生产要求</w:t>
      </w:r>
    </w:p>
    <w:p w14:paraId="68BD4CF2">
      <w:pPr>
        <w:spacing w:line="360" w:lineRule="auto"/>
        <w:ind w:left="124" w:leftChars="59" w:firstLine="600"/>
        <w:rPr>
          <w:rFonts w:ascii="仿宋_GB2312" w:eastAsia="仿宋_GB2312"/>
        </w:rPr>
      </w:pPr>
      <w:r>
        <w:rPr>
          <w:rFonts w:hint="eastAsia" w:ascii="仿宋_GB2312" w:eastAsia="仿宋_GB2312"/>
        </w:rPr>
        <w:t>合同当事人对安全施工的要求：</w:t>
      </w:r>
    </w:p>
    <w:p w14:paraId="7F748ADA">
      <w:pPr>
        <w:spacing w:line="360" w:lineRule="auto"/>
        <w:ind w:firstLine="600"/>
        <w:outlineLvl w:val="4"/>
        <w:rPr>
          <w:rFonts w:ascii="仿宋_GB2312" w:eastAsia="仿宋_GB2312"/>
        </w:rPr>
      </w:pPr>
      <w:r>
        <w:rPr>
          <w:rFonts w:ascii="仿宋_GB2312" w:eastAsia="仿宋_GB2312"/>
        </w:rPr>
        <w:t xml:space="preserve">7.6.3 </w:t>
      </w:r>
      <w:r>
        <w:rPr>
          <w:rFonts w:hint="eastAsia" w:ascii="仿宋_GB2312" w:eastAsia="仿宋_GB2312"/>
        </w:rPr>
        <w:t>文明施工</w:t>
      </w:r>
    </w:p>
    <w:p w14:paraId="518A4627">
      <w:pPr>
        <w:spacing w:line="360" w:lineRule="auto"/>
        <w:ind w:firstLine="600"/>
        <w:rPr>
          <w:rFonts w:ascii="仿宋_GB2312" w:eastAsia="仿宋_GB2312"/>
        </w:rPr>
      </w:pPr>
      <w:r>
        <w:rPr>
          <w:rFonts w:hint="eastAsia" w:ascii="仿宋_GB2312" w:eastAsia="仿宋_GB2312"/>
        </w:rPr>
        <w:t>合同当事人对文明施工的要求：</w:t>
      </w:r>
    </w:p>
    <w:p w14:paraId="34CD4D04">
      <w:pPr>
        <w:spacing w:line="360" w:lineRule="auto"/>
        <w:ind w:firstLine="600"/>
        <w:outlineLvl w:val="3"/>
        <w:rPr>
          <w:rFonts w:hint="eastAsia" w:ascii="黑体" w:hAnsi="黑体" w:eastAsia="黑体"/>
        </w:rPr>
      </w:pPr>
      <w:r>
        <w:rPr>
          <w:rFonts w:hint="eastAsia" w:ascii="黑体" w:hAnsi="黑体" w:eastAsia="黑体"/>
        </w:rPr>
        <w:t>7.9 临时性公用设施</w:t>
      </w:r>
    </w:p>
    <w:p w14:paraId="2CF9E266">
      <w:pPr>
        <w:spacing w:line="360" w:lineRule="auto"/>
        <w:ind w:firstLine="600"/>
        <w:rPr>
          <w:rFonts w:ascii="仿宋_GB2312" w:eastAsia="仿宋_GB2312"/>
        </w:rPr>
      </w:pPr>
      <w:r>
        <w:rPr>
          <w:rFonts w:hint="eastAsia" w:ascii="仿宋_GB2312" w:eastAsia="仿宋_GB2312"/>
        </w:rPr>
        <w:t>关于临时性公用设施的特别约定：</w:t>
      </w:r>
    </w:p>
    <w:p w14:paraId="77F41D88">
      <w:pPr>
        <w:spacing w:line="360" w:lineRule="auto"/>
        <w:ind w:firstLine="600"/>
        <w:outlineLvl w:val="3"/>
        <w:rPr>
          <w:rFonts w:hint="eastAsia" w:ascii="黑体" w:hAnsi="黑体" w:eastAsia="黑体"/>
        </w:rPr>
      </w:pPr>
      <w:r>
        <w:rPr>
          <w:rFonts w:hint="eastAsia" w:ascii="黑体" w:hAnsi="黑体" w:eastAsia="黑体"/>
        </w:rPr>
        <w:t>7.10 现场安保</w:t>
      </w:r>
    </w:p>
    <w:p w14:paraId="6656B006">
      <w:pPr>
        <w:spacing w:line="360" w:lineRule="auto"/>
        <w:ind w:firstLine="600"/>
        <w:rPr>
          <w:rFonts w:ascii="仿宋_GB2312" w:eastAsia="仿宋_GB2312"/>
        </w:rPr>
      </w:pPr>
      <w:r>
        <w:rPr>
          <w:rFonts w:hint="eastAsia" w:ascii="仿宋_GB2312" w:eastAsia="仿宋_GB2312"/>
        </w:rPr>
        <w:t>承包人现场安保义务的特别约定：</w:t>
      </w:r>
    </w:p>
    <w:p w14:paraId="017E55C3">
      <w:pPr>
        <w:pStyle w:val="43"/>
        <w:spacing w:before="0" w:after="0"/>
        <w:jc w:val="left"/>
        <w:outlineLvl w:val="2"/>
        <w:rPr>
          <w:rFonts w:hint="eastAsia" w:ascii="黑体" w:hAnsi="黑体" w:eastAsia="黑体"/>
          <w:b w:val="0"/>
          <w:sz w:val="28"/>
          <w:szCs w:val="28"/>
        </w:rPr>
      </w:pPr>
      <w:bookmarkStart w:id="1806" w:name="_Toc13"/>
      <w:bookmarkEnd w:id="1806"/>
      <w:bookmarkStart w:id="1807" w:name="_Toc54862339"/>
      <w:bookmarkEnd w:id="1807"/>
      <w:bookmarkStart w:id="1808" w:name="_Toc20676"/>
      <w:bookmarkEnd w:id="1808"/>
      <w:r>
        <w:rPr>
          <w:rFonts w:hint="eastAsia" w:ascii="黑体" w:hAnsi="黑体" w:eastAsia="黑体"/>
          <w:b w:val="0"/>
          <w:sz w:val="28"/>
          <w:szCs w:val="28"/>
        </w:rPr>
        <w:t>第8条 工期和进度</w:t>
      </w:r>
    </w:p>
    <w:p w14:paraId="38FEC0F8">
      <w:pPr>
        <w:spacing w:line="360" w:lineRule="auto"/>
        <w:ind w:firstLine="600"/>
        <w:outlineLvl w:val="3"/>
        <w:rPr>
          <w:rFonts w:hint="eastAsia" w:ascii="黑体" w:hAnsi="黑体" w:eastAsia="黑体"/>
        </w:rPr>
      </w:pPr>
      <w:r>
        <w:rPr>
          <w:rFonts w:hint="eastAsia" w:ascii="黑体" w:hAnsi="黑体" w:eastAsia="黑体"/>
        </w:rPr>
        <w:t>8.1 开始工作</w:t>
      </w:r>
    </w:p>
    <w:p w14:paraId="62AEE3EC">
      <w:pPr>
        <w:spacing w:line="360" w:lineRule="auto"/>
        <w:ind w:firstLine="600"/>
        <w:outlineLvl w:val="4"/>
        <w:rPr>
          <w:rFonts w:ascii="仿宋_GB2312" w:eastAsia="仿宋_GB2312"/>
        </w:rPr>
      </w:pPr>
      <w:r>
        <w:rPr>
          <w:rFonts w:ascii="仿宋_GB2312" w:eastAsia="仿宋_GB2312"/>
        </w:rPr>
        <w:t xml:space="preserve">8.1.1 </w:t>
      </w:r>
      <w:r>
        <w:rPr>
          <w:rFonts w:hint="eastAsia" w:ascii="仿宋_GB2312" w:eastAsia="仿宋_GB2312"/>
        </w:rPr>
        <w:t>开始准备工作：</w:t>
      </w:r>
    </w:p>
    <w:p w14:paraId="0E5A3AFB">
      <w:pPr>
        <w:spacing w:line="360" w:lineRule="auto"/>
        <w:ind w:firstLine="600"/>
        <w:rPr>
          <w:rFonts w:ascii="仿宋_GB2312" w:eastAsia="仿宋_GB2312"/>
        </w:rPr>
      </w:pPr>
      <w:r>
        <w:rPr>
          <w:rFonts w:ascii="仿宋_GB2312" w:eastAsia="仿宋_GB2312"/>
        </w:rPr>
        <w:t xml:space="preserve">8.1.2 </w:t>
      </w:r>
      <w:r>
        <w:rPr>
          <w:rFonts w:hint="eastAsia" w:ascii="仿宋_GB2312" w:eastAsia="仿宋_GB2312"/>
        </w:rPr>
        <w:t>发包人可在计划开始工作之日起</w:t>
      </w:r>
      <w:r>
        <w:rPr>
          <w:rFonts w:ascii="仿宋_GB2312" w:eastAsia="仿宋_GB2312"/>
        </w:rPr>
        <w:t>84</w:t>
      </w:r>
      <w:r>
        <w:rPr>
          <w:rFonts w:hint="eastAsia" w:ascii="仿宋_GB2312" w:eastAsia="仿宋_GB2312"/>
        </w:rPr>
        <w:t>日后发出开始工作通知的特殊情形：</w:t>
      </w:r>
    </w:p>
    <w:p w14:paraId="540E9438">
      <w:pPr>
        <w:spacing w:line="360" w:lineRule="auto"/>
        <w:ind w:firstLine="600"/>
        <w:outlineLvl w:val="3"/>
        <w:rPr>
          <w:rFonts w:hint="eastAsia" w:ascii="黑体" w:hAnsi="黑体" w:eastAsia="黑体"/>
        </w:rPr>
      </w:pPr>
      <w:r>
        <w:rPr>
          <w:rFonts w:hint="eastAsia" w:ascii="黑体" w:hAnsi="黑体" w:eastAsia="黑体"/>
        </w:rPr>
        <w:t>8.2 竣工日期</w:t>
      </w:r>
    </w:p>
    <w:p w14:paraId="355CA77C">
      <w:pPr>
        <w:spacing w:line="360" w:lineRule="auto"/>
        <w:ind w:firstLine="600"/>
        <w:rPr>
          <w:rFonts w:ascii="仿宋_GB2312" w:eastAsia="仿宋_GB2312"/>
        </w:rPr>
      </w:pPr>
      <w:r>
        <w:rPr>
          <w:rFonts w:hint="eastAsia" w:ascii="仿宋_GB2312" w:eastAsia="仿宋_GB2312"/>
        </w:rPr>
        <w:t>竣工日期的约定：</w:t>
      </w:r>
    </w:p>
    <w:p w14:paraId="23D14C58">
      <w:pPr>
        <w:spacing w:line="360" w:lineRule="auto"/>
        <w:ind w:firstLine="600"/>
        <w:outlineLvl w:val="3"/>
        <w:rPr>
          <w:rFonts w:hint="eastAsia" w:ascii="黑体" w:hAnsi="黑体" w:eastAsia="黑体"/>
        </w:rPr>
      </w:pPr>
      <w:r>
        <w:rPr>
          <w:rFonts w:hint="eastAsia" w:ascii="黑体" w:hAnsi="黑体" w:eastAsia="黑体"/>
        </w:rPr>
        <w:t>8.3 项目实施计划</w:t>
      </w:r>
    </w:p>
    <w:p w14:paraId="11499218">
      <w:pPr>
        <w:spacing w:line="360" w:lineRule="auto"/>
        <w:ind w:firstLine="600"/>
        <w:outlineLvl w:val="4"/>
        <w:rPr>
          <w:rFonts w:ascii="仿宋_GB2312" w:eastAsia="仿宋_GB2312"/>
        </w:rPr>
      </w:pPr>
      <w:r>
        <w:rPr>
          <w:rFonts w:ascii="仿宋_GB2312" w:eastAsia="仿宋_GB2312"/>
        </w:rPr>
        <w:t xml:space="preserve">8.3.1 </w:t>
      </w:r>
      <w:r>
        <w:rPr>
          <w:rFonts w:hint="eastAsia" w:ascii="仿宋_GB2312" w:eastAsia="仿宋_GB2312"/>
        </w:rPr>
        <w:t>项目实施计划的内容</w:t>
      </w:r>
    </w:p>
    <w:p w14:paraId="03DACC6F">
      <w:pPr>
        <w:spacing w:line="360" w:lineRule="auto"/>
        <w:ind w:firstLine="600"/>
        <w:rPr>
          <w:rFonts w:ascii="仿宋_GB2312" w:eastAsia="仿宋_GB2312"/>
        </w:rPr>
      </w:pPr>
      <w:r>
        <w:rPr>
          <w:rFonts w:hint="eastAsia" w:ascii="仿宋_GB2312" w:eastAsia="仿宋_GB2312"/>
        </w:rPr>
        <w:t>项目实施计划的内容：</w:t>
      </w:r>
    </w:p>
    <w:p w14:paraId="2D88A902">
      <w:pPr>
        <w:spacing w:line="360" w:lineRule="auto"/>
        <w:ind w:firstLine="600"/>
        <w:outlineLvl w:val="4"/>
        <w:rPr>
          <w:rFonts w:ascii="仿宋_GB2312" w:eastAsia="仿宋_GB2312"/>
        </w:rPr>
      </w:pPr>
      <w:r>
        <w:rPr>
          <w:rFonts w:ascii="仿宋_GB2312" w:eastAsia="仿宋_GB2312"/>
        </w:rPr>
        <w:t xml:space="preserve">8.3.2 </w:t>
      </w:r>
      <w:r>
        <w:rPr>
          <w:rFonts w:hint="eastAsia" w:ascii="仿宋_GB2312" w:eastAsia="仿宋_GB2312"/>
        </w:rPr>
        <w:t>项目实施计划的提交和修改</w:t>
      </w:r>
    </w:p>
    <w:p w14:paraId="50CC20BA">
      <w:pPr>
        <w:spacing w:line="360" w:lineRule="auto"/>
        <w:ind w:firstLine="600"/>
        <w:rPr>
          <w:rFonts w:ascii="仿宋_GB2312" w:eastAsia="仿宋_GB2312"/>
        </w:rPr>
      </w:pPr>
      <w:r>
        <w:rPr>
          <w:rFonts w:hint="eastAsia" w:ascii="仿宋_GB2312" w:eastAsia="仿宋_GB2312"/>
        </w:rPr>
        <w:t>项目实施计划的提交及修改期限：</w:t>
      </w:r>
    </w:p>
    <w:p w14:paraId="6C7D4CF9">
      <w:pPr>
        <w:spacing w:line="360" w:lineRule="auto"/>
        <w:ind w:firstLine="600"/>
        <w:outlineLvl w:val="3"/>
        <w:rPr>
          <w:rFonts w:hint="eastAsia" w:ascii="黑体" w:hAnsi="黑体" w:eastAsia="黑体"/>
        </w:rPr>
      </w:pPr>
      <w:r>
        <w:rPr>
          <w:rFonts w:hint="eastAsia" w:ascii="黑体" w:hAnsi="黑体" w:eastAsia="黑体"/>
        </w:rPr>
        <w:t>8.4 项目进度计划</w:t>
      </w:r>
    </w:p>
    <w:p w14:paraId="19D73C17">
      <w:pPr>
        <w:spacing w:line="360" w:lineRule="auto"/>
        <w:ind w:firstLine="600"/>
        <w:rPr>
          <w:rFonts w:ascii="仿宋_GB2312" w:eastAsia="仿宋_GB2312"/>
        </w:rPr>
      </w:pPr>
      <w:r>
        <w:rPr>
          <w:rFonts w:ascii="仿宋_GB2312" w:eastAsia="仿宋_GB2312"/>
        </w:rPr>
        <w:t xml:space="preserve">8.4.1 </w:t>
      </w:r>
      <w:r>
        <w:rPr>
          <w:rFonts w:hint="eastAsia" w:ascii="仿宋_GB2312" w:eastAsia="仿宋_GB2312"/>
        </w:rPr>
        <w:t>工程师在收到进度计划后确认或提出修改意见的期限：</w:t>
      </w:r>
    </w:p>
    <w:p w14:paraId="721CCD22">
      <w:pPr>
        <w:spacing w:line="360" w:lineRule="auto"/>
        <w:ind w:firstLine="600"/>
        <w:outlineLvl w:val="4"/>
        <w:rPr>
          <w:rFonts w:ascii="仿宋_GB2312" w:eastAsia="仿宋_GB2312"/>
        </w:rPr>
      </w:pPr>
      <w:r>
        <w:rPr>
          <w:rFonts w:ascii="仿宋_GB2312" w:eastAsia="仿宋_GB2312"/>
        </w:rPr>
        <w:t xml:space="preserve">8.4.2 </w:t>
      </w:r>
      <w:r>
        <w:rPr>
          <w:rFonts w:hint="eastAsia" w:ascii="仿宋_GB2312" w:eastAsia="仿宋_GB2312"/>
        </w:rPr>
        <w:t>进度计划的具体要求：</w:t>
      </w:r>
    </w:p>
    <w:p w14:paraId="6E862BB3">
      <w:pPr>
        <w:spacing w:line="360" w:lineRule="auto"/>
        <w:ind w:firstLine="600"/>
        <w:rPr>
          <w:rFonts w:ascii="仿宋_GB2312" w:eastAsia="仿宋_GB2312"/>
        </w:rPr>
      </w:pPr>
      <w:r>
        <w:rPr>
          <w:rFonts w:hint="eastAsia" w:ascii="仿宋_GB2312" w:eastAsia="仿宋_GB2312"/>
        </w:rPr>
        <w:t>关键路径及关键路径变化的确定原则：</w:t>
      </w:r>
    </w:p>
    <w:p w14:paraId="4BCC1008">
      <w:pPr>
        <w:spacing w:line="360" w:lineRule="auto"/>
        <w:ind w:firstLine="600"/>
        <w:rPr>
          <w:rFonts w:ascii="仿宋_GB2312" w:eastAsia="仿宋_GB2312"/>
        </w:rPr>
      </w:pPr>
      <w:r>
        <w:rPr>
          <w:rFonts w:hint="eastAsia" w:ascii="仿宋_GB2312" w:eastAsia="仿宋_GB2312"/>
        </w:rPr>
        <w:t>承包人提交项目进度计划的份数和时间：</w:t>
      </w:r>
    </w:p>
    <w:p w14:paraId="512957F5">
      <w:pPr>
        <w:spacing w:line="360" w:lineRule="auto"/>
        <w:ind w:firstLine="600"/>
        <w:outlineLvl w:val="4"/>
        <w:rPr>
          <w:rFonts w:ascii="仿宋_GB2312" w:eastAsia="仿宋_GB2312"/>
        </w:rPr>
      </w:pPr>
      <w:r>
        <w:rPr>
          <w:rFonts w:ascii="仿宋_GB2312" w:eastAsia="仿宋_GB2312"/>
        </w:rPr>
        <w:t xml:space="preserve">8.4.3 </w:t>
      </w:r>
      <w:r>
        <w:rPr>
          <w:rFonts w:hint="eastAsia" w:ascii="仿宋_GB2312" w:eastAsia="仿宋_GB2312"/>
        </w:rPr>
        <w:t>进度计划的修订</w:t>
      </w:r>
    </w:p>
    <w:p w14:paraId="755CEA41">
      <w:pPr>
        <w:spacing w:line="360" w:lineRule="auto"/>
        <w:ind w:firstLine="600"/>
        <w:rPr>
          <w:rFonts w:ascii="仿宋_GB2312" w:eastAsia="仿宋_GB2312"/>
        </w:rPr>
      </w:pPr>
      <w:r>
        <w:rPr>
          <w:rFonts w:hint="eastAsia" w:ascii="仿宋_GB2312" w:eastAsia="仿宋_GB2312"/>
        </w:rPr>
        <w:t>承包人提交修订</w:t>
      </w:r>
      <w:r>
        <w:rPr>
          <w:rFonts w:ascii="仿宋_GB2312" w:eastAsia="仿宋_GB2312"/>
        </w:rPr>
        <w:t>项目进度计划</w:t>
      </w:r>
      <w:r>
        <w:rPr>
          <w:rFonts w:hint="eastAsia" w:ascii="仿宋_GB2312" w:eastAsia="仿宋_GB2312"/>
        </w:rPr>
        <w:t>申请报告的期限：</w:t>
      </w:r>
    </w:p>
    <w:p w14:paraId="0D97F8AE">
      <w:pPr>
        <w:spacing w:line="360" w:lineRule="auto"/>
        <w:ind w:firstLine="600"/>
        <w:rPr>
          <w:rFonts w:ascii="仿宋_GB2312" w:eastAsia="仿宋_GB2312"/>
        </w:rPr>
      </w:pPr>
      <w:r>
        <w:rPr>
          <w:rFonts w:hint="eastAsia" w:ascii="仿宋_GB2312" w:eastAsia="仿宋_GB2312"/>
        </w:rPr>
        <w:t>发包人批复修订</w:t>
      </w:r>
      <w:r>
        <w:rPr>
          <w:rFonts w:ascii="仿宋_GB2312" w:eastAsia="仿宋_GB2312"/>
        </w:rPr>
        <w:t>项目进度计划</w:t>
      </w:r>
      <w:r>
        <w:rPr>
          <w:rFonts w:hint="eastAsia" w:ascii="仿宋_GB2312" w:eastAsia="仿宋_GB2312"/>
        </w:rPr>
        <w:t>申请报告的期限：</w:t>
      </w:r>
    </w:p>
    <w:p w14:paraId="79184B3A">
      <w:pPr>
        <w:spacing w:line="360" w:lineRule="auto"/>
        <w:ind w:firstLine="600"/>
        <w:rPr>
          <w:rFonts w:ascii="仿宋_GB2312" w:eastAsia="仿宋_GB2312"/>
        </w:rPr>
      </w:pPr>
      <w:r>
        <w:rPr>
          <w:rFonts w:hint="eastAsia" w:ascii="仿宋_GB2312" w:eastAsia="仿宋_GB2312"/>
        </w:rPr>
        <w:t>承包人答复发包人提出修订合同计划的期限：</w:t>
      </w:r>
    </w:p>
    <w:p w14:paraId="0FD840C2">
      <w:pPr>
        <w:spacing w:line="360" w:lineRule="auto"/>
        <w:ind w:firstLine="600"/>
        <w:outlineLvl w:val="3"/>
        <w:rPr>
          <w:rFonts w:hint="eastAsia" w:ascii="黑体" w:hAnsi="黑体" w:eastAsia="黑体"/>
        </w:rPr>
      </w:pPr>
      <w:r>
        <w:rPr>
          <w:rFonts w:hint="eastAsia" w:ascii="黑体" w:hAnsi="黑体" w:eastAsia="黑体"/>
        </w:rPr>
        <w:t>8.5 进度报告</w:t>
      </w:r>
    </w:p>
    <w:p w14:paraId="2BFD30F7">
      <w:pPr>
        <w:spacing w:line="360" w:lineRule="auto"/>
        <w:ind w:firstLine="600"/>
        <w:rPr>
          <w:rFonts w:ascii="仿宋_GB2312" w:eastAsia="仿宋_GB2312"/>
        </w:rPr>
      </w:pPr>
      <w:r>
        <w:rPr>
          <w:rFonts w:hint="eastAsia" w:ascii="仿宋_GB2312" w:eastAsia="仿宋_GB2312"/>
        </w:rPr>
        <w:t>进度报告的具体要求：</w:t>
      </w:r>
    </w:p>
    <w:p w14:paraId="2E327798">
      <w:pPr>
        <w:spacing w:line="360" w:lineRule="auto"/>
        <w:ind w:firstLine="600"/>
        <w:outlineLvl w:val="3"/>
        <w:rPr>
          <w:rFonts w:hint="eastAsia" w:ascii="黑体" w:hAnsi="黑体" w:eastAsia="黑体"/>
        </w:rPr>
      </w:pPr>
      <w:r>
        <w:rPr>
          <w:rFonts w:hint="eastAsia" w:ascii="黑体" w:hAnsi="黑体" w:eastAsia="黑体"/>
        </w:rPr>
        <w:t>8.7 工期延误</w:t>
      </w:r>
    </w:p>
    <w:p w14:paraId="6B121A6C">
      <w:pPr>
        <w:spacing w:line="360" w:lineRule="auto"/>
        <w:ind w:firstLine="600"/>
        <w:outlineLvl w:val="4"/>
        <w:rPr>
          <w:rFonts w:ascii="仿宋_GB2312" w:eastAsia="仿宋_GB2312"/>
        </w:rPr>
      </w:pPr>
      <w:r>
        <w:rPr>
          <w:rFonts w:ascii="仿宋_GB2312" w:eastAsia="仿宋_GB2312"/>
        </w:rPr>
        <w:t xml:space="preserve">8.7.2 </w:t>
      </w:r>
      <w:r>
        <w:rPr>
          <w:rFonts w:hint="eastAsia" w:ascii="仿宋_GB2312" w:eastAsia="仿宋_GB2312"/>
        </w:rPr>
        <w:t>因承包人原因导致工期延误</w:t>
      </w:r>
    </w:p>
    <w:p w14:paraId="2B0F75AF">
      <w:pPr>
        <w:spacing w:line="360" w:lineRule="auto"/>
        <w:ind w:firstLine="600"/>
        <w:rPr>
          <w:rFonts w:ascii="仿宋_GB2312" w:eastAsia="仿宋_GB2312"/>
        </w:rPr>
      </w:pPr>
      <w:r>
        <w:rPr>
          <w:rFonts w:hint="eastAsia" w:ascii="仿宋_GB2312" w:eastAsia="仿宋_GB2312"/>
        </w:rPr>
        <w:t>因承包人原因使竣工日期延误，每延误1日的误期赔偿金额为合同协议书的合同价格的%或人民币金额为：累计最高赔偿金额为合同协议书的合同价格的：%或人民币金额为：</w:t>
      </w:r>
    </w:p>
    <w:p w14:paraId="1792763B">
      <w:pPr>
        <w:spacing w:line="360" w:lineRule="auto"/>
        <w:ind w:firstLine="600"/>
        <w:outlineLvl w:val="4"/>
        <w:rPr>
          <w:rFonts w:ascii="仿宋_GB2312" w:eastAsia="仿宋_GB2312"/>
        </w:rPr>
      </w:pPr>
      <w:r>
        <w:rPr>
          <w:rFonts w:ascii="仿宋_GB2312" w:eastAsia="仿宋_GB2312"/>
        </w:rPr>
        <w:t xml:space="preserve">8.7.3 </w:t>
      </w:r>
      <w:r>
        <w:rPr>
          <w:rFonts w:hint="eastAsia" w:ascii="仿宋_GB2312" w:eastAsia="仿宋_GB2312"/>
        </w:rPr>
        <w:t>行政审批迟延</w:t>
      </w:r>
    </w:p>
    <w:p w14:paraId="0FB1B74F">
      <w:pPr>
        <w:spacing w:line="360" w:lineRule="auto"/>
        <w:ind w:firstLine="600"/>
        <w:rPr>
          <w:rFonts w:ascii="仿宋_GB2312" w:eastAsia="仿宋_GB2312"/>
        </w:rPr>
      </w:pPr>
      <w:r>
        <w:rPr>
          <w:rFonts w:hint="eastAsia" w:ascii="仿宋_GB2312" w:eastAsia="仿宋_GB2312"/>
        </w:rPr>
        <w:t>行政审批报送的职责分工：</w:t>
      </w:r>
    </w:p>
    <w:p w14:paraId="3BB56CD0">
      <w:pPr>
        <w:spacing w:line="360" w:lineRule="auto"/>
        <w:ind w:firstLine="600"/>
        <w:outlineLvl w:val="4"/>
        <w:rPr>
          <w:rFonts w:ascii="仿宋_GB2312" w:eastAsia="仿宋_GB2312"/>
        </w:rPr>
      </w:pPr>
      <w:r>
        <w:rPr>
          <w:rFonts w:ascii="仿宋_GB2312" w:eastAsia="仿宋_GB2312"/>
        </w:rPr>
        <w:t xml:space="preserve">8.7.4 </w:t>
      </w:r>
      <w:r>
        <w:rPr>
          <w:rFonts w:hint="eastAsia" w:ascii="仿宋_GB2312" w:eastAsia="仿宋_GB2312"/>
        </w:rPr>
        <w:t>异常恶劣的气候条件</w:t>
      </w:r>
    </w:p>
    <w:p w14:paraId="69DA2D92">
      <w:pPr>
        <w:spacing w:line="360" w:lineRule="auto"/>
        <w:ind w:firstLine="600"/>
        <w:rPr>
          <w:rFonts w:ascii="仿宋_GB2312" w:eastAsia="仿宋_GB2312"/>
        </w:rPr>
      </w:pPr>
      <w:r>
        <w:rPr>
          <w:rFonts w:hint="eastAsia" w:ascii="仿宋_GB2312" w:eastAsia="仿宋_GB2312"/>
        </w:rPr>
        <w:t>双方约定视为异常恶劣的气候条件的情形：</w:t>
      </w:r>
    </w:p>
    <w:p w14:paraId="7462EAF0">
      <w:pPr>
        <w:spacing w:line="360" w:lineRule="auto"/>
        <w:ind w:firstLine="600"/>
        <w:outlineLvl w:val="3"/>
        <w:rPr>
          <w:rFonts w:hint="eastAsia" w:ascii="黑体" w:hAnsi="黑体" w:eastAsia="黑体"/>
        </w:rPr>
      </w:pPr>
      <w:r>
        <w:rPr>
          <w:rFonts w:hint="eastAsia" w:ascii="黑体" w:hAnsi="黑体" w:eastAsia="黑体"/>
        </w:rPr>
        <w:t>8.8 工期提前</w:t>
      </w:r>
    </w:p>
    <w:p w14:paraId="3A9F13E8">
      <w:pPr>
        <w:spacing w:line="360" w:lineRule="auto"/>
        <w:ind w:firstLine="600"/>
        <w:outlineLvl w:val="4"/>
        <w:rPr>
          <w:rFonts w:ascii="仿宋_GB2312" w:eastAsia="仿宋_GB2312"/>
        </w:rPr>
      </w:pPr>
      <w:r>
        <w:rPr>
          <w:rFonts w:ascii="仿宋_GB2312" w:eastAsia="仿宋_GB2312"/>
        </w:rPr>
        <w:t xml:space="preserve">8.8.2 </w:t>
      </w:r>
      <w:r>
        <w:rPr>
          <w:rFonts w:hint="eastAsia" w:ascii="仿宋_GB2312" w:eastAsia="仿宋_GB2312"/>
        </w:rPr>
        <w:t>承包人提前竣工的奖励：</w:t>
      </w:r>
    </w:p>
    <w:p w14:paraId="310FDDC1">
      <w:pPr>
        <w:pStyle w:val="43"/>
        <w:spacing w:before="0" w:after="0"/>
        <w:jc w:val="left"/>
        <w:outlineLvl w:val="2"/>
        <w:rPr>
          <w:rFonts w:hint="eastAsia" w:ascii="黑体" w:hAnsi="黑体" w:eastAsia="黑体"/>
          <w:b w:val="0"/>
          <w:sz w:val="28"/>
          <w:szCs w:val="28"/>
        </w:rPr>
      </w:pPr>
      <w:bookmarkStart w:id="1809" w:name="_Toc20130"/>
      <w:bookmarkEnd w:id="1809"/>
      <w:bookmarkStart w:id="1810" w:name="_Toc2042"/>
      <w:bookmarkEnd w:id="1810"/>
      <w:bookmarkStart w:id="1811" w:name="_Toc54862340"/>
      <w:bookmarkEnd w:id="1811"/>
      <w:r>
        <w:rPr>
          <w:rFonts w:hint="eastAsia" w:ascii="黑体" w:hAnsi="黑体" w:eastAsia="黑体"/>
          <w:b w:val="0"/>
          <w:sz w:val="28"/>
          <w:szCs w:val="28"/>
        </w:rPr>
        <w:t>第9条 竣工试验</w:t>
      </w:r>
    </w:p>
    <w:p w14:paraId="194DADDB">
      <w:pPr>
        <w:spacing w:line="360" w:lineRule="auto"/>
        <w:ind w:firstLine="600"/>
        <w:outlineLvl w:val="3"/>
        <w:rPr>
          <w:rFonts w:hint="eastAsia" w:ascii="黑体" w:hAnsi="黑体" w:eastAsia="黑体"/>
        </w:rPr>
      </w:pPr>
      <w:r>
        <w:rPr>
          <w:rFonts w:hint="eastAsia" w:ascii="黑体" w:hAnsi="黑体" w:eastAsia="黑体"/>
        </w:rPr>
        <w:t>9.1 竣工试验的义务</w:t>
      </w:r>
    </w:p>
    <w:p w14:paraId="71F2DEAC">
      <w:pPr>
        <w:spacing w:line="360" w:lineRule="auto"/>
        <w:ind w:firstLine="600"/>
        <w:outlineLvl w:val="4"/>
        <w:rPr>
          <w:rFonts w:ascii="仿宋_GB2312" w:eastAsia="仿宋_GB2312"/>
        </w:rPr>
      </w:pPr>
      <w:r>
        <w:rPr>
          <w:rFonts w:ascii="仿宋_GB2312" w:eastAsia="仿宋_GB2312"/>
        </w:rPr>
        <w:t xml:space="preserve">9.1.3 </w:t>
      </w:r>
      <w:r>
        <w:rPr>
          <w:rFonts w:hint="eastAsia" w:ascii="仿宋_GB2312" w:eastAsia="仿宋_GB2312"/>
        </w:rPr>
        <w:t>竣工试验的阶段、内容和顺序：</w:t>
      </w:r>
    </w:p>
    <w:p w14:paraId="7E067734">
      <w:pPr>
        <w:spacing w:line="360" w:lineRule="auto"/>
        <w:ind w:firstLine="600"/>
        <w:rPr>
          <w:rFonts w:ascii="仿宋_GB2312" w:eastAsia="仿宋_GB2312"/>
        </w:rPr>
      </w:pPr>
      <w:r>
        <w:rPr>
          <w:rFonts w:hint="eastAsia" w:ascii="仿宋_GB2312" w:eastAsia="仿宋_GB2312"/>
        </w:rPr>
        <w:t>竣工试验的操作要求：</w:t>
      </w:r>
    </w:p>
    <w:p w14:paraId="1C208618">
      <w:pPr>
        <w:pStyle w:val="43"/>
        <w:spacing w:before="0" w:after="0"/>
        <w:jc w:val="left"/>
        <w:outlineLvl w:val="2"/>
        <w:rPr>
          <w:rFonts w:hint="eastAsia" w:ascii="黑体" w:hAnsi="黑体" w:eastAsia="黑体"/>
          <w:b w:val="0"/>
          <w:sz w:val="28"/>
          <w:szCs w:val="28"/>
        </w:rPr>
      </w:pPr>
      <w:bookmarkStart w:id="1812" w:name="_Toc26323"/>
      <w:bookmarkEnd w:id="1812"/>
      <w:bookmarkStart w:id="1813" w:name="_Toc4784273"/>
      <w:bookmarkEnd w:id="1813"/>
      <w:bookmarkStart w:id="1814" w:name="_Toc4784272"/>
      <w:bookmarkEnd w:id="1814"/>
      <w:bookmarkStart w:id="1815" w:name="_Toc17557"/>
      <w:bookmarkEnd w:id="1815"/>
      <w:bookmarkStart w:id="1816" w:name="_Toc54862341"/>
      <w:bookmarkEnd w:id="1816"/>
      <w:r>
        <w:rPr>
          <w:rFonts w:hint="eastAsia" w:ascii="黑体" w:hAnsi="黑体" w:eastAsia="黑体"/>
          <w:b w:val="0"/>
          <w:sz w:val="28"/>
          <w:szCs w:val="28"/>
        </w:rPr>
        <w:t>第10条 验收和工程接收</w:t>
      </w:r>
    </w:p>
    <w:p w14:paraId="17514D65">
      <w:pPr>
        <w:spacing w:line="360" w:lineRule="auto"/>
        <w:ind w:firstLine="600"/>
        <w:outlineLvl w:val="3"/>
        <w:rPr>
          <w:rFonts w:hint="eastAsia" w:ascii="黑体" w:hAnsi="黑体" w:eastAsia="黑体"/>
        </w:rPr>
      </w:pPr>
      <w:r>
        <w:rPr>
          <w:rFonts w:hint="eastAsia" w:ascii="黑体" w:hAnsi="黑体" w:eastAsia="黑体"/>
        </w:rPr>
        <w:t>10.1 竣工验收</w:t>
      </w:r>
    </w:p>
    <w:p w14:paraId="6BB0D9BA">
      <w:pPr>
        <w:spacing w:line="360" w:lineRule="auto"/>
        <w:ind w:firstLine="600"/>
        <w:outlineLvl w:val="4"/>
        <w:rPr>
          <w:rFonts w:ascii="仿宋_GB2312" w:eastAsia="仿宋_GB2312"/>
        </w:rPr>
      </w:pPr>
      <w:r>
        <w:rPr>
          <w:rFonts w:ascii="仿宋_GB2312" w:eastAsia="仿宋_GB2312"/>
        </w:rPr>
        <w:t xml:space="preserve">10.1.2 </w:t>
      </w:r>
      <w:r>
        <w:rPr>
          <w:rFonts w:hint="eastAsia" w:ascii="仿宋_GB2312" w:eastAsia="仿宋_GB2312"/>
        </w:rPr>
        <w:t>关于竣工验收程序的约定：</w:t>
      </w:r>
    </w:p>
    <w:p w14:paraId="1F9D1AA1">
      <w:pPr>
        <w:spacing w:line="360" w:lineRule="auto"/>
        <w:ind w:firstLine="600"/>
        <w:rPr>
          <w:rFonts w:ascii="仿宋_GB2312" w:eastAsia="仿宋_GB2312"/>
        </w:rPr>
      </w:pPr>
      <w:r>
        <w:rPr>
          <w:rFonts w:hint="eastAsia" w:ascii="仿宋_GB2312" w:eastAsia="仿宋_GB2312"/>
        </w:rPr>
        <w:t>发包人不按照合同约定组织竣工验收、颁发工程接受证书的违约金的计算方式：</w:t>
      </w:r>
    </w:p>
    <w:p w14:paraId="4B8332B8">
      <w:pPr>
        <w:spacing w:line="360" w:lineRule="auto"/>
        <w:ind w:firstLine="600"/>
        <w:outlineLvl w:val="3"/>
        <w:rPr>
          <w:rFonts w:hint="eastAsia" w:ascii="黑体" w:hAnsi="黑体" w:eastAsia="黑体"/>
        </w:rPr>
      </w:pPr>
      <w:r>
        <w:rPr>
          <w:rFonts w:hint="eastAsia" w:ascii="黑体" w:hAnsi="黑体" w:eastAsia="黑体"/>
        </w:rPr>
        <w:t>10.3</w:t>
      </w:r>
      <w:r>
        <w:rPr>
          <w:rFonts w:hint="eastAsia" w:ascii="黑体" w:hAnsi="黑体" w:eastAsia="黑体"/>
        </w:rPr>
        <w:tab/>
      </w:r>
      <w:r>
        <w:rPr>
          <w:rFonts w:hint="eastAsia" w:ascii="黑体" w:hAnsi="黑体" w:eastAsia="黑体"/>
        </w:rPr>
        <w:t xml:space="preserve"> 工程的接收</w:t>
      </w:r>
    </w:p>
    <w:p w14:paraId="371BF3AD">
      <w:pPr>
        <w:spacing w:line="360" w:lineRule="auto"/>
        <w:ind w:firstLine="600"/>
        <w:outlineLvl w:val="4"/>
        <w:rPr>
          <w:rFonts w:ascii="仿宋_GB2312" w:eastAsia="仿宋_GB2312"/>
        </w:rPr>
      </w:pPr>
      <w:r>
        <w:rPr>
          <w:rFonts w:ascii="仿宋_GB2312" w:eastAsia="仿宋_GB2312"/>
        </w:rPr>
        <w:t>10.3.1</w:t>
      </w:r>
      <w:r>
        <w:rPr>
          <w:rFonts w:hint="eastAsia" w:ascii="仿宋_GB2312" w:eastAsia="仿宋_GB2312"/>
        </w:rPr>
        <w:t>工程接收的先后顺序、时间安排和其他要求：</w:t>
      </w:r>
    </w:p>
    <w:p w14:paraId="2B54626F">
      <w:pPr>
        <w:spacing w:line="360" w:lineRule="auto"/>
        <w:ind w:firstLine="600"/>
        <w:rPr>
          <w:rFonts w:ascii="仿宋_GB2312" w:eastAsia="仿宋_GB2312"/>
        </w:rPr>
      </w:pPr>
      <w:r>
        <w:rPr>
          <w:rFonts w:ascii="仿宋_GB2312" w:eastAsia="仿宋_GB2312"/>
        </w:rPr>
        <w:t xml:space="preserve">10.3.2 </w:t>
      </w:r>
      <w:r>
        <w:rPr>
          <w:rFonts w:hint="eastAsia" w:ascii="仿宋_GB2312" w:eastAsia="仿宋_GB2312"/>
          <w:lang w:eastAsia="zh-CN"/>
        </w:rPr>
        <w:t>接收</w:t>
      </w:r>
      <w:r>
        <w:rPr>
          <w:rFonts w:hint="eastAsia" w:ascii="仿宋_GB2312" w:eastAsia="仿宋_GB2312"/>
        </w:rPr>
        <w:t>工程时承包人需提交竣工验收资料的类别、内容、份数和提交时间：</w:t>
      </w:r>
    </w:p>
    <w:p w14:paraId="56082254">
      <w:pPr>
        <w:spacing w:line="360" w:lineRule="auto"/>
        <w:ind w:firstLine="600"/>
        <w:rPr>
          <w:rFonts w:ascii="仿宋_GB2312" w:eastAsia="仿宋_GB2312"/>
        </w:rPr>
      </w:pPr>
      <w:r>
        <w:rPr>
          <w:rFonts w:ascii="仿宋_GB2312" w:eastAsia="仿宋_GB2312"/>
        </w:rPr>
        <w:t xml:space="preserve">10.3.3 </w:t>
      </w:r>
      <w:r>
        <w:rPr>
          <w:rFonts w:hint="eastAsia" w:ascii="仿宋_GB2312" w:eastAsia="仿宋_GB2312"/>
        </w:rPr>
        <w:t>发包人逾期接收工程的违约责任：</w:t>
      </w:r>
    </w:p>
    <w:p w14:paraId="048A8F9F">
      <w:pPr>
        <w:spacing w:line="360" w:lineRule="auto"/>
        <w:ind w:firstLine="600"/>
        <w:rPr>
          <w:rFonts w:ascii="仿宋_GB2312" w:eastAsia="仿宋_GB2312"/>
        </w:rPr>
      </w:pPr>
      <w:r>
        <w:rPr>
          <w:rFonts w:ascii="仿宋_GB2312" w:eastAsia="仿宋_GB2312"/>
        </w:rPr>
        <w:t xml:space="preserve">10.3.4 </w:t>
      </w:r>
      <w:r>
        <w:rPr>
          <w:rFonts w:hint="eastAsia" w:ascii="仿宋_GB2312" w:eastAsia="仿宋_GB2312"/>
        </w:rPr>
        <w:t>承包人无正当理由不移交工程的违约责任：</w:t>
      </w:r>
    </w:p>
    <w:p w14:paraId="02F2EDD7">
      <w:pPr>
        <w:spacing w:line="360" w:lineRule="auto"/>
        <w:ind w:firstLine="600"/>
        <w:outlineLvl w:val="3"/>
        <w:rPr>
          <w:rFonts w:hint="eastAsia" w:ascii="黑体" w:hAnsi="黑体" w:eastAsia="黑体"/>
        </w:rPr>
      </w:pPr>
      <w:r>
        <w:rPr>
          <w:rFonts w:hint="eastAsia" w:ascii="黑体" w:hAnsi="黑体" w:eastAsia="黑体"/>
        </w:rPr>
        <w:t>10.4 接收证书</w:t>
      </w:r>
    </w:p>
    <w:p w14:paraId="2BB5CF30">
      <w:pPr>
        <w:spacing w:line="360" w:lineRule="auto"/>
        <w:ind w:firstLine="600"/>
        <w:outlineLvl w:val="4"/>
        <w:rPr>
          <w:rFonts w:ascii="仿宋_GB2312" w:eastAsia="仿宋_GB2312"/>
        </w:rPr>
      </w:pPr>
      <w:r>
        <w:rPr>
          <w:rFonts w:ascii="仿宋_GB2312" w:eastAsia="仿宋_GB2312"/>
        </w:rPr>
        <w:t xml:space="preserve">10.4.1 </w:t>
      </w:r>
      <w:r>
        <w:rPr>
          <w:rFonts w:hint="eastAsia" w:ascii="仿宋_GB2312" w:eastAsia="仿宋_GB2312"/>
        </w:rPr>
        <w:t>工程接收证书颁发时间：</w:t>
      </w:r>
    </w:p>
    <w:p w14:paraId="2207AB02">
      <w:pPr>
        <w:spacing w:line="360" w:lineRule="auto"/>
        <w:ind w:firstLine="600"/>
        <w:outlineLvl w:val="3"/>
        <w:rPr>
          <w:rFonts w:hint="eastAsia" w:ascii="黑体" w:hAnsi="黑体" w:eastAsia="黑体"/>
        </w:rPr>
      </w:pPr>
      <w:r>
        <w:rPr>
          <w:rFonts w:hint="eastAsia" w:ascii="黑体" w:hAnsi="黑体" w:eastAsia="黑体"/>
        </w:rPr>
        <w:t>10.5 竣工退场</w:t>
      </w:r>
    </w:p>
    <w:p w14:paraId="469C6F1E">
      <w:pPr>
        <w:spacing w:line="360" w:lineRule="auto"/>
        <w:ind w:firstLine="600"/>
        <w:rPr>
          <w:rFonts w:ascii="仿宋_GB2312" w:eastAsia="仿宋_GB2312"/>
        </w:rPr>
      </w:pPr>
      <w:r>
        <w:rPr>
          <w:rFonts w:ascii="仿宋_GB2312" w:eastAsia="仿宋_GB2312"/>
        </w:rPr>
        <w:t xml:space="preserve">10.5.1 </w:t>
      </w:r>
      <w:r>
        <w:rPr>
          <w:rFonts w:hint="eastAsia" w:ascii="仿宋_GB2312" w:eastAsia="仿宋_GB2312"/>
        </w:rPr>
        <w:t>竣工退场的相关约定：</w:t>
      </w:r>
    </w:p>
    <w:p w14:paraId="5F3FE5CE">
      <w:pPr>
        <w:spacing w:line="360" w:lineRule="auto"/>
        <w:ind w:firstLine="600"/>
        <w:rPr>
          <w:rFonts w:ascii="仿宋_GB2312" w:eastAsia="仿宋_GB2312"/>
        </w:rPr>
      </w:pPr>
      <w:r>
        <w:rPr>
          <w:rFonts w:ascii="仿宋_GB2312" w:eastAsia="仿宋_GB2312"/>
        </w:rPr>
        <w:t>10.5.3</w:t>
      </w:r>
      <w:r>
        <w:rPr>
          <w:rFonts w:hint="eastAsia" w:ascii="仿宋_GB2312" w:eastAsia="仿宋_GB2312"/>
        </w:rPr>
        <w:t>人员撤离</w:t>
      </w:r>
    </w:p>
    <w:p w14:paraId="71141B05">
      <w:pPr>
        <w:spacing w:line="360" w:lineRule="auto"/>
        <w:ind w:firstLine="600"/>
        <w:rPr>
          <w:rFonts w:ascii="仿宋_GB2312" w:eastAsia="仿宋_GB2312"/>
        </w:rPr>
      </w:pPr>
      <w:r>
        <w:rPr>
          <w:rFonts w:hint="eastAsia" w:ascii="仿宋_GB2312" w:eastAsia="仿宋_GB2312"/>
        </w:rPr>
        <w:t>工程师同意需在缺陷责任期内继续工作和使用的人员、施工设备和临时工程的内容：</w:t>
      </w:r>
    </w:p>
    <w:p w14:paraId="19C012C8">
      <w:pPr>
        <w:pStyle w:val="43"/>
        <w:spacing w:before="0" w:after="0"/>
        <w:jc w:val="left"/>
        <w:outlineLvl w:val="2"/>
        <w:rPr>
          <w:rFonts w:hint="eastAsia" w:ascii="黑体" w:hAnsi="黑体" w:eastAsia="黑体"/>
          <w:b w:val="0"/>
          <w:sz w:val="28"/>
          <w:szCs w:val="28"/>
        </w:rPr>
      </w:pPr>
      <w:bookmarkStart w:id="1817" w:name="_Toc54862342"/>
      <w:bookmarkEnd w:id="1817"/>
      <w:bookmarkStart w:id="1818" w:name="_Toc28828"/>
      <w:bookmarkEnd w:id="1818"/>
      <w:bookmarkStart w:id="1819" w:name="_Toc11462"/>
      <w:bookmarkEnd w:id="1819"/>
      <w:r>
        <w:rPr>
          <w:rFonts w:hint="eastAsia" w:ascii="黑体" w:hAnsi="黑体" w:eastAsia="黑体"/>
          <w:b w:val="0"/>
          <w:sz w:val="28"/>
          <w:szCs w:val="28"/>
        </w:rPr>
        <w:t>第11条 缺陷责任与保修</w:t>
      </w:r>
    </w:p>
    <w:p w14:paraId="4921BE58">
      <w:pPr>
        <w:spacing w:line="360" w:lineRule="auto"/>
        <w:ind w:firstLine="600"/>
        <w:outlineLvl w:val="3"/>
        <w:rPr>
          <w:rFonts w:hint="eastAsia" w:ascii="黑体" w:hAnsi="黑体" w:eastAsia="黑体"/>
        </w:rPr>
      </w:pPr>
      <w:r>
        <w:rPr>
          <w:rFonts w:hint="eastAsia" w:ascii="黑体" w:hAnsi="黑体" w:eastAsia="黑体"/>
        </w:rPr>
        <w:t>11.2 缺陷责任期</w:t>
      </w:r>
    </w:p>
    <w:p w14:paraId="33A81DA1">
      <w:pPr>
        <w:spacing w:line="360" w:lineRule="auto"/>
        <w:ind w:firstLine="600"/>
        <w:rPr>
          <w:rFonts w:ascii="仿宋_GB2312" w:eastAsia="仿宋_GB2312"/>
        </w:rPr>
      </w:pPr>
      <w:r>
        <w:rPr>
          <w:rFonts w:ascii="仿宋_GB2312" w:eastAsia="仿宋_GB2312"/>
        </w:rPr>
        <w:t>缺陷责任期的</w:t>
      </w:r>
      <w:r>
        <w:rPr>
          <w:rFonts w:hint="eastAsia" w:ascii="仿宋_GB2312" w:eastAsia="仿宋_GB2312"/>
        </w:rPr>
        <w:t>期限：</w:t>
      </w:r>
    </w:p>
    <w:p w14:paraId="4F7E27A1">
      <w:pPr>
        <w:spacing w:line="360" w:lineRule="auto"/>
        <w:ind w:firstLine="600"/>
        <w:outlineLvl w:val="3"/>
        <w:rPr>
          <w:rFonts w:hint="eastAsia" w:ascii="黑体" w:hAnsi="黑体" w:eastAsia="黑体"/>
        </w:rPr>
      </w:pPr>
      <w:r>
        <w:rPr>
          <w:rFonts w:hint="eastAsia" w:ascii="黑体" w:hAnsi="黑体" w:eastAsia="黑体"/>
        </w:rPr>
        <w:t>11.3 缺陷调查</w:t>
      </w:r>
    </w:p>
    <w:p w14:paraId="7A6F61A9">
      <w:pPr>
        <w:spacing w:line="360" w:lineRule="auto"/>
        <w:ind w:firstLine="600"/>
        <w:outlineLvl w:val="4"/>
        <w:rPr>
          <w:rFonts w:ascii="仿宋_GB2312" w:eastAsia="仿宋_GB2312"/>
        </w:rPr>
      </w:pPr>
      <w:r>
        <w:rPr>
          <w:rFonts w:ascii="仿宋_GB2312" w:eastAsia="仿宋_GB2312"/>
        </w:rPr>
        <w:t xml:space="preserve">11.3.4 </w:t>
      </w:r>
      <w:r>
        <w:rPr>
          <w:rFonts w:hint="eastAsia" w:ascii="仿宋_GB2312" w:eastAsia="仿宋_GB2312"/>
        </w:rPr>
        <w:t>修复通知</w:t>
      </w:r>
    </w:p>
    <w:p w14:paraId="065B7EDC">
      <w:pPr>
        <w:spacing w:line="360" w:lineRule="auto"/>
        <w:ind w:firstLine="600"/>
        <w:rPr>
          <w:rFonts w:ascii="仿宋_GB2312" w:eastAsia="仿宋_GB2312"/>
        </w:rPr>
      </w:pPr>
      <w:r>
        <w:rPr>
          <w:rFonts w:ascii="仿宋_GB2312" w:eastAsia="仿宋_GB2312"/>
        </w:rPr>
        <w:t>承包人收到保修通知并到达工程现场的合理时间</w:t>
      </w:r>
      <w:r>
        <w:rPr>
          <w:rFonts w:hint="eastAsia" w:ascii="仿宋_GB2312" w:eastAsia="仿宋_GB2312"/>
        </w:rPr>
        <w:t>：</w:t>
      </w:r>
    </w:p>
    <w:p w14:paraId="01991752">
      <w:pPr>
        <w:spacing w:line="360" w:lineRule="auto"/>
        <w:ind w:firstLine="600"/>
        <w:outlineLvl w:val="3"/>
        <w:rPr>
          <w:rFonts w:hint="eastAsia" w:ascii="黑体" w:hAnsi="黑体" w:eastAsia="黑体"/>
        </w:rPr>
      </w:pPr>
      <w:r>
        <w:rPr>
          <w:rFonts w:hint="eastAsia" w:ascii="黑体" w:hAnsi="黑体" w:eastAsia="黑体"/>
        </w:rPr>
        <w:t>11.6 缺陷责任期终止证书</w:t>
      </w:r>
    </w:p>
    <w:p w14:paraId="139C5F9A">
      <w:pPr>
        <w:spacing w:line="360" w:lineRule="auto"/>
        <w:ind w:firstLine="600"/>
        <w:rPr>
          <w:rFonts w:ascii="仿宋_GB2312" w:eastAsia="仿宋_GB2312"/>
        </w:rPr>
      </w:pPr>
      <w:r>
        <w:rPr>
          <w:rFonts w:hint="eastAsia" w:ascii="仿宋_GB2312" w:eastAsia="仿宋_GB2312"/>
        </w:rPr>
        <w:t>承包人应于缺陷责任期届满后天内向发包人发出缺陷责任期届满通知，发包人应在收到缺陷责任期满通知后天内核实承包人是否履行缺陷修复义务，承包人未能履行缺陷修复义务的，发包人有权扣除相应金额的维修费用。发包人应在收到缺陷责任期届满通知后天内，向承包人颁发缺陷责任期终止证书。</w:t>
      </w:r>
    </w:p>
    <w:p w14:paraId="09E27C50">
      <w:pPr>
        <w:spacing w:line="360" w:lineRule="auto"/>
        <w:ind w:firstLine="600"/>
        <w:outlineLvl w:val="3"/>
        <w:rPr>
          <w:rFonts w:hint="eastAsia" w:ascii="黑体" w:hAnsi="黑体" w:eastAsia="黑体"/>
        </w:rPr>
      </w:pPr>
      <w:r>
        <w:rPr>
          <w:rFonts w:hint="eastAsia" w:ascii="黑体" w:hAnsi="黑体" w:eastAsia="黑体"/>
        </w:rPr>
        <w:t>11.7 保修责任</w:t>
      </w:r>
    </w:p>
    <w:p w14:paraId="3C956F04">
      <w:pPr>
        <w:spacing w:line="360" w:lineRule="auto"/>
        <w:ind w:firstLine="600"/>
        <w:rPr>
          <w:rFonts w:ascii="仿宋_GB2312" w:eastAsia="仿宋_GB2312"/>
        </w:rPr>
      </w:pPr>
      <w:r>
        <w:rPr>
          <w:rFonts w:hint="eastAsia" w:ascii="仿宋_GB2312" w:eastAsia="仿宋_GB2312"/>
        </w:rPr>
        <w:t>工程质量保修范围、期限和责任</w:t>
      </w:r>
      <w:r>
        <w:rPr>
          <w:rFonts w:ascii="仿宋_GB2312" w:eastAsia="仿宋_GB2312"/>
        </w:rPr>
        <w:t>为</w:t>
      </w:r>
      <w:r>
        <w:rPr>
          <w:rFonts w:hint="eastAsia" w:ascii="仿宋_GB2312" w:eastAsia="仿宋_GB2312"/>
        </w:rPr>
        <w:t>：</w:t>
      </w:r>
    </w:p>
    <w:p w14:paraId="18E149B2">
      <w:pPr>
        <w:pStyle w:val="43"/>
        <w:spacing w:before="0" w:after="0"/>
        <w:jc w:val="left"/>
        <w:outlineLvl w:val="2"/>
        <w:rPr>
          <w:rFonts w:hint="eastAsia" w:ascii="黑体" w:hAnsi="黑体" w:eastAsia="黑体"/>
          <w:b w:val="0"/>
          <w:sz w:val="28"/>
          <w:szCs w:val="28"/>
        </w:rPr>
      </w:pPr>
      <w:bookmarkStart w:id="1820" w:name="_Toc9122"/>
      <w:bookmarkEnd w:id="1820"/>
      <w:bookmarkStart w:id="1821" w:name="_Toc27158"/>
      <w:bookmarkEnd w:id="1821"/>
      <w:bookmarkStart w:id="1822" w:name="_Toc54862343"/>
      <w:bookmarkEnd w:id="1822"/>
      <w:r>
        <w:rPr>
          <w:rFonts w:hint="eastAsia" w:ascii="黑体" w:hAnsi="黑体" w:eastAsia="黑体"/>
          <w:b w:val="0"/>
          <w:sz w:val="28"/>
          <w:szCs w:val="28"/>
        </w:rPr>
        <w:t>第12条 竣工后试验</w:t>
      </w:r>
    </w:p>
    <w:p w14:paraId="7EB4103C">
      <w:pPr>
        <w:spacing w:line="360" w:lineRule="auto"/>
        <w:ind w:firstLine="600"/>
        <w:rPr>
          <w:rFonts w:ascii="仿宋_GB2312" w:eastAsia="仿宋_GB2312"/>
        </w:rPr>
      </w:pPr>
      <w:r>
        <w:rPr>
          <w:rFonts w:hint="eastAsia" w:ascii="仿宋_GB2312" w:eastAsia="仿宋_GB2312"/>
        </w:rPr>
        <w:t>本合同工程是否包含竣工后试验：</w:t>
      </w:r>
    </w:p>
    <w:p w14:paraId="0D9B182E">
      <w:pPr>
        <w:spacing w:line="360" w:lineRule="auto"/>
        <w:ind w:firstLine="600"/>
        <w:outlineLvl w:val="3"/>
        <w:rPr>
          <w:rFonts w:hint="eastAsia" w:ascii="黑体" w:hAnsi="黑体" w:eastAsia="黑体"/>
        </w:rPr>
      </w:pPr>
      <w:r>
        <w:rPr>
          <w:rFonts w:hint="eastAsia" w:ascii="黑体" w:hAnsi="黑体" w:eastAsia="黑体"/>
        </w:rPr>
        <w:t>12.1 竣工后试验的程序</w:t>
      </w:r>
    </w:p>
    <w:p w14:paraId="62E60B8C">
      <w:pPr>
        <w:spacing w:line="360" w:lineRule="auto"/>
        <w:ind w:firstLine="600"/>
        <w:rPr>
          <w:sz w:val="28"/>
          <w:szCs w:val="28"/>
        </w:rPr>
      </w:pPr>
      <w:bookmarkStart w:id="1823" w:name="_Toc54862344"/>
      <w:r>
        <w:rPr>
          <w:rFonts w:ascii="仿宋_GB2312" w:eastAsia="仿宋_GB2312"/>
        </w:rPr>
        <w:t xml:space="preserve">12.1.2 </w:t>
      </w:r>
      <w:r>
        <w:rPr>
          <w:rFonts w:hint="eastAsia" w:ascii="仿宋_GB2312" w:eastAsia="仿宋_GB2312"/>
        </w:rPr>
        <w:t>竣工后试验全部电力、水、污水处理、燃料、消耗品和材料，以及全部其他仪器、协助、文件或其他信息、设备、工具、劳力，启动工程设备，并组织安排有适当资质、经验和能力的工作人员等必要条件的提供方：</w:t>
      </w:r>
    </w:p>
    <w:bookmarkEnd w:id="1823"/>
    <w:p w14:paraId="2282E06F">
      <w:pPr>
        <w:pStyle w:val="43"/>
        <w:spacing w:before="0" w:after="0"/>
        <w:jc w:val="left"/>
        <w:outlineLvl w:val="2"/>
        <w:rPr>
          <w:rFonts w:hint="eastAsia" w:ascii="黑体" w:hAnsi="黑体" w:eastAsia="黑体"/>
          <w:b w:val="0"/>
          <w:sz w:val="28"/>
          <w:szCs w:val="28"/>
        </w:rPr>
      </w:pPr>
      <w:bookmarkStart w:id="1824" w:name="_Toc21599"/>
      <w:bookmarkEnd w:id="1824"/>
      <w:bookmarkStart w:id="1825" w:name="_Toc20327"/>
      <w:bookmarkEnd w:id="1825"/>
      <w:r>
        <w:rPr>
          <w:rFonts w:hint="eastAsia" w:ascii="黑体" w:hAnsi="黑体" w:eastAsia="黑体"/>
          <w:b w:val="0"/>
          <w:sz w:val="28"/>
          <w:szCs w:val="28"/>
        </w:rPr>
        <w:t>第13条 变更与调整</w:t>
      </w:r>
    </w:p>
    <w:p w14:paraId="237B6223">
      <w:pPr>
        <w:spacing w:line="360" w:lineRule="auto"/>
        <w:ind w:firstLine="600"/>
        <w:outlineLvl w:val="3"/>
        <w:rPr>
          <w:rFonts w:hint="eastAsia" w:ascii="黑体" w:hAnsi="黑体" w:eastAsia="黑体"/>
        </w:rPr>
      </w:pPr>
      <w:r>
        <w:rPr>
          <w:rFonts w:hint="eastAsia" w:ascii="黑体" w:hAnsi="黑体" w:eastAsia="黑体"/>
        </w:rPr>
        <w:t>13.2 承包人的合理化建议</w:t>
      </w:r>
    </w:p>
    <w:p w14:paraId="46F18C7F">
      <w:pPr>
        <w:spacing w:line="360" w:lineRule="auto"/>
        <w:ind w:firstLine="600"/>
        <w:rPr>
          <w:rFonts w:ascii="仿宋_GB2312" w:eastAsia="仿宋_GB2312"/>
        </w:rPr>
      </w:pPr>
      <w:r>
        <w:rPr>
          <w:rFonts w:ascii="仿宋_GB2312" w:eastAsia="仿宋_GB2312"/>
        </w:rPr>
        <w:t xml:space="preserve">13.2.2 </w:t>
      </w:r>
      <w:r>
        <w:rPr>
          <w:rFonts w:hint="eastAsia" w:ascii="仿宋_GB2312" w:eastAsia="仿宋_GB2312"/>
        </w:rPr>
        <w:t>工程师应在收到承包人提交的合理化建议后日内审查完毕并报送发包人，发现其中存在技术上的缺陷，应通知承包人修改。发包人应在收到工程师报送的合理化建议后日内审批完毕。合理化建议经发包人批准的，工程师应及时发出变更指示，由此引起的合同价格调整按照执行。发包人不同意变更的，工程师应书面通知承包人</w:t>
      </w:r>
    </w:p>
    <w:p w14:paraId="757FEA34">
      <w:pPr>
        <w:spacing w:line="360" w:lineRule="auto"/>
        <w:ind w:firstLine="600"/>
        <w:outlineLvl w:val="4"/>
        <w:rPr>
          <w:rFonts w:ascii="仿宋_GB2312" w:eastAsia="仿宋_GB2312"/>
        </w:rPr>
      </w:pPr>
      <w:r>
        <w:rPr>
          <w:rFonts w:ascii="仿宋_GB2312" w:eastAsia="仿宋_GB2312"/>
        </w:rPr>
        <w:t>13.2.3 承包人提出的</w:t>
      </w:r>
      <w:r>
        <w:rPr>
          <w:rFonts w:hint="eastAsia" w:ascii="仿宋_GB2312" w:eastAsia="仿宋_GB2312"/>
        </w:rPr>
        <w:t>合理化变更</w:t>
      </w:r>
      <w:r>
        <w:rPr>
          <w:rFonts w:ascii="仿宋_GB2312" w:eastAsia="仿宋_GB2312"/>
        </w:rPr>
        <w:t>建议的</w:t>
      </w:r>
      <w:r>
        <w:rPr>
          <w:rFonts w:hint="eastAsia" w:ascii="仿宋_GB2312" w:eastAsia="仿宋_GB2312"/>
        </w:rPr>
        <w:t>利益分享约定：</w:t>
      </w:r>
    </w:p>
    <w:p w14:paraId="2AD05A68">
      <w:pPr>
        <w:spacing w:line="360" w:lineRule="auto"/>
        <w:ind w:firstLine="600"/>
        <w:outlineLvl w:val="3"/>
        <w:rPr>
          <w:rFonts w:hint="eastAsia" w:ascii="黑体" w:hAnsi="黑体" w:eastAsia="黑体"/>
        </w:rPr>
      </w:pPr>
      <w:r>
        <w:rPr>
          <w:rFonts w:hint="eastAsia" w:ascii="黑体" w:hAnsi="黑体" w:eastAsia="黑体"/>
        </w:rPr>
        <w:t>13.3 变更程序</w:t>
      </w:r>
    </w:p>
    <w:p w14:paraId="71541435">
      <w:pPr>
        <w:spacing w:line="360" w:lineRule="auto"/>
        <w:ind w:firstLine="600"/>
        <w:outlineLvl w:val="4"/>
        <w:rPr>
          <w:rFonts w:ascii="仿宋_GB2312" w:eastAsia="仿宋_GB2312"/>
        </w:rPr>
      </w:pPr>
      <w:r>
        <w:rPr>
          <w:rFonts w:ascii="仿宋_GB2312" w:eastAsia="仿宋_GB2312"/>
        </w:rPr>
        <w:t>13.3.3 变更估价</w:t>
      </w:r>
    </w:p>
    <w:p w14:paraId="658161F7">
      <w:pPr>
        <w:spacing w:line="360" w:lineRule="auto"/>
        <w:ind w:firstLine="600"/>
        <w:rPr>
          <w:rFonts w:ascii="仿宋_GB2312" w:eastAsia="仿宋_GB2312"/>
        </w:rPr>
      </w:pPr>
      <w:r>
        <w:rPr>
          <w:rFonts w:ascii="仿宋_GB2312" w:eastAsia="仿宋_GB2312"/>
        </w:rPr>
        <w:t>13.3.3.1 变更估价原则</w:t>
      </w:r>
    </w:p>
    <w:p w14:paraId="58F53816">
      <w:pPr>
        <w:spacing w:line="360" w:lineRule="auto"/>
        <w:ind w:firstLine="600"/>
        <w:rPr>
          <w:rFonts w:ascii="仿宋_GB2312" w:eastAsia="仿宋_GB2312"/>
        </w:rPr>
      </w:pPr>
      <w:r>
        <w:rPr>
          <w:rFonts w:hint="eastAsia" w:ascii="仿宋_GB2312" w:eastAsia="仿宋_GB2312"/>
        </w:rPr>
        <w:t>关于变更估价原则的约定：</w:t>
      </w:r>
    </w:p>
    <w:p w14:paraId="35624BBE">
      <w:pPr>
        <w:spacing w:line="360" w:lineRule="auto"/>
        <w:ind w:firstLine="600"/>
        <w:outlineLvl w:val="3"/>
        <w:rPr>
          <w:rFonts w:hint="eastAsia" w:ascii="黑体" w:hAnsi="黑体" w:eastAsia="黑体"/>
        </w:rPr>
      </w:pPr>
      <w:r>
        <w:rPr>
          <w:rFonts w:hint="eastAsia" w:ascii="黑体" w:hAnsi="黑体" w:eastAsia="黑体"/>
        </w:rPr>
        <w:t>13.4 暂估价</w:t>
      </w:r>
    </w:p>
    <w:p w14:paraId="354BC1F4">
      <w:pPr>
        <w:spacing w:line="360" w:lineRule="auto"/>
        <w:ind w:firstLine="600"/>
        <w:outlineLvl w:val="4"/>
        <w:rPr>
          <w:rFonts w:ascii="仿宋_GB2312" w:eastAsia="仿宋_GB2312"/>
        </w:rPr>
      </w:pPr>
      <w:r>
        <w:rPr>
          <w:rFonts w:ascii="仿宋_GB2312" w:eastAsia="仿宋_GB2312"/>
        </w:rPr>
        <w:t xml:space="preserve">13.4.1 </w:t>
      </w:r>
      <w:r>
        <w:rPr>
          <w:rFonts w:hint="eastAsia" w:ascii="仿宋_GB2312" w:eastAsia="仿宋_GB2312"/>
        </w:rPr>
        <w:t>依法必须招标的暂估价项目</w:t>
      </w:r>
    </w:p>
    <w:p w14:paraId="46B4E407">
      <w:pPr>
        <w:spacing w:line="360" w:lineRule="auto"/>
        <w:ind w:firstLine="600"/>
        <w:rPr>
          <w:rFonts w:ascii="仿宋_GB2312" w:eastAsia="仿宋_GB2312"/>
        </w:rPr>
      </w:pPr>
      <w:r>
        <w:rPr>
          <w:rFonts w:hint="eastAsia" w:ascii="仿宋_GB2312" w:eastAsia="仿宋_GB2312"/>
        </w:rPr>
        <w:t>承包人可以参与投标的暂估价项目范围：</w:t>
      </w:r>
    </w:p>
    <w:p w14:paraId="31DB212C">
      <w:pPr>
        <w:spacing w:line="360" w:lineRule="auto"/>
        <w:ind w:firstLine="600"/>
        <w:rPr>
          <w:rFonts w:ascii="仿宋_GB2312" w:eastAsia="仿宋_GB2312"/>
        </w:rPr>
      </w:pPr>
      <w:r>
        <w:rPr>
          <w:rFonts w:hint="eastAsia" w:ascii="仿宋_GB2312" w:eastAsia="仿宋_GB2312"/>
        </w:rPr>
        <w:t>承包人不得参与投标的暂估价项目范围：</w:t>
      </w:r>
    </w:p>
    <w:p w14:paraId="63BBCE0B">
      <w:pPr>
        <w:spacing w:line="360" w:lineRule="auto"/>
        <w:ind w:firstLine="600"/>
        <w:rPr>
          <w:rFonts w:ascii="仿宋_GB2312" w:eastAsia="仿宋_GB2312"/>
        </w:rPr>
      </w:pPr>
      <w:r>
        <w:rPr>
          <w:rFonts w:hint="eastAsia" w:ascii="仿宋_GB2312" w:eastAsia="仿宋_GB2312"/>
        </w:rPr>
        <w:t>招投标程序及其他约定：</w:t>
      </w:r>
    </w:p>
    <w:p w14:paraId="6A08D902">
      <w:pPr>
        <w:spacing w:line="360" w:lineRule="auto"/>
        <w:ind w:firstLine="600"/>
        <w:outlineLvl w:val="4"/>
        <w:rPr>
          <w:rFonts w:ascii="仿宋_GB2312" w:eastAsia="仿宋_GB2312"/>
        </w:rPr>
      </w:pPr>
      <w:r>
        <w:rPr>
          <w:rFonts w:ascii="仿宋_GB2312" w:eastAsia="仿宋_GB2312"/>
        </w:rPr>
        <w:t xml:space="preserve">13.4.2 </w:t>
      </w:r>
      <w:r>
        <w:rPr>
          <w:rFonts w:hint="eastAsia" w:ascii="仿宋_GB2312" w:eastAsia="仿宋_GB2312"/>
        </w:rPr>
        <w:t>不属于依法必须招标的暂估价项目</w:t>
      </w:r>
    </w:p>
    <w:p w14:paraId="492AE169">
      <w:pPr>
        <w:spacing w:line="360" w:lineRule="auto"/>
        <w:ind w:firstLine="600"/>
        <w:rPr>
          <w:rFonts w:ascii="仿宋_GB2312" w:eastAsia="仿宋_GB2312"/>
        </w:rPr>
      </w:pPr>
      <w:r>
        <w:rPr>
          <w:rFonts w:hint="eastAsia" w:ascii="仿宋_GB2312" w:eastAsia="仿宋_GB2312"/>
        </w:rPr>
        <w:t>不属于依法必须招标的暂估价项目的协商及估价的约定：</w:t>
      </w:r>
    </w:p>
    <w:p w14:paraId="1CB9E181">
      <w:pPr>
        <w:spacing w:line="360" w:lineRule="auto"/>
        <w:ind w:firstLine="600"/>
        <w:outlineLvl w:val="3"/>
        <w:rPr>
          <w:rFonts w:hint="eastAsia" w:ascii="黑体" w:hAnsi="黑体" w:eastAsia="黑体"/>
        </w:rPr>
      </w:pPr>
      <w:r>
        <w:rPr>
          <w:rFonts w:hint="eastAsia" w:ascii="黑体" w:hAnsi="黑体" w:eastAsia="黑体"/>
        </w:rPr>
        <w:t>13.5 暂列金额</w:t>
      </w:r>
    </w:p>
    <w:p w14:paraId="52D9BA97">
      <w:pPr>
        <w:spacing w:line="360" w:lineRule="auto"/>
        <w:ind w:firstLine="600"/>
        <w:rPr>
          <w:rFonts w:ascii="仿宋_GB2312" w:eastAsia="仿宋_GB2312"/>
        </w:rPr>
      </w:pPr>
      <w:r>
        <w:rPr>
          <w:rFonts w:hint="eastAsia" w:ascii="仿宋_GB2312" w:eastAsia="仿宋_GB2312"/>
        </w:rPr>
        <w:t>其他关于暂列金额使用的约定：</w:t>
      </w:r>
    </w:p>
    <w:p w14:paraId="0C9CFCB6">
      <w:pPr>
        <w:spacing w:line="360" w:lineRule="auto"/>
        <w:ind w:firstLine="600"/>
        <w:outlineLvl w:val="3"/>
        <w:rPr>
          <w:rFonts w:hint="eastAsia" w:ascii="黑体" w:hAnsi="黑体" w:eastAsia="黑体"/>
        </w:rPr>
      </w:pPr>
      <w:r>
        <w:rPr>
          <w:rFonts w:hint="eastAsia" w:ascii="黑体" w:hAnsi="黑体" w:eastAsia="黑体"/>
        </w:rPr>
        <w:t>13.8 市场价格波动引起的调整</w:t>
      </w:r>
    </w:p>
    <w:p w14:paraId="05B7C29F">
      <w:pPr>
        <w:spacing w:line="360" w:lineRule="auto"/>
        <w:ind w:firstLine="600"/>
        <w:rPr>
          <w:rFonts w:ascii="仿宋_GB2312" w:eastAsia="仿宋_GB2312"/>
        </w:rPr>
      </w:pPr>
      <w:r>
        <w:rPr>
          <w:rFonts w:hint="eastAsia" w:ascii="仿宋_GB2312" w:eastAsia="仿宋_GB2312"/>
        </w:rPr>
        <w:t>1</w:t>
      </w:r>
      <w:r>
        <w:rPr>
          <w:rFonts w:ascii="仿宋_GB2312" w:eastAsia="仿宋_GB2312"/>
        </w:rPr>
        <w:t xml:space="preserve">3.8.2 </w:t>
      </w:r>
      <w:r>
        <w:rPr>
          <w:rFonts w:hint="eastAsia" w:ascii="仿宋_GB2312" w:eastAsia="仿宋_GB2312"/>
        </w:rPr>
        <w:t>关于是否采用《价格指数权重表》的约定：</w:t>
      </w:r>
    </w:p>
    <w:p w14:paraId="350823C9">
      <w:pPr>
        <w:spacing w:line="360" w:lineRule="auto"/>
        <w:ind w:firstLine="600"/>
        <w:rPr>
          <w:rFonts w:ascii="仿宋_GB2312" w:eastAsia="仿宋_GB2312"/>
        </w:rPr>
      </w:pPr>
      <w:r>
        <w:rPr>
          <w:rFonts w:hint="eastAsia" w:ascii="仿宋_GB2312" w:eastAsia="仿宋_GB2312"/>
        </w:rPr>
        <w:t>1</w:t>
      </w:r>
      <w:r>
        <w:rPr>
          <w:rFonts w:ascii="仿宋_GB2312" w:eastAsia="仿宋_GB2312"/>
        </w:rPr>
        <w:t xml:space="preserve">3.8.3 </w:t>
      </w:r>
      <w:r>
        <w:rPr>
          <w:rFonts w:hint="eastAsia" w:ascii="仿宋_GB2312" w:eastAsia="仿宋_GB2312"/>
        </w:rPr>
        <w:t>关于采用其他方式调整合同价款的约定：</w:t>
      </w:r>
    </w:p>
    <w:p w14:paraId="62B4B5D1">
      <w:pPr>
        <w:pStyle w:val="43"/>
        <w:spacing w:before="0" w:after="0"/>
        <w:jc w:val="left"/>
        <w:outlineLvl w:val="2"/>
        <w:rPr>
          <w:rFonts w:hint="eastAsia" w:ascii="黑体" w:hAnsi="黑体" w:eastAsia="黑体"/>
          <w:b w:val="0"/>
          <w:sz w:val="28"/>
          <w:szCs w:val="28"/>
        </w:rPr>
      </w:pPr>
      <w:bookmarkStart w:id="1826" w:name="_Toc29670"/>
      <w:bookmarkEnd w:id="1826"/>
      <w:bookmarkStart w:id="1827" w:name="_Toc54862345"/>
      <w:bookmarkEnd w:id="1827"/>
      <w:bookmarkStart w:id="1828" w:name="_Toc2789"/>
      <w:bookmarkEnd w:id="1828"/>
      <w:r>
        <w:rPr>
          <w:rFonts w:hint="eastAsia" w:ascii="黑体" w:hAnsi="黑体" w:eastAsia="黑体"/>
          <w:b w:val="0"/>
          <w:sz w:val="28"/>
          <w:szCs w:val="28"/>
        </w:rPr>
        <w:t>第14条 合同价格与支付</w:t>
      </w:r>
    </w:p>
    <w:p w14:paraId="58B54BC4">
      <w:pPr>
        <w:spacing w:line="360" w:lineRule="auto"/>
        <w:ind w:firstLine="600"/>
        <w:outlineLvl w:val="3"/>
        <w:rPr>
          <w:rFonts w:hint="eastAsia" w:ascii="黑体" w:hAnsi="黑体" w:eastAsia="黑体"/>
        </w:rPr>
      </w:pPr>
      <w:r>
        <w:rPr>
          <w:rFonts w:hint="eastAsia" w:ascii="黑体" w:hAnsi="黑体" w:eastAsia="黑体"/>
        </w:rPr>
        <w:t>14.1 合同价格形式</w:t>
      </w:r>
    </w:p>
    <w:p w14:paraId="16038D7A">
      <w:pPr>
        <w:spacing w:line="360" w:lineRule="auto"/>
        <w:ind w:firstLine="600"/>
        <w:rPr>
          <w:rFonts w:ascii="仿宋_GB2312" w:eastAsia="仿宋_GB2312"/>
        </w:rPr>
      </w:pPr>
      <w:r>
        <w:rPr>
          <w:rFonts w:hint="eastAsia" w:ascii="仿宋_GB2312" w:eastAsia="仿宋_GB2312"/>
        </w:rPr>
        <w:t>1</w:t>
      </w:r>
      <w:r>
        <w:rPr>
          <w:rFonts w:ascii="仿宋_GB2312" w:eastAsia="仿宋_GB2312"/>
        </w:rPr>
        <w:t xml:space="preserve">4.1.1 </w:t>
      </w:r>
      <w:r>
        <w:rPr>
          <w:rFonts w:hint="eastAsia" w:ascii="仿宋_GB2312" w:eastAsia="仿宋_GB2312"/>
        </w:rPr>
        <w:t>关于合同价格形式的约定：</w:t>
      </w:r>
    </w:p>
    <w:p w14:paraId="5F086389">
      <w:pPr>
        <w:spacing w:line="360" w:lineRule="auto"/>
        <w:ind w:firstLine="600"/>
        <w:rPr>
          <w:rFonts w:ascii="仿宋_GB2312" w:eastAsia="仿宋_GB2312"/>
        </w:rPr>
      </w:pPr>
      <w:r>
        <w:rPr>
          <w:rFonts w:hint="eastAsia" w:ascii="仿宋_GB2312" w:eastAsia="仿宋_GB2312"/>
        </w:rPr>
        <w:t>1</w:t>
      </w:r>
      <w:r>
        <w:rPr>
          <w:rFonts w:ascii="仿宋_GB2312" w:eastAsia="仿宋_GB2312"/>
        </w:rPr>
        <w:t xml:space="preserve">4.1.2 </w:t>
      </w:r>
      <w:r>
        <w:rPr>
          <w:rFonts w:hint="eastAsia" w:ascii="仿宋_GB2312" w:eastAsia="仿宋_GB2312"/>
        </w:rPr>
        <w:t>关于合同价格调整的约定：</w:t>
      </w:r>
    </w:p>
    <w:p w14:paraId="698DF993">
      <w:pPr>
        <w:spacing w:line="360" w:lineRule="auto"/>
        <w:ind w:firstLine="600"/>
        <w:rPr>
          <w:rFonts w:ascii="仿宋_GB2312" w:eastAsia="仿宋_GB2312"/>
        </w:rPr>
      </w:pPr>
      <w:r>
        <w:rPr>
          <w:rFonts w:hint="eastAsia" w:ascii="仿宋_GB2312" w:eastAsia="仿宋_GB2312"/>
        </w:rPr>
        <w:t>1</w:t>
      </w:r>
      <w:r>
        <w:rPr>
          <w:rFonts w:ascii="仿宋_GB2312" w:eastAsia="仿宋_GB2312"/>
        </w:rPr>
        <w:t xml:space="preserve">4.1.3 </w:t>
      </w:r>
      <w:r>
        <w:rPr>
          <w:rFonts w:hint="eastAsia" w:ascii="仿宋_GB2312" w:eastAsia="仿宋_GB2312"/>
        </w:rPr>
        <w:t>按实际完成的工程量支付工程价款的计量方法、估价方法：</w:t>
      </w:r>
    </w:p>
    <w:p w14:paraId="32267208">
      <w:pPr>
        <w:spacing w:line="360" w:lineRule="auto"/>
        <w:ind w:firstLine="600"/>
        <w:outlineLvl w:val="3"/>
        <w:rPr>
          <w:rFonts w:hint="eastAsia" w:ascii="黑体" w:hAnsi="黑体" w:eastAsia="黑体"/>
        </w:rPr>
      </w:pPr>
      <w:r>
        <w:rPr>
          <w:rFonts w:hint="eastAsia" w:ascii="黑体" w:hAnsi="黑体" w:eastAsia="黑体"/>
        </w:rPr>
        <w:t>14.2 预付款</w:t>
      </w:r>
    </w:p>
    <w:p w14:paraId="50FF6A8D">
      <w:pPr>
        <w:spacing w:line="360" w:lineRule="auto"/>
        <w:ind w:firstLine="600"/>
        <w:outlineLvl w:val="4"/>
        <w:rPr>
          <w:rFonts w:ascii="仿宋_GB2312" w:eastAsia="仿宋_GB2312"/>
        </w:rPr>
      </w:pPr>
      <w:r>
        <w:rPr>
          <w:rFonts w:ascii="仿宋_GB2312" w:eastAsia="仿宋_GB2312"/>
        </w:rPr>
        <w:t xml:space="preserve">14.2.1 </w:t>
      </w:r>
      <w:r>
        <w:rPr>
          <w:rFonts w:hint="eastAsia" w:ascii="仿宋_GB2312" w:eastAsia="仿宋_GB2312"/>
        </w:rPr>
        <w:t>预付款支付</w:t>
      </w:r>
    </w:p>
    <w:p w14:paraId="093F311C">
      <w:pPr>
        <w:spacing w:line="360" w:lineRule="auto"/>
        <w:ind w:firstLine="600"/>
        <w:rPr>
          <w:rFonts w:ascii="仿宋_GB2312" w:eastAsia="仿宋_GB2312"/>
        </w:rPr>
      </w:pPr>
      <w:r>
        <w:rPr>
          <w:rFonts w:hint="eastAsia" w:ascii="仿宋_GB2312" w:eastAsia="仿宋_GB2312"/>
        </w:rPr>
        <w:t>预付款的金额或比例为：</w:t>
      </w:r>
    </w:p>
    <w:p w14:paraId="682EDB0B">
      <w:pPr>
        <w:spacing w:line="360" w:lineRule="auto"/>
        <w:ind w:firstLine="600"/>
        <w:rPr>
          <w:rFonts w:ascii="仿宋_GB2312" w:eastAsia="仿宋_GB2312"/>
        </w:rPr>
      </w:pPr>
      <w:r>
        <w:rPr>
          <w:rFonts w:hint="eastAsia" w:ascii="仿宋_GB2312" w:eastAsia="仿宋_GB2312"/>
        </w:rPr>
        <w:t>预付款支付期限：</w:t>
      </w:r>
    </w:p>
    <w:p w14:paraId="17CE0D8C">
      <w:pPr>
        <w:spacing w:line="360" w:lineRule="auto"/>
        <w:ind w:firstLine="600"/>
        <w:rPr>
          <w:rFonts w:ascii="仿宋_GB2312" w:eastAsia="仿宋_GB2312"/>
        </w:rPr>
      </w:pPr>
      <w:r>
        <w:rPr>
          <w:rFonts w:hint="eastAsia" w:ascii="仿宋_GB2312" w:eastAsia="仿宋_GB2312"/>
        </w:rPr>
        <w:t>预付款扣回的方式：</w:t>
      </w:r>
    </w:p>
    <w:p w14:paraId="4DE04709">
      <w:pPr>
        <w:spacing w:line="360" w:lineRule="auto"/>
        <w:ind w:firstLine="600"/>
        <w:outlineLvl w:val="4"/>
        <w:rPr>
          <w:rFonts w:ascii="仿宋_GB2312" w:eastAsia="仿宋_GB2312"/>
        </w:rPr>
      </w:pPr>
      <w:r>
        <w:rPr>
          <w:rFonts w:hint="eastAsia" w:ascii="仿宋_GB2312" w:eastAsia="仿宋_GB2312"/>
        </w:rPr>
        <w:t>1</w:t>
      </w:r>
      <w:r>
        <w:rPr>
          <w:rFonts w:ascii="仿宋_GB2312" w:eastAsia="仿宋_GB2312"/>
        </w:rPr>
        <w:t>4.2.2预付款担保</w:t>
      </w:r>
    </w:p>
    <w:p w14:paraId="55F25A21">
      <w:pPr>
        <w:spacing w:line="360" w:lineRule="auto"/>
        <w:ind w:firstLine="600"/>
        <w:rPr>
          <w:rFonts w:ascii="仿宋_GB2312" w:eastAsia="仿宋_GB2312"/>
        </w:rPr>
      </w:pPr>
      <w:r>
        <w:rPr>
          <w:rFonts w:hint="eastAsia" w:ascii="仿宋_GB2312" w:eastAsia="仿宋_GB2312"/>
        </w:rPr>
        <w:t>提供预付款担保期限：</w:t>
      </w:r>
    </w:p>
    <w:p w14:paraId="04542900">
      <w:pPr>
        <w:spacing w:line="360" w:lineRule="auto"/>
        <w:ind w:firstLine="600"/>
        <w:rPr>
          <w:rFonts w:ascii="仿宋_GB2312" w:eastAsia="仿宋_GB2312"/>
        </w:rPr>
      </w:pPr>
      <w:r>
        <w:rPr>
          <w:rFonts w:hint="eastAsia" w:ascii="仿宋_GB2312" w:eastAsia="仿宋_GB2312"/>
        </w:rPr>
        <w:t>预付款担保形式：</w:t>
      </w:r>
    </w:p>
    <w:p w14:paraId="46BFA9D4">
      <w:pPr>
        <w:spacing w:line="360" w:lineRule="auto"/>
        <w:ind w:firstLine="600"/>
        <w:outlineLvl w:val="3"/>
        <w:rPr>
          <w:rFonts w:hint="eastAsia" w:ascii="黑体" w:hAnsi="黑体" w:eastAsia="黑体"/>
        </w:rPr>
      </w:pPr>
      <w:r>
        <w:rPr>
          <w:rFonts w:hint="eastAsia" w:ascii="黑体" w:hAnsi="黑体" w:eastAsia="黑体"/>
        </w:rPr>
        <w:t>14.3 工程进度款</w:t>
      </w:r>
    </w:p>
    <w:p w14:paraId="202A7A3B">
      <w:pPr>
        <w:spacing w:line="360" w:lineRule="auto"/>
        <w:ind w:firstLine="600"/>
        <w:outlineLvl w:val="4"/>
        <w:rPr>
          <w:rFonts w:ascii="仿宋_GB2312" w:eastAsia="仿宋_GB2312"/>
        </w:rPr>
      </w:pPr>
      <w:r>
        <w:rPr>
          <w:rFonts w:ascii="仿宋_GB2312" w:eastAsia="仿宋_GB2312"/>
        </w:rPr>
        <w:t xml:space="preserve">14.3.1 </w:t>
      </w:r>
      <w:r>
        <w:rPr>
          <w:rFonts w:hint="eastAsia" w:ascii="仿宋_GB2312" w:eastAsia="仿宋_GB2312"/>
        </w:rPr>
        <w:t>工程进度付款申请</w:t>
      </w:r>
    </w:p>
    <w:p w14:paraId="25B432A2">
      <w:pPr>
        <w:spacing w:line="360" w:lineRule="auto"/>
        <w:ind w:firstLine="600"/>
        <w:rPr>
          <w:rFonts w:ascii="仿宋_GB2312" w:eastAsia="仿宋_GB2312"/>
        </w:rPr>
      </w:pPr>
      <w:r>
        <w:rPr>
          <w:rFonts w:hint="eastAsia" w:ascii="仿宋_GB2312" w:eastAsia="仿宋_GB2312"/>
        </w:rPr>
        <w:t>工程进度付款申请方式：</w:t>
      </w:r>
    </w:p>
    <w:p w14:paraId="4C9AB9DB">
      <w:pPr>
        <w:spacing w:line="360" w:lineRule="auto"/>
        <w:ind w:firstLine="600"/>
        <w:rPr>
          <w:rFonts w:ascii="仿宋_GB2312" w:eastAsia="仿宋_GB2312"/>
        </w:rPr>
      </w:pPr>
      <w:r>
        <w:rPr>
          <w:rFonts w:hint="eastAsia" w:ascii="仿宋_GB2312" w:eastAsia="仿宋_GB2312"/>
        </w:rPr>
        <w:t>承包人提交进度付款申请单的格式、内容、份数和时间：</w:t>
      </w:r>
    </w:p>
    <w:p w14:paraId="1BB9D6B7">
      <w:pPr>
        <w:spacing w:line="360" w:lineRule="auto"/>
        <w:ind w:firstLine="600"/>
        <w:rPr>
          <w:rFonts w:ascii="仿宋_GB2312" w:eastAsia="仿宋_GB2312"/>
        </w:rPr>
      </w:pPr>
      <w:r>
        <w:rPr>
          <w:rFonts w:hint="eastAsia" w:ascii="仿宋_GB2312" w:eastAsia="仿宋_GB2312"/>
        </w:rPr>
        <w:t>进度付款申请单应包括的内容：</w:t>
      </w:r>
    </w:p>
    <w:p w14:paraId="1545451C">
      <w:pPr>
        <w:spacing w:line="360" w:lineRule="auto"/>
        <w:ind w:firstLine="600"/>
        <w:outlineLvl w:val="4"/>
        <w:rPr>
          <w:rFonts w:ascii="仿宋_GB2312" w:eastAsia="仿宋_GB2312"/>
        </w:rPr>
      </w:pPr>
      <w:r>
        <w:rPr>
          <w:rFonts w:ascii="仿宋_GB2312" w:eastAsia="仿宋_GB2312"/>
        </w:rPr>
        <w:t xml:space="preserve">14.3.2 </w:t>
      </w:r>
      <w:r>
        <w:rPr>
          <w:rFonts w:hint="eastAsia" w:ascii="仿宋_GB2312" w:eastAsia="仿宋_GB2312"/>
        </w:rPr>
        <w:t>进度付款审核和支付</w:t>
      </w:r>
    </w:p>
    <w:p w14:paraId="79B08929">
      <w:pPr>
        <w:spacing w:line="360" w:lineRule="auto"/>
        <w:ind w:firstLine="600"/>
        <w:rPr>
          <w:rFonts w:ascii="仿宋_GB2312" w:eastAsia="仿宋_GB2312"/>
        </w:rPr>
      </w:pPr>
      <w:r>
        <w:rPr>
          <w:rFonts w:hint="eastAsia" w:ascii="仿宋_GB2312" w:eastAsia="仿宋_GB2312"/>
        </w:rPr>
        <w:t>进度付款的审核方式和支付的约定：</w:t>
      </w:r>
    </w:p>
    <w:p w14:paraId="23269C71">
      <w:pPr>
        <w:spacing w:line="360" w:lineRule="auto"/>
        <w:ind w:firstLine="600"/>
        <w:rPr>
          <w:rFonts w:ascii="仿宋_GB2312" w:eastAsia="仿宋_GB2312"/>
        </w:rPr>
      </w:pPr>
      <w:r>
        <w:rPr>
          <w:rFonts w:hint="eastAsia" w:ascii="仿宋_GB2312" w:eastAsia="仿宋_GB2312"/>
        </w:rPr>
        <w:t>发包人应在进度款支付证书或临时进度款支付证书签发后的天内完成支付，发包人逾期支付进度款的，应按照支付违约金。</w:t>
      </w:r>
    </w:p>
    <w:p w14:paraId="7FC058B5">
      <w:pPr>
        <w:spacing w:line="360" w:lineRule="auto"/>
        <w:ind w:firstLine="600"/>
        <w:outlineLvl w:val="3"/>
        <w:rPr>
          <w:rFonts w:hint="eastAsia" w:ascii="黑体" w:hAnsi="黑体" w:eastAsia="黑体"/>
        </w:rPr>
      </w:pPr>
      <w:r>
        <w:rPr>
          <w:rFonts w:hint="eastAsia" w:ascii="黑体" w:hAnsi="黑体" w:eastAsia="黑体"/>
        </w:rPr>
        <w:t>14.4 付款计划表</w:t>
      </w:r>
    </w:p>
    <w:p w14:paraId="67B1F1A2">
      <w:pPr>
        <w:spacing w:line="360" w:lineRule="auto"/>
        <w:ind w:firstLine="600"/>
        <w:rPr>
          <w:rFonts w:ascii="仿宋_GB2312" w:eastAsia="仿宋_GB2312"/>
        </w:rPr>
      </w:pPr>
      <w:r>
        <w:rPr>
          <w:rFonts w:ascii="仿宋_GB2312" w:eastAsia="仿宋_GB2312"/>
        </w:rPr>
        <w:t>14.4.1 付款计划表的编制要求</w:t>
      </w:r>
      <w:r>
        <w:rPr>
          <w:rFonts w:hint="eastAsia" w:ascii="仿宋_GB2312" w:eastAsia="仿宋_GB2312"/>
        </w:rPr>
        <w:t>：</w:t>
      </w:r>
    </w:p>
    <w:p w14:paraId="5B0181A7">
      <w:pPr>
        <w:spacing w:line="360" w:lineRule="auto"/>
        <w:ind w:firstLine="600"/>
        <w:rPr>
          <w:rFonts w:ascii="仿宋_GB2312" w:eastAsia="仿宋_GB2312"/>
        </w:rPr>
      </w:pPr>
      <w:r>
        <w:rPr>
          <w:rFonts w:ascii="仿宋_GB2312" w:eastAsia="仿宋_GB2312"/>
        </w:rPr>
        <w:t xml:space="preserve">14.4.2 </w:t>
      </w:r>
      <w:r>
        <w:rPr>
          <w:rFonts w:hint="eastAsia" w:ascii="仿宋_GB2312" w:eastAsia="仿宋_GB2312"/>
        </w:rPr>
        <w:t>付款计划表的编制与审批</w:t>
      </w:r>
    </w:p>
    <w:p w14:paraId="0C22BE81">
      <w:pPr>
        <w:spacing w:line="360" w:lineRule="auto"/>
        <w:ind w:firstLine="600"/>
        <w:rPr>
          <w:rFonts w:ascii="仿宋_GB2312" w:eastAsia="仿宋_GB2312"/>
        </w:rPr>
      </w:pPr>
      <w:r>
        <w:rPr>
          <w:rFonts w:hint="eastAsia" w:ascii="仿宋_GB2312" w:eastAsia="仿宋_GB2312"/>
        </w:rPr>
        <w:t>付款计划表的编制：</w:t>
      </w:r>
    </w:p>
    <w:p w14:paraId="3CA72C6B">
      <w:pPr>
        <w:spacing w:line="360" w:lineRule="auto"/>
        <w:ind w:firstLine="600"/>
        <w:outlineLvl w:val="3"/>
        <w:rPr>
          <w:rFonts w:hint="eastAsia" w:ascii="黑体" w:hAnsi="黑体" w:eastAsia="黑体"/>
        </w:rPr>
      </w:pPr>
      <w:r>
        <w:rPr>
          <w:rFonts w:hint="eastAsia" w:ascii="黑体" w:hAnsi="黑体" w:eastAsia="黑体"/>
        </w:rPr>
        <w:t>14.5 竣工结算</w:t>
      </w:r>
    </w:p>
    <w:p w14:paraId="5EA1B333">
      <w:pPr>
        <w:spacing w:line="360" w:lineRule="auto"/>
        <w:ind w:firstLine="600"/>
        <w:outlineLvl w:val="4"/>
        <w:rPr>
          <w:rFonts w:ascii="仿宋_GB2312" w:eastAsia="仿宋_GB2312"/>
        </w:rPr>
      </w:pPr>
      <w:r>
        <w:rPr>
          <w:rFonts w:ascii="仿宋_GB2312" w:eastAsia="仿宋_GB2312"/>
        </w:rPr>
        <w:t xml:space="preserve">14.5.1 </w:t>
      </w:r>
      <w:r>
        <w:rPr>
          <w:rFonts w:hint="eastAsia" w:ascii="仿宋_GB2312" w:eastAsia="仿宋_GB2312"/>
        </w:rPr>
        <w:t>竣工结算申请</w:t>
      </w:r>
    </w:p>
    <w:p w14:paraId="3AD65003">
      <w:pPr>
        <w:spacing w:line="360" w:lineRule="auto"/>
        <w:ind w:firstLine="600"/>
        <w:rPr>
          <w:rFonts w:ascii="仿宋_GB2312" w:eastAsia="仿宋_GB2312"/>
        </w:rPr>
      </w:pPr>
      <w:r>
        <w:rPr>
          <w:rFonts w:hint="eastAsia" w:ascii="仿宋_GB2312" w:eastAsia="仿宋_GB2312"/>
        </w:rPr>
        <w:t>承包人提交竣工结算申请的时间：</w:t>
      </w:r>
    </w:p>
    <w:p w14:paraId="219D5E12">
      <w:pPr>
        <w:spacing w:line="360" w:lineRule="auto"/>
        <w:ind w:firstLine="600"/>
        <w:rPr>
          <w:rFonts w:ascii="仿宋_GB2312" w:eastAsia="仿宋_GB2312"/>
        </w:rPr>
      </w:pPr>
      <w:r>
        <w:rPr>
          <w:rFonts w:hint="eastAsia" w:ascii="仿宋_GB2312" w:eastAsia="仿宋_GB2312"/>
        </w:rPr>
        <w:t>竣工结算申请的资料清单和份数：</w:t>
      </w:r>
    </w:p>
    <w:p w14:paraId="0ADDE715">
      <w:pPr>
        <w:spacing w:line="360" w:lineRule="auto"/>
        <w:ind w:firstLine="600"/>
        <w:rPr>
          <w:rFonts w:ascii="仿宋_GB2312" w:eastAsia="仿宋_GB2312"/>
        </w:rPr>
      </w:pPr>
      <w:r>
        <w:rPr>
          <w:rFonts w:hint="eastAsia" w:ascii="仿宋_GB2312" w:eastAsia="仿宋_GB2312"/>
        </w:rPr>
        <w:t>竣工结算申请单的内容应包括：</w:t>
      </w:r>
    </w:p>
    <w:p w14:paraId="267F05D8">
      <w:pPr>
        <w:spacing w:line="360" w:lineRule="auto"/>
        <w:ind w:firstLine="600"/>
        <w:outlineLvl w:val="4"/>
        <w:rPr>
          <w:rFonts w:ascii="仿宋_GB2312" w:eastAsia="仿宋_GB2312"/>
        </w:rPr>
      </w:pPr>
      <w:r>
        <w:rPr>
          <w:rFonts w:ascii="仿宋_GB2312" w:eastAsia="仿宋_GB2312"/>
        </w:rPr>
        <w:t xml:space="preserve">14.5.2 </w:t>
      </w:r>
      <w:r>
        <w:rPr>
          <w:rFonts w:hint="eastAsia" w:ascii="仿宋_GB2312" w:eastAsia="仿宋_GB2312"/>
        </w:rPr>
        <w:t>竣工结算审核</w:t>
      </w:r>
    </w:p>
    <w:p w14:paraId="5C3C25C6">
      <w:pPr>
        <w:spacing w:line="360" w:lineRule="auto"/>
        <w:ind w:firstLine="600"/>
        <w:rPr>
          <w:rFonts w:ascii="仿宋_GB2312" w:eastAsia="仿宋_GB2312"/>
        </w:rPr>
      </w:pPr>
      <w:r>
        <w:rPr>
          <w:rFonts w:hint="eastAsia" w:ascii="仿宋_GB2312" w:eastAsia="仿宋_GB2312"/>
        </w:rPr>
        <w:t>发包人审批竣工付款申请单的期限：</w:t>
      </w:r>
    </w:p>
    <w:p w14:paraId="4124AC73">
      <w:pPr>
        <w:spacing w:line="360" w:lineRule="auto"/>
        <w:ind w:firstLine="600"/>
        <w:rPr>
          <w:rFonts w:ascii="仿宋_GB2312" w:eastAsia="仿宋_GB2312"/>
          <w:b/>
          <w:bCs/>
          <w:u w:val="single"/>
        </w:rPr>
      </w:pPr>
      <w:r>
        <w:rPr>
          <w:rFonts w:hint="eastAsia" w:ascii="仿宋_GB2312" w:eastAsia="仿宋_GB2312"/>
        </w:rPr>
        <w:t>发包人完成竣工付款的期限：</w:t>
      </w:r>
    </w:p>
    <w:p w14:paraId="14B01C59">
      <w:pPr>
        <w:spacing w:line="360" w:lineRule="auto"/>
        <w:ind w:firstLine="600"/>
        <w:rPr>
          <w:rFonts w:ascii="仿宋_GB2312" w:eastAsia="仿宋_GB2312"/>
        </w:rPr>
      </w:pPr>
      <w:r>
        <w:rPr>
          <w:rFonts w:hint="eastAsia" w:ascii="仿宋_GB2312" w:eastAsia="仿宋_GB2312"/>
        </w:rPr>
        <w:t>关于竣工付款证书异议部分复核的方式和程序：</w:t>
      </w:r>
    </w:p>
    <w:p w14:paraId="0D5300A0">
      <w:pPr>
        <w:spacing w:line="360" w:lineRule="auto"/>
        <w:ind w:firstLine="600"/>
        <w:outlineLvl w:val="3"/>
        <w:rPr>
          <w:rFonts w:hint="eastAsia" w:ascii="黑体" w:hAnsi="黑体" w:eastAsia="黑体"/>
        </w:rPr>
      </w:pPr>
      <w:r>
        <w:rPr>
          <w:rFonts w:hint="eastAsia" w:ascii="黑体" w:hAnsi="黑体" w:eastAsia="黑体"/>
        </w:rPr>
        <w:t>14.6 质量保证金</w:t>
      </w:r>
    </w:p>
    <w:p w14:paraId="5B6CE2D2">
      <w:pPr>
        <w:spacing w:line="360" w:lineRule="auto"/>
        <w:ind w:firstLine="600"/>
        <w:outlineLvl w:val="4"/>
        <w:rPr>
          <w:rFonts w:ascii="仿宋_GB2312" w:eastAsia="仿宋_GB2312"/>
        </w:rPr>
      </w:pPr>
      <w:r>
        <w:rPr>
          <w:rFonts w:ascii="仿宋_GB2312" w:eastAsia="仿宋_GB2312"/>
        </w:rPr>
        <w:t xml:space="preserve">14.6.1 </w:t>
      </w:r>
      <w:r>
        <w:rPr>
          <w:rFonts w:hint="eastAsia" w:ascii="仿宋_GB2312" w:eastAsia="仿宋_GB2312"/>
        </w:rPr>
        <w:t>承包人提供质量保证金的方式</w:t>
      </w:r>
    </w:p>
    <w:p w14:paraId="012A29C5">
      <w:pPr>
        <w:spacing w:line="360" w:lineRule="auto"/>
        <w:ind w:firstLine="600"/>
        <w:rPr>
          <w:rFonts w:ascii="仿宋_GB2312" w:eastAsia="仿宋_GB2312"/>
        </w:rPr>
      </w:pPr>
      <w:r>
        <w:rPr>
          <w:rFonts w:ascii="仿宋_GB2312" w:eastAsia="仿宋_GB2312"/>
        </w:rPr>
        <w:t>质量</w:t>
      </w:r>
      <w:r>
        <w:rPr>
          <w:rFonts w:hint="eastAsia" w:ascii="仿宋_GB2312" w:eastAsia="仿宋_GB2312"/>
        </w:rPr>
        <w:t>保证金</w:t>
      </w:r>
      <w:r>
        <w:rPr>
          <w:rFonts w:ascii="仿宋_GB2312" w:eastAsia="仿宋_GB2312"/>
        </w:rPr>
        <w:t>采用以下</w:t>
      </w:r>
      <w:r>
        <w:rPr>
          <w:rFonts w:hint="eastAsia" w:ascii="仿宋_GB2312" w:eastAsia="仿宋_GB2312"/>
        </w:rPr>
        <w:t>第种</w:t>
      </w:r>
      <w:r>
        <w:rPr>
          <w:rFonts w:ascii="仿宋_GB2312" w:eastAsia="仿宋_GB2312"/>
        </w:rPr>
        <w:t>方式：</w:t>
      </w:r>
    </w:p>
    <w:p w14:paraId="345BE551">
      <w:pPr>
        <w:spacing w:line="360" w:lineRule="auto"/>
        <w:ind w:firstLine="600"/>
        <w:rPr>
          <w:rFonts w:ascii="仿宋_GB2312" w:eastAsia="仿宋_GB2312"/>
        </w:rPr>
      </w:pPr>
      <w:r>
        <w:rPr>
          <w:rFonts w:ascii="仿宋_GB2312" w:eastAsia="仿宋_GB2312"/>
        </w:rPr>
        <w:t xml:space="preserve">(1) </w:t>
      </w:r>
      <w:r>
        <w:rPr>
          <w:rFonts w:hint="eastAsia" w:ascii="仿宋_GB2312" w:eastAsia="仿宋_GB2312"/>
        </w:rPr>
        <w:t>工程质量保证担保</w:t>
      </w:r>
      <w:r>
        <w:rPr>
          <w:rFonts w:ascii="仿宋_GB2312" w:eastAsia="仿宋_GB2312"/>
        </w:rPr>
        <w:t>，保证金额为</w:t>
      </w:r>
      <w:r>
        <w:rPr>
          <w:rFonts w:hint="eastAsia" w:ascii="仿宋_GB2312" w:eastAsia="仿宋_GB2312"/>
        </w:rPr>
        <w:t>：</w:t>
      </w:r>
    </w:p>
    <w:p w14:paraId="0F3CAA18">
      <w:pPr>
        <w:spacing w:line="360" w:lineRule="auto"/>
        <w:ind w:firstLine="600"/>
        <w:rPr>
          <w:rFonts w:ascii="仿宋_GB2312" w:eastAsia="仿宋_GB2312"/>
        </w:rPr>
      </w:pPr>
      <w:r>
        <w:rPr>
          <w:rFonts w:ascii="仿宋_GB2312" w:eastAsia="仿宋_GB2312"/>
        </w:rPr>
        <w:t>(2) %的工程款；</w:t>
      </w:r>
    </w:p>
    <w:p w14:paraId="63068613">
      <w:pPr>
        <w:spacing w:line="360" w:lineRule="auto"/>
        <w:ind w:firstLine="600"/>
        <w:rPr>
          <w:rFonts w:ascii="仿宋_GB2312" w:eastAsia="仿宋_GB2312"/>
        </w:rPr>
      </w:pPr>
      <w:r>
        <w:rPr>
          <w:rFonts w:ascii="仿宋_GB2312" w:eastAsia="仿宋_GB2312"/>
        </w:rPr>
        <w:t xml:space="preserve">(3) </w:t>
      </w:r>
      <w:r>
        <w:rPr>
          <w:rFonts w:hint="eastAsia" w:ascii="仿宋_GB2312" w:eastAsia="仿宋_GB2312"/>
        </w:rPr>
        <w:t>其他方式：</w:t>
      </w:r>
    </w:p>
    <w:p w14:paraId="3FFC1A44">
      <w:pPr>
        <w:spacing w:line="360" w:lineRule="auto"/>
        <w:ind w:firstLine="600"/>
        <w:outlineLvl w:val="4"/>
        <w:rPr>
          <w:rFonts w:ascii="仿宋_GB2312" w:eastAsia="仿宋_GB2312"/>
        </w:rPr>
      </w:pPr>
      <w:r>
        <w:rPr>
          <w:rFonts w:ascii="仿宋_GB2312" w:eastAsia="仿宋_GB2312"/>
        </w:rPr>
        <w:t xml:space="preserve">14.6.2 </w:t>
      </w:r>
      <w:r>
        <w:rPr>
          <w:rFonts w:hint="eastAsia" w:ascii="仿宋_GB2312" w:eastAsia="仿宋_GB2312"/>
        </w:rPr>
        <w:t>质量保证金的预留</w:t>
      </w:r>
    </w:p>
    <w:p w14:paraId="11C00FDE">
      <w:pPr>
        <w:spacing w:line="360" w:lineRule="auto"/>
        <w:ind w:firstLine="600"/>
        <w:rPr>
          <w:rFonts w:ascii="仿宋_GB2312" w:eastAsia="仿宋_GB2312"/>
        </w:rPr>
      </w:pPr>
      <w:r>
        <w:rPr>
          <w:rFonts w:ascii="仿宋_GB2312" w:eastAsia="仿宋_GB2312"/>
        </w:rPr>
        <w:t>质量</w:t>
      </w:r>
      <w:r>
        <w:rPr>
          <w:rFonts w:hint="eastAsia" w:ascii="仿宋_GB2312" w:eastAsia="仿宋_GB2312"/>
        </w:rPr>
        <w:t>保证金</w:t>
      </w:r>
      <w:r>
        <w:rPr>
          <w:rFonts w:ascii="仿宋_GB2312" w:eastAsia="仿宋_GB2312"/>
        </w:rPr>
        <w:t>的预留采取以下第</w:t>
      </w:r>
      <w:r>
        <w:rPr>
          <w:rFonts w:hint="eastAsia" w:ascii="仿宋_GB2312" w:eastAsia="仿宋_GB2312"/>
        </w:rPr>
        <w:t>种</w:t>
      </w:r>
      <w:r>
        <w:rPr>
          <w:rFonts w:ascii="仿宋_GB2312" w:eastAsia="仿宋_GB2312"/>
        </w:rPr>
        <w:t>方式：</w:t>
      </w:r>
    </w:p>
    <w:p w14:paraId="4DB43754">
      <w:pPr>
        <w:spacing w:line="360" w:lineRule="auto"/>
        <w:ind w:firstLine="600"/>
        <w:rPr>
          <w:rFonts w:ascii="仿宋_GB2312" w:eastAsia="仿宋_GB2312"/>
        </w:rPr>
      </w:pPr>
      <w:r>
        <w:rPr>
          <w:rFonts w:ascii="仿宋_GB2312" w:eastAsia="仿宋_GB2312"/>
        </w:rPr>
        <w:t>(1) 在支付工程进度款时逐次预留</w:t>
      </w:r>
      <w:r>
        <w:rPr>
          <w:rFonts w:hint="eastAsia" w:ascii="仿宋_GB2312" w:eastAsia="仿宋_GB2312"/>
        </w:rPr>
        <w:t>的质量保证金的比例：</w:t>
      </w:r>
      <w:r>
        <w:rPr>
          <w:rFonts w:ascii="仿宋_GB2312" w:eastAsia="仿宋_GB2312"/>
        </w:rPr>
        <w:t>在此情形下，质量</w:t>
      </w:r>
      <w:r>
        <w:rPr>
          <w:rFonts w:hint="eastAsia" w:ascii="仿宋_GB2312" w:eastAsia="仿宋_GB2312"/>
        </w:rPr>
        <w:t>保证金</w:t>
      </w:r>
      <w:r>
        <w:rPr>
          <w:rFonts w:ascii="仿宋_GB2312" w:eastAsia="仿宋_GB2312"/>
        </w:rPr>
        <w:t>的计算基数不包括预付款的支付、扣回以及价格调整的金额；</w:t>
      </w:r>
    </w:p>
    <w:p w14:paraId="481C5884">
      <w:pPr>
        <w:spacing w:line="360" w:lineRule="auto"/>
        <w:ind w:firstLine="600"/>
        <w:rPr>
          <w:rFonts w:ascii="仿宋_GB2312" w:eastAsia="仿宋_GB2312"/>
        </w:rPr>
      </w:pPr>
      <w:r>
        <w:rPr>
          <w:rFonts w:ascii="仿宋_GB2312" w:eastAsia="仿宋_GB2312"/>
        </w:rPr>
        <w:t>(2) 工程竣工结算时一次性预留</w:t>
      </w:r>
      <w:r>
        <w:rPr>
          <w:rFonts w:hint="eastAsia" w:ascii="仿宋_GB2312" w:eastAsia="仿宋_GB2312"/>
        </w:rPr>
        <w:t>专用合同条件第</w:t>
      </w:r>
      <w:r>
        <w:rPr>
          <w:rFonts w:ascii="仿宋_GB2312" w:eastAsia="仿宋_GB2312"/>
        </w:rPr>
        <w:t>14.6.1</w:t>
      </w:r>
      <w:r>
        <w:rPr>
          <w:rFonts w:hint="eastAsia" w:ascii="仿宋_GB2312" w:eastAsia="仿宋_GB2312"/>
        </w:rPr>
        <w:t>项第</w:t>
      </w:r>
      <w:r>
        <w:rPr>
          <w:rFonts w:ascii="仿宋_GB2312" w:eastAsia="仿宋_GB2312"/>
        </w:rPr>
        <w:t>(2</w:t>
      </w:r>
      <w:r>
        <w:rPr>
          <w:rFonts w:hint="eastAsia" w:ascii="仿宋_GB2312" w:eastAsia="仿宋_GB2312"/>
        </w:rPr>
        <w:t>）目约定的工程款预留比例的</w:t>
      </w:r>
      <w:r>
        <w:rPr>
          <w:rFonts w:ascii="仿宋_GB2312" w:eastAsia="仿宋_GB2312"/>
        </w:rPr>
        <w:t>质量</w:t>
      </w:r>
      <w:r>
        <w:rPr>
          <w:rFonts w:hint="eastAsia" w:ascii="仿宋_GB2312" w:eastAsia="仿宋_GB2312"/>
        </w:rPr>
        <w:t>保证金</w:t>
      </w:r>
      <w:r>
        <w:rPr>
          <w:rFonts w:ascii="仿宋_GB2312" w:eastAsia="仿宋_GB2312"/>
        </w:rPr>
        <w:t>；</w:t>
      </w:r>
    </w:p>
    <w:p w14:paraId="27E2061D">
      <w:pPr>
        <w:spacing w:line="360" w:lineRule="auto"/>
        <w:ind w:firstLine="600"/>
        <w:rPr>
          <w:rFonts w:ascii="仿宋_GB2312" w:eastAsia="仿宋_GB2312"/>
        </w:rPr>
      </w:pPr>
      <w:r>
        <w:rPr>
          <w:rFonts w:ascii="仿宋_GB2312" w:eastAsia="仿宋_GB2312"/>
        </w:rPr>
        <w:t>(3) 其他预留方式</w:t>
      </w:r>
      <w:r>
        <w:rPr>
          <w:rFonts w:hint="eastAsia" w:ascii="仿宋_GB2312" w:eastAsia="仿宋_GB2312"/>
        </w:rPr>
        <w:t>：</w:t>
      </w:r>
    </w:p>
    <w:p w14:paraId="03ADD7E5">
      <w:pPr>
        <w:spacing w:line="360" w:lineRule="auto"/>
        <w:ind w:firstLine="600"/>
        <w:rPr>
          <w:rFonts w:ascii="仿宋_GB2312" w:eastAsia="仿宋_GB2312"/>
        </w:rPr>
      </w:pPr>
      <w:r>
        <w:rPr>
          <w:rFonts w:hint="eastAsia" w:ascii="仿宋_GB2312" w:eastAsia="仿宋_GB2312"/>
        </w:rPr>
        <w:t>关于质量保证金的补充约定：</w:t>
      </w:r>
    </w:p>
    <w:p w14:paraId="3529FDEF">
      <w:pPr>
        <w:spacing w:line="360" w:lineRule="auto"/>
        <w:ind w:firstLine="600"/>
        <w:outlineLvl w:val="3"/>
        <w:rPr>
          <w:rFonts w:hint="eastAsia" w:ascii="黑体" w:hAnsi="黑体" w:eastAsia="黑体"/>
        </w:rPr>
      </w:pPr>
      <w:r>
        <w:rPr>
          <w:rFonts w:hint="eastAsia" w:ascii="黑体" w:hAnsi="黑体" w:eastAsia="黑体"/>
        </w:rPr>
        <w:t>14.7 最终结清</w:t>
      </w:r>
    </w:p>
    <w:p w14:paraId="1A206F34">
      <w:pPr>
        <w:spacing w:line="360" w:lineRule="auto"/>
        <w:ind w:firstLine="600"/>
        <w:outlineLvl w:val="4"/>
        <w:rPr>
          <w:rFonts w:ascii="仿宋_GB2312" w:eastAsia="仿宋_GB2312"/>
        </w:rPr>
      </w:pPr>
      <w:r>
        <w:rPr>
          <w:rFonts w:ascii="仿宋_GB2312" w:eastAsia="仿宋_GB2312"/>
        </w:rPr>
        <w:t xml:space="preserve">14.7.1 </w:t>
      </w:r>
      <w:r>
        <w:rPr>
          <w:rFonts w:hint="eastAsia" w:ascii="仿宋_GB2312" w:eastAsia="仿宋_GB2312"/>
        </w:rPr>
        <w:t>最终结清申请单</w:t>
      </w:r>
    </w:p>
    <w:p w14:paraId="3C0B5940">
      <w:pPr>
        <w:spacing w:line="360" w:lineRule="auto"/>
        <w:ind w:firstLine="600"/>
        <w:rPr>
          <w:rFonts w:ascii="仿宋_GB2312" w:eastAsia="仿宋_GB2312"/>
        </w:rPr>
      </w:pPr>
      <w:r>
        <w:rPr>
          <w:rFonts w:hint="eastAsia" w:ascii="仿宋_GB2312" w:eastAsia="仿宋_GB2312"/>
        </w:rPr>
        <w:t>当事人双方关于最终结清申请的其他约定：</w:t>
      </w:r>
    </w:p>
    <w:p w14:paraId="30B08A40">
      <w:pPr>
        <w:spacing w:line="360" w:lineRule="auto"/>
        <w:ind w:firstLine="600"/>
        <w:outlineLvl w:val="4"/>
        <w:rPr>
          <w:rFonts w:ascii="仿宋_GB2312" w:eastAsia="仿宋_GB2312"/>
        </w:rPr>
      </w:pPr>
      <w:r>
        <w:rPr>
          <w:rFonts w:ascii="仿宋_GB2312" w:eastAsia="仿宋_GB2312"/>
        </w:rPr>
        <w:t xml:space="preserve">14.7.2 </w:t>
      </w:r>
      <w:r>
        <w:rPr>
          <w:rFonts w:hint="eastAsia" w:ascii="仿宋_GB2312" w:eastAsia="仿宋_GB2312"/>
        </w:rPr>
        <w:t>最终结清证书和支付</w:t>
      </w:r>
    </w:p>
    <w:p w14:paraId="21F673BF">
      <w:pPr>
        <w:spacing w:line="360" w:lineRule="auto"/>
        <w:ind w:firstLine="600"/>
        <w:rPr>
          <w:rFonts w:ascii="仿宋_GB2312" w:eastAsia="仿宋_GB2312"/>
        </w:rPr>
      </w:pPr>
      <w:r>
        <w:rPr>
          <w:rFonts w:hint="eastAsia" w:ascii="仿宋_GB2312" w:eastAsia="仿宋_GB2312"/>
        </w:rPr>
        <w:t>当事人双方关于最终结清支付的其他约定：</w:t>
      </w:r>
    </w:p>
    <w:p w14:paraId="2D84C469">
      <w:pPr>
        <w:pStyle w:val="43"/>
        <w:spacing w:before="0" w:after="0"/>
        <w:jc w:val="left"/>
        <w:outlineLvl w:val="2"/>
        <w:rPr>
          <w:rFonts w:hint="eastAsia" w:ascii="黑体" w:hAnsi="黑体" w:eastAsia="黑体"/>
          <w:b w:val="0"/>
          <w:sz w:val="28"/>
          <w:szCs w:val="28"/>
        </w:rPr>
      </w:pPr>
      <w:bookmarkStart w:id="1829" w:name="_Toc13326"/>
      <w:bookmarkEnd w:id="1829"/>
      <w:bookmarkStart w:id="1830" w:name="_Toc27399"/>
      <w:bookmarkEnd w:id="1830"/>
      <w:bookmarkStart w:id="1831" w:name="_Toc54862346"/>
      <w:bookmarkEnd w:id="1831"/>
      <w:r>
        <w:rPr>
          <w:rFonts w:hint="eastAsia" w:ascii="黑体" w:hAnsi="黑体" w:eastAsia="黑体"/>
          <w:b w:val="0"/>
          <w:sz w:val="28"/>
          <w:szCs w:val="28"/>
        </w:rPr>
        <w:t>第15条 违约</w:t>
      </w:r>
    </w:p>
    <w:p w14:paraId="24ABE457">
      <w:pPr>
        <w:spacing w:line="360" w:lineRule="auto"/>
        <w:ind w:firstLine="600"/>
        <w:outlineLvl w:val="3"/>
        <w:rPr>
          <w:rFonts w:hint="eastAsia" w:ascii="黑体" w:hAnsi="黑体" w:eastAsia="黑体"/>
        </w:rPr>
      </w:pPr>
      <w:r>
        <w:rPr>
          <w:rFonts w:hint="eastAsia" w:ascii="黑体" w:hAnsi="黑体" w:eastAsia="黑体"/>
        </w:rPr>
        <w:t>15.1 发包人违约</w:t>
      </w:r>
    </w:p>
    <w:p w14:paraId="0573D741">
      <w:pPr>
        <w:spacing w:line="360" w:lineRule="auto"/>
        <w:ind w:firstLine="600"/>
        <w:outlineLvl w:val="4"/>
        <w:rPr>
          <w:rFonts w:ascii="仿宋_GB2312" w:eastAsia="仿宋_GB2312"/>
        </w:rPr>
      </w:pPr>
      <w:r>
        <w:rPr>
          <w:rFonts w:ascii="仿宋_GB2312" w:eastAsia="仿宋_GB2312"/>
        </w:rPr>
        <w:t xml:space="preserve">15.1.1 </w:t>
      </w:r>
      <w:r>
        <w:rPr>
          <w:rFonts w:hint="eastAsia" w:ascii="仿宋_GB2312" w:eastAsia="仿宋_GB2312"/>
        </w:rPr>
        <w:t>发包人违约的情形</w:t>
      </w:r>
    </w:p>
    <w:p w14:paraId="2C1ABFF2">
      <w:pPr>
        <w:spacing w:line="360" w:lineRule="auto"/>
        <w:ind w:firstLine="600"/>
        <w:rPr>
          <w:rFonts w:ascii="仿宋_GB2312" w:eastAsia="仿宋_GB2312"/>
        </w:rPr>
      </w:pPr>
      <w:r>
        <w:rPr>
          <w:rFonts w:hint="eastAsia" w:ascii="仿宋_GB2312" w:eastAsia="仿宋_GB2312"/>
        </w:rPr>
        <w:t>发包人违约的其他情形。</w:t>
      </w:r>
    </w:p>
    <w:p w14:paraId="1DEC4BD4">
      <w:pPr>
        <w:spacing w:line="360" w:lineRule="auto"/>
        <w:ind w:firstLine="600"/>
        <w:outlineLvl w:val="4"/>
        <w:rPr>
          <w:rFonts w:ascii="仿宋_GB2312" w:eastAsia="仿宋_GB2312"/>
        </w:rPr>
      </w:pPr>
      <w:r>
        <w:rPr>
          <w:rFonts w:ascii="仿宋_GB2312" w:eastAsia="仿宋_GB2312"/>
        </w:rPr>
        <w:t xml:space="preserve">15.1.3 </w:t>
      </w:r>
      <w:r>
        <w:rPr>
          <w:rFonts w:hint="eastAsia" w:ascii="仿宋_GB2312" w:eastAsia="仿宋_GB2312"/>
        </w:rPr>
        <w:t>发包人违约的责任</w:t>
      </w:r>
    </w:p>
    <w:p w14:paraId="11C80910">
      <w:pPr>
        <w:spacing w:line="360" w:lineRule="auto"/>
        <w:ind w:firstLine="600"/>
        <w:rPr>
          <w:rFonts w:ascii="仿宋_GB2312" w:eastAsia="仿宋_GB2312"/>
        </w:rPr>
      </w:pPr>
      <w:r>
        <w:rPr>
          <w:rFonts w:hint="eastAsia" w:ascii="仿宋_GB2312" w:eastAsia="仿宋_GB2312"/>
        </w:rPr>
        <w:t>发包人违约</w:t>
      </w:r>
      <w:r>
        <w:rPr>
          <w:rFonts w:ascii="仿宋_GB2312" w:eastAsia="仿宋_GB2312"/>
        </w:rPr>
        <w:t>责任</w:t>
      </w:r>
      <w:r>
        <w:rPr>
          <w:rFonts w:hint="eastAsia" w:ascii="仿宋_GB2312" w:eastAsia="仿宋_GB2312"/>
        </w:rPr>
        <w:t>的</w:t>
      </w:r>
      <w:r>
        <w:rPr>
          <w:rFonts w:ascii="仿宋_GB2312" w:eastAsia="仿宋_GB2312"/>
        </w:rPr>
        <w:t>承担方式</w:t>
      </w:r>
      <w:r>
        <w:rPr>
          <w:rFonts w:hint="eastAsia" w:ascii="仿宋_GB2312" w:eastAsia="仿宋_GB2312"/>
        </w:rPr>
        <w:t>和</w:t>
      </w:r>
      <w:r>
        <w:rPr>
          <w:rFonts w:ascii="仿宋_GB2312" w:eastAsia="仿宋_GB2312"/>
        </w:rPr>
        <w:t>计算方法</w:t>
      </w:r>
      <w:r>
        <w:rPr>
          <w:rFonts w:hint="eastAsia" w:ascii="仿宋_GB2312" w:eastAsia="仿宋_GB2312"/>
        </w:rPr>
        <w:t>：</w:t>
      </w:r>
    </w:p>
    <w:p w14:paraId="5DD28B83">
      <w:pPr>
        <w:spacing w:line="360" w:lineRule="auto"/>
        <w:ind w:firstLine="600"/>
        <w:outlineLvl w:val="3"/>
        <w:rPr>
          <w:rFonts w:hint="eastAsia" w:ascii="黑体" w:hAnsi="黑体" w:eastAsia="黑体"/>
        </w:rPr>
      </w:pPr>
      <w:r>
        <w:rPr>
          <w:rFonts w:hint="eastAsia" w:ascii="黑体" w:hAnsi="黑体" w:eastAsia="黑体"/>
        </w:rPr>
        <w:t>15.2 承包人违约</w:t>
      </w:r>
    </w:p>
    <w:p w14:paraId="5B64D514">
      <w:pPr>
        <w:spacing w:line="360" w:lineRule="auto"/>
        <w:ind w:firstLine="600"/>
        <w:outlineLvl w:val="4"/>
        <w:rPr>
          <w:rFonts w:ascii="仿宋_GB2312" w:eastAsia="仿宋_GB2312"/>
        </w:rPr>
      </w:pPr>
      <w:r>
        <w:rPr>
          <w:rFonts w:ascii="仿宋_GB2312" w:eastAsia="仿宋_GB2312"/>
        </w:rPr>
        <w:t xml:space="preserve">15.2.1 </w:t>
      </w:r>
      <w:r>
        <w:rPr>
          <w:rFonts w:hint="eastAsia" w:ascii="仿宋_GB2312" w:eastAsia="仿宋_GB2312"/>
        </w:rPr>
        <w:t>承包人违约的情形</w:t>
      </w:r>
    </w:p>
    <w:p w14:paraId="5D15D460">
      <w:pPr>
        <w:spacing w:line="360" w:lineRule="auto"/>
        <w:ind w:firstLine="600"/>
        <w:rPr>
          <w:rFonts w:ascii="仿宋_GB2312" w:eastAsia="仿宋_GB2312"/>
        </w:rPr>
      </w:pPr>
      <w:r>
        <w:rPr>
          <w:rFonts w:hint="eastAsia" w:ascii="仿宋_GB2312" w:eastAsia="仿宋_GB2312"/>
        </w:rPr>
        <w:t>承包人违约的其他情形：</w:t>
      </w:r>
    </w:p>
    <w:p w14:paraId="486D8A54">
      <w:pPr>
        <w:spacing w:line="360" w:lineRule="auto"/>
        <w:ind w:firstLine="600"/>
        <w:outlineLvl w:val="4"/>
        <w:rPr>
          <w:rFonts w:ascii="仿宋_GB2312" w:eastAsia="仿宋_GB2312"/>
        </w:rPr>
      </w:pPr>
      <w:r>
        <w:rPr>
          <w:rFonts w:ascii="仿宋_GB2312" w:eastAsia="仿宋_GB2312"/>
        </w:rPr>
        <w:t xml:space="preserve">15.2.2 </w:t>
      </w:r>
      <w:r>
        <w:rPr>
          <w:rFonts w:hint="eastAsia" w:ascii="仿宋_GB2312" w:eastAsia="仿宋_GB2312"/>
        </w:rPr>
        <w:t>通知改正</w:t>
      </w:r>
    </w:p>
    <w:p w14:paraId="3287076C">
      <w:pPr>
        <w:spacing w:line="360" w:lineRule="auto"/>
        <w:ind w:firstLine="600"/>
        <w:rPr>
          <w:rFonts w:ascii="仿宋_GB2312" w:eastAsia="仿宋_GB2312"/>
        </w:rPr>
      </w:pPr>
      <w:r>
        <w:rPr>
          <w:rFonts w:hint="eastAsia" w:ascii="仿宋_GB2312" w:eastAsia="仿宋_GB2312"/>
        </w:rPr>
        <w:t>工程师通知承包人改正的合理期限是：</w:t>
      </w:r>
    </w:p>
    <w:p w14:paraId="64E53A2D">
      <w:pPr>
        <w:spacing w:line="360" w:lineRule="auto"/>
        <w:ind w:firstLine="600"/>
        <w:outlineLvl w:val="4"/>
        <w:rPr>
          <w:rFonts w:ascii="仿宋_GB2312" w:eastAsia="仿宋_GB2312"/>
        </w:rPr>
      </w:pPr>
      <w:r>
        <w:rPr>
          <w:rFonts w:ascii="仿宋_GB2312" w:eastAsia="仿宋_GB2312"/>
        </w:rPr>
        <w:t xml:space="preserve">15.2.3 </w:t>
      </w:r>
      <w:r>
        <w:rPr>
          <w:rFonts w:hint="eastAsia" w:ascii="仿宋_GB2312" w:eastAsia="仿宋_GB2312"/>
        </w:rPr>
        <w:t>承包人违约的责任</w:t>
      </w:r>
    </w:p>
    <w:p w14:paraId="2517FF82">
      <w:pPr>
        <w:spacing w:line="360" w:lineRule="auto"/>
        <w:ind w:firstLine="600"/>
        <w:rPr>
          <w:rFonts w:ascii="仿宋_GB2312" w:eastAsia="仿宋_GB2312"/>
        </w:rPr>
      </w:pPr>
      <w:r>
        <w:rPr>
          <w:rFonts w:hint="eastAsia" w:ascii="仿宋_GB2312" w:eastAsia="仿宋_GB2312"/>
        </w:rPr>
        <w:t>承包人违约</w:t>
      </w:r>
      <w:r>
        <w:rPr>
          <w:rFonts w:ascii="仿宋_GB2312" w:eastAsia="仿宋_GB2312"/>
        </w:rPr>
        <w:t>责任</w:t>
      </w:r>
      <w:r>
        <w:rPr>
          <w:rFonts w:hint="eastAsia" w:ascii="仿宋_GB2312" w:eastAsia="仿宋_GB2312"/>
        </w:rPr>
        <w:t>的</w:t>
      </w:r>
      <w:r>
        <w:rPr>
          <w:rFonts w:ascii="仿宋_GB2312" w:eastAsia="仿宋_GB2312"/>
        </w:rPr>
        <w:t>承担方式</w:t>
      </w:r>
      <w:r>
        <w:rPr>
          <w:rFonts w:hint="eastAsia" w:ascii="仿宋_GB2312" w:eastAsia="仿宋_GB2312"/>
        </w:rPr>
        <w:t>和</w:t>
      </w:r>
      <w:r>
        <w:rPr>
          <w:rFonts w:ascii="仿宋_GB2312" w:eastAsia="仿宋_GB2312"/>
        </w:rPr>
        <w:t>计算方法</w:t>
      </w:r>
      <w:r>
        <w:rPr>
          <w:rFonts w:hint="eastAsia" w:ascii="仿宋_GB2312" w:eastAsia="仿宋_GB2312"/>
        </w:rPr>
        <w:t>：</w:t>
      </w:r>
    </w:p>
    <w:p w14:paraId="5B1DFA0D">
      <w:pPr>
        <w:pStyle w:val="43"/>
        <w:spacing w:before="0" w:after="0"/>
        <w:jc w:val="left"/>
        <w:outlineLvl w:val="2"/>
        <w:rPr>
          <w:rFonts w:hint="eastAsia" w:ascii="黑体" w:hAnsi="黑体" w:eastAsia="黑体"/>
          <w:b w:val="0"/>
          <w:sz w:val="28"/>
          <w:szCs w:val="28"/>
        </w:rPr>
      </w:pPr>
      <w:bookmarkStart w:id="1832" w:name="_Toc946"/>
      <w:bookmarkEnd w:id="1832"/>
      <w:bookmarkStart w:id="1833" w:name="_Toc54862347"/>
      <w:bookmarkEnd w:id="1833"/>
      <w:bookmarkStart w:id="1834" w:name="_Toc3031"/>
      <w:bookmarkEnd w:id="1834"/>
      <w:r>
        <w:rPr>
          <w:rFonts w:hint="eastAsia" w:ascii="黑体" w:hAnsi="黑体" w:eastAsia="黑体"/>
          <w:b w:val="0"/>
          <w:sz w:val="28"/>
          <w:szCs w:val="28"/>
        </w:rPr>
        <w:t>第16条 合同解除</w:t>
      </w:r>
    </w:p>
    <w:p w14:paraId="42E0158F">
      <w:pPr>
        <w:spacing w:line="360" w:lineRule="auto"/>
        <w:ind w:firstLine="600"/>
        <w:outlineLvl w:val="3"/>
        <w:rPr>
          <w:rFonts w:hint="eastAsia" w:ascii="黑体" w:hAnsi="黑体" w:eastAsia="黑体"/>
        </w:rPr>
      </w:pPr>
      <w:r>
        <w:rPr>
          <w:rFonts w:hint="eastAsia" w:ascii="黑体" w:hAnsi="黑体" w:eastAsia="黑体"/>
        </w:rPr>
        <w:t>16.1 由发包人解除合同</w:t>
      </w:r>
    </w:p>
    <w:p w14:paraId="5FD0A117">
      <w:pPr>
        <w:spacing w:line="360" w:lineRule="auto"/>
        <w:ind w:firstLine="600"/>
        <w:outlineLvl w:val="4"/>
        <w:rPr>
          <w:rFonts w:ascii="仿宋_GB2312" w:eastAsia="仿宋_GB2312"/>
        </w:rPr>
      </w:pPr>
      <w:r>
        <w:rPr>
          <w:rFonts w:ascii="仿宋_GB2312" w:eastAsia="仿宋_GB2312"/>
        </w:rPr>
        <w:t xml:space="preserve">16.1.1 </w:t>
      </w:r>
      <w:r>
        <w:rPr>
          <w:rFonts w:hint="eastAsia" w:ascii="仿宋_GB2312" w:eastAsia="仿宋_GB2312"/>
        </w:rPr>
        <w:t>因承包人违约解除合同</w:t>
      </w:r>
    </w:p>
    <w:p w14:paraId="1B7725E2">
      <w:pPr>
        <w:spacing w:line="360" w:lineRule="auto"/>
        <w:ind w:firstLine="600"/>
        <w:rPr>
          <w:rFonts w:ascii="仿宋_GB2312" w:eastAsia="仿宋_GB2312"/>
        </w:rPr>
      </w:pPr>
      <w:r>
        <w:rPr>
          <w:rFonts w:hint="eastAsia" w:ascii="仿宋_GB2312" w:eastAsia="仿宋_GB2312"/>
        </w:rPr>
        <w:t>双方约定可由发包人解除合同的其他事由：</w:t>
      </w:r>
    </w:p>
    <w:p w14:paraId="5FDB3361">
      <w:pPr>
        <w:spacing w:line="360" w:lineRule="auto"/>
        <w:ind w:firstLine="600"/>
        <w:outlineLvl w:val="3"/>
        <w:rPr>
          <w:rFonts w:hint="eastAsia" w:ascii="黑体" w:hAnsi="黑体" w:eastAsia="黑体"/>
        </w:rPr>
      </w:pPr>
      <w:r>
        <w:rPr>
          <w:rFonts w:ascii="黑体" w:hAnsi="黑体" w:eastAsia="黑体"/>
        </w:rPr>
        <w:t xml:space="preserve">16.2 </w:t>
      </w:r>
      <w:r>
        <w:rPr>
          <w:rFonts w:hint="eastAsia" w:ascii="黑体" w:hAnsi="黑体" w:eastAsia="黑体"/>
        </w:rPr>
        <w:t>由承包人解除合同</w:t>
      </w:r>
    </w:p>
    <w:p w14:paraId="25FC7AF4">
      <w:pPr>
        <w:spacing w:line="360" w:lineRule="auto"/>
        <w:ind w:firstLine="600"/>
        <w:outlineLvl w:val="4"/>
        <w:rPr>
          <w:rFonts w:ascii="仿宋_GB2312" w:eastAsia="仿宋_GB2312"/>
        </w:rPr>
      </w:pPr>
      <w:r>
        <w:rPr>
          <w:rFonts w:ascii="仿宋_GB2312" w:eastAsia="仿宋_GB2312"/>
        </w:rPr>
        <w:t xml:space="preserve">16.2.1 </w:t>
      </w:r>
      <w:r>
        <w:rPr>
          <w:rFonts w:hint="eastAsia" w:ascii="仿宋_GB2312" w:eastAsia="仿宋_GB2312"/>
        </w:rPr>
        <w:t>因发包人违约解除合同</w:t>
      </w:r>
    </w:p>
    <w:p w14:paraId="1EE5542E">
      <w:pPr>
        <w:spacing w:line="360" w:lineRule="auto"/>
        <w:ind w:firstLine="600"/>
        <w:rPr>
          <w:rFonts w:ascii="仿宋_GB2312" w:eastAsia="仿宋_GB2312"/>
        </w:rPr>
      </w:pPr>
      <w:r>
        <w:rPr>
          <w:rFonts w:hint="eastAsia" w:ascii="仿宋_GB2312" w:eastAsia="仿宋_GB2312"/>
        </w:rPr>
        <w:t>双方约定可由承包人解除合同的其他事由：</w:t>
      </w:r>
    </w:p>
    <w:p w14:paraId="55527E0C">
      <w:pPr>
        <w:pStyle w:val="43"/>
        <w:spacing w:before="0" w:after="0"/>
        <w:jc w:val="left"/>
        <w:outlineLvl w:val="2"/>
        <w:rPr>
          <w:rFonts w:hint="eastAsia" w:ascii="黑体" w:hAnsi="黑体" w:eastAsia="黑体"/>
          <w:b w:val="0"/>
          <w:sz w:val="28"/>
          <w:szCs w:val="28"/>
        </w:rPr>
      </w:pPr>
      <w:bookmarkStart w:id="1835" w:name="_Toc54862348"/>
      <w:bookmarkEnd w:id="1835"/>
      <w:bookmarkStart w:id="1836" w:name="_Toc505"/>
      <w:bookmarkEnd w:id="1836"/>
      <w:bookmarkStart w:id="1837" w:name="_Toc6176"/>
      <w:bookmarkEnd w:id="1837"/>
      <w:r>
        <w:rPr>
          <w:rFonts w:hint="eastAsia" w:ascii="黑体" w:hAnsi="黑体" w:eastAsia="黑体"/>
          <w:b w:val="0"/>
          <w:sz w:val="28"/>
          <w:szCs w:val="28"/>
        </w:rPr>
        <w:t>第17条 不可抗力</w:t>
      </w:r>
    </w:p>
    <w:p w14:paraId="1A3DE488">
      <w:pPr>
        <w:spacing w:line="360" w:lineRule="auto"/>
        <w:ind w:firstLine="600"/>
        <w:outlineLvl w:val="3"/>
        <w:rPr>
          <w:rFonts w:hint="eastAsia" w:ascii="黑体" w:hAnsi="黑体" w:eastAsia="黑体"/>
        </w:rPr>
      </w:pPr>
      <w:r>
        <w:rPr>
          <w:rFonts w:ascii="黑体" w:hAnsi="黑体" w:eastAsia="黑体"/>
        </w:rPr>
        <w:t xml:space="preserve">17.1 </w:t>
      </w:r>
      <w:r>
        <w:rPr>
          <w:rFonts w:hint="eastAsia" w:ascii="黑体" w:hAnsi="黑体" w:eastAsia="黑体"/>
        </w:rPr>
        <w:t>不可抗力的定义</w:t>
      </w:r>
    </w:p>
    <w:p w14:paraId="6BCD0CA1">
      <w:pPr>
        <w:spacing w:line="360" w:lineRule="auto"/>
        <w:ind w:firstLine="600"/>
        <w:rPr>
          <w:rFonts w:ascii="仿宋_GB2312" w:eastAsia="仿宋_GB2312"/>
        </w:rPr>
      </w:pPr>
      <w:r>
        <w:rPr>
          <w:rFonts w:ascii="仿宋_GB2312" w:eastAsia="仿宋_GB2312"/>
        </w:rPr>
        <w:t>除通用合同条件约定的不可抗力事件之外，视为不可抗力的其他情形</w:t>
      </w:r>
      <w:r>
        <w:rPr>
          <w:rFonts w:hint="eastAsia" w:ascii="仿宋_GB2312" w:eastAsia="仿宋_GB2312"/>
        </w:rPr>
        <w:t>：</w:t>
      </w:r>
    </w:p>
    <w:p w14:paraId="74841B36">
      <w:pPr>
        <w:spacing w:line="360" w:lineRule="auto"/>
        <w:ind w:firstLine="600"/>
        <w:outlineLvl w:val="3"/>
        <w:rPr>
          <w:rFonts w:hint="eastAsia" w:ascii="黑体" w:hAnsi="黑体" w:eastAsia="黑体"/>
        </w:rPr>
      </w:pPr>
      <w:r>
        <w:rPr>
          <w:rFonts w:ascii="黑体" w:hAnsi="黑体" w:eastAsia="黑体"/>
        </w:rPr>
        <w:t xml:space="preserve">17.6 </w:t>
      </w:r>
      <w:r>
        <w:rPr>
          <w:rFonts w:hint="eastAsia" w:ascii="黑体" w:hAnsi="黑体" w:eastAsia="黑体"/>
        </w:rPr>
        <w:t>因不可抗力解除合同</w:t>
      </w:r>
    </w:p>
    <w:p w14:paraId="273B0365">
      <w:pPr>
        <w:spacing w:line="360" w:lineRule="auto"/>
        <w:ind w:firstLine="600"/>
        <w:rPr>
          <w:rFonts w:ascii="仿宋_GB2312" w:eastAsia="仿宋_GB2312"/>
        </w:rPr>
      </w:pPr>
      <w:r>
        <w:rPr>
          <w:rFonts w:ascii="仿宋_GB2312" w:eastAsia="仿宋_GB2312"/>
        </w:rPr>
        <w:t>合同解除后，发包人应</w:t>
      </w:r>
      <w:r>
        <w:rPr>
          <w:rFonts w:hint="eastAsia" w:ascii="仿宋_GB2312" w:eastAsia="仿宋_GB2312"/>
        </w:rPr>
        <w:t>当</w:t>
      </w:r>
      <w:r>
        <w:rPr>
          <w:rFonts w:ascii="仿宋_GB2312" w:eastAsia="仿宋_GB2312"/>
        </w:rPr>
        <w:t>在商定或确定发包人应支付款项后</w:t>
      </w:r>
      <w:r>
        <w:rPr>
          <w:rFonts w:hint="eastAsia" w:ascii="仿宋_GB2312" w:eastAsia="仿宋_GB2312"/>
        </w:rPr>
        <w:t>的一</w:t>
      </w:r>
      <w:r>
        <w:rPr>
          <w:rFonts w:ascii="仿宋_GB2312" w:eastAsia="仿宋_GB2312"/>
        </w:rPr>
        <w:t>天内完成款项的支付。</w:t>
      </w:r>
    </w:p>
    <w:p w14:paraId="4FD09C17">
      <w:pPr>
        <w:pStyle w:val="43"/>
        <w:spacing w:before="0" w:after="0"/>
        <w:jc w:val="left"/>
        <w:outlineLvl w:val="2"/>
        <w:rPr>
          <w:rFonts w:hint="eastAsia" w:ascii="黑体" w:hAnsi="黑体" w:eastAsia="黑体"/>
          <w:b w:val="0"/>
          <w:sz w:val="28"/>
          <w:szCs w:val="28"/>
        </w:rPr>
      </w:pPr>
      <w:bookmarkStart w:id="1838" w:name="_Toc4784276"/>
      <w:bookmarkEnd w:id="1838"/>
      <w:bookmarkStart w:id="1839" w:name="_Toc4784277"/>
      <w:bookmarkEnd w:id="1839"/>
      <w:bookmarkStart w:id="1840" w:name="_Toc54862349"/>
      <w:bookmarkEnd w:id="1840"/>
      <w:bookmarkStart w:id="1841" w:name="_Toc20493"/>
      <w:bookmarkEnd w:id="1841"/>
      <w:bookmarkStart w:id="1842" w:name="_Toc11840"/>
      <w:bookmarkEnd w:id="1842"/>
      <w:r>
        <w:rPr>
          <w:rFonts w:hint="eastAsia" w:ascii="黑体" w:hAnsi="黑体" w:eastAsia="黑体"/>
          <w:b w:val="0"/>
          <w:sz w:val="28"/>
          <w:szCs w:val="28"/>
        </w:rPr>
        <w:t>第18条 保险</w:t>
      </w:r>
    </w:p>
    <w:p w14:paraId="777B199F">
      <w:pPr>
        <w:spacing w:line="360" w:lineRule="auto"/>
        <w:ind w:firstLine="600"/>
        <w:outlineLvl w:val="3"/>
        <w:rPr>
          <w:rFonts w:hint="eastAsia" w:ascii="黑体" w:hAnsi="黑体" w:eastAsia="黑体"/>
        </w:rPr>
      </w:pPr>
      <w:r>
        <w:rPr>
          <w:rFonts w:ascii="黑体" w:hAnsi="黑体" w:eastAsia="黑体"/>
        </w:rPr>
        <w:t xml:space="preserve">18.1 </w:t>
      </w:r>
      <w:r>
        <w:rPr>
          <w:rFonts w:hint="eastAsia" w:ascii="黑体" w:hAnsi="黑体" w:eastAsia="黑体"/>
        </w:rPr>
        <w:t>设计和工程保险</w:t>
      </w:r>
    </w:p>
    <w:p w14:paraId="238E27CE">
      <w:pPr>
        <w:spacing w:line="360" w:lineRule="auto"/>
        <w:ind w:firstLine="600"/>
        <w:rPr>
          <w:rFonts w:ascii="仿宋_GB2312" w:eastAsia="仿宋_GB2312"/>
        </w:rPr>
      </w:pPr>
      <w:r>
        <w:rPr>
          <w:rFonts w:hint="eastAsia" w:ascii="仿宋_GB2312" w:eastAsia="仿宋_GB2312"/>
        </w:rPr>
        <w:t>1</w:t>
      </w:r>
      <w:r>
        <w:rPr>
          <w:rFonts w:ascii="仿宋_GB2312" w:eastAsia="仿宋_GB2312"/>
        </w:rPr>
        <w:t xml:space="preserve">8.1.1 </w:t>
      </w:r>
      <w:r>
        <w:rPr>
          <w:rFonts w:hint="eastAsia" w:ascii="仿宋_GB2312" w:eastAsia="仿宋_GB2312"/>
        </w:rPr>
        <w:t>双方当事人</w:t>
      </w:r>
      <w:r>
        <w:rPr>
          <w:rFonts w:ascii="仿宋_GB2312" w:eastAsia="仿宋_GB2312"/>
        </w:rPr>
        <w:t>关于</w:t>
      </w:r>
      <w:r>
        <w:rPr>
          <w:rFonts w:hint="eastAsia" w:ascii="仿宋_GB2312" w:eastAsia="仿宋_GB2312"/>
        </w:rPr>
        <w:t>设计和工程保险</w:t>
      </w:r>
      <w:r>
        <w:rPr>
          <w:rFonts w:ascii="仿宋_GB2312" w:eastAsia="仿宋_GB2312"/>
        </w:rPr>
        <w:t>的特别</w:t>
      </w:r>
      <w:r>
        <w:rPr>
          <w:rFonts w:hint="eastAsia" w:ascii="仿宋_GB2312" w:eastAsia="仿宋_GB2312"/>
        </w:rPr>
        <w:t>约</w:t>
      </w:r>
      <w:r>
        <w:rPr>
          <w:rFonts w:ascii="仿宋_GB2312" w:eastAsia="仿宋_GB2312"/>
        </w:rPr>
        <w:t>定</w:t>
      </w:r>
      <w:r>
        <w:rPr>
          <w:rFonts w:hint="eastAsia" w:ascii="仿宋_GB2312" w:eastAsia="仿宋_GB2312"/>
        </w:rPr>
        <w:t>：</w:t>
      </w:r>
    </w:p>
    <w:p w14:paraId="31DFC23B">
      <w:pPr>
        <w:spacing w:line="360" w:lineRule="auto"/>
        <w:ind w:firstLine="600"/>
        <w:rPr>
          <w:rFonts w:ascii="仿宋_GB2312" w:eastAsia="仿宋_GB2312"/>
        </w:rPr>
      </w:pPr>
      <w:r>
        <w:rPr>
          <w:rFonts w:hint="eastAsia" w:ascii="仿宋_GB2312" w:eastAsia="仿宋_GB2312"/>
        </w:rPr>
        <w:t>1</w:t>
      </w:r>
      <w:r>
        <w:rPr>
          <w:rFonts w:ascii="仿宋_GB2312" w:eastAsia="仿宋_GB2312"/>
        </w:rPr>
        <w:t xml:space="preserve">8.1.2 </w:t>
      </w:r>
      <w:r>
        <w:rPr>
          <w:rFonts w:hint="eastAsia" w:ascii="仿宋_GB2312" w:eastAsia="仿宋_GB2312"/>
        </w:rPr>
        <w:t>双方当事人</w:t>
      </w:r>
      <w:r>
        <w:rPr>
          <w:rFonts w:ascii="仿宋_GB2312" w:eastAsia="仿宋_GB2312"/>
        </w:rPr>
        <w:t>关于</w:t>
      </w:r>
      <w:r>
        <w:rPr>
          <w:rFonts w:hint="eastAsia" w:ascii="仿宋_GB2312" w:eastAsia="仿宋_GB2312"/>
        </w:rPr>
        <w:t>第三方责任险</w:t>
      </w:r>
      <w:r>
        <w:rPr>
          <w:rFonts w:ascii="仿宋_GB2312" w:eastAsia="仿宋_GB2312"/>
        </w:rPr>
        <w:t>的特别</w:t>
      </w:r>
      <w:r>
        <w:rPr>
          <w:rFonts w:hint="eastAsia" w:ascii="仿宋_GB2312" w:eastAsia="仿宋_GB2312"/>
        </w:rPr>
        <w:t>约</w:t>
      </w:r>
      <w:r>
        <w:rPr>
          <w:rFonts w:ascii="仿宋_GB2312" w:eastAsia="仿宋_GB2312"/>
        </w:rPr>
        <w:t>定</w:t>
      </w:r>
      <w:r>
        <w:rPr>
          <w:rFonts w:hint="eastAsia" w:ascii="仿宋_GB2312" w:eastAsia="仿宋_GB2312"/>
        </w:rPr>
        <w:t>：</w:t>
      </w:r>
    </w:p>
    <w:p w14:paraId="33ACA018">
      <w:pPr>
        <w:spacing w:line="360" w:lineRule="auto"/>
        <w:ind w:firstLine="600"/>
        <w:outlineLvl w:val="3"/>
        <w:rPr>
          <w:rFonts w:hint="eastAsia" w:ascii="黑体" w:hAnsi="黑体" w:eastAsia="黑体"/>
        </w:rPr>
      </w:pPr>
      <w:r>
        <w:rPr>
          <w:rFonts w:ascii="黑体" w:hAnsi="黑体" w:eastAsia="黑体"/>
        </w:rPr>
        <w:t xml:space="preserve">18.2 </w:t>
      </w:r>
      <w:r>
        <w:rPr>
          <w:rFonts w:hint="eastAsia" w:ascii="黑体" w:hAnsi="黑体" w:eastAsia="黑体"/>
        </w:rPr>
        <w:t>工伤和意外伤害保险</w:t>
      </w:r>
    </w:p>
    <w:p w14:paraId="0C91C960">
      <w:pPr>
        <w:spacing w:line="360" w:lineRule="auto"/>
        <w:ind w:firstLine="600"/>
        <w:outlineLvl w:val="4"/>
        <w:rPr>
          <w:rFonts w:ascii="仿宋_GB2312" w:eastAsia="仿宋_GB2312"/>
        </w:rPr>
      </w:pPr>
      <w:r>
        <w:rPr>
          <w:rFonts w:hint="eastAsia" w:ascii="仿宋_GB2312" w:eastAsia="仿宋_GB2312"/>
        </w:rPr>
        <w:t>1</w:t>
      </w:r>
      <w:r>
        <w:rPr>
          <w:rFonts w:ascii="仿宋_GB2312" w:eastAsia="仿宋_GB2312"/>
        </w:rPr>
        <w:t>8.2.3 关于</w:t>
      </w:r>
      <w:r>
        <w:rPr>
          <w:rFonts w:hint="eastAsia" w:ascii="仿宋_GB2312" w:eastAsia="仿宋_GB2312"/>
        </w:rPr>
        <w:t>工伤保险和意外伤害保险</w:t>
      </w:r>
      <w:r>
        <w:rPr>
          <w:rFonts w:ascii="仿宋_GB2312" w:eastAsia="仿宋_GB2312"/>
        </w:rPr>
        <w:t>的特别</w:t>
      </w:r>
      <w:r>
        <w:rPr>
          <w:rFonts w:hint="eastAsia" w:ascii="仿宋_GB2312" w:eastAsia="仿宋_GB2312"/>
        </w:rPr>
        <w:t>约</w:t>
      </w:r>
      <w:r>
        <w:rPr>
          <w:rFonts w:ascii="仿宋_GB2312" w:eastAsia="仿宋_GB2312"/>
        </w:rPr>
        <w:t>定</w:t>
      </w:r>
      <w:r>
        <w:rPr>
          <w:rFonts w:hint="eastAsia" w:ascii="仿宋_GB2312" w:eastAsia="仿宋_GB2312"/>
        </w:rPr>
        <w:t>：</w:t>
      </w:r>
    </w:p>
    <w:p w14:paraId="5CBED221">
      <w:pPr>
        <w:spacing w:line="360" w:lineRule="auto"/>
        <w:ind w:firstLine="600"/>
        <w:outlineLvl w:val="3"/>
        <w:rPr>
          <w:rFonts w:hint="eastAsia" w:ascii="黑体" w:hAnsi="黑体" w:eastAsia="黑体"/>
        </w:rPr>
      </w:pPr>
      <w:r>
        <w:rPr>
          <w:rFonts w:ascii="黑体" w:hAnsi="黑体" w:eastAsia="黑体"/>
        </w:rPr>
        <w:t xml:space="preserve">18.3 </w:t>
      </w:r>
      <w:r>
        <w:rPr>
          <w:rFonts w:hint="eastAsia" w:ascii="黑体" w:hAnsi="黑体" w:eastAsia="黑体"/>
        </w:rPr>
        <w:t>货物保险</w:t>
      </w:r>
    </w:p>
    <w:p w14:paraId="6F1C8022">
      <w:pPr>
        <w:spacing w:line="360" w:lineRule="auto"/>
        <w:ind w:firstLine="600"/>
        <w:rPr>
          <w:rFonts w:ascii="仿宋_GB2312" w:eastAsia="仿宋_GB2312"/>
        </w:rPr>
      </w:pPr>
      <w:r>
        <w:rPr>
          <w:rFonts w:hint="eastAsia" w:ascii="仿宋_GB2312" w:eastAsia="仿宋_GB2312"/>
        </w:rPr>
        <w:t>关于承包人应为其施工设备、材料、工程设备和临时工程等办理财产</w:t>
      </w:r>
      <w:r>
        <w:rPr>
          <w:rFonts w:ascii="仿宋_GB2312" w:eastAsia="仿宋_GB2312"/>
        </w:rPr>
        <w:t>保险的特别</w:t>
      </w:r>
      <w:r>
        <w:rPr>
          <w:rFonts w:hint="eastAsia" w:ascii="仿宋_GB2312" w:eastAsia="仿宋_GB2312"/>
        </w:rPr>
        <w:t>约</w:t>
      </w:r>
      <w:r>
        <w:rPr>
          <w:rFonts w:ascii="仿宋_GB2312" w:eastAsia="仿宋_GB2312"/>
        </w:rPr>
        <w:t>定</w:t>
      </w:r>
      <w:r>
        <w:rPr>
          <w:rFonts w:hint="eastAsia" w:ascii="仿宋_GB2312" w:eastAsia="仿宋_GB2312"/>
        </w:rPr>
        <w:t>：</w:t>
      </w:r>
    </w:p>
    <w:p w14:paraId="5795266E">
      <w:pPr>
        <w:spacing w:line="360" w:lineRule="auto"/>
        <w:ind w:firstLine="600"/>
        <w:outlineLvl w:val="3"/>
        <w:rPr>
          <w:rFonts w:hint="eastAsia" w:ascii="黑体" w:hAnsi="黑体" w:eastAsia="黑体"/>
        </w:rPr>
      </w:pPr>
      <w:r>
        <w:rPr>
          <w:rFonts w:ascii="黑体" w:hAnsi="黑体" w:eastAsia="黑体"/>
        </w:rPr>
        <w:t xml:space="preserve">18.4 </w:t>
      </w:r>
      <w:r>
        <w:rPr>
          <w:rFonts w:hint="eastAsia" w:ascii="黑体" w:hAnsi="黑体" w:eastAsia="黑体"/>
        </w:rPr>
        <w:t>其他保险</w:t>
      </w:r>
    </w:p>
    <w:p w14:paraId="13C35C3D">
      <w:pPr>
        <w:spacing w:line="360" w:lineRule="auto"/>
        <w:ind w:firstLine="600"/>
        <w:rPr>
          <w:rFonts w:ascii="仿宋_GB2312" w:eastAsia="仿宋_GB2312"/>
        </w:rPr>
      </w:pPr>
      <w:r>
        <w:rPr>
          <w:rFonts w:hint="eastAsia" w:ascii="仿宋_GB2312" w:eastAsia="仿宋_GB2312"/>
        </w:rPr>
        <w:t>关于其他保险的约定：</w:t>
      </w:r>
    </w:p>
    <w:p w14:paraId="08C3F40E">
      <w:pPr>
        <w:spacing w:line="360" w:lineRule="auto"/>
        <w:ind w:firstLine="600"/>
        <w:outlineLvl w:val="3"/>
        <w:rPr>
          <w:rFonts w:hint="eastAsia" w:ascii="黑体" w:hAnsi="黑体" w:eastAsia="黑体"/>
        </w:rPr>
      </w:pPr>
      <w:r>
        <w:rPr>
          <w:rFonts w:ascii="黑体" w:hAnsi="黑体" w:eastAsia="黑体"/>
        </w:rPr>
        <w:t xml:space="preserve">18.5 </w:t>
      </w:r>
      <w:r>
        <w:rPr>
          <w:rFonts w:hint="eastAsia" w:ascii="黑体" w:hAnsi="黑体" w:eastAsia="黑体"/>
        </w:rPr>
        <w:t>对各项保险的一般要求</w:t>
      </w:r>
    </w:p>
    <w:p w14:paraId="4EA62542">
      <w:pPr>
        <w:spacing w:line="360" w:lineRule="auto"/>
        <w:ind w:firstLine="600"/>
        <w:outlineLvl w:val="4"/>
        <w:rPr>
          <w:rFonts w:ascii="仿宋_GB2312" w:eastAsia="仿宋_GB2312"/>
        </w:rPr>
      </w:pPr>
      <w:r>
        <w:rPr>
          <w:rFonts w:ascii="仿宋_GB2312" w:eastAsia="仿宋_GB2312"/>
        </w:rPr>
        <w:t>18.5.2 保险凭证</w:t>
      </w:r>
    </w:p>
    <w:p w14:paraId="64B57A7A">
      <w:pPr>
        <w:spacing w:line="360" w:lineRule="auto"/>
        <w:ind w:firstLine="600"/>
        <w:rPr>
          <w:rFonts w:ascii="仿宋_GB2312" w:eastAsia="仿宋_GB2312"/>
        </w:rPr>
      </w:pPr>
      <w:r>
        <w:rPr>
          <w:rFonts w:hint="eastAsia" w:ascii="仿宋_GB2312" w:eastAsia="仿宋_GB2312"/>
        </w:rPr>
        <w:t>保险单的条件：</w:t>
      </w:r>
    </w:p>
    <w:p w14:paraId="5BFD829E">
      <w:pPr>
        <w:spacing w:line="360" w:lineRule="auto"/>
        <w:ind w:firstLine="600"/>
        <w:outlineLvl w:val="4"/>
        <w:rPr>
          <w:rFonts w:ascii="仿宋_GB2312" w:eastAsia="仿宋_GB2312"/>
        </w:rPr>
      </w:pPr>
      <w:r>
        <w:rPr>
          <w:rFonts w:ascii="仿宋_GB2312" w:eastAsia="仿宋_GB2312"/>
        </w:rPr>
        <w:t>18.5.4 通知义务</w:t>
      </w:r>
    </w:p>
    <w:p w14:paraId="06A2A0EF">
      <w:pPr>
        <w:spacing w:line="360" w:lineRule="auto"/>
        <w:ind w:firstLine="600"/>
        <w:rPr>
          <w:rFonts w:ascii="仿宋_GB2312" w:eastAsia="仿宋_GB2312"/>
        </w:rPr>
      </w:pPr>
      <w:r>
        <w:rPr>
          <w:rFonts w:hint="eastAsia" w:ascii="仿宋_GB2312" w:eastAsia="仿宋_GB2312"/>
        </w:rPr>
        <w:t>关于变更保险合同时的通知义务的约定：</w:t>
      </w:r>
    </w:p>
    <w:p w14:paraId="5C383B81">
      <w:pPr>
        <w:pStyle w:val="43"/>
        <w:spacing w:before="0" w:after="0"/>
        <w:jc w:val="left"/>
        <w:outlineLvl w:val="2"/>
        <w:rPr>
          <w:rFonts w:hint="eastAsia" w:ascii="黑体" w:hAnsi="黑体" w:eastAsia="黑体"/>
          <w:b w:val="0"/>
          <w:sz w:val="28"/>
          <w:szCs w:val="28"/>
        </w:rPr>
      </w:pPr>
      <w:bookmarkStart w:id="1843" w:name="_Toc2776"/>
      <w:bookmarkEnd w:id="1843"/>
      <w:bookmarkStart w:id="1844" w:name="_Toc29609"/>
      <w:bookmarkEnd w:id="1844"/>
      <w:bookmarkStart w:id="1845" w:name="_Toc54862350"/>
      <w:bookmarkEnd w:id="1845"/>
      <w:r>
        <w:rPr>
          <w:rFonts w:hint="eastAsia" w:ascii="黑体" w:hAnsi="黑体" w:eastAsia="黑体"/>
          <w:b w:val="0"/>
          <w:sz w:val="28"/>
          <w:szCs w:val="28"/>
        </w:rPr>
        <w:t>第20条 争议解决</w:t>
      </w:r>
    </w:p>
    <w:p w14:paraId="7A8E2198">
      <w:pPr>
        <w:spacing w:line="360" w:lineRule="auto"/>
        <w:ind w:firstLine="600"/>
        <w:outlineLvl w:val="3"/>
        <w:rPr>
          <w:rFonts w:hint="eastAsia" w:ascii="黑体" w:hAnsi="黑体" w:eastAsia="黑体"/>
        </w:rPr>
      </w:pPr>
      <w:r>
        <w:rPr>
          <w:rFonts w:ascii="黑体" w:hAnsi="黑体" w:eastAsia="黑体"/>
        </w:rPr>
        <w:t xml:space="preserve">20.3 </w:t>
      </w:r>
      <w:r>
        <w:rPr>
          <w:rFonts w:hint="eastAsia" w:ascii="黑体" w:hAnsi="黑体" w:eastAsia="黑体"/>
        </w:rPr>
        <w:t>争议评审</w:t>
      </w:r>
    </w:p>
    <w:p w14:paraId="2218AF98">
      <w:pPr>
        <w:spacing w:line="360" w:lineRule="auto"/>
        <w:ind w:firstLine="600"/>
        <w:rPr>
          <w:rFonts w:ascii="仿宋_GB2312" w:eastAsia="仿宋_GB2312"/>
        </w:rPr>
      </w:pPr>
      <w:r>
        <w:rPr>
          <w:rFonts w:hint="eastAsia" w:ascii="仿宋_GB2312" w:eastAsia="仿宋_GB2312"/>
        </w:rPr>
        <w:t>合同当事人是否同意将工程争议提交争议评审小组决定： 。</w:t>
      </w:r>
    </w:p>
    <w:p w14:paraId="7F6157D8">
      <w:pPr>
        <w:spacing w:line="360" w:lineRule="auto"/>
        <w:ind w:firstLine="600"/>
        <w:outlineLvl w:val="4"/>
        <w:rPr>
          <w:rFonts w:ascii="仿宋_GB2312" w:eastAsia="仿宋_GB2312"/>
        </w:rPr>
      </w:pPr>
      <w:r>
        <w:rPr>
          <w:rFonts w:ascii="仿宋_GB2312" w:eastAsia="仿宋_GB2312"/>
        </w:rPr>
        <w:t>20.3.1</w:t>
      </w:r>
      <w:r>
        <w:rPr>
          <w:rFonts w:hint="eastAsia" w:ascii="仿宋_GB2312" w:eastAsia="仿宋_GB2312"/>
        </w:rPr>
        <w:t xml:space="preserve"> 争议评审小组</w:t>
      </w:r>
      <w:r>
        <w:rPr>
          <w:rFonts w:ascii="仿宋_GB2312" w:eastAsia="仿宋_GB2312"/>
        </w:rPr>
        <w:t>的确定</w:t>
      </w:r>
    </w:p>
    <w:p w14:paraId="3676A2A1">
      <w:pPr>
        <w:spacing w:line="360" w:lineRule="auto"/>
        <w:ind w:firstLine="600"/>
        <w:rPr>
          <w:rFonts w:ascii="仿宋_GB2312" w:eastAsia="仿宋_GB2312"/>
        </w:rPr>
      </w:pPr>
      <w:r>
        <w:rPr>
          <w:rFonts w:hint="eastAsia" w:ascii="仿宋_GB2312" w:eastAsia="仿宋_GB2312"/>
        </w:rPr>
        <w:t>争议评审小组</w:t>
      </w:r>
      <w:r>
        <w:rPr>
          <w:rFonts w:hint="eastAsia" w:ascii="仿宋_GB2312" w:eastAsia="仿宋_GB2312"/>
          <w:lang w:eastAsia="zh-CN"/>
        </w:rPr>
        <w:t>成员</w:t>
      </w:r>
      <w:r>
        <w:rPr>
          <w:rFonts w:hint="eastAsia" w:ascii="仿宋_GB2312" w:eastAsia="仿宋_GB2312"/>
        </w:rPr>
        <w:t>人数：</w:t>
      </w:r>
    </w:p>
    <w:p w14:paraId="11E88DAF">
      <w:pPr>
        <w:spacing w:line="360" w:lineRule="auto"/>
        <w:ind w:firstLine="600"/>
        <w:rPr>
          <w:rFonts w:ascii="仿宋_GB2312" w:eastAsia="仿宋_GB2312"/>
        </w:rPr>
      </w:pPr>
      <w:r>
        <w:rPr>
          <w:rFonts w:hint="eastAsia" w:ascii="仿宋_GB2312" w:eastAsia="仿宋_GB2312"/>
        </w:rPr>
        <w:t>争议评审小组成员的确定：</w:t>
      </w:r>
    </w:p>
    <w:p w14:paraId="7AAD8B47">
      <w:pPr>
        <w:spacing w:line="360" w:lineRule="auto"/>
        <w:ind w:firstLine="600"/>
        <w:rPr>
          <w:rFonts w:ascii="仿宋_GB2312" w:eastAsia="仿宋_GB2312"/>
        </w:rPr>
      </w:pPr>
      <w:r>
        <w:rPr>
          <w:rFonts w:hint="eastAsia" w:ascii="仿宋_GB2312" w:eastAsia="仿宋_GB2312"/>
        </w:rPr>
        <w:t>选定争议避免/评审组的期限：</w:t>
      </w:r>
    </w:p>
    <w:p w14:paraId="2F8D00A0">
      <w:pPr>
        <w:spacing w:line="360" w:lineRule="auto"/>
        <w:ind w:firstLine="600"/>
        <w:rPr>
          <w:rFonts w:ascii="仿宋_GB2312" w:eastAsia="仿宋_GB2312"/>
        </w:rPr>
      </w:pPr>
      <w:r>
        <w:rPr>
          <w:rFonts w:hint="eastAsia" w:ascii="仿宋_GB2312" w:eastAsia="仿宋_GB2312"/>
        </w:rPr>
        <w:t>评审机构：</w:t>
      </w:r>
    </w:p>
    <w:p w14:paraId="7844EC46">
      <w:pPr>
        <w:spacing w:line="360" w:lineRule="auto"/>
        <w:ind w:firstLine="600"/>
        <w:rPr>
          <w:rFonts w:ascii="仿宋_GB2312" w:eastAsia="仿宋_GB2312"/>
        </w:rPr>
      </w:pPr>
      <w:r>
        <w:rPr>
          <w:rFonts w:hint="eastAsia" w:ascii="仿宋_GB2312" w:eastAsia="仿宋_GB2312"/>
        </w:rPr>
        <w:t>其他事项的约定：</w:t>
      </w:r>
    </w:p>
    <w:p w14:paraId="715BC9DF">
      <w:pPr>
        <w:spacing w:line="360" w:lineRule="auto"/>
        <w:ind w:firstLine="600"/>
        <w:rPr>
          <w:rFonts w:ascii="仿宋_GB2312" w:eastAsia="仿宋_GB2312"/>
        </w:rPr>
      </w:pPr>
      <w:r>
        <w:rPr>
          <w:rFonts w:ascii="仿宋_GB2312" w:eastAsia="仿宋_GB2312"/>
        </w:rPr>
        <w:t>争议评审员报酬</w:t>
      </w:r>
      <w:r>
        <w:rPr>
          <w:rFonts w:hint="eastAsia" w:ascii="仿宋_GB2312" w:eastAsia="仿宋_GB2312"/>
        </w:rPr>
        <w:t>的承担人：</w:t>
      </w:r>
    </w:p>
    <w:p w14:paraId="266EE309">
      <w:pPr>
        <w:spacing w:line="360" w:lineRule="auto"/>
        <w:ind w:firstLine="600"/>
        <w:outlineLvl w:val="4"/>
        <w:rPr>
          <w:rFonts w:ascii="仿宋_GB2312" w:eastAsia="仿宋_GB2312"/>
        </w:rPr>
      </w:pPr>
      <w:r>
        <w:rPr>
          <w:rFonts w:hint="eastAsia" w:ascii="仿宋_GB2312" w:eastAsia="仿宋_GB2312"/>
        </w:rPr>
        <w:t>20.3.2 争议的避免</w:t>
      </w:r>
    </w:p>
    <w:p w14:paraId="2B386369">
      <w:pPr>
        <w:spacing w:line="360" w:lineRule="auto"/>
        <w:ind w:firstLine="600"/>
        <w:rPr>
          <w:rFonts w:ascii="仿宋_GB2312" w:eastAsia="仿宋_GB2312"/>
        </w:rPr>
      </w:pPr>
      <w:r>
        <w:rPr>
          <w:rFonts w:hint="eastAsia" w:ascii="仿宋_GB2312" w:eastAsia="仿宋_GB2312"/>
        </w:rPr>
        <w:t>发包人和承包人是否均出席争议避免的非正式讨论：</w:t>
      </w:r>
    </w:p>
    <w:p w14:paraId="0CD9B7A9">
      <w:pPr>
        <w:spacing w:line="360" w:lineRule="auto"/>
        <w:ind w:firstLine="600"/>
        <w:outlineLvl w:val="4"/>
        <w:rPr>
          <w:rFonts w:ascii="仿宋_GB2312" w:eastAsia="仿宋_GB2312"/>
        </w:rPr>
      </w:pPr>
      <w:r>
        <w:rPr>
          <w:rFonts w:ascii="仿宋_GB2312" w:eastAsia="仿宋_GB2312"/>
        </w:rPr>
        <w:t>20.3.3</w:t>
      </w:r>
      <w:r>
        <w:rPr>
          <w:rFonts w:hint="eastAsia" w:ascii="仿宋_GB2312" w:eastAsia="仿宋_GB2312"/>
        </w:rPr>
        <w:t xml:space="preserve"> 争议评审小组的决定</w:t>
      </w:r>
    </w:p>
    <w:p w14:paraId="0C7EEB16">
      <w:pPr>
        <w:spacing w:line="360" w:lineRule="auto"/>
        <w:ind w:firstLine="600"/>
        <w:rPr>
          <w:rFonts w:ascii="仿宋_GB2312" w:eastAsia="仿宋_GB2312"/>
        </w:rPr>
      </w:pPr>
      <w:r>
        <w:rPr>
          <w:rFonts w:hint="eastAsia" w:ascii="仿宋_GB2312" w:eastAsia="仿宋_GB2312"/>
        </w:rPr>
        <w:t>关于争议评审小组的决定的特别约定：</w:t>
      </w:r>
    </w:p>
    <w:p w14:paraId="5FFF08FC">
      <w:pPr>
        <w:spacing w:line="360" w:lineRule="auto"/>
        <w:ind w:firstLine="600"/>
        <w:outlineLvl w:val="3"/>
        <w:rPr>
          <w:rFonts w:hint="eastAsia" w:ascii="黑体" w:hAnsi="黑体" w:eastAsia="黑体"/>
        </w:rPr>
      </w:pPr>
      <w:r>
        <w:rPr>
          <w:rFonts w:ascii="黑体" w:hAnsi="黑体" w:eastAsia="黑体"/>
        </w:rPr>
        <w:t xml:space="preserve">20.4 </w:t>
      </w:r>
      <w:r>
        <w:rPr>
          <w:rFonts w:hint="eastAsia" w:ascii="黑体" w:hAnsi="黑体" w:eastAsia="黑体"/>
        </w:rPr>
        <w:t>仲裁或诉讼</w:t>
      </w:r>
    </w:p>
    <w:p w14:paraId="7F1C8908">
      <w:pPr>
        <w:spacing w:line="360" w:lineRule="auto"/>
        <w:ind w:firstLine="600"/>
        <w:rPr>
          <w:rFonts w:ascii="仿宋_GB2312" w:eastAsia="仿宋_GB2312"/>
        </w:rPr>
      </w:pPr>
      <w:r>
        <w:rPr>
          <w:rFonts w:hint="eastAsia" w:ascii="仿宋_GB2312" w:eastAsia="仿宋_GB2312"/>
        </w:rPr>
        <w:t>因合同及合同有关事项发生的争议，按下列第几种方式</w:t>
      </w:r>
      <w:r>
        <w:rPr>
          <w:rFonts w:ascii="仿宋_GB2312" w:eastAsia="仿宋_GB2312"/>
        </w:rPr>
        <w:t>解决：</w:t>
      </w:r>
    </w:p>
    <w:p w14:paraId="37DB9002">
      <w:pPr>
        <w:spacing w:line="360" w:lineRule="auto"/>
        <w:ind w:firstLine="600"/>
        <w:rPr>
          <w:rFonts w:ascii="仿宋_GB2312" w:eastAsia="仿宋_GB2312"/>
        </w:rPr>
      </w:pPr>
      <w:r>
        <w:rPr>
          <w:rFonts w:hint="eastAsia" w:ascii="仿宋_GB2312" w:eastAsia="仿宋_GB2312"/>
        </w:rPr>
        <w:t>（</w:t>
      </w:r>
      <w:r>
        <w:rPr>
          <w:rFonts w:ascii="仿宋_GB2312" w:eastAsia="仿宋_GB2312"/>
        </w:rPr>
        <w:t>1）向仲裁委员会申请仲裁；</w:t>
      </w:r>
    </w:p>
    <w:p w14:paraId="1B8258E2">
      <w:pPr>
        <w:spacing w:line="360" w:lineRule="auto"/>
        <w:ind w:firstLine="600"/>
        <w:rPr>
          <w:rFonts w:ascii="仿宋_GB2312" w:eastAsia="仿宋_GB2312"/>
        </w:rPr>
      </w:pPr>
      <w:r>
        <w:rPr>
          <w:rFonts w:hint="eastAsia" w:ascii="仿宋_GB2312" w:eastAsia="仿宋_GB2312"/>
        </w:rPr>
        <w:t>（</w:t>
      </w:r>
      <w:r>
        <w:rPr>
          <w:rFonts w:ascii="仿宋_GB2312" w:eastAsia="仿宋_GB2312"/>
        </w:rPr>
        <w:t>2）向人民法院起诉。</w:t>
      </w:r>
    </w:p>
    <w:p w14:paraId="5997481A">
      <w:pPr>
        <w:spacing w:line="360" w:lineRule="auto"/>
        <w:ind w:firstLine="600"/>
        <w:rPr>
          <w:rFonts w:ascii="仿宋_GB2312" w:eastAsia="仿宋_GB2312"/>
        </w:rPr>
        <w:sectPr>
          <w:headerReference r:id="rId6" w:type="default"/>
          <w:pgSz w:w="11905" w:h="16838"/>
          <w:pgMar w:top="1417" w:right="1417" w:bottom="1304" w:left="1417" w:header="850" w:footer="992" w:gutter="0"/>
          <w:cols w:space="0" w:num="1"/>
          <w:docGrid w:type="lines" w:linePitch="314" w:charSpace="0"/>
        </w:sectPr>
      </w:pPr>
    </w:p>
    <w:p w14:paraId="7B4B6A2F">
      <w:pPr>
        <w:pStyle w:val="43"/>
        <w:spacing w:before="0" w:after="0"/>
        <w:jc w:val="left"/>
        <w:outlineLvl w:val="4"/>
        <w:rPr>
          <w:rFonts w:hint="eastAsia" w:ascii="黑体" w:hAnsi="黑体" w:eastAsia="黑体"/>
          <w:b w:val="0"/>
          <w:sz w:val="28"/>
          <w:szCs w:val="28"/>
        </w:rPr>
      </w:pPr>
      <w:bookmarkStart w:id="1846" w:name="_Toc54862351"/>
      <w:bookmarkEnd w:id="1846"/>
      <w:bookmarkStart w:id="1847" w:name="_Toc2029"/>
      <w:bookmarkEnd w:id="1847"/>
      <w:bookmarkStart w:id="1848" w:name="_Toc6005"/>
      <w:bookmarkEnd w:id="1848"/>
      <w:r>
        <w:rPr>
          <w:rFonts w:hint="eastAsia" w:ascii="黑体" w:hAnsi="黑体" w:eastAsia="黑体"/>
          <w:b w:val="0"/>
          <w:sz w:val="28"/>
          <w:szCs w:val="28"/>
        </w:rPr>
        <w:t>专用合同条件附件</w:t>
      </w:r>
    </w:p>
    <w:p w14:paraId="3929DB20">
      <w:pPr>
        <w:spacing w:line="360" w:lineRule="auto"/>
      </w:pPr>
    </w:p>
    <w:p w14:paraId="575C38CB">
      <w:pPr>
        <w:spacing w:line="360" w:lineRule="auto"/>
        <w:ind w:firstLine="600"/>
        <w:rPr>
          <w:rFonts w:hint="eastAsia" w:ascii="仿宋_GB2312" w:hAnsi="仿宋_GB2312" w:eastAsia="仿宋_GB2312" w:cs="仿宋_GB2312"/>
        </w:rPr>
      </w:pPr>
      <w:r>
        <w:rPr>
          <w:rFonts w:hint="eastAsia" w:ascii="仿宋_GB2312" w:hAnsi="仿宋_GB2312" w:eastAsia="仿宋_GB2312" w:cs="仿宋_GB2312"/>
        </w:rPr>
        <w:t>附件1：发包人要求</w:t>
      </w:r>
    </w:p>
    <w:p w14:paraId="052831CE">
      <w:pPr>
        <w:spacing w:line="360" w:lineRule="auto"/>
        <w:ind w:firstLine="600"/>
        <w:rPr>
          <w:rFonts w:hint="eastAsia" w:ascii="仿宋_GB2312" w:hAnsi="仿宋_GB2312" w:eastAsia="仿宋_GB2312" w:cs="仿宋_GB2312"/>
        </w:rPr>
      </w:pPr>
      <w:r>
        <w:rPr>
          <w:rFonts w:hint="eastAsia" w:ascii="仿宋_GB2312" w:hAnsi="仿宋_GB2312" w:eastAsia="仿宋_GB2312" w:cs="仿宋_GB2312"/>
        </w:rPr>
        <w:t>附件2：发包人供应材料设备一览表</w:t>
      </w:r>
    </w:p>
    <w:p w14:paraId="6CDB4C76">
      <w:pPr>
        <w:spacing w:line="360" w:lineRule="auto"/>
        <w:ind w:firstLine="600"/>
        <w:rPr>
          <w:rFonts w:hint="eastAsia" w:ascii="仿宋_GB2312" w:hAnsi="仿宋_GB2312" w:eastAsia="仿宋_GB2312" w:cs="仿宋_GB2312"/>
        </w:rPr>
      </w:pPr>
      <w:r>
        <w:rPr>
          <w:rFonts w:hint="eastAsia" w:ascii="仿宋_GB2312" w:hAnsi="仿宋_GB2312" w:eastAsia="仿宋_GB2312" w:cs="仿宋_GB2312"/>
        </w:rPr>
        <w:t>附件3：工程质量保修书</w:t>
      </w:r>
    </w:p>
    <w:p w14:paraId="5AE3FD9C">
      <w:pPr>
        <w:spacing w:line="360" w:lineRule="auto"/>
        <w:ind w:firstLine="600"/>
        <w:rPr>
          <w:rFonts w:hint="eastAsia" w:ascii="仿宋_GB2312" w:hAnsi="仿宋_GB2312" w:eastAsia="仿宋_GB2312" w:cs="仿宋_GB2312"/>
        </w:rPr>
      </w:pPr>
      <w:r>
        <w:rPr>
          <w:rFonts w:hint="eastAsia" w:ascii="仿宋_GB2312" w:hAnsi="仿宋_GB2312" w:eastAsia="仿宋_GB2312" w:cs="仿宋_GB2312"/>
        </w:rPr>
        <w:t>附件4：主要建设工程文件目录</w:t>
      </w:r>
    </w:p>
    <w:p w14:paraId="1CFE4CCF">
      <w:pPr>
        <w:spacing w:line="360" w:lineRule="auto"/>
        <w:ind w:firstLine="600"/>
        <w:rPr>
          <w:rFonts w:hint="eastAsia" w:ascii="仿宋_GB2312" w:hAnsi="仿宋_GB2312" w:eastAsia="仿宋_GB2312" w:cs="仿宋_GB2312"/>
        </w:rPr>
      </w:pPr>
      <w:r>
        <w:rPr>
          <w:rFonts w:hint="eastAsia" w:ascii="仿宋_GB2312" w:hAnsi="仿宋_GB2312" w:eastAsia="仿宋_GB2312" w:cs="仿宋_GB2312"/>
        </w:rPr>
        <w:t>附件5：承包人主要管理人员表</w:t>
      </w:r>
    </w:p>
    <w:p w14:paraId="11E1F6DD">
      <w:pPr>
        <w:spacing w:line="360" w:lineRule="auto"/>
        <w:ind w:firstLine="600"/>
        <w:rPr>
          <w:rFonts w:hint="eastAsia" w:ascii="仿宋_GB2312" w:hAnsi="仿宋_GB2312" w:eastAsia="仿宋_GB2312" w:cs="仿宋_GB2312"/>
        </w:rPr>
      </w:pPr>
      <w:r>
        <w:rPr>
          <w:rFonts w:hint="eastAsia" w:ascii="仿宋_GB2312" w:hAnsi="仿宋_GB2312" w:eastAsia="仿宋_GB2312" w:cs="仿宋_GB2312"/>
        </w:rPr>
        <w:t>附件6：价格指数权重表</w:t>
      </w:r>
    </w:p>
    <w:p w14:paraId="57905526">
      <w:pPr>
        <w:spacing w:line="360" w:lineRule="auto"/>
        <w:ind w:firstLine="600"/>
      </w:pPr>
      <w:r>
        <w:rPr>
          <w:rFonts w:hint="eastAsia" w:ascii="仿宋_GB2312" w:hAnsi="仿宋_GB2312" w:eastAsia="仿宋_GB2312" w:cs="仿宋_GB2312"/>
        </w:rPr>
        <w:t>附件7：预付款保函</w:t>
      </w:r>
    </w:p>
    <w:p w14:paraId="177C541B">
      <w:pPr>
        <w:spacing w:line="360" w:lineRule="auto"/>
        <w:ind w:firstLine="600"/>
        <w:rPr>
          <w:rFonts w:hint="eastAsia" w:ascii="仿宋_GB2312" w:hAnsi="仿宋_GB2312" w:eastAsia="仿宋_GB2312" w:cs="仿宋_GB2312"/>
        </w:rPr>
      </w:pPr>
      <w:r>
        <w:rPr>
          <w:rFonts w:hint="eastAsia" w:ascii="仿宋_GB2312" w:hAnsi="仿宋_GB2312" w:eastAsia="仿宋_GB2312" w:cs="仿宋_GB2312"/>
        </w:rPr>
        <w:t>附件8：支付保函</w:t>
      </w:r>
    </w:p>
    <w:p w14:paraId="5B798747">
      <w:pPr>
        <w:spacing w:line="360" w:lineRule="auto"/>
        <w:ind w:firstLine="600"/>
        <w:rPr>
          <w:rFonts w:hint="eastAsia" w:ascii="仿宋_GB2312" w:hAnsi="仿宋_GB2312" w:eastAsia="仿宋_GB2312" w:cs="仿宋_GB2312"/>
        </w:rPr>
      </w:pPr>
      <w:r>
        <w:rPr>
          <w:rFonts w:hint="eastAsia" w:ascii="仿宋_GB2312" w:hAnsi="仿宋_GB2312" w:eastAsia="仿宋_GB2312" w:cs="仿宋_GB2312"/>
        </w:rPr>
        <w:t>附件9：履约保函</w:t>
      </w:r>
    </w:p>
    <w:p w14:paraId="0B635F88">
      <w:pPr>
        <w:spacing w:line="360" w:lineRule="auto"/>
      </w:pPr>
    </w:p>
    <w:p w14:paraId="22AC0E15">
      <w:pPr>
        <w:spacing w:line="360" w:lineRule="auto"/>
      </w:pPr>
    </w:p>
    <w:p w14:paraId="358D53CF">
      <w:pPr>
        <w:spacing w:line="360" w:lineRule="auto"/>
      </w:pPr>
    </w:p>
    <w:p w14:paraId="45E3A05A">
      <w:pPr>
        <w:spacing w:line="360" w:lineRule="auto"/>
        <w:jc w:val="left"/>
      </w:pPr>
      <w:r>
        <w:br w:type="page"/>
      </w:r>
    </w:p>
    <w:p w14:paraId="05D0C108">
      <w:pPr>
        <w:pStyle w:val="44"/>
        <w:numPr>
          <w:ilvl w:val="0"/>
          <w:numId w:val="0"/>
        </w:numPr>
        <w:rPr>
          <w:rFonts w:hint="eastAsia"/>
          <w:sz w:val="28"/>
          <w:szCs w:val="28"/>
        </w:rPr>
      </w:pPr>
      <w:bookmarkStart w:id="1849" w:name="_Toc54862352"/>
      <w:bookmarkEnd w:id="1849"/>
      <w:bookmarkStart w:id="1850" w:name="_Toc32679"/>
      <w:bookmarkEnd w:id="1850"/>
      <w:bookmarkStart w:id="1851" w:name="_Toc18622"/>
      <w:bookmarkEnd w:id="1851"/>
      <w:r>
        <w:rPr>
          <w:rFonts w:hint="eastAsia"/>
          <w:sz w:val="28"/>
          <w:szCs w:val="28"/>
        </w:rPr>
        <w:t>附件1《发包人要求》</w:t>
      </w:r>
    </w:p>
    <w:p w14:paraId="3DB0D554">
      <w:pPr>
        <w:spacing w:line="360" w:lineRule="auto"/>
        <w:ind w:firstLine="600"/>
        <w:rPr>
          <w:rFonts w:ascii="仿宋_GB2312" w:eastAsia="仿宋_GB2312"/>
        </w:rPr>
      </w:pPr>
      <w:r>
        <w:rPr>
          <w:rFonts w:hint="eastAsia" w:ascii="仿宋_GB2312" w:eastAsia="仿宋_GB2312"/>
        </w:rPr>
        <w:t>《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应一并明确规定。</w:t>
      </w:r>
    </w:p>
    <w:p w14:paraId="5595A504">
      <w:pPr>
        <w:spacing w:line="360" w:lineRule="auto"/>
        <w:ind w:firstLine="600"/>
        <w:rPr>
          <w:rFonts w:ascii="仿宋_GB2312" w:eastAsia="仿宋_GB2312"/>
        </w:rPr>
      </w:pPr>
      <w:r>
        <w:rPr>
          <w:rFonts w:hint="eastAsia" w:ascii="仿宋_GB2312" w:eastAsia="仿宋_GB2312"/>
        </w:rPr>
        <w:t>《发包人要求》通常包括但不限于以下内容：</w:t>
      </w:r>
    </w:p>
    <w:p w14:paraId="6868458E">
      <w:pPr>
        <w:spacing w:line="360" w:lineRule="auto"/>
        <w:ind w:firstLine="600"/>
        <w:outlineLvl w:val="4"/>
        <w:rPr>
          <w:rFonts w:hint="eastAsia" w:ascii="黑体" w:hAnsi="黑体" w:eastAsia="黑体"/>
        </w:rPr>
      </w:pPr>
      <w:r>
        <w:rPr>
          <w:rFonts w:hint="eastAsia" w:ascii="黑体" w:hAnsi="黑体" w:eastAsia="黑体"/>
        </w:rPr>
        <w:t>一、功能要求</w:t>
      </w:r>
    </w:p>
    <w:p w14:paraId="2C760320">
      <w:pPr>
        <w:spacing w:line="360" w:lineRule="auto"/>
        <w:ind w:firstLine="600"/>
        <w:rPr>
          <w:rFonts w:ascii="仿宋_GB2312" w:eastAsia="仿宋_GB2312"/>
        </w:rPr>
      </w:pPr>
      <w:r>
        <w:rPr>
          <w:rFonts w:hint="eastAsia" w:ascii="仿宋_GB2312" w:eastAsia="仿宋_GB2312"/>
        </w:rPr>
        <w:t>（一）工程目的。</w:t>
      </w:r>
    </w:p>
    <w:p w14:paraId="0329C815">
      <w:pPr>
        <w:spacing w:line="360" w:lineRule="auto"/>
        <w:ind w:firstLine="600"/>
        <w:rPr>
          <w:rFonts w:ascii="仿宋_GB2312" w:eastAsia="仿宋_GB2312"/>
        </w:rPr>
      </w:pPr>
      <w:r>
        <w:rPr>
          <w:rFonts w:hint="eastAsia" w:ascii="仿宋_GB2312" w:eastAsia="仿宋_GB2312"/>
        </w:rPr>
        <w:t>（二）工程规模。</w:t>
      </w:r>
    </w:p>
    <w:p w14:paraId="17F26CC2">
      <w:pPr>
        <w:spacing w:line="360" w:lineRule="auto"/>
        <w:ind w:firstLine="600"/>
        <w:rPr>
          <w:rFonts w:ascii="仿宋_GB2312" w:eastAsia="仿宋_GB2312"/>
        </w:rPr>
      </w:pPr>
      <w:r>
        <w:rPr>
          <w:rFonts w:hint="eastAsia" w:ascii="仿宋_GB2312" w:eastAsia="仿宋_GB2312"/>
        </w:rPr>
        <w:t>（三）性能保证指标（性能保证表）。</w:t>
      </w:r>
    </w:p>
    <w:p w14:paraId="2C77A856">
      <w:pPr>
        <w:spacing w:line="360" w:lineRule="auto"/>
        <w:ind w:firstLine="600"/>
        <w:rPr>
          <w:rFonts w:ascii="仿宋_GB2312" w:eastAsia="仿宋_GB2312"/>
        </w:rPr>
      </w:pPr>
      <w:r>
        <w:rPr>
          <w:rFonts w:hint="eastAsia" w:ascii="仿宋_GB2312" w:eastAsia="仿宋_GB2312"/>
        </w:rPr>
        <w:t>（四）产能保证指标。</w:t>
      </w:r>
    </w:p>
    <w:p w14:paraId="4BC253DA">
      <w:pPr>
        <w:spacing w:line="360" w:lineRule="auto"/>
        <w:ind w:firstLine="600"/>
        <w:outlineLvl w:val="4"/>
        <w:rPr>
          <w:rFonts w:hint="eastAsia" w:ascii="黑体" w:hAnsi="黑体" w:eastAsia="黑体"/>
        </w:rPr>
      </w:pPr>
      <w:r>
        <w:rPr>
          <w:rFonts w:hint="eastAsia" w:ascii="黑体" w:hAnsi="黑体" w:eastAsia="黑体"/>
        </w:rPr>
        <w:t>二、工程范围</w:t>
      </w:r>
    </w:p>
    <w:p w14:paraId="14539A3F">
      <w:pPr>
        <w:spacing w:line="360" w:lineRule="auto"/>
        <w:ind w:firstLine="600"/>
        <w:rPr>
          <w:rFonts w:ascii="仿宋_GB2312" w:eastAsia="仿宋_GB2312"/>
        </w:rPr>
      </w:pPr>
      <w:r>
        <w:rPr>
          <w:rFonts w:hint="eastAsia" w:ascii="仿宋_GB2312" w:eastAsia="仿宋_GB2312"/>
        </w:rPr>
        <w:t>（一）概述</w:t>
      </w:r>
    </w:p>
    <w:p w14:paraId="3138B50E">
      <w:pPr>
        <w:spacing w:line="360" w:lineRule="auto"/>
        <w:ind w:firstLine="600"/>
        <w:rPr>
          <w:rFonts w:ascii="仿宋_GB2312" w:eastAsia="仿宋_GB2312"/>
        </w:rPr>
      </w:pPr>
      <w:r>
        <w:rPr>
          <w:rFonts w:hint="eastAsia" w:ascii="仿宋_GB2312" w:eastAsia="仿宋_GB2312"/>
        </w:rPr>
        <w:t>（二）包括的工作</w:t>
      </w:r>
    </w:p>
    <w:p w14:paraId="690CF667">
      <w:pPr>
        <w:spacing w:line="360" w:lineRule="auto"/>
        <w:ind w:firstLine="600"/>
        <w:rPr>
          <w:rFonts w:ascii="仿宋_GB2312" w:eastAsia="仿宋_GB2312"/>
        </w:rPr>
      </w:pPr>
      <w:r>
        <w:rPr>
          <w:rFonts w:hint="eastAsia" w:ascii="仿宋_GB2312" w:eastAsia="仿宋_GB2312"/>
        </w:rPr>
        <w:t>1. 永久工程的设计、采购、施工范围。</w:t>
      </w:r>
    </w:p>
    <w:p w14:paraId="171C03FC">
      <w:pPr>
        <w:spacing w:line="360" w:lineRule="auto"/>
        <w:ind w:firstLine="600"/>
        <w:rPr>
          <w:rFonts w:ascii="仿宋_GB2312" w:eastAsia="仿宋_GB2312"/>
        </w:rPr>
      </w:pPr>
      <w:r>
        <w:rPr>
          <w:rFonts w:hint="eastAsia" w:ascii="仿宋_GB2312" w:eastAsia="仿宋_GB2312"/>
        </w:rPr>
        <w:t>2. 临时工程的设计与施工范围。</w:t>
      </w:r>
    </w:p>
    <w:p w14:paraId="4327177B">
      <w:pPr>
        <w:spacing w:line="360" w:lineRule="auto"/>
        <w:ind w:firstLine="600"/>
        <w:rPr>
          <w:rFonts w:ascii="仿宋_GB2312" w:eastAsia="仿宋_GB2312"/>
        </w:rPr>
      </w:pPr>
      <w:r>
        <w:rPr>
          <w:rFonts w:hint="eastAsia" w:ascii="仿宋_GB2312" w:eastAsia="仿宋_GB2312"/>
        </w:rPr>
        <w:t>3. 竣工验收工作范围。</w:t>
      </w:r>
    </w:p>
    <w:p w14:paraId="011218D4">
      <w:pPr>
        <w:spacing w:line="360" w:lineRule="auto"/>
        <w:ind w:firstLine="600"/>
        <w:rPr>
          <w:rFonts w:ascii="仿宋_GB2312" w:eastAsia="仿宋_GB2312"/>
        </w:rPr>
      </w:pPr>
      <w:r>
        <w:rPr>
          <w:rFonts w:hint="eastAsia" w:ascii="仿宋_GB2312" w:eastAsia="仿宋_GB2312"/>
        </w:rPr>
        <w:t>4. 技术服务工作范围。</w:t>
      </w:r>
    </w:p>
    <w:p w14:paraId="03190A55">
      <w:pPr>
        <w:spacing w:line="360" w:lineRule="auto"/>
        <w:ind w:firstLine="600"/>
        <w:rPr>
          <w:rFonts w:ascii="仿宋_GB2312" w:eastAsia="仿宋_GB2312"/>
        </w:rPr>
      </w:pPr>
      <w:r>
        <w:rPr>
          <w:rFonts w:hint="eastAsia" w:ascii="仿宋_GB2312" w:eastAsia="仿宋_GB2312"/>
        </w:rPr>
        <w:t>5. 培训工作范围。</w:t>
      </w:r>
    </w:p>
    <w:p w14:paraId="4B182BFC">
      <w:pPr>
        <w:spacing w:line="360" w:lineRule="auto"/>
        <w:ind w:firstLine="600"/>
        <w:rPr>
          <w:rFonts w:ascii="仿宋_GB2312" w:eastAsia="仿宋_GB2312"/>
        </w:rPr>
      </w:pPr>
      <w:r>
        <w:rPr>
          <w:rFonts w:hint="eastAsia" w:ascii="仿宋_GB2312" w:eastAsia="仿宋_GB2312"/>
        </w:rPr>
        <w:t>6. 保修工作范围。</w:t>
      </w:r>
    </w:p>
    <w:p w14:paraId="2949F422">
      <w:pPr>
        <w:spacing w:line="360" w:lineRule="auto"/>
        <w:ind w:firstLine="600"/>
        <w:rPr>
          <w:rFonts w:ascii="仿宋_GB2312" w:eastAsia="仿宋_GB2312"/>
        </w:rPr>
      </w:pPr>
      <w:r>
        <w:rPr>
          <w:rFonts w:hint="eastAsia" w:ascii="仿宋_GB2312" w:eastAsia="仿宋_GB2312"/>
        </w:rPr>
        <w:t>（三）工作界区</w:t>
      </w:r>
    </w:p>
    <w:p w14:paraId="50C13C69">
      <w:pPr>
        <w:spacing w:line="360" w:lineRule="auto"/>
        <w:ind w:firstLine="600"/>
        <w:rPr>
          <w:rFonts w:ascii="仿宋_GB2312" w:eastAsia="仿宋_GB2312"/>
        </w:rPr>
      </w:pPr>
      <w:r>
        <w:rPr>
          <w:rFonts w:hint="eastAsia" w:ascii="仿宋_GB2312" w:eastAsia="仿宋_GB2312"/>
        </w:rPr>
        <w:t>（四）发包人提供的现场条件</w:t>
      </w:r>
    </w:p>
    <w:p w14:paraId="7062A70B">
      <w:pPr>
        <w:spacing w:line="360" w:lineRule="auto"/>
        <w:ind w:firstLine="600"/>
        <w:rPr>
          <w:rFonts w:ascii="仿宋_GB2312" w:eastAsia="仿宋_GB2312"/>
        </w:rPr>
      </w:pPr>
      <w:r>
        <w:rPr>
          <w:rFonts w:hint="eastAsia" w:ascii="仿宋_GB2312" w:eastAsia="仿宋_GB2312"/>
        </w:rPr>
        <w:t>1. 施工用电。</w:t>
      </w:r>
    </w:p>
    <w:p w14:paraId="16917054">
      <w:pPr>
        <w:spacing w:line="360" w:lineRule="auto"/>
        <w:ind w:firstLine="600"/>
        <w:rPr>
          <w:rFonts w:ascii="仿宋_GB2312" w:eastAsia="仿宋_GB2312"/>
        </w:rPr>
      </w:pPr>
      <w:r>
        <w:rPr>
          <w:rFonts w:hint="eastAsia" w:ascii="仿宋_GB2312" w:eastAsia="仿宋_GB2312"/>
        </w:rPr>
        <w:t>2. 施工用水。</w:t>
      </w:r>
    </w:p>
    <w:p w14:paraId="6EDDDA22">
      <w:pPr>
        <w:spacing w:line="360" w:lineRule="auto"/>
        <w:ind w:firstLine="600"/>
        <w:rPr>
          <w:rFonts w:ascii="仿宋_GB2312" w:eastAsia="仿宋_GB2312"/>
        </w:rPr>
      </w:pPr>
      <w:r>
        <w:rPr>
          <w:rFonts w:hint="eastAsia" w:ascii="仿宋_GB2312" w:eastAsia="仿宋_GB2312"/>
        </w:rPr>
        <w:t>3. 施工排水。</w:t>
      </w:r>
    </w:p>
    <w:p w14:paraId="6661B02D">
      <w:pPr>
        <w:spacing w:line="360" w:lineRule="auto"/>
        <w:ind w:firstLine="600"/>
        <w:rPr>
          <w:rFonts w:ascii="仿宋_GB2312" w:eastAsia="仿宋_GB2312"/>
        </w:rPr>
      </w:pPr>
      <w:r>
        <w:rPr>
          <w:rFonts w:ascii="仿宋_GB2312" w:eastAsia="仿宋_GB2312"/>
        </w:rPr>
        <w:t>4.</w:t>
      </w:r>
      <w:r>
        <w:rPr>
          <w:rFonts w:hint="eastAsia" w:ascii="仿宋_GB2312" w:eastAsia="仿宋_GB2312"/>
        </w:rPr>
        <w:t>施工道路。</w:t>
      </w:r>
    </w:p>
    <w:p w14:paraId="00EFD84A">
      <w:pPr>
        <w:spacing w:line="360" w:lineRule="auto"/>
        <w:ind w:firstLine="600"/>
        <w:rPr>
          <w:rFonts w:ascii="仿宋_GB2312" w:eastAsia="仿宋_GB2312"/>
        </w:rPr>
      </w:pPr>
      <w:r>
        <w:rPr>
          <w:rFonts w:hint="eastAsia" w:ascii="仿宋_GB2312" w:eastAsia="仿宋_GB2312"/>
        </w:rPr>
        <w:t>（五）发包人提供的技术文件</w:t>
      </w:r>
    </w:p>
    <w:p w14:paraId="3B48F61E">
      <w:pPr>
        <w:spacing w:line="360" w:lineRule="auto"/>
        <w:ind w:firstLine="600"/>
        <w:rPr>
          <w:rFonts w:ascii="仿宋_GB2312" w:eastAsia="仿宋_GB2312"/>
        </w:rPr>
      </w:pPr>
      <w:r>
        <w:rPr>
          <w:rFonts w:hint="eastAsia" w:ascii="仿宋_GB2312" w:eastAsia="仿宋_GB2312"/>
        </w:rPr>
        <w:t>除另有批准外，承包人的工作需要遵照发包人的下列技术文件：</w:t>
      </w:r>
    </w:p>
    <w:p w14:paraId="68F03F44">
      <w:pPr>
        <w:spacing w:line="360" w:lineRule="auto"/>
        <w:ind w:firstLine="600"/>
        <w:rPr>
          <w:rFonts w:ascii="仿宋_GB2312" w:eastAsia="仿宋_GB2312"/>
        </w:rPr>
      </w:pPr>
      <w:r>
        <w:rPr>
          <w:rFonts w:hint="eastAsia" w:ascii="仿宋_GB2312" w:eastAsia="仿宋_GB2312"/>
        </w:rPr>
        <w:t>1. 发包人需求任务书。</w:t>
      </w:r>
    </w:p>
    <w:p w14:paraId="1B8A3A5D">
      <w:pPr>
        <w:spacing w:line="360" w:lineRule="auto"/>
        <w:ind w:firstLine="600"/>
        <w:rPr>
          <w:rFonts w:ascii="仿宋_GB2312" w:eastAsia="仿宋_GB2312"/>
        </w:rPr>
      </w:pPr>
      <w:r>
        <w:rPr>
          <w:rFonts w:hint="eastAsia" w:ascii="仿宋_GB2312" w:eastAsia="仿宋_GB2312"/>
        </w:rPr>
        <w:t>2. 发包人已完成的设计文件。</w:t>
      </w:r>
    </w:p>
    <w:p w14:paraId="6B22E256">
      <w:pPr>
        <w:spacing w:line="360" w:lineRule="auto"/>
        <w:ind w:firstLine="600"/>
        <w:rPr>
          <w:rFonts w:hint="eastAsia" w:ascii="黑体" w:hAnsi="黑体" w:eastAsia="黑体"/>
        </w:rPr>
      </w:pPr>
      <w:r>
        <w:rPr>
          <w:rFonts w:hint="eastAsia" w:ascii="黑体" w:hAnsi="黑体" w:eastAsia="黑体"/>
        </w:rPr>
        <w:t>三、工艺安排或要求（如有）</w:t>
      </w:r>
    </w:p>
    <w:p w14:paraId="637278FD">
      <w:pPr>
        <w:spacing w:line="360" w:lineRule="auto"/>
        <w:ind w:firstLine="600"/>
        <w:rPr>
          <w:rFonts w:hint="eastAsia" w:ascii="黑体" w:hAnsi="黑体" w:eastAsia="黑体"/>
        </w:rPr>
      </w:pPr>
      <w:r>
        <w:rPr>
          <w:rFonts w:hint="eastAsia" w:ascii="黑体" w:hAnsi="黑体" w:eastAsia="黑体"/>
        </w:rPr>
        <w:t>四、时间要求</w:t>
      </w:r>
    </w:p>
    <w:p w14:paraId="22D5A30C">
      <w:pPr>
        <w:spacing w:line="360" w:lineRule="auto"/>
        <w:ind w:firstLine="600"/>
        <w:rPr>
          <w:rFonts w:ascii="仿宋_GB2312" w:eastAsia="仿宋_GB2312"/>
        </w:rPr>
      </w:pPr>
      <w:r>
        <w:rPr>
          <w:rFonts w:hint="eastAsia" w:ascii="仿宋_GB2312" w:eastAsia="仿宋_GB2312"/>
        </w:rPr>
        <w:t>（一）开始工作时间。</w:t>
      </w:r>
    </w:p>
    <w:p w14:paraId="19C92B23">
      <w:pPr>
        <w:spacing w:line="360" w:lineRule="auto"/>
        <w:ind w:firstLine="600"/>
        <w:rPr>
          <w:rFonts w:ascii="仿宋_GB2312" w:eastAsia="仿宋_GB2312"/>
        </w:rPr>
      </w:pPr>
      <w:r>
        <w:rPr>
          <w:rFonts w:hint="eastAsia" w:ascii="仿宋_GB2312" w:eastAsia="仿宋_GB2312"/>
        </w:rPr>
        <w:t>（二）设计完成时间。</w:t>
      </w:r>
    </w:p>
    <w:p w14:paraId="70438547">
      <w:pPr>
        <w:spacing w:line="360" w:lineRule="auto"/>
        <w:ind w:firstLine="600"/>
        <w:rPr>
          <w:rFonts w:ascii="仿宋_GB2312" w:eastAsia="仿宋_GB2312"/>
        </w:rPr>
      </w:pPr>
      <w:r>
        <w:rPr>
          <w:rFonts w:hint="eastAsia" w:ascii="仿宋_GB2312" w:eastAsia="仿宋_GB2312"/>
        </w:rPr>
        <w:t>（三）进度计划。</w:t>
      </w:r>
    </w:p>
    <w:p w14:paraId="4A319423">
      <w:pPr>
        <w:spacing w:line="360" w:lineRule="auto"/>
        <w:ind w:firstLine="600"/>
        <w:rPr>
          <w:rFonts w:ascii="仿宋_GB2312" w:eastAsia="仿宋_GB2312"/>
        </w:rPr>
      </w:pPr>
      <w:r>
        <w:rPr>
          <w:rFonts w:hint="eastAsia" w:ascii="仿宋_GB2312" w:eastAsia="仿宋_GB2312"/>
        </w:rPr>
        <w:t>（四）竣工时间。</w:t>
      </w:r>
    </w:p>
    <w:p w14:paraId="622D022C">
      <w:pPr>
        <w:spacing w:line="360" w:lineRule="auto"/>
        <w:ind w:firstLine="600"/>
        <w:rPr>
          <w:rFonts w:ascii="仿宋_GB2312" w:eastAsia="仿宋_GB2312"/>
        </w:rPr>
      </w:pPr>
      <w:r>
        <w:rPr>
          <w:rFonts w:hint="eastAsia" w:ascii="仿宋_GB2312" w:eastAsia="仿宋_GB2312"/>
        </w:rPr>
        <w:t>（五）缺陷责任期。</w:t>
      </w:r>
    </w:p>
    <w:p w14:paraId="7DA32F0D">
      <w:pPr>
        <w:spacing w:line="360" w:lineRule="auto"/>
        <w:ind w:firstLine="600"/>
        <w:rPr>
          <w:rFonts w:ascii="仿宋_GB2312" w:eastAsia="仿宋_GB2312"/>
        </w:rPr>
      </w:pPr>
      <w:r>
        <w:rPr>
          <w:rFonts w:hint="eastAsia" w:ascii="仿宋_GB2312" w:eastAsia="仿宋_GB2312"/>
        </w:rPr>
        <w:t>（六）其他时间要求。</w:t>
      </w:r>
    </w:p>
    <w:p w14:paraId="0D72BE7A">
      <w:pPr>
        <w:spacing w:line="360" w:lineRule="auto"/>
        <w:ind w:firstLine="600"/>
        <w:outlineLvl w:val="4"/>
        <w:rPr>
          <w:rFonts w:hint="eastAsia" w:ascii="黑体" w:hAnsi="黑体" w:eastAsia="黑体"/>
        </w:rPr>
      </w:pPr>
      <w:r>
        <w:rPr>
          <w:rFonts w:hint="eastAsia" w:ascii="黑体" w:hAnsi="黑体" w:eastAsia="黑体"/>
        </w:rPr>
        <w:t>五、技术要求</w:t>
      </w:r>
    </w:p>
    <w:p w14:paraId="76B8E5C3">
      <w:pPr>
        <w:spacing w:line="360" w:lineRule="auto"/>
        <w:ind w:firstLine="600"/>
        <w:rPr>
          <w:rFonts w:ascii="仿宋_GB2312" w:eastAsia="仿宋_GB2312"/>
        </w:rPr>
      </w:pPr>
      <w:r>
        <w:rPr>
          <w:rFonts w:hint="eastAsia" w:ascii="仿宋_GB2312" w:eastAsia="仿宋_GB2312"/>
        </w:rPr>
        <w:t>（一）设计阶段和设计任务。</w:t>
      </w:r>
    </w:p>
    <w:p w14:paraId="15FF9CA2">
      <w:pPr>
        <w:spacing w:line="360" w:lineRule="auto"/>
        <w:ind w:firstLine="600"/>
        <w:rPr>
          <w:rFonts w:ascii="仿宋_GB2312" w:eastAsia="仿宋_GB2312"/>
        </w:rPr>
      </w:pPr>
      <w:r>
        <w:rPr>
          <w:rFonts w:hint="eastAsia" w:ascii="仿宋_GB2312" w:eastAsia="仿宋_GB2312"/>
        </w:rPr>
        <w:t>（二）设计标准和规范。</w:t>
      </w:r>
    </w:p>
    <w:p w14:paraId="4EB37082">
      <w:pPr>
        <w:spacing w:line="360" w:lineRule="auto"/>
        <w:ind w:firstLine="600"/>
        <w:rPr>
          <w:rFonts w:ascii="仿宋_GB2312" w:eastAsia="仿宋_GB2312"/>
        </w:rPr>
      </w:pPr>
      <w:r>
        <w:rPr>
          <w:rFonts w:hint="eastAsia" w:ascii="仿宋_GB2312" w:eastAsia="仿宋_GB2312"/>
        </w:rPr>
        <w:t>（三）技术标准和要求。</w:t>
      </w:r>
    </w:p>
    <w:p w14:paraId="35BDFCB9">
      <w:pPr>
        <w:spacing w:line="360" w:lineRule="auto"/>
        <w:ind w:firstLine="600"/>
        <w:rPr>
          <w:rFonts w:ascii="仿宋_GB2312" w:eastAsia="仿宋_GB2312"/>
        </w:rPr>
      </w:pPr>
      <w:r>
        <w:rPr>
          <w:rFonts w:hint="eastAsia" w:ascii="仿宋_GB2312" w:eastAsia="仿宋_GB2312"/>
        </w:rPr>
        <w:t>（四）质量标准。</w:t>
      </w:r>
    </w:p>
    <w:p w14:paraId="4E01C628">
      <w:pPr>
        <w:spacing w:line="360" w:lineRule="auto"/>
        <w:ind w:firstLine="600"/>
        <w:rPr>
          <w:rFonts w:ascii="仿宋_GB2312" w:eastAsia="仿宋_GB2312"/>
        </w:rPr>
      </w:pPr>
      <w:r>
        <w:rPr>
          <w:rFonts w:hint="eastAsia" w:ascii="仿宋_GB2312" w:eastAsia="仿宋_GB2312"/>
        </w:rPr>
        <w:t>（五）设计、施工和设备监造、试验（如有）。</w:t>
      </w:r>
    </w:p>
    <w:p w14:paraId="5440CD0A">
      <w:pPr>
        <w:spacing w:line="360" w:lineRule="auto"/>
        <w:ind w:firstLine="600"/>
        <w:rPr>
          <w:rFonts w:ascii="仿宋_GB2312" w:eastAsia="仿宋_GB2312"/>
        </w:rPr>
      </w:pPr>
      <w:r>
        <w:rPr>
          <w:rFonts w:hint="eastAsia" w:ascii="仿宋_GB2312" w:eastAsia="仿宋_GB2312"/>
        </w:rPr>
        <w:t>（六）样品。</w:t>
      </w:r>
    </w:p>
    <w:p w14:paraId="74F453EE">
      <w:pPr>
        <w:spacing w:line="360" w:lineRule="auto"/>
        <w:ind w:firstLine="600"/>
        <w:rPr>
          <w:rFonts w:ascii="仿宋_GB2312" w:eastAsia="仿宋_GB2312"/>
        </w:rPr>
      </w:pPr>
      <w:r>
        <w:rPr>
          <w:rFonts w:hint="eastAsia" w:ascii="仿宋_GB2312" w:eastAsia="仿宋_GB2312"/>
        </w:rPr>
        <w:t>（七）发包人提供的其他条件，如发包人或其委托的第三人提供的设计、工艺包、用于试验检验的工器具等，以及据此对承包人提出的予以配套的要求。</w:t>
      </w:r>
    </w:p>
    <w:p w14:paraId="51BB66B5">
      <w:pPr>
        <w:spacing w:line="360" w:lineRule="auto"/>
        <w:ind w:firstLine="600"/>
        <w:outlineLvl w:val="4"/>
        <w:rPr>
          <w:rFonts w:hint="eastAsia" w:ascii="黑体" w:hAnsi="黑体" w:eastAsia="黑体"/>
        </w:rPr>
      </w:pPr>
      <w:r>
        <w:rPr>
          <w:rFonts w:hint="eastAsia" w:ascii="黑体" w:hAnsi="黑体" w:eastAsia="黑体"/>
        </w:rPr>
        <w:t>六、竣工试验</w:t>
      </w:r>
    </w:p>
    <w:p w14:paraId="6917FFE8">
      <w:pPr>
        <w:spacing w:line="360" w:lineRule="auto"/>
        <w:ind w:firstLine="600"/>
        <w:rPr>
          <w:rFonts w:ascii="仿宋_GB2312" w:eastAsia="仿宋_GB2312"/>
        </w:rPr>
      </w:pPr>
      <w:r>
        <w:rPr>
          <w:rFonts w:hint="eastAsia" w:ascii="仿宋_GB2312" w:eastAsia="仿宋_GB2312"/>
        </w:rPr>
        <w:t>（一）第一阶段，如对单车试验等的要求，包括试验前准备。</w:t>
      </w:r>
    </w:p>
    <w:p w14:paraId="55D559BB">
      <w:pPr>
        <w:spacing w:line="360" w:lineRule="auto"/>
        <w:ind w:firstLine="600"/>
        <w:rPr>
          <w:rFonts w:ascii="仿宋_GB2312" w:eastAsia="仿宋_GB2312"/>
        </w:rPr>
      </w:pPr>
      <w:r>
        <w:rPr>
          <w:rFonts w:hint="eastAsia" w:ascii="仿宋_GB2312" w:eastAsia="仿宋_GB2312"/>
        </w:rPr>
        <w:t>（二）第二阶段，对联动试车、投料试车等的要求，包括人员、设备、材料、燃料、电力、消耗品、工具等必要条件。</w:t>
      </w:r>
    </w:p>
    <w:p w14:paraId="73A3B234">
      <w:pPr>
        <w:spacing w:line="360" w:lineRule="auto"/>
        <w:ind w:firstLine="600"/>
        <w:rPr>
          <w:rFonts w:ascii="仿宋_GB2312" w:eastAsia="仿宋_GB2312"/>
        </w:rPr>
      </w:pPr>
      <w:r>
        <w:rPr>
          <w:rFonts w:hint="eastAsia" w:ascii="仿宋_GB2312" w:eastAsia="仿宋_GB2312"/>
        </w:rPr>
        <w:t>（三）第三阶段，对性能测试及其他竣工试验的要求，包括产能指标、产品质量标准、运营指标、环保指标等。</w:t>
      </w:r>
    </w:p>
    <w:p w14:paraId="3092CC74">
      <w:pPr>
        <w:spacing w:line="360" w:lineRule="auto"/>
        <w:ind w:firstLine="600"/>
        <w:rPr>
          <w:rFonts w:hint="eastAsia" w:ascii="黑体" w:hAnsi="黑体" w:eastAsia="黑体"/>
        </w:rPr>
      </w:pPr>
      <w:r>
        <w:rPr>
          <w:rFonts w:hint="eastAsia" w:ascii="黑体" w:hAnsi="黑体" w:eastAsia="黑体"/>
        </w:rPr>
        <w:t>七、竣工验收</w:t>
      </w:r>
    </w:p>
    <w:p w14:paraId="044D0B73">
      <w:pPr>
        <w:spacing w:line="360" w:lineRule="auto"/>
        <w:ind w:firstLine="600"/>
        <w:rPr>
          <w:rFonts w:hint="eastAsia" w:ascii="黑体" w:hAnsi="黑体" w:eastAsia="黑体"/>
        </w:rPr>
      </w:pPr>
      <w:r>
        <w:rPr>
          <w:rFonts w:hint="eastAsia" w:ascii="黑体" w:hAnsi="黑体" w:eastAsia="黑体"/>
        </w:rPr>
        <w:t>八、竣工后试验（如有）</w:t>
      </w:r>
    </w:p>
    <w:p w14:paraId="09985DF5">
      <w:pPr>
        <w:spacing w:line="360" w:lineRule="auto"/>
        <w:ind w:firstLine="600"/>
        <w:rPr>
          <w:rFonts w:hint="eastAsia" w:ascii="黑体" w:hAnsi="黑体" w:eastAsia="黑体"/>
        </w:rPr>
      </w:pPr>
      <w:r>
        <w:rPr>
          <w:rFonts w:hint="eastAsia" w:ascii="黑体" w:hAnsi="黑体" w:eastAsia="黑体"/>
        </w:rPr>
        <w:t>九、文件要求</w:t>
      </w:r>
    </w:p>
    <w:p w14:paraId="7DD3DA34">
      <w:pPr>
        <w:spacing w:line="360" w:lineRule="auto"/>
        <w:ind w:firstLine="600"/>
        <w:rPr>
          <w:rFonts w:ascii="仿宋_GB2312" w:eastAsia="仿宋_GB2312"/>
        </w:rPr>
      </w:pPr>
      <w:r>
        <w:rPr>
          <w:rFonts w:hint="eastAsia" w:ascii="仿宋_GB2312" w:eastAsia="仿宋_GB2312"/>
        </w:rPr>
        <w:t>（一）设计文件，及其相关审批、核准、备案要求。</w:t>
      </w:r>
    </w:p>
    <w:p w14:paraId="0219D26D">
      <w:pPr>
        <w:spacing w:line="360" w:lineRule="auto"/>
        <w:ind w:firstLine="600"/>
        <w:rPr>
          <w:rFonts w:ascii="仿宋_GB2312" w:eastAsia="仿宋_GB2312"/>
        </w:rPr>
      </w:pPr>
      <w:r>
        <w:rPr>
          <w:rFonts w:hint="eastAsia" w:ascii="仿宋_GB2312" w:eastAsia="仿宋_GB2312"/>
        </w:rPr>
        <w:t>（二）沟通计划。</w:t>
      </w:r>
    </w:p>
    <w:p w14:paraId="1ECC4E29">
      <w:pPr>
        <w:spacing w:line="360" w:lineRule="auto"/>
        <w:ind w:firstLine="600"/>
        <w:rPr>
          <w:rFonts w:ascii="仿宋_GB2312" w:eastAsia="仿宋_GB2312"/>
        </w:rPr>
      </w:pPr>
      <w:r>
        <w:rPr>
          <w:rFonts w:hint="eastAsia" w:ascii="仿宋_GB2312" w:eastAsia="仿宋_GB2312"/>
        </w:rPr>
        <w:t>（三）风险管理计划。</w:t>
      </w:r>
    </w:p>
    <w:p w14:paraId="69A3FC2C">
      <w:pPr>
        <w:spacing w:line="360" w:lineRule="auto"/>
        <w:ind w:firstLine="600"/>
        <w:rPr>
          <w:rFonts w:ascii="仿宋_GB2312" w:eastAsia="仿宋_GB2312"/>
        </w:rPr>
      </w:pPr>
      <w:r>
        <w:rPr>
          <w:rFonts w:hint="eastAsia" w:ascii="仿宋_GB2312" w:eastAsia="仿宋_GB2312"/>
        </w:rPr>
        <w:t>（四）竣工文件和工程的其他记录。</w:t>
      </w:r>
    </w:p>
    <w:p w14:paraId="4FEB88EC">
      <w:pPr>
        <w:spacing w:line="360" w:lineRule="auto"/>
        <w:ind w:firstLine="600"/>
        <w:rPr>
          <w:rFonts w:ascii="仿宋_GB2312" w:eastAsia="仿宋_GB2312"/>
        </w:rPr>
      </w:pPr>
      <w:r>
        <w:rPr>
          <w:rFonts w:hint="eastAsia" w:ascii="仿宋_GB2312" w:eastAsia="仿宋_GB2312"/>
        </w:rPr>
        <w:t>（五）操作和维修手册。</w:t>
      </w:r>
    </w:p>
    <w:p w14:paraId="4501DDA5">
      <w:pPr>
        <w:spacing w:line="360" w:lineRule="auto"/>
        <w:ind w:firstLine="600"/>
        <w:rPr>
          <w:rFonts w:ascii="仿宋_GB2312" w:eastAsia="仿宋_GB2312"/>
        </w:rPr>
      </w:pPr>
      <w:r>
        <w:rPr>
          <w:rFonts w:hint="eastAsia" w:ascii="仿宋_GB2312" w:eastAsia="仿宋_GB2312"/>
        </w:rPr>
        <w:t>（六）其他承包人文件。</w:t>
      </w:r>
    </w:p>
    <w:p w14:paraId="7C215B9F">
      <w:pPr>
        <w:spacing w:line="360" w:lineRule="auto"/>
        <w:ind w:firstLine="600"/>
        <w:outlineLvl w:val="4"/>
        <w:rPr>
          <w:rFonts w:hint="eastAsia" w:ascii="黑体" w:hAnsi="黑体" w:eastAsia="黑体"/>
        </w:rPr>
      </w:pPr>
      <w:r>
        <w:rPr>
          <w:rFonts w:hint="eastAsia" w:ascii="黑体" w:hAnsi="黑体" w:eastAsia="黑体"/>
        </w:rPr>
        <w:t>十、工程项目管理规定</w:t>
      </w:r>
    </w:p>
    <w:p w14:paraId="7B235C26">
      <w:pPr>
        <w:spacing w:line="360" w:lineRule="auto"/>
        <w:ind w:firstLine="600"/>
        <w:rPr>
          <w:rFonts w:ascii="仿宋_GB2312" w:eastAsia="仿宋_GB2312"/>
        </w:rPr>
      </w:pPr>
      <w:r>
        <w:rPr>
          <w:rFonts w:hint="eastAsia" w:ascii="仿宋_GB2312" w:eastAsia="仿宋_GB2312"/>
        </w:rPr>
        <w:t>（一）质量。</w:t>
      </w:r>
    </w:p>
    <w:p w14:paraId="35E6711E">
      <w:pPr>
        <w:spacing w:line="360" w:lineRule="auto"/>
        <w:ind w:firstLine="600"/>
        <w:rPr>
          <w:rFonts w:ascii="仿宋_GB2312" w:eastAsia="仿宋_GB2312"/>
        </w:rPr>
      </w:pPr>
      <w:r>
        <w:rPr>
          <w:rFonts w:hint="eastAsia" w:ascii="仿宋_GB2312" w:eastAsia="仿宋_GB2312"/>
        </w:rPr>
        <w:t>（二）进度，包括里程碑进度计划（如果有）。</w:t>
      </w:r>
    </w:p>
    <w:p w14:paraId="131A6F9A">
      <w:pPr>
        <w:spacing w:line="360" w:lineRule="auto"/>
        <w:ind w:firstLine="600"/>
        <w:rPr>
          <w:rFonts w:ascii="仿宋_GB2312" w:eastAsia="仿宋_GB2312"/>
        </w:rPr>
      </w:pPr>
      <w:r>
        <w:rPr>
          <w:rFonts w:hint="eastAsia" w:ascii="仿宋_GB2312" w:eastAsia="仿宋_GB2312"/>
        </w:rPr>
        <w:t>（三）支付。</w:t>
      </w:r>
    </w:p>
    <w:p w14:paraId="1D816357">
      <w:pPr>
        <w:spacing w:line="360" w:lineRule="auto"/>
        <w:ind w:firstLine="600"/>
        <w:rPr>
          <w:rFonts w:ascii="仿宋_GB2312" w:eastAsia="仿宋_GB2312"/>
        </w:rPr>
      </w:pPr>
      <w:r>
        <w:rPr>
          <w:rFonts w:hint="eastAsia" w:ascii="仿宋_GB2312" w:eastAsia="仿宋_GB2312"/>
        </w:rPr>
        <w:t>（四）HSE（健康、安全与环境管理体系）。</w:t>
      </w:r>
    </w:p>
    <w:p w14:paraId="770737AD">
      <w:pPr>
        <w:spacing w:line="360" w:lineRule="auto"/>
        <w:ind w:firstLine="600"/>
        <w:rPr>
          <w:rFonts w:ascii="仿宋_GB2312" w:eastAsia="仿宋_GB2312"/>
        </w:rPr>
      </w:pPr>
      <w:r>
        <w:rPr>
          <w:rFonts w:hint="eastAsia" w:ascii="仿宋_GB2312" w:eastAsia="仿宋_GB2312"/>
        </w:rPr>
        <w:t>（五）沟通。</w:t>
      </w:r>
    </w:p>
    <w:p w14:paraId="2B03F7A6">
      <w:pPr>
        <w:spacing w:line="360" w:lineRule="auto"/>
        <w:ind w:firstLine="600"/>
        <w:rPr>
          <w:rFonts w:ascii="仿宋_GB2312" w:eastAsia="仿宋_GB2312"/>
        </w:rPr>
      </w:pPr>
      <w:r>
        <w:rPr>
          <w:rFonts w:hint="eastAsia" w:ascii="仿宋_GB2312" w:eastAsia="仿宋_GB2312"/>
        </w:rPr>
        <w:t>（六）变更。</w:t>
      </w:r>
    </w:p>
    <w:p w14:paraId="22E269C8">
      <w:pPr>
        <w:spacing w:line="360" w:lineRule="auto"/>
        <w:ind w:firstLine="600"/>
        <w:outlineLvl w:val="4"/>
        <w:rPr>
          <w:rFonts w:hint="eastAsia" w:ascii="黑体" w:hAnsi="黑体" w:eastAsia="黑体"/>
        </w:rPr>
      </w:pPr>
      <w:r>
        <w:rPr>
          <w:rFonts w:hint="eastAsia" w:ascii="黑体" w:hAnsi="黑体" w:eastAsia="黑体"/>
        </w:rPr>
        <w:t>十一、其他要求</w:t>
      </w:r>
    </w:p>
    <w:p w14:paraId="4988C6EB">
      <w:pPr>
        <w:spacing w:line="360" w:lineRule="auto"/>
        <w:ind w:firstLine="600"/>
        <w:rPr>
          <w:rFonts w:ascii="仿宋_GB2312" w:eastAsia="仿宋_GB2312"/>
        </w:rPr>
      </w:pPr>
      <w:r>
        <w:rPr>
          <w:rFonts w:hint="eastAsia" w:ascii="仿宋_GB2312" w:eastAsia="仿宋_GB2312"/>
        </w:rPr>
        <w:t>（一）对承包人的主要人员资格要求。</w:t>
      </w:r>
    </w:p>
    <w:p w14:paraId="41582F03">
      <w:pPr>
        <w:spacing w:line="360" w:lineRule="auto"/>
        <w:ind w:firstLine="600"/>
        <w:rPr>
          <w:rFonts w:ascii="仿宋_GB2312" w:eastAsia="仿宋_GB2312"/>
        </w:rPr>
      </w:pPr>
      <w:r>
        <w:rPr>
          <w:rFonts w:hint="eastAsia" w:ascii="仿宋_GB2312" w:eastAsia="仿宋_GB2312"/>
        </w:rPr>
        <w:t>（二）相关审批、核准和备案手续的办理。</w:t>
      </w:r>
    </w:p>
    <w:p w14:paraId="2E6C1B74">
      <w:pPr>
        <w:spacing w:line="360" w:lineRule="auto"/>
        <w:ind w:firstLine="600"/>
        <w:rPr>
          <w:rFonts w:ascii="仿宋_GB2312" w:eastAsia="仿宋_GB2312"/>
        </w:rPr>
      </w:pPr>
      <w:r>
        <w:rPr>
          <w:rFonts w:hint="eastAsia" w:ascii="仿宋_GB2312" w:eastAsia="仿宋_GB2312"/>
        </w:rPr>
        <w:t>（三）对项目业主人员的操作培训。</w:t>
      </w:r>
    </w:p>
    <w:p w14:paraId="40FF884C">
      <w:pPr>
        <w:spacing w:line="360" w:lineRule="auto"/>
        <w:ind w:firstLine="600"/>
        <w:rPr>
          <w:rFonts w:ascii="仿宋_GB2312" w:eastAsia="仿宋_GB2312"/>
        </w:rPr>
      </w:pPr>
      <w:r>
        <w:rPr>
          <w:rFonts w:hint="eastAsia" w:ascii="仿宋_GB2312" w:eastAsia="仿宋_GB2312"/>
        </w:rPr>
        <w:t>（四）分包。</w:t>
      </w:r>
    </w:p>
    <w:p w14:paraId="59F2358A">
      <w:pPr>
        <w:spacing w:line="360" w:lineRule="auto"/>
        <w:ind w:firstLine="600"/>
        <w:rPr>
          <w:rFonts w:ascii="仿宋_GB2312" w:eastAsia="仿宋_GB2312"/>
        </w:rPr>
      </w:pPr>
      <w:r>
        <w:rPr>
          <w:rFonts w:hint="eastAsia" w:ascii="仿宋_GB2312" w:eastAsia="仿宋_GB2312"/>
        </w:rPr>
        <w:t>（五）设备供应商。</w:t>
      </w:r>
    </w:p>
    <w:p w14:paraId="44269F65">
      <w:pPr>
        <w:spacing w:line="360" w:lineRule="auto"/>
        <w:ind w:left="600"/>
        <w:rPr>
          <w:rFonts w:ascii="仿宋_GB2312" w:eastAsia="仿宋_GB2312"/>
        </w:rPr>
      </w:pPr>
      <w:r>
        <w:rPr>
          <w:rFonts w:hint="eastAsia" w:ascii="仿宋_GB2312" w:eastAsia="仿宋_GB2312"/>
        </w:rPr>
        <w:t>（六）缺陷责任期的服务要求。</w:t>
      </w:r>
    </w:p>
    <w:p w14:paraId="3DA6188A">
      <w:pPr>
        <w:spacing w:line="360" w:lineRule="auto"/>
        <w:jc w:val="left"/>
      </w:pPr>
    </w:p>
    <w:p w14:paraId="5A583238">
      <w:pPr>
        <w:spacing w:line="360" w:lineRule="auto"/>
        <w:jc w:val="left"/>
      </w:pPr>
    </w:p>
    <w:p w14:paraId="18F2349C">
      <w:pPr>
        <w:pStyle w:val="29"/>
        <w:rPr>
          <w:color w:val="auto"/>
          <w:sz w:val="21"/>
          <w:szCs w:val="21"/>
        </w:rPr>
      </w:pPr>
    </w:p>
    <w:p w14:paraId="5E4CBB2B">
      <w:pPr>
        <w:pStyle w:val="29"/>
        <w:rPr>
          <w:color w:val="auto"/>
          <w:sz w:val="21"/>
          <w:szCs w:val="21"/>
        </w:rPr>
      </w:pPr>
    </w:p>
    <w:p w14:paraId="1DAFA06E">
      <w:pPr>
        <w:pStyle w:val="29"/>
        <w:rPr>
          <w:color w:val="auto"/>
          <w:sz w:val="21"/>
          <w:szCs w:val="21"/>
        </w:rPr>
      </w:pPr>
    </w:p>
    <w:p w14:paraId="062A3F7C">
      <w:pPr>
        <w:pStyle w:val="29"/>
        <w:rPr>
          <w:color w:val="auto"/>
          <w:sz w:val="21"/>
          <w:szCs w:val="21"/>
        </w:rPr>
      </w:pPr>
    </w:p>
    <w:p w14:paraId="6C02F0AF">
      <w:pPr>
        <w:pStyle w:val="29"/>
        <w:rPr>
          <w:color w:val="auto"/>
          <w:sz w:val="21"/>
          <w:szCs w:val="21"/>
        </w:rPr>
      </w:pPr>
    </w:p>
    <w:p w14:paraId="64944E13">
      <w:pPr>
        <w:pStyle w:val="29"/>
        <w:rPr>
          <w:color w:val="auto"/>
          <w:sz w:val="21"/>
          <w:szCs w:val="21"/>
        </w:rPr>
      </w:pPr>
    </w:p>
    <w:p w14:paraId="7F01B6B0">
      <w:pPr>
        <w:pStyle w:val="29"/>
        <w:rPr>
          <w:color w:val="auto"/>
          <w:sz w:val="21"/>
          <w:szCs w:val="21"/>
        </w:rPr>
      </w:pPr>
    </w:p>
    <w:p w14:paraId="5EBA4E57">
      <w:pPr>
        <w:pStyle w:val="29"/>
        <w:rPr>
          <w:color w:val="auto"/>
          <w:sz w:val="21"/>
          <w:szCs w:val="21"/>
        </w:rPr>
      </w:pPr>
    </w:p>
    <w:p w14:paraId="4C272AF5">
      <w:pPr>
        <w:pStyle w:val="29"/>
        <w:rPr>
          <w:color w:val="auto"/>
          <w:sz w:val="21"/>
          <w:szCs w:val="21"/>
        </w:rPr>
      </w:pPr>
    </w:p>
    <w:p w14:paraId="126941A2">
      <w:pPr>
        <w:pStyle w:val="29"/>
        <w:rPr>
          <w:color w:val="auto"/>
          <w:sz w:val="21"/>
          <w:szCs w:val="21"/>
        </w:rPr>
      </w:pPr>
    </w:p>
    <w:p w14:paraId="2ECE4E29">
      <w:pPr>
        <w:pStyle w:val="29"/>
        <w:rPr>
          <w:color w:val="auto"/>
          <w:sz w:val="21"/>
          <w:szCs w:val="21"/>
        </w:rPr>
      </w:pPr>
    </w:p>
    <w:p w14:paraId="76EAA3D4">
      <w:pPr>
        <w:pStyle w:val="29"/>
        <w:rPr>
          <w:color w:val="auto"/>
          <w:sz w:val="21"/>
          <w:szCs w:val="21"/>
        </w:rPr>
      </w:pPr>
    </w:p>
    <w:p w14:paraId="0B55BA29">
      <w:pPr>
        <w:pStyle w:val="29"/>
        <w:rPr>
          <w:color w:val="auto"/>
          <w:sz w:val="21"/>
          <w:szCs w:val="21"/>
        </w:rPr>
      </w:pPr>
    </w:p>
    <w:p w14:paraId="2996CA2B">
      <w:pPr>
        <w:pStyle w:val="29"/>
        <w:rPr>
          <w:color w:val="auto"/>
          <w:sz w:val="21"/>
          <w:szCs w:val="21"/>
        </w:rPr>
      </w:pPr>
    </w:p>
    <w:p w14:paraId="0B81AB31">
      <w:pPr>
        <w:pStyle w:val="29"/>
        <w:rPr>
          <w:color w:val="auto"/>
          <w:sz w:val="21"/>
          <w:szCs w:val="21"/>
        </w:rPr>
      </w:pPr>
    </w:p>
    <w:p w14:paraId="2FFBEF0E">
      <w:pPr>
        <w:pStyle w:val="29"/>
        <w:rPr>
          <w:color w:val="auto"/>
          <w:sz w:val="21"/>
          <w:szCs w:val="21"/>
        </w:rPr>
      </w:pPr>
    </w:p>
    <w:p w14:paraId="21FE02EC">
      <w:pPr>
        <w:pStyle w:val="44"/>
        <w:numPr>
          <w:ilvl w:val="0"/>
          <w:numId w:val="0"/>
        </w:numPr>
        <w:outlineLvl w:val="5"/>
        <w:rPr>
          <w:rFonts w:hint="eastAsia"/>
          <w:sz w:val="28"/>
          <w:szCs w:val="28"/>
        </w:rPr>
      </w:pPr>
      <w:bookmarkStart w:id="1852" w:name="_Toc23756"/>
      <w:bookmarkEnd w:id="1852"/>
      <w:bookmarkStart w:id="1853" w:name="_Toc32060"/>
      <w:bookmarkEnd w:id="1853"/>
      <w:bookmarkStart w:id="1854" w:name="_Toc54862353"/>
      <w:bookmarkEnd w:id="1854"/>
      <w:bookmarkStart w:id="1855" w:name="_Toc20171894"/>
      <w:bookmarkEnd w:id="1855"/>
      <w:r>
        <w:rPr>
          <w:rFonts w:hint="eastAsia"/>
          <w:sz w:val="28"/>
          <w:szCs w:val="28"/>
        </w:rPr>
        <w:t>附件2 发包人供应材料设备一览表</w:t>
      </w:r>
    </w:p>
    <w:tbl>
      <w:tblPr>
        <w:tblStyle w:val="25"/>
        <w:tblW w:w="91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52"/>
        <w:gridCol w:w="1165"/>
        <w:gridCol w:w="1126"/>
        <w:gridCol w:w="567"/>
        <w:gridCol w:w="686"/>
        <w:gridCol w:w="992"/>
        <w:gridCol w:w="1134"/>
        <w:gridCol w:w="1134"/>
        <w:gridCol w:w="1134"/>
        <w:gridCol w:w="709"/>
      </w:tblGrid>
      <w:tr w14:paraId="4546C9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52" w:type="dxa"/>
            <w:tcBorders>
              <w:top w:val="single" w:color="auto" w:sz="12" w:space="0"/>
              <w:bottom w:val="double" w:color="auto" w:sz="6" w:space="0"/>
            </w:tcBorders>
            <w:vAlign w:val="center"/>
          </w:tcPr>
          <w:p w14:paraId="19A2977D">
            <w:pPr>
              <w:pStyle w:val="8"/>
              <w:spacing w:line="360" w:lineRule="auto"/>
              <w:jc w:val="center"/>
              <w:rPr>
                <w:rFonts w:hint="eastAsia" w:ascii="仿宋_GB2312" w:hAnsi="宋体" w:eastAsia="仿宋_GB2312"/>
                <w:kern w:val="0"/>
                <w:sz w:val="21"/>
                <w:szCs w:val="21"/>
              </w:rPr>
            </w:pPr>
            <w:r>
              <w:rPr>
                <w:rFonts w:hint="eastAsia" w:ascii="仿宋_GB2312" w:hAnsi="宋体" w:eastAsia="仿宋_GB2312"/>
                <w:kern w:val="0"/>
                <w:sz w:val="21"/>
                <w:szCs w:val="21"/>
              </w:rPr>
              <w:t>序号</w:t>
            </w:r>
          </w:p>
        </w:tc>
        <w:tc>
          <w:tcPr>
            <w:tcW w:w="1165" w:type="dxa"/>
            <w:tcBorders>
              <w:top w:val="single" w:color="auto" w:sz="12" w:space="0"/>
              <w:bottom w:val="double" w:color="auto" w:sz="6" w:space="0"/>
            </w:tcBorders>
            <w:vAlign w:val="center"/>
          </w:tcPr>
          <w:p w14:paraId="66CDCCEC">
            <w:pPr>
              <w:pStyle w:val="8"/>
              <w:spacing w:line="360" w:lineRule="auto"/>
              <w:jc w:val="center"/>
              <w:rPr>
                <w:rFonts w:hint="eastAsia" w:ascii="仿宋_GB2312" w:hAnsi="宋体" w:eastAsia="仿宋_GB2312"/>
                <w:kern w:val="0"/>
                <w:sz w:val="21"/>
                <w:szCs w:val="21"/>
              </w:rPr>
            </w:pPr>
            <w:r>
              <w:rPr>
                <w:rFonts w:hint="eastAsia" w:ascii="仿宋_GB2312" w:hAnsi="宋体" w:eastAsia="仿宋_GB2312"/>
                <w:kern w:val="0"/>
                <w:sz w:val="21"/>
                <w:szCs w:val="21"/>
              </w:rPr>
              <w:t>材料、设备品种</w:t>
            </w:r>
          </w:p>
        </w:tc>
        <w:tc>
          <w:tcPr>
            <w:tcW w:w="1126" w:type="dxa"/>
            <w:tcBorders>
              <w:top w:val="single" w:color="auto" w:sz="12" w:space="0"/>
              <w:bottom w:val="double" w:color="auto" w:sz="6" w:space="0"/>
            </w:tcBorders>
            <w:vAlign w:val="center"/>
          </w:tcPr>
          <w:p w14:paraId="53704897">
            <w:pPr>
              <w:pStyle w:val="8"/>
              <w:spacing w:line="360" w:lineRule="auto"/>
              <w:jc w:val="center"/>
              <w:rPr>
                <w:rFonts w:hint="eastAsia" w:ascii="仿宋_GB2312" w:hAnsi="宋体" w:eastAsia="仿宋_GB2312"/>
                <w:kern w:val="0"/>
                <w:sz w:val="21"/>
                <w:szCs w:val="21"/>
              </w:rPr>
            </w:pPr>
            <w:r>
              <w:rPr>
                <w:rFonts w:hint="eastAsia" w:ascii="仿宋_GB2312" w:hAnsi="宋体" w:eastAsia="仿宋_GB2312"/>
                <w:kern w:val="0"/>
                <w:sz w:val="21"/>
                <w:szCs w:val="21"/>
              </w:rPr>
              <w:t>规格型号</w:t>
            </w:r>
          </w:p>
        </w:tc>
        <w:tc>
          <w:tcPr>
            <w:tcW w:w="567" w:type="dxa"/>
            <w:tcBorders>
              <w:top w:val="single" w:color="auto" w:sz="12" w:space="0"/>
              <w:bottom w:val="double" w:color="auto" w:sz="6" w:space="0"/>
            </w:tcBorders>
            <w:vAlign w:val="center"/>
          </w:tcPr>
          <w:p w14:paraId="25634F3A">
            <w:pPr>
              <w:pStyle w:val="8"/>
              <w:spacing w:line="360" w:lineRule="auto"/>
              <w:jc w:val="center"/>
              <w:rPr>
                <w:rFonts w:hint="eastAsia" w:ascii="仿宋_GB2312" w:hAnsi="宋体" w:eastAsia="仿宋_GB2312"/>
                <w:kern w:val="0"/>
                <w:sz w:val="21"/>
                <w:szCs w:val="21"/>
              </w:rPr>
            </w:pPr>
            <w:r>
              <w:rPr>
                <w:rFonts w:hint="eastAsia" w:ascii="仿宋_GB2312" w:hAnsi="宋体" w:eastAsia="仿宋_GB2312"/>
                <w:kern w:val="0"/>
                <w:sz w:val="21"/>
                <w:szCs w:val="21"/>
              </w:rPr>
              <w:t>单位</w:t>
            </w:r>
          </w:p>
        </w:tc>
        <w:tc>
          <w:tcPr>
            <w:tcW w:w="686" w:type="dxa"/>
            <w:tcBorders>
              <w:top w:val="single" w:color="auto" w:sz="12" w:space="0"/>
              <w:bottom w:val="double" w:color="auto" w:sz="6" w:space="0"/>
            </w:tcBorders>
            <w:vAlign w:val="center"/>
          </w:tcPr>
          <w:p w14:paraId="1E32C711">
            <w:pPr>
              <w:pStyle w:val="8"/>
              <w:spacing w:line="360" w:lineRule="auto"/>
              <w:jc w:val="center"/>
              <w:rPr>
                <w:rFonts w:hint="eastAsia" w:ascii="仿宋_GB2312" w:hAnsi="宋体" w:eastAsia="仿宋_GB2312"/>
                <w:kern w:val="0"/>
                <w:sz w:val="21"/>
                <w:szCs w:val="21"/>
              </w:rPr>
            </w:pPr>
            <w:r>
              <w:rPr>
                <w:rFonts w:hint="eastAsia" w:ascii="仿宋_GB2312" w:hAnsi="宋体" w:eastAsia="仿宋_GB2312"/>
                <w:kern w:val="0"/>
                <w:sz w:val="21"/>
                <w:szCs w:val="21"/>
              </w:rPr>
              <w:t>数量</w:t>
            </w:r>
          </w:p>
        </w:tc>
        <w:tc>
          <w:tcPr>
            <w:tcW w:w="992" w:type="dxa"/>
            <w:tcBorders>
              <w:top w:val="single" w:color="auto" w:sz="12" w:space="0"/>
              <w:bottom w:val="double" w:color="auto" w:sz="6" w:space="0"/>
            </w:tcBorders>
            <w:vAlign w:val="center"/>
          </w:tcPr>
          <w:p w14:paraId="2C5B1EA2">
            <w:pPr>
              <w:pStyle w:val="8"/>
              <w:spacing w:line="360" w:lineRule="auto"/>
              <w:jc w:val="center"/>
              <w:rPr>
                <w:rFonts w:hint="eastAsia" w:ascii="仿宋_GB2312" w:hAnsi="宋体" w:eastAsia="仿宋_GB2312"/>
                <w:kern w:val="0"/>
                <w:sz w:val="21"/>
                <w:szCs w:val="21"/>
              </w:rPr>
            </w:pPr>
            <w:r>
              <w:rPr>
                <w:rFonts w:hint="eastAsia" w:ascii="仿宋_GB2312" w:hAnsi="宋体" w:eastAsia="仿宋_GB2312"/>
                <w:kern w:val="0"/>
                <w:sz w:val="21"/>
                <w:szCs w:val="21"/>
              </w:rPr>
              <w:t>单价（元）</w:t>
            </w:r>
          </w:p>
        </w:tc>
        <w:tc>
          <w:tcPr>
            <w:tcW w:w="1134" w:type="dxa"/>
            <w:tcBorders>
              <w:top w:val="single" w:color="auto" w:sz="12" w:space="0"/>
              <w:bottom w:val="double" w:color="auto" w:sz="6" w:space="0"/>
            </w:tcBorders>
            <w:vAlign w:val="center"/>
          </w:tcPr>
          <w:p w14:paraId="319D04CA">
            <w:pPr>
              <w:pStyle w:val="8"/>
              <w:spacing w:line="360" w:lineRule="auto"/>
              <w:jc w:val="center"/>
              <w:rPr>
                <w:rFonts w:hint="eastAsia" w:ascii="仿宋_GB2312" w:hAnsi="宋体" w:eastAsia="仿宋_GB2312"/>
                <w:kern w:val="0"/>
                <w:sz w:val="21"/>
                <w:szCs w:val="21"/>
              </w:rPr>
            </w:pPr>
            <w:r>
              <w:rPr>
                <w:rFonts w:hint="eastAsia" w:ascii="仿宋_GB2312" w:hAnsi="宋体" w:eastAsia="仿宋_GB2312"/>
                <w:kern w:val="0"/>
                <w:sz w:val="21"/>
                <w:szCs w:val="21"/>
              </w:rPr>
              <w:t>质量等级</w:t>
            </w:r>
          </w:p>
        </w:tc>
        <w:tc>
          <w:tcPr>
            <w:tcW w:w="1134" w:type="dxa"/>
            <w:tcBorders>
              <w:top w:val="single" w:color="auto" w:sz="12" w:space="0"/>
              <w:bottom w:val="double" w:color="auto" w:sz="6" w:space="0"/>
            </w:tcBorders>
            <w:vAlign w:val="center"/>
          </w:tcPr>
          <w:p w14:paraId="2751FA32">
            <w:pPr>
              <w:pStyle w:val="8"/>
              <w:spacing w:line="360" w:lineRule="auto"/>
              <w:jc w:val="center"/>
              <w:rPr>
                <w:rFonts w:hint="eastAsia" w:ascii="仿宋_GB2312" w:hAnsi="宋体" w:eastAsia="仿宋_GB2312"/>
                <w:kern w:val="0"/>
                <w:sz w:val="21"/>
                <w:szCs w:val="21"/>
              </w:rPr>
            </w:pPr>
            <w:r>
              <w:rPr>
                <w:rFonts w:hint="eastAsia" w:ascii="仿宋_GB2312" w:hAnsi="宋体" w:eastAsia="仿宋_GB2312"/>
                <w:kern w:val="0"/>
                <w:sz w:val="21"/>
                <w:szCs w:val="21"/>
              </w:rPr>
              <w:t>供应时间</w:t>
            </w:r>
          </w:p>
        </w:tc>
        <w:tc>
          <w:tcPr>
            <w:tcW w:w="1134" w:type="dxa"/>
            <w:tcBorders>
              <w:top w:val="single" w:color="auto" w:sz="12" w:space="0"/>
              <w:bottom w:val="double" w:color="auto" w:sz="6" w:space="0"/>
            </w:tcBorders>
            <w:vAlign w:val="center"/>
          </w:tcPr>
          <w:p w14:paraId="36C17FA7">
            <w:pPr>
              <w:pStyle w:val="8"/>
              <w:spacing w:line="360" w:lineRule="auto"/>
              <w:jc w:val="center"/>
              <w:rPr>
                <w:rFonts w:hint="eastAsia" w:ascii="仿宋_GB2312" w:hAnsi="宋体" w:eastAsia="仿宋_GB2312"/>
                <w:kern w:val="0"/>
                <w:sz w:val="21"/>
                <w:szCs w:val="21"/>
              </w:rPr>
            </w:pPr>
            <w:r>
              <w:rPr>
                <w:rFonts w:hint="eastAsia" w:ascii="仿宋_GB2312" w:hAnsi="宋体" w:eastAsia="仿宋_GB2312"/>
                <w:kern w:val="0"/>
                <w:sz w:val="21"/>
                <w:szCs w:val="21"/>
              </w:rPr>
              <w:t>送达地点</w:t>
            </w:r>
          </w:p>
        </w:tc>
        <w:tc>
          <w:tcPr>
            <w:tcW w:w="709" w:type="dxa"/>
            <w:tcBorders>
              <w:top w:val="single" w:color="auto" w:sz="12" w:space="0"/>
              <w:bottom w:val="double" w:color="auto" w:sz="6" w:space="0"/>
            </w:tcBorders>
            <w:vAlign w:val="center"/>
          </w:tcPr>
          <w:p w14:paraId="38BAEB2F">
            <w:pPr>
              <w:pStyle w:val="8"/>
              <w:spacing w:line="360" w:lineRule="auto"/>
              <w:jc w:val="center"/>
              <w:rPr>
                <w:rFonts w:hint="eastAsia" w:ascii="仿宋_GB2312" w:hAnsi="宋体" w:eastAsia="仿宋_GB2312"/>
                <w:kern w:val="0"/>
                <w:sz w:val="21"/>
                <w:szCs w:val="21"/>
              </w:rPr>
            </w:pPr>
            <w:r>
              <w:rPr>
                <w:rFonts w:hint="eastAsia" w:ascii="仿宋_GB2312" w:hAnsi="宋体" w:eastAsia="仿宋_GB2312"/>
                <w:kern w:val="0"/>
                <w:sz w:val="21"/>
                <w:szCs w:val="21"/>
              </w:rPr>
              <w:t>备注</w:t>
            </w:r>
          </w:p>
        </w:tc>
      </w:tr>
      <w:tr w14:paraId="7AD39A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double" w:color="auto" w:sz="6" w:space="0"/>
              <w:bottom w:val="single" w:color="auto" w:sz="6" w:space="0"/>
            </w:tcBorders>
            <w:vAlign w:val="center"/>
          </w:tcPr>
          <w:p w14:paraId="1472F8D9">
            <w:pPr>
              <w:pStyle w:val="8"/>
              <w:spacing w:line="360" w:lineRule="auto"/>
              <w:rPr>
                <w:rFonts w:hint="eastAsia" w:ascii="仿宋_GB2312" w:hAnsi="宋体" w:eastAsia="仿宋_GB2312"/>
                <w:kern w:val="0"/>
                <w:sz w:val="21"/>
                <w:szCs w:val="21"/>
              </w:rPr>
            </w:pPr>
          </w:p>
        </w:tc>
        <w:tc>
          <w:tcPr>
            <w:tcW w:w="1165" w:type="dxa"/>
            <w:tcBorders>
              <w:top w:val="double" w:color="auto" w:sz="6" w:space="0"/>
              <w:bottom w:val="single" w:color="auto" w:sz="6" w:space="0"/>
            </w:tcBorders>
            <w:vAlign w:val="center"/>
          </w:tcPr>
          <w:p w14:paraId="7A00C005">
            <w:pPr>
              <w:pStyle w:val="8"/>
              <w:spacing w:line="360" w:lineRule="auto"/>
              <w:rPr>
                <w:rFonts w:hint="eastAsia" w:ascii="仿宋_GB2312" w:hAnsi="宋体" w:eastAsia="仿宋_GB2312"/>
                <w:kern w:val="0"/>
                <w:sz w:val="21"/>
                <w:szCs w:val="21"/>
              </w:rPr>
            </w:pPr>
          </w:p>
        </w:tc>
        <w:tc>
          <w:tcPr>
            <w:tcW w:w="1126" w:type="dxa"/>
            <w:tcBorders>
              <w:top w:val="double" w:color="auto" w:sz="6" w:space="0"/>
              <w:bottom w:val="single" w:color="auto" w:sz="6" w:space="0"/>
            </w:tcBorders>
            <w:vAlign w:val="center"/>
          </w:tcPr>
          <w:p w14:paraId="54149FC3">
            <w:pPr>
              <w:pStyle w:val="8"/>
              <w:spacing w:line="360" w:lineRule="auto"/>
              <w:rPr>
                <w:rFonts w:hint="eastAsia" w:ascii="仿宋_GB2312" w:hAnsi="宋体" w:eastAsia="仿宋_GB2312"/>
                <w:kern w:val="0"/>
                <w:sz w:val="21"/>
                <w:szCs w:val="21"/>
              </w:rPr>
            </w:pPr>
          </w:p>
        </w:tc>
        <w:tc>
          <w:tcPr>
            <w:tcW w:w="567" w:type="dxa"/>
            <w:tcBorders>
              <w:top w:val="double" w:color="auto" w:sz="6" w:space="0"/>
              <w:bottom w:val="single" w:color="auto" w:sz="6" w:space="0"/>
            </w:tcBorders>
            <w:vAlign w:val="center"/>
          </w:tcPr>
          <w:p w14:paraId="4D8BD791">
            <w:pPr>
              <w:pStyle w:val="8"/>
              <w:spacing w:line="360" w:lineRule="auto"/>
              <w:rPr>
                <w:rFonts w:hint="eastAsia" w:ascii="仿宋_GB2312" w:hAnsi="宋体" w:eastAsia="仿宋_GB2312"/>
                <w:kern w:val="0"/>
                <w:sz w:val="21"/>
                <w:szCs w:val="21"/>
              </w:rPr>
            </w:pPr>
          </w:p>
        </w:tc>
        <w:tc>
          <w:tcPr>
            <w:tcW w:w="686" w:type="dxa"/>
            <w:tcBorders>
              <w:top w:val="double" w:color="auto" w:sz="6" w:space="0"/>
              <w:bottom w:val="single" w:color="auto" w:sz="6" w:space="0"/>
            </w:tcBorders>
            <w:vAlign w:val="center"/>
          </w:tcPr>
          <w:p w14:paraId="1741FF70">
            <w:pPr>
              <w:pStyle w:val="8"/>
              <w:spacing w:line="360" w:lineRule="auto"/>
              <w:rPr>
                <w:rFonts w:hint="eastAsia" w:ascii="仿宋_GB2312" w:hAnsi="宋体" w:eastAsia="仿宋_GB2312"/>
                <w:kern w:val="0"/>
                <w:sz w:val="21"/>
                <w:szCs w:val="21"/>
              </w:rPr>
            </w:pPr>
          </w:p>
        </w:tc>
        <w:tc>
          <w:tcPr>
            <w:tcW w:w="992" w:type="dxa"/>
            <w:tcBorders>
              <w:top w:val="double" w:color="auto" w:sz="6" w:space="0"/>
              <w:bottom w:val="single" w:color="auto" w:sz="6" w:space="0"/>
            </w:tcBorders>
          </w:tcPr>
          <w:p w14:paraId="5F806A0E">
            <w:pPr>
              <w:pStyle w:val="8"/>
              <w:spacing w:line="360" w:lineRule="auto"/>
              <w:rPr>
                <w:rFonts w:hint="eastAsia" w:ascii="仿宋_GB2312" w:hAnsi="宋体" w:eastAsia="仿宋_GB2312"/>
                <w:kern w:val="0"/>
                <w:sz w:val="21"/>
                <w:szCs w:val="21"/>
              </w:rPr>
            </w:pPr>
          </w:p>
        </w:tc>
        <w:tc>
          <w:tcPr>
            <w:tcW w:w="1134" w:type="dxa"/>
            <w:tcBorders>
              <w:top w:val="double" w:color="auto" w:sz="6" w:space="0"/>
              <w:bottom w:val="single" w:color="auto" w:sz="6" w:space="0"/>
            </w:tcBorders>
            <w:vAlign w:val="center"/>
          </w:tcPr>
          <w:p w14:paraId="11C9FA94">
            <w:pPr>
              <w:pStyle w:val="8"/>
              <w:spacing w:line="360" w:lineRule="auto"/>
              <w:rPr>
                <w:rFonts w:hint="eastAsia" w:ascii="仿宋_GB2312" w:hAnsi="宋体" w:eastAsia="仿宋_GB2312"/>
                <w:kern w:val="0"/>
                <w:sz w:val="21"/>
                <w:szCs w:val="21"/>
              </w:rPr>
            </w:pPr>
          </w:p>
        </w:tc>
        <w:tc>
          <w:tcPr>
            <w:tcW w:w="1134" w:type="dxa"/>
            <w:tcBorders>
              <w:top w:val="double" w:color="auto" w:sz="6" w:space="0"/>
              <w:bottom w:val="single" w:color="auto" w:sz="6" w:space="0"/>
            </w:tcBorders>
            <w:vAlign w:val="center"/>
          </w:tcPr>
          <w:p w14:paraId="49690137">
            <w:pPr>
              <w:pStyle w:val="8"/>
              <w:spacing w:line="360" w:lineRule="auto"/>
              <w:rPr>
                <w:rFonts w:hint="eastAsia" w:ascii="仿宋_GB2312" w:hAnsi="宋体" w:eastAsia="仿宋_GB2312"/>
                <w:kern w:val="0"/>
                <w:sz w:val="21"/>
                <w:szCs w:val="21"/>
              </w:rPr>
            </w:pPr>
          </w:p>
        </w:tc>
        <w:tc>
          <w:tcPr>
            <w:tcW w:w="1134" w:type="dxa"/>
            <w:tcBorders>
              <w:top w:val="double" w:color="auto" w:sz="6" w:space="0"/>
              <w:bottom w:val="single" w:color="auto" w:sz="6" w:space="0"/>
            </w:tcBorders>
            <w:vAlign w:val="center"/>
          </w:tcPr>
          <w:p w14:paraId="6570432A">
            <w:pPr>
              <w:pStyle w:val="8"/>
              <w:spacing w:line="360" w:lineRule="auto"/>
              <w:rPr>
                <w:rFonts w:hint="eastAsia" w:ascii="仿宋_GB2312" w:hAnsi="宋体" w:eastAsia="仿宋_GB2312"/>
                <w:kern w:val="0"/>
                <w:sz w:val="21"/>
                <w:szCs w:val="21"/>
              </w:rPr>
            </w:pPr>
          </w:p>
        </w:tc>
        <w:tc>
          <w:tcPr>
            <w:tcW w:w="709" w:type="dxa"/>
            <w:tcBorders>
              <w:top w:val="double" w:color="auto" w:sz="6" w:space="0"/>
              <w:bottom w:val="single" w:color="auto" w:sz="6" w:space="0"/>
            </w:tcBorders>
            <w:vAlign w:val="center"/>
          </w:tcPr>
          <w:p w14:paraId="60CE1338">
            <w:pPr>
              <w:pStyle w:val="8"/>
              <w:spacing w:line="360" w:lineRule="auto"/>
              <w:rPr>
                <w:rFonts w:hint="eastAsia" w:ascii="仿宋_GB2312" w:hAnsi="宋体" w:eastAsia="仿宋_GB2312"/>
                <w:kern w:val="0"/>
                <w:sz w:val="21"/>
                <w:szCs w:val="21"/>
              </w:rPr>
            </w:pPr>
          </w:p>
        </w:tc>
      </w:tr>
      <w:tr w14:paraId="73978E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nil"/>
            </w:tcBorders>
            <w:vAlign w:val="center"/>
          </w:tcPr>
          <w:p w14:paraId="29CC7428">
            <w:pPr>
              <w:pStyle w:val="8"/>
              <w:spacing w:line="360" w:lineRule="auto"/>
              <w:rPr>
                <w:rFonts w:hint="eastAsia" w:ascii="仿宋_GB2312" w:hAnsi="宋体" w:eastAsia="仿宋_GB2312"/>
                <w:kern w:val="0"/>
                <w:sz w:val="21"/>
                <w:szCs w:val="21"/>
              </w:rPr>
            </w:pPr>
          </w:p>
        </w:tc>
        <w:tc>
          <w:tcPr>
            <w:tcW w:w="1165" w:type="dxa"/>
            <w:tcBorders>
              <w:top w:val="nil"/>
            </w:tcBorders>
            <w:vAlign w:val="center"/>
          </w:tcPr>
          <w:p w14:paraId="034708D0">
            <w:pPr>
              <w:pStyle w:val="8"/>
              <w:spacing w:line="360" w:lineRule="auto"/>
              <w:rPr>
                <w:rFonts w:hint="eastAsia" w:ascii="仿宋_GB2312" w:hAnsi="宋体" w:eastAsia="仿宋_GB2312"/>
                <w:kern w:val="0"/>
                <w:sz w:val="21"/>
                <w:szCs w:val="21"/>
              </w:rPr>
            </w:pPr>
          </w:p>
        </w:tc>
        <w:tc>
          <w:tcPr>
            <w:tcW w:w="1126" w:type="dxa"/>
            <w:tcBorders>
              <w:top w:val="nil"/>
            </w:tcBorders>
            <w:vAlign w:val="center"/>
          </w:tcPr>
          <w:p w14:paraId="37435452">
            <w:pPr>
              <w:pStyle w:val="8"/>
              <w:spacing w:line="360" w:lineRule="auto"/>
              <w:rPr>
                <w:rFonts w:hint="eastAsia" w:ascii="仿宋_GB2312" w:hAnsi="宋体" w:eastAsia="仿宋_GB2312"/>
                <w:kern w:val="0"/>
                <w:sz w:val="21"/>
                <w:szCs w:val="21"/>
              </w:rPr>
            </w:pPr>
          </w:p>
        </w:tc>
        <w:tc>
          <w:tcPr>
            <w:tcW w:w="567" w:type="dxa"/>
            <w:tcBorders>
              <w:top w:val="nil"/>
            </w:tcBorders>
            <w:vAlign w:val="center"/>
          </w:tcPr>
          <w:p w14:paraId="6D02155C">
            <w:pPr>
              <w:pStyle w:val="8"/>
              <w:spacing w:line="360" w:lineRule="auto"/>
              <w:rPr>
                <w:rFonts w:hint="eastAsia" w:ascii="仿宋_GB2312" w:hAnsi="宋体" w:eastAsia="仿宋_GB2312"/>
                <w:kern w:val="0"/>
                <w:sz w:val="21"/>
                <w:szCs w:val="21"/>
              </w:rPr>
            </w:pPr>
          </w:p>
        </w:tc>
        <w:tc>
          <w:tcPr>
            <w:tcW w:w="686" w:type="dxa"/>
            <w:tcBorders>
              <w:top w:val="nil"/>
            </w:tcBorders>
            <w:vAlign w:val="center"/>
          </w:tcPr>
          <w:p w14:paraId="0CCB80A5">
            <w:pPr>
              <w:pStyle w:val="8"/>
              <w:spacing w:line="360" w:lineRule="auto"/>
              <w:rPr>
                <w:rFonts w:hint="eastAsia" w:ascii="仿宋_GB2312" w:hAnsi="宋体" w:eastAsia="仿宋_GB2312"/>
                <w:kern w:val="0"/>
                <w:sz w:val="21"/>
                <w:szCs w:val="21"/>
              </w:rPr>
            </w:pPr>
          </w:p>
        </w:tc>
        <w:tc>
          <w:tcPr>
            <w:tcW w:w="992" w:type="dxa"/>
            <w:tcBorders>
              <w:top w:val="nil"/>
            </w:tcBorders>
          </w:tcPr>
          <w:p w14:paraId="6859A9DE">
            <w:pPr>
              <w:pStyle w:val="8"/>
              <w:spacing w:line="360" w:lineRule="auto"/>
              <w:rPr>
                <w:rFonts w:hint="eastAsia" w:ascii="仿宋_GB2312" w:hAnsi="宋体" w:eastAsia="仿宋_GB2312"/>
                <w:kern w:val="0"/>
                <w:sz w:val="21"/>
                <w:szCs w:val="21"/>
              </w:rPr>
            </w:pPr>
          </w:p>
        </w:tc>
        <w:tc>
          <w:tcPr>
            <w:tcW w:w="1134" w:type="dxa"/>
            <w:tcBorders>
              <w:top w:val="nil"/>
            </w:tcBorders>
            <w:vAlign w:val="center"/>
          </w:tcPr>
          <w:p w14:paraId="118C05D2">
            <w:pPr>
              <w:pStyle w:val="8"/>
              <w:spacing w:line="360" w:lineRule="auto"/>
              <w:rPr>
                <w:rFonts w:hint="eastAsia" w:ascii="仿宋_GB2312" w:hAnsi="宋体" w:eastAsia="仿宋_GB2312"/>
                <w:kern w:val="0"/>
                <w:sz w:val="21"/>
                <w:szCs w:val="21"/>
              </w:rPr>
            </w:pPr>
          </w:p>
        </w:tc>
        <w:tc>
          <w:tcPr>
            <w:tcW w:w="1134" w:type="dxa"/>
            <w:tcBorders>
              <w:top w:val="nil"/>
            </w:tcBorders>
            <w:vAlign w:val="center"/>
          </w:tcPr>
          <w:p w14:paraId="6431B723">
            <w:pPr>
              <w:pStyle w:val="8"/>
              <w:spacing w:line="360" w:lineRule="auto"/>
              <w:rPr>
                <w:rFonts w:hint="eastAsia" w:ascii="仿宋_GB2312" w:hAnsi="宋体" w:eastAsia="仿宋_GB2312"/>
                <w:kern w:val="0"/>
                <w:sz w:val="21"/>
                <w:szCs w:val="21"/>
              </w:rPr>
            </w:pPr>
          </w:p>
        </w:tc>
        <w:tc>
          <w:tcPr>
            <w:tcW w:w="1134" w:type="dxa"/>
            <w:tcBorders>
              <w:top w:val="nil"/>
            </w:tcBorders>
            <w:vAlign w:val="center"/>
          </w:tcPr>
          <w:p w14:paraId="028F1D46">
            <w:pPr>
              <w:pStyle w:val="8"/>
              <w:spacing w:line="360" w:lineRule="auto"/>
              <w:rPr>
                <w:rFonts w:hint="eastAsia" w:ascii="仿宋_GB2312" w:hAnsi="宋体" w:eastAsia="仿宋_GB2312"/>
                <w:kern w:val="0"/>
                <w:sz w:val="21"/>
                <w:szCs w:val="21"/>
              </w:rPr>
            </w:pPr>
          </w:p>
        </w:tc>
        <w:tc>
          <w:tcPr>
            <w:tcW w:w="709" w:type="dxa"/>
            <w:tcBorders>
              <w:top w:val="nil"/>
            </w:tcBorders>
            <w:vAlign w:val="center"/>
          </w:tcPr>
          <w:p w14:paraId="05F40F5D">
            <w:pPr>
              <w:pStyle w:val="8"/>
              <w:spacing w:line="360" w:lineRule="auto"/>
              <w:rPr>
                <w:rFonts w:hint="eastAsia" w:ascii="仿宋_GB2312" w:hAnsi="宋体" w:eastAsia="仿宋_GB2312"/>
                <w:kern w:val="0"/>
                <w:sz w:val="21"/>
                <w:szCs w:val="21"/>
              </w:rPr>
            </w:pPr>
          </w:p>
        </w:tc>
      </w:tr>
      <w:tr w14:paraId="404A0C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0E246E45">
            <w:pPr>
              <w:pStyle w:val="8"/>
              <w:spacing w:line="360" w:lineRule="auto"/>
              <w:rPr>
                <w:rFonts w:hint="eastAsia" w:ascii="仿宋_GB2312" w:hAnsi="宋体" w:eastAsia="仿宋_GB2312"/>
                <w:kern w:val="0"/>
                <w:sz w:val="21"/>
                <w:szCs w:val="21"/>
              </w:rPr>
            </w:pPr>
          </w:p>
        </w:tc>
        <w:tc>
          <w:tcPr>
            <w:tcW w:w="1165" w:type="dxa"/>
            <w:vAlign w:val="center"/>
          </w:tcPr>
          <w:p w14:paraId="0714BAB2">
            <w:pPr>
              <w:pStyle w:val="8"/>
              <w:spacing w:line="360" w:lineRule="auto"/>
              <w:rPr>
                <w:rFonts w:hint="eastAsia" w:ascii="仿宋_GB2312" w:hAnsi="宋体" w:eastAsia="仿宋_GB2312"/>
                <w:kern w:val="0"/>
                <w:sz w:val="21"/>
                <w:szCs w:val="21"/>
              </w:rPr>
            </w:pPr>
          </w:p>
        </w:tc>
        <w:tc>
          <w:tcPr>
            <w:tcW w:w="1126" w:type="dxa"/>
            <w:vAlign w:val="center"/>
          </w:tcPr>
          <w:p w14:paraId="114B9386">
            <w:pPr>
              <w:pStyle w:val="8"/>
              <w:spacing w:line="360" w:lineRule="auto"/>
              <w:rPr>
                <w:rFonts w:hint="eastAsia" w:ascii="仿宋_GB2312" w:hAnsi="宋体" w:eastAsia="仿宋_GB2312"/>
                <w:kern w:val="0"/>
                <w:sz w:val="21"/>
                <w:szCs w:val="21"/>
              </w:rPr>
            </w:pPr>
          </w:p>
        </w:tc>
        <w:tc>
          <w:tcPr>
            <w:tcW w:w="567" w:type="dxa"/>
            <w:vAlign w:val="center"/>
          </w:tcPr>
          <w:p w14:paraId="1DB2D891">
            <w:pPr>
              <w:pStyle w:val="8"/>
              <w:spacing w:line="360" w:lineRule="auto"/>
              <w:rPr>
                <w:rFonts w:hint="eastAsia" w:ascii="仿宋_GB2312" w:hAnsi="宋体" w:eastAsia="仿宋_GB2312"/>
                <w:kern w:val="0"/>
                <w:sz w:val="21"/>
                <w:szCs w:val="21"/>
              </w:rPr>
            </w:pPr>
          </w:p>
        </w:tc>
        <w:tc>
          <w:tcPr>
            <w:tcW w:w="686" w:type="dxa"/>
            <w:vAlign w:val="center"/>
          </w:tcPr>
          <w:p w14:paraId="6BC52809">
            <w:pPr>
              <w:pStyle w:val="8"/>
              <w:spacing w:line="360" w:lineRule="auto"/>
              <w:rPr>
                <w:rFonts w:hint="eastAsia" w:ascii="仿宋_GB2312" w:hAnsi="宋体" w:eastAsia="仿宋_GB2312"/>
                <w:kern w:val="0"/>
                <w:sz w:val="21"/>
                <w:szCs w:val="21"/>
              </w:rPr>
            </w:pPr>
          </w:p>
        </w:tc>
        <w:tc>
          <w:tcPr>
            <w:tcW w:w="992" w:type="dxa"/>
          </w:tcPr>
          <w:p w14:paraId="59EFC325">
            <w:pPr>
              <w:pStyle w:val="8"/>
              <w:spacing w:line="360" w:lineRule="auto"/>
              <w:rPr>
                <w:rFonts w:hint="eastAsia" w:ascii="仿宋_GB2312" w:hAnsi="宋体" w:eastAsia="仿宋_GB2312"/>
                <w:kern w:val="0"/>
                <w:sz w:val="21"/>
                <w:szCs w:val="21"/>
              </w:rPr>
            </w:pPr>
          </w:p>
        </w:tc>
        <w:tc>
          <w:tcPr>
            <w:tcW w:w="1134" w:type="dxa"/>
            <w:vAlign w:val="center"/>
          </w:tcPr>
          <w:p w14:paraId="0A70C2D4">
            <w:pPr>
              <w:pStyle w:val="8"/>
              <w:spacing w:line="360" w:lineRule="auto"/>
              <w:rPr>
                <w:rFonts w:hint="eastAsia" w:ascii="仿宋_GB2312" w:hAnsi="宋体" w:eastAsia="仿宋_GB2312"/>
                <w:kern w:val="0"/>
                <w:sz w:val="21"/>
                <w:szCs w:val="21"/>
              </w:rPr>
            </w:pPr>
          </w:p>
        </w:tc>
        <w:tc>
          <w:tcPr>
            <w:tcW w:w="1134" w:type="dxa"/>
            <w:vAlign w:val="center"/>
          </w:tcPr>
          <w:p w14:paraId="6A64155A">
            <w:pPr>
              <w:pStyle w:val="8"/>
              <w:spacing w:line="360" w:lineRule="auto"/>
              <w:rPr>
                <w:rFonts w:hint="eastAsia" w:ascii="仿宋_GB2312" w:hAnsi="宋体" w:eastAsia="仿宋_GB2312"/>
                <w:kern w:val="0"/>
                <w:sz w:val="21"/>
                <w:szCs w:val="21"/>
              </w:rPr>
            </w:pPr>
          </w:p>
        </w:tc>
        <w:tc>
          <w:tcPr>
            <w:tcW w:w="1134" w:type="dxa"/>
            <w:vAlign w:val="center"/>
          </w:tcPr>
          <w:p w14:paraId="14208463">
            <w:pPr>
              <w:pStyle w:val="8"/>
              <w:spacing w:line="360" w:lineRule="auto"/>
              <w:rPr>
                <w:rFonts w:hint="eastAsia" w:ascii="仿宋_GB2312" w:hAnsi="宋体" w:eastAsia="仿宋_GB2312"/>
                <w:kern w:val="0"/>
                <w:sz w:val="21"/>
                <w:szCs w:val="21"/>
              </w:rPr>
            </w:pPr>
          </w:p>
        </w:tc>
        <w:tc>
          <w:tcPr>
            <w:tcW w:w="709" w:type="dxa"/>
            <w:vAlign w:val="center"/>
          </w:tcPr>
          <w:p w14:paraId="03E6F1BC">
            <w:pPr>
              <w:pStyle w:val="8"/>
              <w:spacing w:line="360" w:lineRule="auto"/>
              <w:rPr>
                <w:rFonts w:hint="eastAsia" w:ascii="仿宋_GB2312" w:hAnsi="宋体" w:eastAsia="仿宋_GB2312"/>
                <w:kern w:val="0"/>
                <w:sz w:val="21"/>
                <w:szCs w:val="21"/>
              </w:rPr>
            </w:pPr>
          </w:p>
        </w:tc>
      </w:tr>
      <w:tr w14:paraId="3429A1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07D635F3">
            <w:pPr>
              <w:pStyle w:val="8"/>
              <w:spacing w:line="360" w:lineRule="auto"/>
              <w:rPr>
                <w:rFonts w:hint="eastAsia" w:ascii="仿宋_GB2312" w:hAnsi="宋体" w:eastAsia="仿宋_GB2312"/>
                <w:kern w:val="0"/>
                <w:sz w:val="21"/>
                <w:szCs w:val="21"/>
              </w:rPr>
            </w:pPr>
          </w:p>
        </w:tc>
        <w:tc>
          <w:tcPr>
            <w:tcW w:w="1165" w:type="dxa"/>
            <w:vAlign w:val="center"/>
          </w:tcPr>
          <w:p w14:paraId="6520C64B">
            <w:pPr>
              <w:pStyle w:val="8"/>
              <w:spacing w:line="360" w:lineRule="auto"/>
              <w:rPr>
                <w:rFonts w:hint="eastAsia" w:ascii="仿宋_GB2312" w:hAnsi="宋体" w:eastAsia="仿宋_GB2312"/>
                <w:kern w:val="0"/>
                <w:sz w:val="21"/>
                <w:szCs w:val="21"/>
              </w:rPr>
            </w:pPr>
          </w:p>
        </w:tc>
        <w:tc>
          <w:tcPr>
            <w:tcW w:w="1126" w:type="dxa"/>
            <w:vAlign w:val="center"/>
          </w:tcPr>
          <w:p w14:paraId="572484C9">
            <w:pPr>
              <w:pStyle w:val="8"/>
              <w:spacing w:line="360" w:lineRule="auto"/>
              <w:rPr>
                <w:rFonts w:hint="eastAsia" w:ascii="仿宋_GB2312" w:hAnsi="宋体" w:eastAsia="仿宋_GB2312"/>
                <w:kern w:val="0"/>
                <w:sz w:val="21"/>
                <w:szCs w:val="21"/>
              </w:rPr>
            </w:pPr>
          </w:p>
        </w:tc>
        <w:tc>
          <w:tcPr>
            <w:tcW w:w="567" w:type="dxa"/>
            <w:vAlign w:val="center"/>
          </w:tcPr>
          <w:p w14:paraId="1B37652A">
            <w:pPr>
              <w:pStyle w:val="8"/>
              <w:spacing w:line="360" w:lineRule="auto"/>
              <w:rPr>
                <w:rFonts w:hint="eastAsia" w:ascii="仿宋_GB2312" w:hAnsi="宋体" w:eastAsia="仿宋_GB2312"/>
                <w:kern w:val="0"/>
                <w:sz w:val="21"/>
                <w:szCs w:val="21"/>
              </w:rPr>
            </w:pPr>
          </w:p>
        </w:tc>
        <w:tc>
          <w:tcPr>
            <w:tcW w:w="686" w:type="dxa"/>
            <w:vAlign w:val="center"/>
          </w:tcPr>
          <w:p w14:paraId="58A8EC2D">
            <w:pPr>
              <w:pStyle w:val="8"/>
              <w:spacing w:line="360" w:lineRule="auto"/>
              <w:rPr>
                <w:rFonts w:hint="eastAsia" w:ascii="仿宋_GB2312" w:hAnsi="宋体" w:eastAsia="仿宋_GB2312"/>
                <w:kern w:val="0"/>
                <w:sz w:val="21"/>
                <w:szCs w:val="21"/>
              </w:rPr>
            </w:pPr>
          </w:p>
        </w:tc>
        <w:tc>
          <w:tcPr>
            <w:tcW w:w="992" w:type="dxa"/>
          </w:tcPr>
          <w:p w14:paraId="35B77A52">
            <w:pPr>
              <w:pStyle w:val="8"/>
              <w:spacing w:line="360" w:lineRule="auto"/>
              <w:rPr>
                <w:rFonts w:hint="eastAsia" w:ascii="仿宋_GB2312" w:hAnsi="宋体" w:eastAsia="仿宋_GB2312"/>
                <w:kern w:val="0"/>
                <w:sz w:val="21"/>
                <w:szCs w:val="21"/>
              </w:rPr>
            </w:pPr>
          </w:p>
        </w:tc>
        <w:tc>
          <w:tcPr>
            <w:tcW w:w="1134" w:type="dxa"/>
            <w:vAlign w:val="center"/>
          </w:tcPr>
          <w:p w14:paraId="3D17AA42">
            <w:pPr>
              <w:pStyle w:val="8"/>
              <w:spacing w:line="360" w:lineRule="auto"/>
              <w:rPr>
                <w:rFonts w:hint="eastAsia" w:ascii="仿宋_GB2312" w:hAnsi="宋体" w:eastAsia="仿宋_GB2312"/>
                <w:kern w:val="0"/>
                <w:sz w:val="21"/>
                <w:szCs w:val="21"/>
              </w:rPr>
            </w:pPr>
          </w:p>
        </w:tc>
        <w:tc>
          <w:tcPr>
            <w:tcW w:w="1134" w:type="dxa"/>
            <w:vAlign w:val="center"/>
          </w:tcPr>
          <w:p w14:paraId="257CB841">
            <w:pPr>
              <w:pStyle w:val="8"/>
              <w:spacing w:line="360" w:lineRule="auto"/>
              <w:rPr>
                <w:rFonts w:hint="eastAsia" w:ascii="仿宋_GB2312" w:hAnsi="宋体" w:eastAsia="仿宋_GB2312"/>
                <w:kern w:val="0"/>
                <w:sz w:val="21"/>
                <w:szCs w:val="21"/>
              </w:rPr>
            </w:pPr>
          </w:p>
        </w:tc>
        <w:tc>
          <w:tcPr>
            <w:tcW w:w="1134" w:type="dxa"/>
            <w:vAlign w:val="center"/>
          </w:tcPr>
          <w:p w14:paraId="38491230">
            <w:pPr>
              <w:pStyle w:val="8"/>
              <w:spacing w:line="360" w:lineRule="auto"/>
              <w:rPr>
                <w:rFonts w:hint="eastAsia" w:ascii="仿宋_GB2312" w:hAnsi="宋体" w:eastAsia="仿宋_GB2312"/>
                <w:kern w:val="0"/>
                <w:sz w:val="21"/>
                <w:szCs w:val="21"/>
              </w:rPr>
            </w:pPr>
          </w:p>
        </w:tc>
        <w:tc>
          <w:tcPr>
            <w:tcW w:w="709" w:type="dxa"/>
            <w:vAlign w:val="center"/>
          </w:tcPr>
          <w:p w14:paraId="75B138B0">
            <w:pPr>
              <w:pStyle w:val="8"/>
              <w:spacing w:line="360" w:lineRule="auto"/>
              <w:rPr>
                <w:rFonts w:hint="eastAsia" w:ascii="仿宋_GB2312" w:hAnsi="宋体" w:eastAsia="仿宋_GB2312"/>
                <w:kern w:val="0"/>
                <w:sz w:val="21"/>
                <w:szCs w:val="21"/>
              </w:rPr>
            </w:pPr>
          </w:p>
        </w:tc>
      </w:tr>
      <w:tr w14:paraId="634000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41DFBD98">
            <w:pPr>
              <w:pStyle w:val="8"/>
              <w:spacing w:line="360" w:lineRule="auto"/>
              <w:rPr>
                <w:rFonts w:hint="eastAsia" w:ascii="仿宋_GB2312" w:hAnsi="宋体" w:eastAsia="仿宋_GB2312"/>
                <w:kern w:val="0"/>
                <w:sz w:val="21"/>
                <w:szCs w:val="21"/>
              </w:rPr>
            </w:pPr>
          </w:p>
        </w:tc>
        <w:tc>
          <w:tcPr>
            <w:tcW w:w="1165" w:type="dxa"/>
            <w:vAlign w:val="center"/>
          </w:tcPr>
          <w:p w14:paraId="66151A37">
            <w:pPr>
              <w:pStyle w:val="8"/>
              <w:spacing w:line="360" w:lineRule="auto"/>
              <w:rPr>
                <w:rFonts w:hint="eastAsia" w:ascii="仿宋_GB2312" w:hAnsi="宋体" w:eastAsia="仿宋_GB2312"/>
                <w:kern w:val="0"/>
                <w:sz w:val="21"/>
                <w:szCs w:val="21"/>
              </w:rPr>
            </w:pPr>
          </w:p>
        </w:tc>
        <w:tc>
          <w:tcPr>
            <w:tcW w:w="1126" w:type="dxa"/>
            <w:vAlign w:val="center"/>
          </w:tcPr>
          <w:p w14:paraId="20B11469">
            <w:pPr>
              <w:pStyle w:val="8"/>
              <w:spacing w:line="360" w:lineRule="auto"/>
              <w:rPr>
                <w:rFonts w:hint="eastAsia" w:ascii="仿宋_GB2312" w:hAnsi="宋体" w:eastAsia="仿宋_GB2312"/>
                <w:kern w:val="0"/>
                <w:sz w:val="21"/>
                <w:szCs w:val="21"/>
              </w:rPr>
            </w:pPr>
          </w:p>
        </w:tc>
        <w:tc>
          <w:tcPr>
            <w:tcW w:w="567" w:type="dxa"/>
            <w:vAlign w:val="center"/>
          </w:tcPr>
          <w:p w14:paraId="20C0E495">
            <w:pPr>
              <w:pStyle w:val="8"/>
              <w:spacing w:line="360" w:lineRule="auto"/>
              <w:rPr>
                <w:rFonts w:hint="eastAsia" w:ascii="仿宋_GB2312" w:hAnsi="宋体" w:eastAsia="仿宋_GB2312"/>
                <w:kern w:val="0"/>
                <w:sz w:val="21"/>
                <w:szCs w:val="21"/>
              </w:rPr>
            </w:pPr>
          </w:p>
        </w:tc>
        <w:tc>
          <w:tcPr>
            <w:tcW w:w="686" w:type="dxa"/>
            <w:vAlign w:val="center"/>
          </w:tcPr>
          <w:p w14:paraId="31F55B83">
            <w:pPr>
              <w:pStyle w:val="8"/>
              <w:spacing w:line="360" w:lineRule="auto"/>
              <w:rPr>
                <w:rFonts w:hint="eastAsia" w:ascii="仿宋_GB2312" w:hAnsi="宋体" w:eastAsia="仿宋_GB2312"/>
                <w:kern w:val="0"/>
                <w:sz w:val="21"/>
                <w:szCs w:val="21"/>
              </w:rPr>
            </w:pPr>
          </w:p>
        </w:tc>
        <w:tc>
          <w:tcPr>
            <w:tcW w:w="992" w:type="dxa"/>
          </w:tcPr>
          <w:p w14:paraId="3A469D71">
            <w:pPr>
              <w:pStyle w:val="8"/>
              <w:spacing w:line="360" w:lineRule="auto"/>
              <w:rPr>
                <w:rFonts w:hint="eastAsia" w:ascii="仿宋_GB2312" w:hAnsi="宋体" w:eastAsia="仿宋_GB2312"/>
                <w:kern w:val="0"/>
                <w:sz w:val="21"/>
                <w:szCs w:val="21"/>
              </w:rPr>
            </w:pPr>
          </w:p>
        </w:tc>
        <w:tc>
          <w:tcPr>
            <w:tcW w:w="1134" w:type="dxa"/>
            <w:vAlign w:val="center"/>
          </w:tcPr>
          <w:p w14:paraId="751DEA4E">
            <w:pPr>
              <w:pStyle w:val="8"/>
              <w:spacing w:line="360" w:lineRule="auto"/>
              <w:rPr>
                <w:rFonts w:hint="eastAsia" w:ascii="仿宋_GB2312" w:hAnsi="宋体" w:eastAsia="仿宋_GB2312"/>
                <w:kern w:val="0"/>
                <w:sz w:val="21"/>
                <w:szCs w:val="21"/>
              </w:rPr>
            </w:pPr>
          </w:p>
        </w:tc>
        <w:tc>
          <w:tcPr>
            <w:tcW w:w="1134" w:type="dxa"/>
            <w:vAlign w:val="center"/>
          </w:tcPr>
          <w:p w14:paraId="5F5A67AB">
            <w:pPr>
              <w:pStyle w:val="8"/>
              <w:spacing w:line="360" w:lineRule="auto"/>
              <w:rPr>
                <w:rFonts w:hint="eastAsia" w:ascii="仿宋_GB2312" w:hAnsi="宋体" w:eastAsia="仿宋_GB2312"/>
                <w:kern w:val="0"/>
                <w:sz w:val="21"/>
                <w:szCs w:val="21"/>
              </w:rPr>
            </w:pPr>
          </w:p>
        </w:tc>
        <w:tc>
          <w:tcPr>
            <w:tcW w:w="1134" w:type="dxa"/>
            <w:vAlign w:val="center"/>
          </w:tcPr>
          <w:p w14:paraId="1BD97452">
            <w:pPr>
              <w:pStyle w:val="8"/>
              <w:spacing w:line="360" w:lineRule="auto"/>
              <w:rPr>
                <w:rFonts w:hint="eastAsia" w:ascii="仿宋_GB2312" w:hAnsi="宋体" w:eastAsia="仿宋_GB2312"/>
                <w:kern w:val="0"/>
                <w:sz w:val="21"/>
                <w:szCs w:val="21"/>
              </w:rPr>
            </w:pPr>
          </w:p>
        </w:tc>
        <w:tc>
          <w:tcPr>
            <w:tcW w:w="709" w:type="dxa"/>
            <w:vAlign w:val="center"/>
          </w:tcPr>
          <w:p w14:paraId="1F2B5A86">
            <w:pPr>
              <w:pStyle w:val="8"/>
              <w:spacing w:line="360" w:lineRule="auto"/>
              <w:rPr>
                <w:rFonts w:hint="eastAsia" w:ascii="仿宋_GB2312" w:hAnsi="宋体" w:eastAsia="仿宋_GB2312"/>
                <w:kern w:val="0"/>
                <w:sz w:val="21"/>
                <w:szCs w:val="21"/>
              </w:rPr>
            </w:pPr>
          </w:p>
        </w:tc>
      </w:tr>
      <w:tr w14:paraId="52E419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2F824890">
            <w:pPr>
              <w:pStyle w:val="8"/>
              <w:spacing w:line="360" w:lineRule="auto"/>
              <w:rPr>
                <w:rFonts w:hint="eastAsia" w:ascii="仿宋_GB2312" w:hAnsi="宋体" w:eastAsia="仿宋_GB2312"/>
                <w:kern w:val="0"/>
                <w:sz w:val="21"/>
                <w:szCs w:val="21"/>
              </w:rPr>
            </w:pPr>
          </w:p>
        </w:tc>
        <w:tc>
          <w:tcPr>
            <w:tcW w:w="1165" w:type="dxa"/>
            <w:vAlign w:val="center"/>
          </w:tcPr>
          <w:p w14:paraId="4C3CAFDD">
            <w:pPr>
              <w:pStyle w:val="8"/>
              <w:spacing w:line="360" w:lineRule="auto"/>
              <w:rPr>
                <w:rFonts w:hint="eastAsia" w:ascii="仿宋_GB2312" w:hAnsi="宋体" w:eastAsia="仿宋_GB2312"/>
                <w:kern w:val="0"/>
                <w:sz w:val="21"/>
                <w:szCs w:val="21"/>
              </w:rPr>
            </w:pPr>
          </w:p>
        </w:tc>
        <w:tc>
          <w:tcPr>
            <w:tcW w:w="1126" w:type="dxa"/>
            <w:vAlign w:val="center"/>
          </w:tcPr>
          <w:p w14:paraId="30F2396C">
            <w:pPr>
              <w:pStyle w:val="8"/>
              <w:spacing w:line="360" w:lineRule="auto"/>
              <w:rPr>
                <w:rFonts w:hint="eastAsia" w:ascii="仿宋_GB2312" w:hAnsi="宋体" w:eastAsia="仿宋_GB2312"/>
                <w:kern w:val="0"/>
                <w:sz w:val="21"/>
                <w:szCs w:val="21"/>
              </w:rPr>
            </w:pPr>
          </w:p>
        </w:tc>
        <w:tc>
          <w:tcPr>
            <w:tcW w:w="567" w:type="dxa"/>
            <w:vAlign w:val="center"/>
          </w:tcPr>
          <w:p w14:paraId="7A5EAC14">
            <w:pPr>
              <w:pStyle w:val="8"/>
              <w:spacing w:line="360" w:lineRule="auto"/>
              <w:rPr>
                <w:rFonts w:hint="eastAsia" w:ascii="仿宋_GB2312" w:hAnsi="宋体" w:eastAsia="仿宋_GB2312"/>
                <w:kern w:val="0"/>
                <w:sz w:val="21"/>
                <w:szCs w:val="21"/>
              </w:rPr>
            </w:pPr>
          </w:p>
        </w:tc>
        <w:tc>
          <w:tcPr>
            <w:tcW w:w="686" w:type="dxa"/>
            <w:vAlign w:val="center"/>
          </w:tcPr>
          <w:p w14:paraId="5BAF52D7">
            <w:pPr>
              <w:pStyle w:val="8"/>
              <w:spacing w:line="360" w:lineRule="auto"/>
              <w:rPr>
                <w:rFonts w:hint="eastAsia" w:ascii="仿宋_GB2312" w:hAnsi="宋体" w:eastAsia="仿宋_GB2312"/>
                <w:kern w:val="0"/>
                <w:sz w:val="21"/>
                <w:szCs w:val="21"/>
              </w:rPr>
            </w:pPr>
          </w:p>
        </w:tc>
        <w:tc>
          <w:tcPr>
            <w:tcW w:w="992" w:type="dxa"/>
          </w:tcPr>
          <w:p w14:paraId="05060DD0">
            <w:pPr>
              <w:pStyle w:val="8"/>
              <w:spacing w:line="360" w:lineRule="auto"/>
              <w:rPr>
                <w:rFonts w:hint="eastAsia" w:ascii="仿宋_GB2312" w:hAnsi="宋体" w:eastAsia="仿宋_GB2312"/>
                <w:kern w:val="0"/>
                <w:sz w:val="21"/>
                <w:szCs w:val="21"/>
              </w:rPr>
            </w:pPr>
          </w:p>
        </w:tc>
        <w:tc>
          <w:tcPr>
            <w:tcW w:w="1134" w:type="dxa"/>
            <w:vAlign w:val="center"/>
          </w:tcPr>
          <w:p w14:paraId="565321FC">
            <w:pPr>
              <w:pStyle w:val="8"/>
              <w:spacing w:line="360" w:lineRule="auto"/>
              <w:rPr>
                <w:rFonts w:hint="eastAsia" w:ascii="仿宋_GB2312" w:hAnsi="宋体" w:eastAsia="仿宋_GB2312"/>
                <w:kern w:val="0"/>
                <w:sz w:val="21"/>
                <w:szCs w:val="21"/>
              </w:rPr>
            </w:pPr>
          </w:p>
        </w:tc>
        <w:tc>
          <w:tcPr>
            <w:tcW w:w="1134" w:type="dxa"/>
            <w:vAlign w:val="center"/>
          </w:tcPr>
          <w:p w14:paraId="1D371D0B">
            <w:pPr>
              <w:pStyle w:val="8"/>
              <w:spacing w:line="360" w:lineRule="auto"/>
              <w:rPr>
                <w:rFonts w:hint="eastAsia" w:ascii="仿宋_GB2312" w:hAnsi="宋体" w:eastAsia="仿宋_GB2312"/>
                <w:kern w:val="0"/>
                <w:sz w:val="21"/>
                <w:szCs w:val="21"/>
              </w:rPr>
            </w:pPr>
          </w:p>
        </w:tc>
        <w:tc>
          <w:tcPr>
            <w:tcW w:w="1134" w:type="dxa"/>
            <w:vAlign w:val="center"/>
          </w:tcPr>
          <w:p w14:paraId="7A93F588">
            <w:pPr>
              <w:pStyle w:val="8"/>
              <w:spacing w:line="360" w:lineRule="auto"/>
              <w:rPr>
                <w:rFonts w:hint="eastAsia" w:ascii="仿宋_GB2312" w:hAnsi="宋体" w:eastAsia="仿宋_GB2312"/>
                <w:kern w:val="0"/>
                <w:sz w:val="21"/>
                <w:szCs w:val="21"/>
              </w:rPr>
            </w:pPr>
          </w:p>
        </w:tc>
        <w:tc>
          <w:tcPr>
            <w:tcW w:w="709" w:type="dxa"/>
            <w:vAlign w:val="center"/>
          </w:tcPr>
          <w:p w14:paraId="42CDCE4E">
            <w:pPr>
              <w:pStyle w:val="8"/>
              <w:spacing w:line="360" w:lineRule="auto"/>
              <w:rPr>
                <w:rFonts w:hint="eastAsia" w:ascii="仿宋_GB2312" w:hAnsi="宋体" w:eastAsia="仿宋_GB2312"/>
                <w:kern w:val="0"/>
                <w:sz w:val="21"/>
                <w:szCs w:val="21"/>
              </w:rPr>
            </w:pPr>
          </w:p>
        </w:tc>
      </w:tr>
      <w:tr w14:paraId="419064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2FEEA4AC">
            <w:pPr>
              <w:pStyle w:val="8"/>
              <w:spacing w:line="360" w:lineRule="auto"/>
              <w:rPr>
                <w:rFonts w:hint="eastAsia" w:ascii="仿宋_GB2312" w:hAnsi="宋体" w:eastAsia="仿宋_GB2312"/>
                <w:kern w:val="0"/>
                <w:sz w:val="21"/>
                <w:szCs w:val="21"/>
              </w:rPr>
            </w:pPr>
          </w:p>
        </w:tc>
        <w:tc>
          <w:tcPr>
            <w:tcW w:w="1165" w:type="dxa"/>
            <w:vAlign w:val="center"/>
          </w:tcPr>
          <w:p w14:paraId="781A4998">
            <w:pPr>
              <w:pStyle w:val="8"/>
              <w:spacing w:line="360" w:lineRule="auto"/>
              <w:rPr>
                <w:rFonts w:hint="eastAsia" w:ascii="仿宋_GB2312" w:hAnsi="宋体" w:eastAsia="仿宋_GB2312"/>
                <w:kern w:val="0"/>
                <w:sz w:val="21"/>
                <w:szCs w:val="21"/>
              </w:rPr>
            </w:pPr>
          </w:p>
        </w:tc>
        <w:tc>
          <w:tcPr>
            <w:tcW w:w="1126" w:type="dxa"/>
            <w:vAlign w:val="center"/>
          </w:tcPr>
          <w:p w14:paraId="65C1FC89">
            <w:pPr>
              <w:pStyle w:val="8"/>
              <w:spacing w:line="360" w:lineRule="auto"/>
              <w:rPr>
                <w:rFonts w:hint="eastAsia" w:ascii="仿宋_GB2312" w:hAnsi="宋体" w:eastAsia="仿宋_GB2312"/>
                <w:kern w:val="0"/>
                <w:sz w:val="21"/>
                <w:szCs w:val="21"/>
              </w:rPr>
            </w:pPr>
          </w:p>
        </w:tc>
        <w:tc>
          <w:tcPr>
            <w:tcW w:w="567" w:type="dxa"/>
            <w:vAlign w:val="center"/>
          </w:tcPr>
          <w:p w14:paraId="4569F558">
            <w:pPr>
              <w:pStyle w:val="8"/>
              <w:spacing w:line="360" w:lineRule="auto"/>
              <w:rPr>
                <w:rFonts w:hint="eastAsia" w:ascii="仿宋_GB2312" w:hAnsi="宋体" w:eastAsia="仿宋_GB2312"/>
                <w:kern w:val="0"/>
                <w:sz w:val="21"/>
                <w:szCs w:val="21"/>
              </w:rPr>
            </w:pPr>
          </w:p>
        </w:tc>
        <w:tc>
          <w:tcPr>
            <w:tcW w:w="686" w:type="dxa"/>
            <w:vAlign w:val="center"/>
          </w:tcPr>
          <w:p w14:paraId="168A028C">
            <w:pPr>
              <w:pStyle w:val="8"/>
              <w:spacing w:line="360" w:lineRule="auto"/>
              <w:rPr>
                <w:rFonts w:hint="eastAsia" w:ascii="仿宋_GB2312" w:hAnsi="宋体" w:eastAsia="仿宋_GB2312"/>
                <w:kern w:val="0"/>
                <w:sz w:val="21"/>
                <w:szCs w:val="21"/>
              </w:rPr>
            </w:pPr>
          </w:p>
        </w:tc>
        <w:tc>
          <w:tcPr>
            <w:tcW w:w="992" w:type="dxa"/>
          </w:tcPr>
          <w:p w14:paraId="3EB8D908">
            <w:pPr>
              <w:pStyle w:val="8"/>
              <w:spacing w:line="360" w:lineRule="auto"/>
              <w:rPr>
                <w:rFonts w:hint="eastAsia" w:ascii="仿宋_GB2312" w:hAnsi="宋体" w:eastAsia="仿宋_GB2312"/>
                <w:kern w:val="0"/>
                <w:sz w:val="21"/>
                <w:szCs w:val="21"/>
              </w:rPr>
            </w:pPr>
          </w:p>
        </w:tc>
        <w:tc>
          <w:tcPr>
            <w:tcW w:w="1134" w:type="dxa"/>
            <w:vAlign w:val="center"/>
          </w:tcPr>
          <w:p w14:paraId="6FC95EF8">
            <w:pPr>
              <w:pStyle w:val="8"/>
              <w:spacing w:line="360" w:lineRule="auto"/>
              <w:rPr>
                <w:rFonts w:hint="eastAsia" w:ascii="仿宋_GB2312" w:hAnsi="宋体" w:eastAsia="仿宋_GB2312"/>
                <w:kern w:val="0"/>
                <w:sz w:val="21"/>
                <w:szCs w:val="21"/>
              </w:rPr>
            </w:pPr>
          </w:p>
        </w:tc>
        <w:tc>
          <w:tcPr>
            <w:tcW w:w="1134" w:type="dxa"/>
            <w:vAlign w:val="center"/>
          </w:tcPr>
          <w:p w14:paraId="0B186612">
            <w:pPr>
              <w:pStyle w:val="8"/>
              <w:spacing w:line="360" w:lineRule="auto"/>
              <w:rPr>
                <w:rFonts w:hint="eastAsia" w:ascii="仿宋_GB2312" w:hAnsi="宋体" w:eastAsia="仿宋_GB2312"/>
                <w:kern w:val="0"/>
                <w:sz w:val="21"/>
                <w:szCs w:val="21"/>
              </w:rPr>
            </w:pPr>
          </w:p>
        </w:tc>
        <w:tc>
          <w:tcPr>
            <w:tcW w:w="1134" w:type="dxa"/>
            <w:vAlign w:val="center"/>
          </w:tcPr>
          <w:p w14:paraId="6796EC8E">
            <w:pPr>
              <w:pStyle w:val="8"/>
              <w:spacing w:line="360" w:lineRule="auto"/>
              <w:rPr>
                <w:rFonts w:hint="eastAsia" w:ascii="仿宋_GB2312" w:hAnsi="宋体" w:eastAsia="仿宋_GB2312"/>
                <w:kern w:val="0"/>
                <w:sz w:val="21"/>
                <w:szCs w:val="21"/>
              </w:rPr>
            </w:pPr>
          </w:p>
        </w:tc>
        <w:tc>
          <w:tcPr>
            <w:tcW w:w="709" w:type="dxa"/>
            <w:vAlign w:val="center"/>
          </w:tcPr>
          <w:p w14:paraId="4C962215">
            <w:pPr>
              <w:pStyle w:val="8"/>
              <w:spacing w:line="360" w:lineRule="auto"/>
              <w:rPr>
                <w:rFonts w:hint="eastAsia" w:ascii="仿宋_GB2312" w:hAnsi="宋体" w:eastAsia="仿宋_GB2312"/>
                <w:kern w:val="0"/>
                <w:sz w:val="21"/>
                <w:szCs w:val="21"/>
              </w:rPr>
            </w:pPr>
          </w:p>
        </w:tc>
      </w:tr>
      <w:tr w14:paraId="474857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61340255">
            <w:pPr>
              <w:pStyle w:val="8"/>
              <w:spacing w:line="360" w:lineRule="auto"/>
              <w:rPr>
                <w:rFonts w:hint="eastAsia" w:ascii="仿宋_GB2312" w:hAnsi="宋体" w:eastAsia="仿宋_GB2312"/>
                <w:kern w:val="0"/>
                <w:sz w:val="21"/>
                <w:szCs w:val="21"/>
              </w:rPr>
            </w:pPr>
          </w:p>
        </w:tc>
        <w:tc>
          <w:tcPr>
            <w:tcW w:w="1165" w:type="dxa"/>
            <w:vAlign w:val="center"/>
          </w:tcPr>
          <w:p w14:paraId="6A8FCC80">
            <w:pPr>
              <w:pStyle w:val="8"/>
              <w:spacing w:line="360" w:lineRule="auto"/>
              <w:rPr>
                <w:rFonts w:hint="eastAsia" w:ascii="仿宋_GB2312" w:hAnsi="宋体" w:eastAsia="仿宋_GB2312"/>
                <w:kern w:val="0"/>
                <w:sz w:val="21"/>
                <w:szCs w:val="21"/>
              </w:rPr>
            </w:pPr>
          </w:p>
        </w:tc>
        <w:tc>
          <w:tcPr>
            <w:tcW w:w="1126" w:type="dxa"/>
            <w:vAlign w:val="center"/>
          </w:tcPr>
          <w:p w14:paraId="0DD6FA81">
            <w:pPr>
              <w:pStyle w:val="8"/>
              <w:spacing w:line="360" w:lineRule="auto"/>
              <w:rPr>
                <w:rFonts w:hint="eastAsia" w:ascii="仿宋_GB2312" w:hAnsi="宋体" w:eastAsia="仿宋_GB2312"/>
                <w:kern w:val="0"/>
                <w:sz w:val="21"/>
                <w:szCs w:val="21"/>
              </w:rPr>
            </w:pPr>
          </w:p>
        </w:tc>
        <w:tc>
          <w:tcPr>
            <w:tcW w:w="567" w:type="dxa"/>
            <w:vAlign w:val="center"/>
          </w:tcPr>
          <w:p w14:paraId="517050B1">
            <w:pPr>
              <w:pStyle w:val="8"/>
              <w:spacing w:line="360" w:lineRule="auto"/>
              <w:rPr>
                <w:rFonts w:hint="eastAsia" w:ascii="仿宋_GB2312" w:hAnsi="宋体" w:eastAsia="仿宋_GB2312"/>
                <w:kern w:val="0"/>
                <w:sz w:val="21"/>
                <w:szCs w:val="21"/>
              </w:rPr>
            </w:pPr>
          </w:p>
        </w:tc>
        <w:tc>
          <w:tcPr>
            <w:tcW w:w="686" w:type="dxa"/>
            <w:vAlign w:val="center"/>
          </w:tcPr>
          <w:p w14:paraId="52EB84FC">
            <w:pPr>
              <w:pStyle w:val="8"/>
              <w:spacing w:line="360" w:lineRule="auto"/>
              <w:rPr>
                <w:rFonts w:hint="eastAsia" w:ascii="仿宋_GB2312" w:hAnsi="宋体" w:eastAsia="仿宋_GB2312"/>
                <w:kern w:val="0"/>
                <w:sz w:val="21"/>
                <w:szCs w:val="21"/>
              </w:rPr>
            </w:pPr>
          </w:p>
        </w:tc>
        <w:tc>
          <w:tcPr>
            <w:tcW w:w="992" w:type="dxa"/>
          </w:tcPr>
          <w:p w14:paraId="1862A83D">
            <w:pPr>
              <w:pStyle w:val="8"/>
              <w:spacing w:line="360" w:lineRule="auto"/>
              <w:rPr>
                <w:rFonts w:hint="eastAsia" w:ascii="仿宋_GB2312" w:hAnsi="宋体" w:eastAsia="仿宋_GB2312"/>
                <w:kern w:val="0"/>
                <w:sz w:val="21"/>
                <w:szCs w:val="21"/>
              </w:rPr>
            </w:pPr>
          </w:p>
        </w:tc>
        <w:tc>
          <w:tcPr>
            <w:tcW w:w="1134" w:type="dxa"/>
            <w:vAlign w:val="center"/>
          </w:tcPr>
          <w:p w14:paraId="5A355E1F">
            <w:pPr>
              <w:pStyle w:val="8"/>
              <w:spacing w:line="360" w:lineRule="auto"/>
              <w:rPr>
                <w:rFonts w:hint="eastAsia" w:ascii="仿宋_GB2312" w:hAnsi="宋体" w:eastAsia="仿宋_GB2312"/>
                <w:kern w:val="0"/>
                <w:sz w:val="21"/>
                <w:szCs w:val="21"/>
              </w:rPr>
            </w:pPr>
          </w:p>
        </w:tc>
        <w:tc>
          <w:tcPr>
            <w:tcW w:w="1134" w:type="dxa"/>
            <w:vAlign w:val="center"/>
          </w:tcPr>
          <w:p w14:paraId="65763AE3">
            <w:pPr>
              <w:pStyle w:val="8"/>
              <w:spacing w:line="360" w:lineRule="auto"/>
              <w:rPr>
                <w:rFonts w:hint="eastAsia" w:ascii="仿宋_GB2312" w:hAnsi="宋体" w:eastAsia="仿宋_GB2312"/>
                <w:kern w:val="0"/>
                <w:sz w:val="21"/>
                <w:szCs w:val="21"/>
              </w:rPr>
            </w:pPr>
          </w:p>
        </w:tc>
        <w:tc>
          <w:tcPr>
            <w:tcW w:w="1134" w:type="dxa"/>
            <w:vAlign w:val="center"/>
          </w:tcPr>
          <w:p w14:paraId="6A77E78B">
            <w:pPr>
              <w:pStyle w:val="8"/>
              <w:spacing w:line="360" w:lineRule="auto"/>
              <w:rPr>
                <w:rFonts w:hint="eastAsia" w:ascii="仿宋_GB2312" w:hAnsi="宋体" w:eastAsia="仿宋_GB2312"/>
                <w:kern w:val="0"/>
                <w:sz w:val="21"/>
                <w:szCs w:val="21"/>
              </w:rPr>
            </w:pPr>
          </w:p>
        </w:tc>
        <w:tc>
          <w:tcPr>
            <w:tcW w:w="709" w:type="dxa"/>
            <w:vAlign w:val="center"/>
          </w:tcPr>
          <w:p w14:paraId="74A22777">
            <w:pPr>
              <w:pStyle w:val="8"/>
              <w:spacing w:line="360" w:lineRule="auto"/>
              <w:rPr>
                <w:rFonts w:hint="eastAsia" w:ascii="仿宋_GB2312" w:hAnsi="宋体" w:eastAsia="仿宋_GB2312"/>
                <w:kern w:val="0"/>
                <w:sz w:val="21"/>
                <w:szCs w:val="21"/>
              </w:rPr>
            </w:pPr>
          </w:p>
        </w:tc>
      </w:tr>
      <w:tr w14:paraId="04B908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641C1938">
            <w:pPr>
              <w:spacing w:line="360" w:lineRule="auto"/>
              <w:rPr>
                <w:rFonts w:ascii="仿宋_GB2312" w:eastAsia="仿宋_GB2312"/>
              </w:rPr>
            </w:pPr>
          </w:p>
        </w:tc>
        <w:tc>
          <w:tcPr>
            <w:tcW w:w="1165" w:type="dxa"/>
            <w:vAlign w:val="center"/>
          </w:tcPr>
          <w:p w14:paraId="61807F08">
            <w:pPr>
              <w:spacing w:line="360" w:lineRule="auto"/>
              <w:rPr>
                <w:rFonts w:ascii="仿宋_GB2312" w:eastAsia="仿宋_GB2312"/>
              </w:rPr>
            </w:pPr>
          </w:p>
        </w:tc>
        <w:tc>
          <w:tcPr>
            <w:tcW w:w="1126" w:type="dxa"/>
            <w:vAlign w:val="center"/>
          </w:tcPr>
          <w:p w14:paraId="23B708B3">
            <w:pPr>
              <w:spacing w:line="360" w:lineRule="auto"/>
              <w:rPr>
                <w:rFonts w:ascii="仿宋_GB2312" w:eastAsia="仿宋_GB2312"/>
              </w:rPr>
            </w:pPr>
          </w:p>
        </w:tc>
        <w:tc>
          <w:tcPr>
            <w:tcW w:w="567" w:type="dxa"/>
            <w:vAlign w:val="center"/>
          </w:tcPr>
          <w:p w14:paraId="2658C47B">
            <w:pPr>
              <w:spacing w:line="360" w:lineRule="auto"/>
              <w:rPr>
                <w:rFonts w:ascii="仿宋_GB2312" w:eastAsia="仿宋_GB2312"/>
              </w:rPr>
            </w:pPr>
          </w:p>
        </w:tc>
        <w:tc>
          <w:tcPr>
            <w:tcW w:w="686" w:type="dxa"/>
            <w:vAlign w:val="center"/>
          </w:tcPr>
          <w:p w14:paraId="1F5EFA9F">
            <w:pPr>
              <w:spacing w:line="360" w:lineRule="auto"/>
              <w:rPr>
                <w:rFonts w:ascii="仿宋_GB2312" w:eastAsia="仿宋_GB2312"/>
              </w:rPr>
            </w:pPr>
          </w:p>
        </w:tc>
        <w:tc>
          <w:tcPr>
            <w:tcW w:w="992" w:type="dxa"/>
          </w:tcPr>
          <w:p w14:paraId="75C0E265">
            <w:pPr>
              <w:spacing w:line="360" w:lineRule="auto"/>
              <w:rPr>
                <w:rFonts w:ascii="仿宋_GB2312" w:eastAsia="仿宋_GB2312"/>
              </w:rPr>
            </w:pPr>
          </w:p>
        </w:tc>
        <w:tc>
          <w:tcPr>
            <w:tcW w:w="1134" w:type="dxa"/>
            <w:vAlign w:val="center"/>
          </w:tcPr>
          <w:p w14:paraId="5042655B">
            <w:pPr>
              <w:spacing w:line="360" w:lineRule="auto"/>
              <w:rPr>
                <w:rFonts w:ascii="仿宋_GB2312" w:eastAsia="仿宋_GB2312"/>
              </w:rPr>
            </w:pPr>
          </w:p>
        </w:tc>
        <w:tc>
          <w:tcPr>
            <w:tcW w:w="1134" w:type="dxa"/>
            <w:vAlign w:val="center"/>
          </w:tcPr>
          <w:p w14:paraId="2B33B84F">
            <w:pPr>
              <w:spacing w:line="360" w:lineRule="auto"/>
              <w:rPr>
                <w:rFonts w:ascii="仿宋_GB2312" w:eastAsia="仿宋_GB2312"/>
              </w:rPr>
            </w:pPr>
          </w:p>
        </w:tc>
        <w:tc>
          <w:tcPr>
            <w:tcW w:w="1134" w:type="dxa"/>
            <w:vAlign w:val="center"/>
          </w:tcPr>
          <w:p w14:paraId="4502A754">
            <w:pPr>
              <w:spacing w:line="360" w:lineRule="auto"/>
              <w:rPr>
                <w:rFonts w:ascii="仿宋_GB2312" w:eastAsia="仿宋_GB2312"/>
              </w:rPr>
            </w:pPr>
          </w:p>
        </w:tc>
        <w:tc>
          <w:tcPr>
            <w:tcW w:w="709" w:type="dxa"/>
            <w:vAlign w:val="center"/>
          </w:tcPr>
          <w:p w14:paraId="4E72CCAE">
            <w:pPr>
              <w:spacing w:line="360" w:lineRule="auto"/>
              <w:rPr>
                <w:rFonts w:ascii="仿宋_GB2312" w:eastAsia="仿宋_GB2312"/>
              </w:rPr>
            </w:pPr>
          </w:p>
        </w:tc>
      </w:tr>
      <w:tr w14:paraId="163E2D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31A98322">
            <w:pPr>
              <w:pStyle w:val="8"/>
              <w:spacing w:line="360" w:lineRule="auto"/>
              <w:rPr>
                <w:rFonts w:hint="eastAsia" w:ascii="仿宋_GB2312" w:hAnsi="宋体" w:eastAsia="仿宋_GB2312"/>
                <w:kern w:val="0"/>
                <w:sz w:val="21"/>
                <w:szCs w:val="21"/>
              </w:rPr>
            </w:pPr>
          </w:p>
        </w:tc>
        <w:tc>
          <w:tcPr>
            <w:tcW w:w="1165" w:type="dxa"/>
            <w:vAlign w:val="center"/>
          </w:tcPr>
          <w:p w14:paraId="24A9FAE5">
            <w:pPr>
              <w:pStyle w:val="8"/>
              <w:spacing w:line="360" w:lineRule="auto"/>
              <w:rPr>
                <w:rFonts w:hint="eastAsia" w:ascii="仿宋_GB2312" w:hAnsi="宋体" w:eastAsia="仿宋_GB2312"/>
                <w:kern w:val="0"/>
                <w:sz w:val="21"/>
                <w:szCs w:val="21"/>
              </w:rPr>
            </w:pPr>
          </w:p>
        </w:tc>
        <w:tc>
          <w:tcPr>
            <w:tcW w:w="1126" w:type="dxa"/>
            <w:vAlign w:val="center"/>
          </w:tcPr>
          <w:p w14:paraId="3DDB5EF6">
            <w:pPr>
              <w:pStyle w:val="8"/>
              <w:spacing w:line="360" w:lineRule="auto"/>
              <w:rPr>
                <w:rFonts w:hint="eastAsia" w:ascii="仿宋_GB2312" w:hAnsi="宋体" w:eastAsia="仿宋_GB2312"/>
                <w:kern w:val="0"/>
                <w:sz w:val="21"/>
                <w:szCs w:val="21"/>
              </w:rPr>
            </w:pPr>
          </w:p>
        </w:tc>
        <w:tc>
          <w:tcPr>
            <w:tcW w:w="567" w:type="dxa"/>
            <w:vAlign w:val="center"/>
          </w:tcPr>
          <w:p w14:paraId="238AACAB">
            <w:pPr>
              <w:pStyle w:val="8"/>
              <w:spacing w:line="360" w:lineRule="auto"/>
              <w:rPr>
                <w:rFonts w:hint="eastAsia" w:ascii="仿宋_GB2312" w:hAnsi="宋体" w:eastAsia="仿宋_GB2312"/>
                <w:kern w:val="0"/>
                <w:sz w:val="21"/>
                <w:szCs w:val="21"/>
              </w:rPr>
            </w:pPr>
          </w:p>
        </w:tc>
        <w:tc>
          <w:tcPr>
            <w:tcW w:w="686" w:type="dxa"/>
            <w:vAlign w:val="center"/>
          </w:tcPr>
          <w:p w14:paraId="64489416">
            <w:pPr>
              <w:pStyle w:val="8"/>
              <w:spacing w:line="360" w:lineRule="auto"/>
              <w:rPr>
                <w:rFonts w:hint="eastAsia" w:ascii="仿宋_GB2312" w:hAnsi="宋体" w:eastAsia="仿宋_GB2312"/>
                <w:kern w:val="0"/>
                <w:sz w:val="21"/>
                <w:szCs w:val="21"/>
              </w:rPr>
            </w:pPr>
          </w:p>
        </w:tc>
        <w:tc>
          <w:tcPr>
            <w:tcW w:w="992" w:type="dxa"/>
          </w:tcPr>
          <w:p w14:paraId="68AFAE7B">
            <w:pPr>
              <w:pStyle w:val="8"/>
              <w:spacing w:line="360" w:lineRule="auto"/>
              <w:rPr>
                <w:rFonts w:hint="eastAsia" w:ascii="仿宋_GB2312" w:hAnsi="宋体" w:eastAsia="仿宋_GB2312"/>
                <w:kern w:val="0"/>
                <w:sz w:val="21"/>
                <w:szCs w:val="21"/>
              </w:rPr>
            </w:pPr>
          </w:p>
        </w:tc>
        <w:tc>
          <w:tcPr>
            <w:tcW w:w="1134" w:type="dxa"/>
            <w:vAlign w:val="center"/>
          </w:tcPr>
          <w:p w14:paraId="30A38018">
            <w:pPr>
              <w:pStyle w:val="8"/>
              <w:spacing w:line="360" w:lineRule="auto"/>
              <w:rPr>
                <w:rFonts w:hint="eastAsia" w:ascii="仿宋_GB2312" w:hAnsi="宋体" w:eastAsia="仿宋_GB2312"/>
                <w:kern w:val="0"/>
                <w:sz w:val="21"/>
                <w:szCs w:val="21"/>
              </w:rPr>
            </w:pPr>
          </w:p>
        </w:tc>
        <w:tc>
          <w:tcPr>
            <w:tcW w:w="1134" w:type="dxa"/>
            <w:vAlign w:val="center"/>
          </w:tcPr>
          <w:p w14:paraId="73DE7605">
            <w:pPr>
              <w:pStyle w:val="8"/>
              <w:spacing w:line="360" w:lineRule="auto"/>
              <w:rPr>
                <w:rFonts w:hint="eastAsia" w:ascii="仿宋_GB2312" w:hAnsi="宋体" w:eastAsia="仿宋_GB2312"/>
                <w:kern w:val="0"/>
                <w:sz w:val="21"/>
                <w:szCs w:val="21"/>
              </w:rPr>
            </w:pPr>
          </w:p>
        </w:tc>
        <w:tc>
          <w:tcPr>
            <w:tcW w:w="1134" w:type="dxa"/>
            <w:vAlign w:val="center"/>
          </w:tcPr>
          <w:p w14:paraId="2CA251F6">
            <w:pPr>
              <w:pStyle w:val="8"/>
              <w:spacing w:line="360" w:lineRule="auto"/>
              <w:rPr>
                <w:rFonts w:hint="eastAsia" w:ascii="仿宋_GB2312" w:hAnsi="宋体" w:eastAsia="仿宋_GB2312"/>
                <w:kern w:val="0"/>
                <w:sz w:val="21"/>
                <w:szCs w:val="21"/>
              </w:rPr>
            </w:pPr>
          </w:p>
        </w:tc>
        <w:tc>
          <w:tcPr>
            <w:tcW w:w="709" w:type="dxa"/>
            <w:vAlign w:val="center"/>
          </w:tcPr>
          <w:p w14:paraId="19BCB11C">
            <w:pPr>
              <w:pStyle w:val="8"/>
              <w:spacing w:line="360" w:lineRule="auto"/>
              <w:rPr>
                <w:rFonts w:hint="eastAsia" w:ascii="仿宋_GB2312" w:hAnsi="宋体" w:eastAsia="仿宋_GB2312"/>
                <w:kern w:val="0"/>
                <w:sz w:val="21"/>
                <w:szCs w:val="21"/>
              </w:rPr>
            </w:pPr>
          </w:p>
        </w:tc>
      </w:tr>
      <w:tr w14:paraId="030356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5517FBB2">
            <w:pPr>
              <w:spacing w:line="360" w:lineRule="auto"/>
              <w:rPr>
                <w:rFonts w:ascii="仿宋_GB2312" w:eastAsia="仿宋_GB2312"/>
              </w:rPr>
            </w:pPr>
          </w:p>
        </w:tc>
        <w:tc>
          <w:tcPr>
            <w:tcW w:w="1165" w:type="dxa"/>
            <w:vAlign w:val="center"/>
          </w:tcPr>
          <w:p w14:paraId="3908155C">
            <w:pPr>
              <w:spacing w:line="360" w:lineRule="auto"/>
              <w:rPr>
                <w:rFonts w:ascii="仿宋_GB2312" w:eastAsia="仿宋_GB2312"/>
              </w:rPr>
            </w:pPr>
          </w:p>
        </w:tc>
        <w:tc>
          <w:tcPr>
            <w:tcW w:w="1126" w:type="dxa"/>
            <w:vAlign w:val="center"/>
          </w:tcPr>
          <w:p w14:paraId="5224A1A4">
            <w:pPr>
              <w:spacing w:line="360" w:lineRule="auto"/>
              <w:rPr>
                <w:rFonts w:ascii="仿宋_GB2312" w:eastAsia="仿宋_GB2312"/>
              </w:rPr>
            </w:pPr>
          </w:p>
        </w:tc>
        <w:tc>
          <w:tcPr>
            <w:tcW w:w="567" w:type="dxa"/>
            <w:vAlign w:val="center"/>
          </w:tcPr>
          <w:p w14:paraId="4A70DE99">
            <w:pPr>
              <w:spacing w:line="360" w:lineRule="auto"/>
              <w:rPr>
                <w:rFonts w:ascii="仿宋_GB2312" w:eastAsia="仿宋_GB2312"/>
              </w:rPr>
            </w:pPr>
          </w:p>
        </w:tc>
        <w:tc>
          <w:tcPr>
            <w:tcW w:w="686" w:type="dxa"/>
            <w:vAlign w:val="center"/>
          </w:tcPr>
          <w:p w14:paraId="43620AE2">
            <w:pPr>
              <w:spacing w:line="360" w:lineRule="auto"/>
              <w:rPr>
                <w:rFonts w:ascii="仿宋_GB2312" w:eastAsia="仿宋_GB2312"/>
              </w:rPr>
            </w:pPr>
          </w:p>
        </w:tc>
        <w:tc>
          <w:tcPr>
            <w:tcW w:w="992" w:type="dxa"/>
          </w:tcPr>
          <w:p w14:paraId="03618042">
            <w:pPr>
              <w:spacing w:line="360" w:lineRule="auto"/>
              <w:rPr>
                <w:rFonts w:ascii="仿宋_GB2312" w:eastAsia="仿宋_GB2312"/>
              </w:rPr>
            </w:pPr>
          </w:p>
        </w:tc>
        <w:tc>
          <w:tcPr>
            <w:tcW w:w="1134" w:type="dxa"/>
            <w:vAlign w:val="center"/>
          </w:tcPr>
          <w:p w14:paraId="45AC00A0">
            <w:pPr>
              <w:spacing w:line="360" w:lineRule="auto"/>
              <w:rPr>
                <w:rFonts w:ascii="仿宋_GB2312" w:eastAsia="仿宋_GB2312"/>
              </w:rPr>
            </w:pPr>
          </w:p>
        </w:tc>
        <w:tc>
          <w:tcPr>
            <w:tcW w:w="1134" w:type="dxa"/>
            <w:vAlign w:val="center"/>
          </w:tcPr>
          <w:p w14:paraId="082862D2">
            <w:pPr>
              <w:spacing w:line="360" w:lineRule="auto"/>
              <w:rPr>
                <w:rFonts w:ascii="仿宋_GB2312" w:eastAsia="仿宋_GB2312"/>
              </w:rPr>
            </w:pPr>
          </w:p>
        </w:tc>
        <w:tc>
          <w:tcPr>
            <w:tcW w:w="1134" w:type="dxa"/>
            <w:vAlign w:val="center"/>
          </w:tcPr>
          <w:p w14:paraId="217FEEC7">
            <w:pPr>
              <w:spacing w:line="360" w:lineRule="auto"/>
              <w:rPr>
                <w:rFonts w:ascii="仿宋_GB2312" w:eastAsia="仿宋_GB2312"/>
              </w:rPr>
            </w:pPr>
          </w:p>
        </w:tc>
        <w:tc>
          <w:tcPr>
            <w:tcW w:w="709" w:type="dxa"/>
            <w:vAlign w:val="center"/>
          </w:tcPr>
          <w:p w14:paraId="570EEDE2">
            <w:pPr>
              <w:spacing w:line="360" w:lineRule="auto"/>
              <w:rPr>
                <w:rFonts w:ascii="仿宋_GB2312" w:eastAsia="仿宋_GB2312"/>
              </w:rPr>
            </w:pPr>
          </w:p>
        </w:tc>
      </w:tr>
      <w:tr w14:paraId="549A9C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02D41801">
            <w:pPr>
              <w:spacing w:line="360" w:lineRule="auto"/>
              <w:rPr>
                <w:rFonts w:ascii="仿宋_GB2312" w:eastAsia="仿宋_GB2312"/>
              </w:rPr>
            </w:pPr>
          </w:p>
        </w:tc>
        <w:tc>
          <w:tcPr>
            <w:tcW w:w="1165" w:type="dxa"/>
            <w:vAlign w:val="center"/>
          </w:tcPr>
          <w:p w14:paraId="41519EC2">
            <w:pPr>
              <w:spacing w:line="360" w:lineRule="auto"/>
              <w:rPr>
                <w:rFonts w:ascii="仿宋_GB2312" w:eastAsia="仿宋_GB2312"/>
              </w:rPr>
            </w:pPr>
          </w:p>
        </w:tc>
        <w:tc>
          <w:tcPr>
            <w:tcW w:w="1126" w:type="dxa"/>
            <w:vAlign w:val="center"/>
          </w:tcPr>
          <w:p w14:paraId="206C8143">
            <w:pPr>
              <w:spacing w:line="360" w:lineRule="auto"/>
              <w:rPr>
                <w:rFonts w:ascii="仿宋_GB2312" w:eastAsia="仿宋_GB2312"/>
              </w:rPr>
            </w:pPr>
          </w:p>
        </w:tc>
        <w:tc>
          <w:tcPr>
            <w:tcW w:w="567" w:type="dxa"/>
            <w:vAlign w:val="center"/>
          </w:tcPr>
          <w:p w14:paraId="44C36F0B">
            <w:pPr>
              <w:spacing w:line="360" w:lineRule="auto"/>
              <w:rPr>
                <w:rFonts w:ascii="仿宋_GB2312" w:eastAsia="仿宋_GB2312"/>
              </w:rPr>
            </w:pPr>
          </w:p>
        </w:tc>
        <w:tc>
          <w:tcPr>
            <w:tcW w:w="686" w:type="dxa"/>
            <w:vAlign w:val="center"/>
          </w:tcPr>
          <w:p w14:paraId="3A1C08C8">
            <w:pPr>
              <w:spacing w:line="360" w:lineRule="auto"/>
              <w:rPr>
                <w:rFonts w:ascii="仿宋_GB2312" w:eastAsia="仿宋_GB2312"/>
              </w:rPr>
            </w:pPr>
          </w:p>
        </w:tc>
        <w:tc>
          <w:tcPr>
            <w:tcW w:w="992" w:type="dxa"/>
          </w:tcPr>
          <w:p w14:paraId="0C2762F2">
            <w:pPr>
              <w:spacing w:line="360" w:lineRule="auto"/>
              <w:rPr>
                <w:rFonts w:ascii="仿宋_GB2312" w:eastAsia="仿宋_GB2312"/>
              </w:rPr>
            </w:pPr>
          </w:p>
        </w:tc>
        <w:tc>
          <w:tcPr>
            <w:tcW w:w="1134" w:type="dxa"/>
            <w:vAlign w:val="center"/>
          </w:tcPr>
          <w:p w14:paraId="151CA1C4">
            <w:pPr>
              <w:spacing w:line="360" w:lineRule="auto"/>
              <w:rPr>
                <w:rFonts w:ascii="仿宋_GB2312" w:eastAsia="仿宋_GB2312"/>
              </w:rPr>
            </w:pPr>
          </w:p>
        </w:tc>
        <w:tc>
          <w:tcPr>
            <w:tcW w:w="1134" w:type="dxa"/>
            <w:vAlign w:val="center"/>
          </w:tcPr>
          <w:p w14:paraId="55952388">
            <w:pPr>
              <w:spacing w:line="360" w:lineRule="auto"/>
              <w:rPr>
                <w:rFonts w:ascii="仿宋_GB2312" w:eastAsia="仿宋_GB2312"/>
              </w:rPr>
            </w:pPr>
          </w:p>
        </w:tc>
        <w:tc>
          <w:tcPr>
            <w:tcW w:w="1134" w:type="dxa"/>
            <w:vAlign w:val="center"/>
          </w:tcPr>
          <w:p w14:paraId="7D6E5E23">
            <w:pPr>
              <w:spacing w:line="360" w:lineRule="auto"/>
              <w:rPr>
                <w:rFonts w:ascii="仿宋_GB2312" w:eastAsia="仿宋_GB2312"/>
              </w:rPr>
            </w:pPr>
          </w:p>
        </w:tc>
        <w:tc>
          <w:tcPr>
            <w:tcW w:w="709" w:type="dxa"/>
            <w:vAlign w:val="center"/>
          </w:tcPr>
          <w:p w14:paraId="2E13D3BE">
            <w:pPr>
              <w:spacing w:line="360" w:lineRule="auto"/>
              <w:rPr>
                <w:rFonts w:ascii="仿宋_GB2312" w:eastAsia="仿宋_GB2312"/>
              </w:rPr>
            </w:pPr>
          </w:p>
        </w:tc>
      </w:tr>
      <w:tr w14:paraId="3E05EA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300BF4A6">
            <w:pPr>
              <w:spacing w:line="360" w:lineRule="auto"/>
              <w:rPr>
                <w:rFonts w:ascii="仿宋_GB2312" w:eastAsia="仿宋_GB2312"/>
              </w:rPr>
            </w:pPr>
          </w:p>
        </w:tc>
        <w:tc>
          <w:tcPr>
            <w:tcW w:w="1165" w:type="dxa"/>
            <w:vAlign w:val="center"/>
          </w:tcPr>
          <w:p w14:paraId="78E92A01">
            <w:pPr>
              <w:spacing w:line="360" w:lineRule="auto"/>
              <w:rPr>
                <w:rFonts w:ascii="仿宋_GB2312" w:eastAsia="仿宋_GB2312"/>
              </w:rPr>
            </w:pPr>
          </w:p>
        </w:tc>
        <w:tc>
          <w:tcPr>
            <w:tcW w:w="1126" w:type="dxa"/>
            <w:vAlign w:val="center"/>
          </w:tcPr>
          <w:p w14:paraId="792CD122">
            <w:pPr>
              <w:spacing w:line="360" w:lineRule="auto"/>
              <w:rPr>
                <w:rFonts w:ascii="仿宋_GB2312" w:eastAsia="仿宋_GB2312"/>
              </w:rPr>
            </w:pPr>
          </w:p>
        </w:tc>
        <w:tc>
          <w:tcPr>
            <w:tcW w:w="567" w:type="dxa"/>
            <w:vAlign w:val="center"/>
          </w:tcPr>
          <w:p w14:paraId="0FA67B1E">
            <w:pPr>
              <w:spacing w:line="360" w:lineRule="auto"/>
              <w:rPr>
                <w:rFonts w:ascii="仿宋_GB2312" w:eastAsia="仿宋_GB2312"/>
              </w:rPr>
            </w:pPr>
          </w:p>
        </w:tc>
        <w:tc>
          <w:tcPr>
            <w:tcW w:w="686" w:type="dxa"/>
            <w:vAlign w:val="center"/>
          </w:tcPr>
          <w:p w14:paraId="621516E4">
            <w:pPr>
              <w:spacing w:line="360" w:lineRule="auto"/>
              <w:rPr>
                <w:rFonts w:ascii="仿宋_GB2312" w:eastAsia="仿宋_GB2312"/>
              </w:rPr>
            </w:pPr>
          </w:p>
        </w:tc>
        <w:tc>
          <w:tcPr>
            <w:tcW w:w="992" w:type="dxa"/>
          </w:tcPr>
          <w:p w14:paraId="368F5373">
            <w:pPr>
              <w:spacing w:line="360" w:lineRule="auto"/>
              <w:rPr>
                <w:rFonts w:ascii="仿宋_GB2312" w:eastAsia="仿宋_GB2312"/>
              </w:rPr>
            </w:pPr>
          </w:p>
        </w:tc>
        <w:tc>
          <w:tcPr>
            <w:tcW w:w="1134" w:type="dxa"/>
            <w:vAlign w:val="center"/>
          </w:tcPr>
          <w:p w14:paraId="276C6EF4">
            <w:pPr>
              <w:spacing w:line="360" w:lineRule="auto"/>
              <w:rPr>
                <w:rFonts w:ascii="仿宋_GB2312" w:eastAsia="仿宋_GB2312"/>
              </w:rPr>
            </w:pPr>
          </w:p>
        </w:tc>
        <w:tc>
          <w:tcPr>
            <w:tcW w:w="1134" w:type="dxa"/>
            <w:vAlign w:val="center"/>
          </w:tcPr>
          <w:p w14:paraId="7857CCA9">
            <w:pPr>
              <w:spacing w:line="360" w:lineRule="auto"/>
              <w:rPr>
                <w:rFonts w:ascii="仿宋_GB2312" w:eastAsia="仿宋_GB2312"/>
              </w:rPr>
            </w:pPr>
          </w:p>
        </w:tc>
        <w:tc>
          <w:tcPr>
            <w:tcW w:w="1134" w:type="dxa"/>
            <w:vAlign w:val="center"/>
          </w:tcPr>
          <w:p w14:paraId="6F0B2174">
            <w:pPr>
              <w:spacing w:line="360" w:lineRule="auto"/>
              <w:rPr>
                <w:rFonts w:ascii="仿宋_GB2312" w:eastAsia="仿宋_GB2312"/>
              </w:rPr>
            </w:pPr>
          </w:p>
        </w:tc>
        <w:tc>
          <w:tcPr>
            <w:tcW w:w="709" w:type="dxa"/>
            <w:vAlign w:val="center"/>
          </w:tcPr>
          <w:p w14:paraId="2041DA23">
            <w:pPr>
              <w:spacing w:line="360" w:lineRule="auto"/>
              <w:rPr>
                <w:rFonts w:ascii="仿宋_GB2312" w:eastAsia="仿宋_GB2312"/>
              </w:rPr>
            </w:pPr>
          </w:p>
        </w:tc>
      </w:tr>
      <w:tr w14:paraId="6FAC67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057817F0">
            <w:pPr>
              <w:spacing w:line="360" w:lineRule="auto"/>
              <w:rPr>
                <w:rFonts w:ascii="仿宋_GB2312" w:eastAsia="仿宋_GB2312"/>
              </w:rPr>
            </w:pPr>
          </w:p>
        </w:tc>
        <w:tc>
          <w:tcPr>
            <w:tcW w:w="1165" w:type="dxa"/>
            <w:vAlign w:val="center"/>
          </w:tcPr>
          <w:p w14:paraId="0EAA3C48">
            <w:pPr>
              <w:spacing w:line="360" w:lineRule="auto"/>
              <w:rPr>
                <w:rFonts w:ascii="仿宋_GB2312" w:eastAsia="仿宋_GB2312"/>
              </w:rPr>
            </w:pPr>
          </w:p>
        </w:tc>
        <w:tc>
          <w:tcPr>
            <w:tcW w:w="1126" w:type="dxa"/>
            <w:vAlign w:val="center"/>
          </w:tcPr>
          <w:p w14:paraId="3D06B9F3">
            <w:pPr>
              <w:spacing w:line="360" w:lineRule="auto"/>
              <w:rPr>
                <w:rFonts w:ascii="仿宋_GB2312" w:eastAsia="仿宋_GB2312"/>
              </w:rPr>
            </w:pPr>
          </w:p>
        </w:tc>
        <w:tc>
          <w:tcPr>
            <w:tcW w:w="567" w:type="dxa"/>
            <w:vAlign w:val="center"/>
          </w:tcPr>
          <w:p w14:paraId="61B76F60">
            <w:pPr>
              <w:spacing w:line="360" w:lineRule="auto"/>
              <w:rPr>
                <w:rFonts w:ascii="仿宋_GB2312" w:eastAsia="仿宋_GB2312"/>
              </w:rPr>
            </w:pPr>
          </w:p>
        </w:tc>
        <w:tc>
          <w:tcPr>
            <w:tcW w:w="686" w:type="dxa"/>
            <w:vAlign w:val="center"/>
          </w:tcPr>
          <w:p w14:paraId="78C9247E">
            <w:pPr>
              <w:spacing w:line="360" w:lineRule="auto"/>
              <w:rPr>
                <w:rFonts w:ascii="仿宋_GB2312" w:eastAsia="仿宋_GB2312"/>
              </w:rPr>
            </w:pPr>
          </w:p>
        </w:tc>
        <w:tc>
          <w:tcPr>
            <w:tcW w:w="992" w:type="dxa"/>
          </w:tcPr>
          <w:p w14:paraId="12925EC6">
            <w:pPr>
              <w:spacing w:line="360" w:lineRule="auto"/>
              <w:rPr>
                <w:rFonts w:ascii="仿宋_GB2312" w:eastAsia="仿宋_GB2312"/>
              </w:rPr>
            </w:pPr>
          </w:p>
        </w:tc>
        <w:tc>
          <w:tcPr>
            <w:tcW w:w="1134" w:type="dxa"/>
            <w:vAlign w:val="center"/>
          </w:tcPr>
          <w:p w14:paraId="279E54EB">
            <w:pPr>
              <w:spacing w:line="360" w:lineRule="auto"/>
              <w:rPr>
                <w:rFonts w:ascii="仿宋_GB2312" w:eastAsia="仿宋_GB2312"/>
              </w:rPr>
            </w:pPr>
          </w:p>
        </w:tc>
        <w:tc>
          <w:tcPr>
            <w:tcW w:w="1134" w:type="dxa"/>
            <w:vAlign w:val="center"/>
          </w:tcPr>
          <w:p w14:paraId="3F983721">
            <w:pPr>
              <w:spacing w:line="360" w:lineRule="auto"/>
              <w:rPr>
                <w:rFonts w:ascii="仿宋_GB2312" w:eastAsia="仿宋_GB2312"/>
              </w:rPr>
            </w:pPr>
          </w:p>
        </w:tc>
        <w:tc>
          <w:tcPr>
            <w:tcW w:w="1134" w:type="dxa"/>
            <w:vAlign w:val="center"/>
          </w:tcPr>
          <w:p w14:paraId="7997A000">
            <w:pPr>
              <w:spacing w:line="360" w:lineRule="auto"/>
              <w:rPr>
                <w:rFonts w:ascii="仿宋_GB2312" w:eastAsia="仿宋_GB2312"/>
              </w:rPr>
            </w:pPr>
          </w:p>
        </w:tc>
        <w:tc>
          <w:tcPr>
            <w:tcW w:w="709" w:type="dxa"/>
            <w:vAlign w:val="center"/>
          </w:tcPr>
          <w:p w14:paraId="16A3109E">
            <w:pPr>
              <w:spacing w:line="360" w:lineRule="auto"/>
              <w:rPr>
                <w:rFonts w:ascii="仿宋_GB2312" w:eastAsia="仿宋_GB2312"/>
              </w:rPr>
            </w:pPr>
          </w:p>
        </w:tc>
      </w:tr>
      <w:tr w14:paraId="2C8347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571C5B4D">
            <w:pPr>
              <w:spacing w:line="360" w:lineRule="auto"/>
              <w:rPr>
                <w:rFonts w:ascii="仿宋_GB2312" w:eastAsia="仿宋_GB2312"/>
              </w:rPr>
            </w:pPr>
          </w:p>
        </w:tc>
        <w:tc>
          <w:tcPr>
            <w:tcW w:w="1165" w:type="dxa"/>
            <w:vAlign w:val="center"/>
          </w:tcPr>
          <w:p w14:paraId="57D6B73A">
            <w:pPr>
              <w:spacing w:line="360" w:lineRule="auto"/>
              <w:rPr>
                <w:rFonts w:ascii="仿宋_GB2312" w:eastAsia="仿宋_GB2312"/>
              </w:rPr>
            </w:pPr>
          </w:p>
        </w:tc>
        <w:tc>
          <w:tcPr>
            <w:tcW w:w="1126" w:type="dxa"/>
            <w:vAlign w:val="center"/>
          </w:tcPr>
          <w:p w14:paraId="7D91116B">
            <w:pPr>
              <w:spacing w:line="360" w:lineRule="auto"/>
              <w:rPr>
                <w:rFonts w:ascii="仿宋_GB2312" w:eastAsia="仿宋_GB2312"/>
              </w:rPr>
            </w:pPr>
          </w:p>
        </w:tc>
        <w:tc>
          <w:tcPr>
            <w:tcW w:w="567" w:type="dxa"/>
            <w:vAlign w:val="center"/>
          </w:tcPr>
          <w:p w14:paraId="7151C342">
            <w:pPr>
              <w:spacing w:line="360" w:lineRule="auto"/>
              <w:rPr>
                <w:rFonts w:ascii="仿宋_GB2312" w:eastAsia="仿宋_GB2312"/>
              </w:rPr>
            </w:pPr>
          </w:p>
        </w:tc>
        <w:tc>
          <w:tcPr>
            <w:tcW w:w="686" w:type="dxa"/>
            <w:vAlign w:val="center"/>
          </w:tcPr>
          <w:p w14:paraId="553DEAC5">
            <w:pPr>
              <w:spacing w:line="360" w:lineRule="auto"/>
              <w:rPr>
                <w:rFonts w:ascii="仿宋_GB2312" w:eastAsia="仿宋_GB2312"/>
              </w:rPr>
            </w:pPr>
          </w:p>
        </w:tc>
        <w:tc>
          <w:tcPr>
            <w:tcW w:w="992" w:type="dxa"/>
          </w:tcPr>
          <w:p w14:paraId="6E20225A">
            <w:pPr>
              <w:spacing w:line="360" w:lineRule="auto"/>
              <w:rPr>
                <w:rFonts w:ascii="仿宋_GB2312" w:eastAsia="仿宋_GB2312"/>
              </w:rPr>
            </w:pPr>
          </w:p>
        </w:tc>
        <w:tc>
          <w:tcPr>
            <w:tcW w:w="1134" w:type="dxa"/>
            <w:vAlign w:val="center"/>
          </w:tcPr>
          <w:p w14:paraId="1E6862D2">
            <w:pPr>
              <w:spacing w:line="360" w:lineRule="auto"/>
              <w:rPr>
                <w:rFonts w:ascii="仿宋_GB2312" w:eastAsia="仿宋_GB2312"/>
              </w:rPr>
            </w:pPr>
          </w:p>
        </w:tc>
        <w:tc>
          <w:tcPr>
            <w:tcW w:w="1134" w:type="dxa"/>
            <w:vAlign w:val="center"/>
          </w:tcPr>
          <w:p w14:paraId="6D636F9B">
            <w:pPr>
              <w:spacing w:line="360" w:lineRule="auto"/>
              <w:rPr>
                <w:rFonts w:ascii="仿宋_GB2312" w:eastAsia="仿宋_GB2312"/>
              </w:rPr>
            </w:pPr>
          </w:p>
        </w:tc>
        <w:tc>
          <w:tcPr>
            <w:tcW w:w="1134" w:type="dxa"/>
            <w:vAlign w:val="center"/>
          </w:tcPr>
          <w:p w14:paraId="77275366">
            <w:pPr>
              <w:spacing w:line="360" w:lineRule="auto"/>
              <w:rPr>
                <w:rFonts w:ascii="仿宋_GB2312" w:eastAsia="仿宋_GB2312"/>
              </w:rPr>
            </w:pPr>
          </w:p>
        </w:tc>
        <w:tc>
          <w:tcPr>
            <w:tcW w:w="709" w:type="dxa"/>
            <w:vAlign w:val="center"/>
          </w:tcPr>
          <w:p w14:paraId="41C1E17C">
            <w:pPr>
              <w:spacing w:line="360" w:lineRule="auto"/>
              <w:rPr>
                <w:rFonts w:ascii="仿宋_GB2312" w:eastAsia="仿宋_GB2312"/>
              </w:rPr>
            </w:pPr>
          </w:p>
        </w:tc>
      </w:tr>
      <w:tr w14:paraId="5B5159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772972A9">
            <w:pPr>
              <w:spacing w:line="360" w:lineRule="auto"/>
              <w:rPr>
                <w:rFonts w:ascii="仿宋_GB2312" w:eastAsia="仿宋_GB2312"/>
              </w:rPr>
            </w:pPr>
          </w:p>
        </w:tc>
        <w:tc>
          <w:tcPr>
            <w:tcW w:w="1165" w:type="dxa"/>
            <w:vAlign w:val="center"/>
          </w:tcPr>
          <w:p w14:paraId="23638B72">
            <w:pPr>
              <w:spacing w:line="360" w:lineRule="auto"/>
              <w:rPr>
                <w:rFonts w:ascii="仿宋_GB2312" w:eastAsia="仿宋_GB2312"/>
              </w:rPr>
            </w:pPr>
          </w:p>
        </w:tc>
        <w:tc>
          <w:tcPr>
            <w:tcW w:w="1126" w:type="dxa"/>
            <w:vAlign w:val="center"/>
          </w:tcPr>
          <w:p w14:paraId="78BE20FB">
            <w:pPr>
              <w:spacing w:line="360" w:lineRule="auto"/>
              <w:rPr>
                <w:rFonts w:ascii="仿宋_GB2312" w:eastAsia="仿宋_GB2312"/>
              </w:rPr>
            </w:pPr>
          </w:p>
        </w:tc>
        <w:tc>
          <w:tcPr>
            <w:tcW w:w="567" w:type="dxa"/>
            <w:vAlign w:val="center"/>
          </w:tcPr>
          <w:p w14:paraId="31BCB0B0">
            <w:pPr>
              <w:spacing w:line="360" w:lineRule="auto"/>
              <w:rPr>
                <w:rFonts w:ascii="仿宋_GB2312" w:eastAsia="仿宋_GB2312"/>
              </w:rPr>
            </w:pPr>
          </w:p>
        </w:tc>
        <w:tc>
          <w:tcPr>
            <w:tcW w:w="686" w:type="dxa"/>
            <w:vAlign w:val="center"/>
          </w:tcPr>
          <w:p w14:paraId="1F90CEC3">
            <w:pPr>
              <w:spacing w:line="360" w:lineRule="auto"/>
              <w:rPr>
                <w:rFonts w:ascii="仿宋_GB2312" w:eastAsia="仿宋_GB2312"/>
              </w:rPr>
            </w:pPr>
          </w:p>
        </w:tc>
        <w:tc>
          <w:tcPr>
            <w:tcW w:w="992" w:type="dxa"/>
          </w:tcPr>
          <w:p w14:paraId="429FCB0D">
            <w:pPr>
              <w:spacing w:line="360" w:lineRule="auto"/>
              <w:rPr>
                <w:rFonts w:ascii="仿宋_GB2312" w:eastAsia="仿宋_GB2312"/>
              </w:rPr>
            </w:pPr>
          </w:p>
        </w:tc>
        <w:tc>
          <w:tcPr>
            <w:tcW w:w="1134" w:type="dxa"/>
            <w:vAlign w:val="center"/>
          </w:tcPr>
          <w:p w14:paraId="1325D41E">
            <w:pPr>
              <w:spacing w:line="360" w:lineRule="auto"/>
              <w:rPr>
                <w:rFonts w:ascii="仿宋_GB2312" w:eastAsia="仿宋_GB2312"/>
              </w:rPr>
            </w:pPr>
          </w:p>
        </w:tc>
        <w:tc>
          <w:tcPr>
            <w:tcW w:w="1134" w:type="dxa"/>
            <w:vAlign w:val="center"/>
          </w:tcPr>
          <w:p w14:paraId="72DFD678">
            <w:pPr>
              <w:spacing w:line="360" w:lineRule="auto"/>
              <w:rPr>
                <w:rFonts w:ascii="仿宋_GB2312" w:eastAsia="仿宋_GB2312"/>
              </w:rPr>
            </w:pPr>
          </w:p>
        </w:tc>
        <w:tc>
          <w:tcPr>
            <w:tcW w:w="1134" w:type="dxa"/>
            <w:vAlign w:val="center"/>
          </w:tcPr>
          <w:p w14:paraId="106640BD">
            <w:pPr>
              <w:spacing w:line="360" w:lineRule="auto"/>
              <w:rPr>
                <w:rFonts w:ascii="仿宋_GB2312" w:eastAsia="仿宋_GB2312"/>
              </w:rPr>
            </w:pPr>
          </w:p>
        </w:tc>
        <w:tc>
          <w:tcPr>
            <w:tcW w:w="709" w:type="dxa"/>
            <w:vAlign w:val="center"/>
          </w:tcPr>
          <w:p w14:paraId="446C5716">
            <w:pPr>
              <w:spacing w:line="360" w:lineRule="auto"/>
              <w:rPr>
                <w:rFonts w:ascii="仿宋_GB2312" w:eastAsia="仿宋_GB2312"/>
              </w:rPr>
            </w:pPr>
          </w:p>
        </w:tc>
      </w:tr>
      <w:tr w14:paraId="760D36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344D9267">
            <w:pPr>
              <w:spacing w:line="360" w:lineRule="auto"/>
              <w:rPr>
                <w:rFonts w:ascii="仿宋_GB2312" w:eastAsia="仿宋_GB2312"/>
              </w:rPr>
            </w:pPr>
          </w:p>
        </w:tc>
        <w:tc>
          <w:tcPr>
            <w:tcW w:w="1165" w:type="dxa"/>
            <w:vAlign w:val="center"/>
          </w:tcPr>
          <w:p w14:paraId="3B0EAEEA">
            <w:pPr>
              <w:spacing w:line="360" w:lineRule="auto"/>
              <w:rPr>
                <w:rFonts w:ascii="仿宋_GB2312" w:eastAsia="仿宋_GB2312"/>
              </w:rPr>
            </w:pPr>
          </w:p>
        </w:tc>
        <w:tc>
          <w:tcPr>
            <w:tcW w:w="1126" w:type="dxa"/>
            <w:vAlign w:val="center"/>
          </w:tcPr>
          <w:p w14:paraId="4EEF9BDE">
            <w:pPr>
              <w:spacing w:line="360" w:lineRule="auto"/>
              <w:rPr>
                <w:rFonts w:ascii="仿宋_GB2312" w:eastAsia="仿宋_GB2312"/>
              </w:rPr>
            </w:pPr>
          </w:p>
        </w:tc>
        <w:tc>
          <w:tcPr>
            <w:tcW w:w="567" w:type="dxa"/>
            <w:vAlign w:val="center"/>
          </w:tcPr>
          <w:p w14:paraId="2FACAE2B">
            <w:pPr>
              <w:spacing w:line="360" w:lineRule="auto"/>
              <w:rPr>
                <w:rFonts w:ascii="仿宋_GB2312" w:eastAsia="仿宋_GB2312"/>
              </w:rPr>
            </w:pPr>
          </w:p>
        </w:tc>
        <w:tc>
          <w:tcPr>
            <w:tcW w:w="686" w:type="dxa"/>
            <w:vAlign w:val="center"/>
          </w:tcPr>
          <w:p w14:paraId="12E25542">
            <w:pPr>
              <w:spacing w:line="360" w:lineRule="auto"/>
              <w:rPr>
                <w:rFonts w:ascii="仿宋_GB2312" w:eastAsia="仿宋_GB2312"/>
              </w:rPr>
            </w:pPr>
          </w:p>
        </w:tc>
        <w:tc>
          <w:tcPr>
            <w:tcW w:w="992" w:type="dxa"/>
          </w:tcPr>
          <w:p w14:paraId="6DC6D25C">
            <w:pPr>
              <w:spacing w:line="360" w:lineRule="auto"/>
              <w:rPr>
                <w:rFonts w:ascii="仿宋_GB2312" w:eastAsia="仿宋_GB2312"/>
              </w:rPr>
            </w:pPr>
          </w:p>
        </w:tc>
        <w:tc>
          <w:tcPr>
            <w:tcW w:w="1134" w:type="dxa"/>
            <w:vAlign w:val="center"/>
          </w:tcPr>
          <w:p w14:paraId="2F37A21B">
            <w:pPr>
              <w:spacing w:line="360" w:lineRule="auto"/>
              <w:rPr>
                <w:rFonts w:ascii="仿宋_GB2312" w:eastAsia="仿宋_GB2312"/>
              </w:rPr>
            </w:pPr>
          </w:p>
        </w:tc>
        <w:tc>
          <w:tcPr>
            <w:tcW w:w="1134" w:type="dxa"/>
            <w:vAlign w:val="center"/>
          </w:tcPr>
          <w:p w14:paraId="4686A61E">
            <w:pPr>
              <w:spacing w:line="360" w:lineRule="auto"/>
              <w:rPr>
                <w:rFonts w:ascii="仿宋_GB2312" w:eastAsia="仿宋_GB2312"/>
              </w:rPr>
            </w:pPr>
          </w:p>
        </w:tc>
        <w:tc>
          <w:tcPr>
            <w:tcW w:w="1134" w:type="dxa"/>
            <w:vAlign w:val="center"/>
          </w:tcPr>
          <w:p w14:paraId="1646F22B">
            <w:pPr>
              <w:spacing w:line="360" w:lineRule="auto"/>
              <w:rPr>
                <w:rFonts w:ascii="仿宋_GB2312" w:eastAsia="仿宋_GB2312"/>
              </w:rPr>
            </w:pPr>
          </w:p>
        </w:tc>
        <w:tc>
          <w:tcPr>
            <w:tcW w:w="709" w:type="dxa"/>
            <w:vAlign w:val="center"/>
          </w:tcPr>
          <w:p w14:paraId="3E6C5140">
            <w:pPr>
              <w:spacing w:line="360" w:lineRule="auto"/>
              <w:rPr>
                <w:rFonts w:ascii="仿宋_GB2312" w:eastAsia="仿宋_GB2312"/>
              </w:rPr>
            </w:pPr>
          </w:p>
        </w:tc>
      </w:tr>
      <w:tr w14:paraId="008F4A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vAlign w:val="center"/>
          </w:tcPr>
          <w:p w14:paraId="384F22D3">
            <w:pPr>
              <w:spacing w:line="360" w:lineRule="auto"/>
              <w:rPr>
                <w:rFonts w:ascii="仿宋_GB2312" w:eastAsia="仿宋_GB2312"/>
              </w:rPr>
            </w:pPr>
          </w:p>
        </w:tc>
        <w:tc>
          <w:tcPr>
            <w:tcW w:w="1165" w:type="dxa"/>
            <w:vAlign w:val="center"/>
          </w:tcPr>
          <w:p w14:paraId="0B3D76AE">
            <w:pPr>
              <w:spacing w:line="360" w:lineRule="auto"/>
              <w:rPr>
                <w:rFonts w:ascii="仿宋_GB2312" w:eastAsia="仿宋_GB2312"/>
              </w:rPr>
            </w:pPr>
          </w:p>
        </w:tc>
        <w:tc>
          <w:tcPr>
            <w:tcW w:w="1126" w:type="dxa"/>
            <w:vAlign w:val="center"/>
          </w:tcPr>
          <w:p w14:paraId="0780AE86">
            <w:pPr>
              <w:spacing w:line="360" w:lineRule="auto"/>
              <w:rPr>
                <w:rFonts w:ascii="仿宋_GB2312" w:eastAsia="仿宋_GB2312"/>
              </w:rPr>
            </w:pPr>
          </w:p>
        </w:tc>
        <w:tc>
          <w:tcPr>
            <w:tcW w:w="567" w:type="dxa"/>
            <w:vAlign w:val="center"/>
          </w:tcPr>
          <w:p w14:paraId="42C137BF">
            <w:pPr>
              <w:spacing w:line="360" w:lineRule="auto"/>
              <w:rPr>
                <w:rFonts w:ascii="仿宋_GB2312" w:eastAsia="仿宋_GB2312"/>
              </w:rPr>
            </w:pPr>
          </w:p>
        </w:tc>
        <w:tc>
          <w:tcPr>
            <w:tcW w:w="686" w:type="dxa"/>
            <w:vAlign w:val="center"/>
          </w:tcPr>
          <w:p w14:paraId="3FE5A9D5">
            <w:pPr>
              <w:spacing w:line="360" w:lineRule="auto"/>
              <w:rPr>
                <w:rFonts w:ascii="仿宋_GB2312" w:eastAsia="仿宋_GB2312"/>
              </w:rPr>
            </w:pPr>
          </w:p>
        </w:tc>
        <w:tc>
          <w:tcPr>
            <w:tcW w:w="992" w:type="dxa"/>
          </w:tcPr>
          <w:p w14:paraId="2837BEED">
            <w:pPr>
              <w:spacing w:line="360" w:lineRule="auto"/>
              <w:rPr>
                <w:rFonts w:ascii="仿宋_GB2312" w:eastAsia="仿宋_GB2312"/>
              </w:rPr>
            </w:pPr>
          </w:p>
        </w:tc>
        <w:tc>
          <w:tcPr>
            <w:tcW w:w="1134" w:type="dxa"/>
            <w:vAlign w:val="center"/>
          </w:tcPr>
          <w:p w14:paraId="0CBE072E">
            <w:pPr>
              <w:spacing w:line="360" w:lineRule="auto"/>
              <w:rPr>
                <w:rFonts w:ascii="仿宋_GB2312" w:eastAsia="仿宋_GB2312"/>
              </w:rPr>
            </w:pPr>
          </w:p>
        </w:tc>
        <w:tc>
          <w:tcPr>
            <w:tcW w:w="1134" w:type="dxa"/>
            <w:vAlign w:val="center"/>
          </w:tcPr>
          <w:p w14:paraId="046EC381">
            <w:pPr>
              <w:spacing w:line="360" w:lineRule="auto"/>
              <w:rPr>
                <w:rFonts w:ascii="仿宋_GB2312" w:eastAsia="仿宋_GB2312"/>
              </w:rPr>
            </w:pPr>
          </w:p>
        </w:tc>
        <w:tc>
          <w:tcPr>
            <w:tcW w:w="1134" w:type="dxa"/>
            <w:vAlign w:val="center"/>
          </w:tcPr>
          <w:p w14:paraId="21FF8D17">
            <w:pPr>
              <w:spacing w:line="360" w:lineRule="auto"/>
              <w:rPr>
                <w:rFonts w:ascii="仿宋_GB2312" w:eastAsia="仿宋_GB2312"/>
              </w:rPr>
            </w:pPr>
          </w:p>
        </w:tc>
        <w:tc>
          <w:tcPr>
            <w:tcW w:w="709" w:type="dxa"/>
            <w:vAlign w:val="center"/>
          </w:tcPr>
          <w:p w14:paraId="46DAD983">
            <w:pPr>
              <w:spacing w:line="360" w:lineRule="auto"/>
              <w:rPr>
                <w:rFonts w:ascii="仿宋_GB2312" w:eastAsia="仿宋_GB2312"/>
              </w:rPr>
            </w:pPr>
          </w:p>
        </w:tc>
      </w:tr>
    </w:tbl>
    <w:p w14:paraId="52FCC739">
      <w:pPr>
        <w:spacing w:line="360" w:lineRule="auto"/>
      </w:pPr>
    </w:p>
    <w:p w14:paraId="6863EB0F">
      <w:pPr>
        <w:spacing w:line="360" w:lineRule="auto"/>
      </w:pPr>
      <w:r>
        <w:br w:type="page"/>
      </w:r>
    </w:p>
    <w:p w14:paraId="54D3294C">
      <w:pPr>
        <w:pStyle w:val="44"/>
        <w:numPr>
          <w:ilvl w:val="0"/>
          <w:numId w:val="0"/>
        </w:numPr>
        <w:rPr>
          <w:rFonts w:hint="eastAsia"/>
          <w:sz w:val="28"/>
          <w:szCs w:val="28"/>
        </w:rPr>
      </w:pPr>
      <w:bookmarkStart w:id="1856" w:name="_Toc20171895"/>
      <w:bookmarkEnd w:id="1856"/>
      <w:bookmarkStart w:id="1857" w:name="_Toc54862354"/>
      <w:bookmarkEnd w:id="1857"/>
      <w:bookmarkStart w:id="1858" w:name="_Toc3888"/>
      <w:bookmarkEnd w:id="1858"/>
      <w:bookmarkStart w:id="1859" w:name="_Toc24850"/>
      <w:bookmarkEnd w:id="1859"/>
      <w:r>
        <w:rPr>
          <w:rFonts w:hint="eastAsia"/>
          <w:sz w:val="28"/>
          <w:szCs w:val="28"/>
        </w:rPr>
        <w:t>附件3 工程质量保修书</w:t>
      </w:r>
    </w:p>
    <w:p w14:paraId="1D1D3773">
      <w:pPr>
        <w:spacing w:line="360" w:lineRule="auto"/>
        <w:rPr>
          <w:rFonts w:ascii="仿宋_GB2312" w:eastAsia="仿宋_GB2312"/>
        </w:rPr>
      </w:pPr>
      <w:r>
        <w:rPr>
          <w:rFonts w:hint="eastAsia" w:ascii="仿宋_GB2312" w:eastAsia="仿宋_GB2312"/>
        </w:rPr>
        <w:t>发包人（全称）：</w:t>
      </w:r>
    </w:p>
    <w:p w14:paraId="57EF531E">
      <w:pPr>
        <w:spacing w:line="360" w:lineRule="auto"/>
        <w:rPr>
          <w:rFonts w:ascii="仿宋_GB2312" w:eastAsia="仿宋_GB2312"/>
        </w:rPr>
      </w:pPr>
      <w:r>
        <w:rPr>
          <w:rFonts w:hint="eastAsia" w:ascii="仿宋_GB2312" w:eastAsia="仿宋_GB2312"/>
        </w:rPr>
        <w:t>承包人（全称）：</w:t>
      </w:r>
    </w:p>
    <w:p w14:paraId="7BD349D4">
      <w:pPr>
        <w:spacing w:line="360" w:lineRule="auto"/>
        <w:ind w:firstLine="600"/>
        <w:rPr>
          <w:rFonts w:ascii="仿宋_GB2312" w:eastAsia="仿宋_GB2312"/>
        </w:rPr>
      </w:pPr>
      <w:r>
        <w:rPr>
          <w:rFonts w:hint="eastAsia" w:ascii="仿宋_GB2312" w:eastAsia="仿宋_GB2312"/>
        </w:rPr>
        <w:t>发包人和承包人根据《中华人民共和国建筑法》和《建设工程质量管理条例》，经协商一致就（工程全称）订立工程质量保修书。</w:t>
      </w:r>
    </w:p>
    <w:p w14:paraId="6AD9549F">
      <w:pPr>
        <w:spacing w:line="360" w:lineRule="auto"/>
        <w:ind w:firstLine="600"/>
        <w:outlineLvl w:val="4"/>
        <w:rPr>
          <w:rFonts w:hint="eastAsia" w:ascii="黑体" w:hAnsi="黑体" w:eastAsia="黑体"/>
        </w:rPr>
      </w:pPr>
      <w:r>
        <w:rPr>
          <w:rFonts w:hint="eastAsia" w:ascii="黑体" w:hAnsi="黑体" w:eastAsia="黑体"/>
        </w:rPr>
        <w:t>一、工程质量保修范围和内容</w:t>
      </w:r>
    </w:p>
    <w:p w14:paraId="37F9019E">
      <w:pPr>
        <w:spacing w:line="360" w:lineRule="auto"/>
        <w:ind w:firstLine="600"/>
        <w:rPr>
          <w:rFonts w:ascii="仿宋_GB2312" w:eastAsia="仿宋_GB2312"/>
        </w:rPr>
      </w:pPr>
      <w:r>
        <w:rPr>
          <w:rFonts w:hint="eastAsia" w:ascii="仿宋_GB2312" w:eastAsia="仿宋_GB2312"/>
        </w:rPr>
        <w:t>承包人在质量保修期内，按照有关法律规定和合同约定，承担工程质量保修责任。</w:t>
      </w:r>
    </w:p>
    <w:p w14:paraId="166BA659">
      <w:pPr>
        <w:spacing w:line="360" w:lineRule="auto"/>
        <w:ind w:firstLine="600"/>
        <w:rPr>
          <w:rFonts w:ascii="仿宋_GB2312" w:eastAsia="仿宋_GB2312"/>
        </w:rPr>
      </w:pPr>
      <w:r>
        <w:rPr>
          <w:rFonts w:hint="eastAsia" w:ascii="仿宋_GB2312" w:eastAsia="仿宋_GB2312"/>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512F9A4F">
      <w:pPr>
        <w:spacing w:line="360" w:lineRule="auto"/>
        <w:ind w:firstLine="600"/>
        <w:outlineLvl w:val="4"/>
        <w:rPr>
          <w:rFonts w:hint="eastAsia" w:ascii="黑体" w:hAnsi="黑体" w:eastAsia="黑体"/>
        </w:rPr>
      </w:pPr>
      <w:r>
        <w:rPr>
          <w:rFonts w:hint="eastAsia" w:ascii="黑体" w:hAnsi="黑体" w:eastAsia="黑体"/>
        </w:rPr>
        <w:t>二、质量保修期</w:t>
      </w:r>
    </w:p>
    <w:p w14:paraId="0923C25C">
      <w:pPr>
        <w:spacing w:line="360" w:lineRule="auto"/>
        <w:ind w:firstLine="600"/>
        <w:rPr>
          <w:rFonts w:ascii="仿宋_GB2312" w:eastAsia="仿宋_GB2312"/>
        </w:rPr>
      </w:pPr>
      <w:r>
        <w:rPr>
          <w:rFonts w:hint="eastAsia" w:ascii="仿宋_GB2312" w:eastAsia="仿宋_GB2312"/>
        </w:rPr>
        <w:t>根据《建设工程质量管理条例》及有关规定，工程的质量保修期如下：</w:t>
      </w:r>
    </w:p>
    <w:p w14:paraId="62C8A66B">
      <w:pPr>
        <w:spacing w:line="360" w:lineRule="auto"/>
        <w:ind w:firstLine="600"/>
        <w:rPr>
          <w:rFonts w:ascii="仿宋_GB2312" w:eastAsia="仿宋_GB2312"/>
        </w:rPr>
      </w:pPr>
      <w:r>
        <w:rPr>
          <w:rFonts w:hint="eastAsia" w:ascii="仿宋_GB2312" w:eastAsia="仿宋_GB2312"/>
        </w:rPr>
        <w:t>1.地基基础工程和主体结构工程为设计文件规定的工程合理使用年限；</w:t>
      </w:r>
    </w:p>
    <w:p w14:paraId="087EA146">
      <w:pPr>
        <w:spacing w:line="360" w:lineRule="auto"/>
        <w:ind w:firstLine="600"/>
        <w:rPr>
          <w:rFonts w:ascii="仿宋_GB2312" w:eastAsia="仿宋_GB2312"/>
        </w:rPr>
      </w:pPr>
      <w:r>
        <w:rPr>
          <w:rFonts w:hint="eastAsia" w:ascii="仿宋_GB2312" w:eastAsia="仿宋_GB2312"/>
        </w:rPr>
        <w:t>2.屋面防水工程、有防水要求的卫生间、房间和外墙面的防渗为年；</w:t>
      </w:r>
    </w:p>
    <w:p w14:paraId="194894F1">
      <w:pPr>
        <w:spacing w:line="360" w:lineRule="auto"/>
        <w:ind w:firstLine="600"/>
        <w:rPr>
          <w:rFonts w:ascii="仿宋_GB2312" w:eastAsia="仿宋_GB2312"/>
        </w:rPr>
      </w:pPr>
      <w:r>
        <w:rPr>
          <w:rFonts w:hint="eastAsia" w:ascii="仿宋_GB2312" w:eastAsia="仿宋_GB2312"/>
        </w:rPr>
        <w:t>3.装修工程为年；</w:t>
      </w:r>
    </w:p>
    <w:p w14:paraId="1E7D7361">
      <w:pPr>
        <w:spacing w:line="360" w:lineRule="auto"/>
        <w:ind w:firstLine="600"/>
        <w:rPr>
          <w:rFonts w:ascii="仿宋_GB2312" w:eastAsia="仿宋_GB2312"/>
        </w:rPr>
      </w:pPr>
      <w:r>
        <w:rPr>
          <w:rFonts w:hint="eastAsia" w:ascii="仿宋_GB2312" w:eastAsia="仿宋_GB2312"/>
        </w:rPr>
        <w:t>4.电气管线、给排水管道、设备安装工程为年；</w:t>
      </w:r>
    </w:p>
    <w:p w14:paraId="2A27EAED">
      <w:pPr>
        <w:spacing w:line="360" w:lineRule="auto"/>
        <w:ind w:firstLine="600"/>
        <w:rPr>
          <w:rFonts w:ascii="仿宋_GB2312" w:eastAsia="仿宋_GB2312"/>
        </w:rPr>
      </w:pPr>
      <w:r>
        <w:rPr>
          <w:rFonts w:hint="eastAsia" w:ascii="仿宋_GB2312" w:eastAsia="仿宋_GB2312"/>
        </w:rPr>
        <w:t>5.供热与供冷系统为个采暖期、供冷期；</w:t>
      </w:r>
    </w:p>
    <w:p w14:paraId="30B9CC4A">
      <w:pPr>
        <w:spacing w:line="360" w:lineRule="auto"/>
        <w:ind w:firstLine="600"/>
        <w:rPr>
          <w:rFonts w:ascii="仿宋_GB2312" w:eastAsia="仿宋_GB2312"/>
        </w:rPr>
      </w:pPr>
      <w:r>
        <w:rPr>
          <w:rFonts w:hint="eastAsia" w:ascii="仿宋_GB2312" w:eastAsia="仿宋_GB2312"/>
        </w:rPr>
        <w:t>6.住宅小区内的给排水设施、道路等配套工程为年；</w:t>
      </w:r>
    </w:p>
    <w:p w14:paraId="47F31BBF">
      <w:pPr>
        <w:spacing w:line="360" w:lineRule="auto"/>
        <w:ind w:firstLine="600"/>
        <w:rPr>
          <w:rFonts w:ascii="仿宋_GB2312" w:eastAsia="仿宋_GB2312"/>
        </w:rPr>
      </w:pPr>
      <w:r>
        <w:rPr>
          <w:rFonts w:hint="eastAsia" w:ascii="仿宋_GB2312" w:eastAsia="仿宋_GB2312"/>
        </w:rPr>
        <w:t>7.其他项目保修期限约定如下：</w:t>
      </w:r>
    </w:p>
    <w:p w14:paraId="69DF2E45">
      <w:pPr>
        <w:spacing w:line="360" w:lineRule="auto"/>
        <w:ind w:firstLine="600"/>
        <w:rPr>
          <w:rFonts w:ascii="仿宋_GB2312" w:eastAsia="仿宋_GB2312"/>
        </w:rPr>
      </w:pPr>
      <w:r>
        <w:rPr>
          <w:rFonts w:hint="eastAsia" w:ascii="仿宋_GB2312" w:eastAsia="仿宋_GB2312"/>
        </w:rPr>
        <w:t>质量保修期自工程竣工验收合格之日起计算。</w:t>
      </w:r>
    </w:p>
    <w:p w14:paraId="1D85A841">
      <w:pPr>
        <w:spacing w:line="360" w:lineRule="auto"/>
        <w:ind w:firstLine="600"/>
        <w:outlineLvl w:val="4"/>
        <w:rPr>
          <w:rFonts w:hint="eastAsia" w:ascii="黑体" w:hAnsi="黑体" w:eastAsia="黑体"/>
        </w:rPr>
      </w:pPr>
      <w:r>
        <w:rPr>
          <w:rFonts w:hint="eastAsia" w:ascii="黑体" w:hAnsi="黑体" w:eastAsia="黑体"/>
        </w:rPr>
        <w:t>三、缺陷责任期</w:t>
      </w:r>
    </w:p>
    <w:p w14:paraId="0D3CBF02">
      <w:pPr>
        <w:spacing w:line="360" w:lineRule="auto"/>
        <w:ind w:firstLine="600"/>
        <w:rPr>
          <w:rFonts w:ascii="仿宋_GB2312" w:eastAsia="仿宋_GB2312"/>
        </w:rPr>
      </w:pPr>
      <w:r>
        <w:rPr>
          <w:rFonts w:hint="eastAsia" w:ascii="仿宋_GB2312" w:eastAsia="仿宋_GB2312"/>
        </w:rPr>
        <w:t>工程缺陷责任期为个月，缺陷责任期自工程通过竣工验收之日起计算。单位/区段工程先于全部工程进行验收，单位/区段工程缺陷责任期自单位/区段工程验收合格之日起算。</w:t>
      </w:r>
    </w:p>
    <w:p w14:paraId="32EDEFE9">
      <w:pPr>
        <w:spacing w:line="360" w:lineRule="auto"/>
        <w:ind w:firstLine="600"/>
        <w:rPr>
          <w:rFonts w:ascii="仿宋_GB2312" w:eastAsia="仿宋_GB2312"/>
        </w:rPr>
      </w:pPr>
      <w:r>
        <w:rPr>
          <w:rFonts w:hint="eastAsia" w:ascii="仿宋_GB2312" w:eastAsia="仿宋_GB2312"/>
        </w:rPr>
        <w:t>缺陷责任期终止后，发包人应返还剩余的质量保证金。</w:t>
      </w:r>
    </w:p>
    <w:p w14:paraId="617F51DC">
      <w:pPr>
        <w:spacing w:line="360" w:lineRule="auto"/>
        <w:ind w:firstLine="600"/>
        <w:outlineLvl w:val="4"/>
        <w:rPr>
          <w:rFonts w:hint="eastAsia" w:ascii="黑体" w:hAnsi="黑体" w:eastAsia="黑体"/>
        </w:rPr>
      </w:pPr>
      <w:r>
        <w:rPr>
          <w:rFonts w:hint="eastAsia" w:ascii="黑体" w:hAnsi="黑体" w:eastAsia="黑体"/>
        </w:rPr>
        <w:t>四、质量保修责任</w:t>
      </w:r>
    </w:p>
    <w:p w14:paraId="59301960">
      <w:pPr>
        <w:spacing w:line="360" w:lineRule="auto"/>
        <w:ind w:firstLine="600"/>
        <w:rPr>
          <w:rFonts w:ascii="仿宋_GB2312" w:eastAsia="仿宋_GB2312"/>
        </w:rPr>
      </w:pPr>
      <w:r>
        <w:rPr>
          <w:rFonts w:hint="eastAsia" w:ascii="仿宋_GB2312" w:eastAsia="仿宋_GB2312"/>
        </w:rPr>
        <w:t>1.属于保修范围、内容的项目，承包人应当在接到保修通知之日起7天内派人保修。承包人不在约定期限内派人保修的，发包人可以委托他人修理。</w:t>
      </w:r>
    </w:p>
    <w:p w14:paraId="496064DC">
      <w:pPr>
        <w:spacing w:line="360" w:lineRule="auto"/>
        <w:ind w:firstLine="600"/>
        <w:rPr>
          <w:rFonts w:ascii="仿宋_GB2312" w:eastAsia="仿宋_GB2312"/>
        </w:rPr>
      </w:pPr>
      <w:r>
        <w:rPr>
          <w:rFonts w:hint="eastAsia" w:ascii="仿宋_GB2312" w:eastAsia="仿宋_GB2312"/>
        </w:rPr>
        <w:t>2.发生紧急事故需抢修的，承包人在接到事故通知后，应当立即到达事故现场抢修。</w:t>
      </w:r>
    </w:p>
    <w:p w14:paraId="2F6D93C7">
      <w:pPr>
        <w:spacing w:line="360" w:lineRule="auto"/>
        <w:ind w:firstLine="600"/>
        <w:rPr>
          <w:rFonts w:ascii="仿宋_GB2312" w:eastAsia="仿宋_GB2312"/>
        </w:rPr>
      </w:pPr>
      <w:r>
        <w:rPr>
          <w:rFonts w:hint="eastAsia" w:ascii="仿宋_GB2312" w:eastAsia="仿宋_GB2312"/>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53E872EF">
      <w:pPr>
        <w:spacing w:line="360" w:lineRule="auto"/>
        <w:ind w:firstLine="600"/>
        <w:rPr>
          <w:rFonts w:ascii="仿宋_GB2312" w:eastAsia="仿宋_GB2312"/>
        </w:rPr>
      </w:pPr>
      <w:r>
        <w:rPr>
          <w:rFonts w:hint="eastAsia" w:ascii="仿宋_GB2312" w:eastAsia="仿宋_GB2312"/>
        </w:rPr>
        <w:t>4.质量保修完成后，由发包人组织验收。</w:t>
      </w:r>
    </w:p>
    <w:p w14:paraId="6B35E311">
      <w:pPr>
        <w:spacing w:line="360" w:lineRule="auto"/>
        <w:ind w:firstLine="600"/>
        <w:outlineLvl w:val="4"/>
        <w:rPr>
          <w:rFonts w:hint="eastAsia" w:ascii="黑体" w:hAnsi="黑体" w:eastAsia="黑体"/>
        </w:rPr>
      </w:pPr>
      <w:r>
        <w:rPr>
          <w:rFonts w:hint="eastAsia" w:ascii="黑体" w:hAnsi="黑体" w:eastAsia="黑体"/>
        </w:rPr>
        <w:t>五、保修费用</w:t>
      </w:r>
    </w:p>
    <w:p w14:paraId="4A2F6EDB">
      <w:pPr>
        <w:spacing w:line="360" w:lineRule="auto"/>
        <w:ind w:firstLine="600"/>
        <w:rPr>
          <w:rFonts w:ascii="仿宋_GB2312" w:eastAsia="仿宋_GB2312"/>
        </w:rPr>
      </w:pPr>
      <w:r>
        <w:rPr>
          <w:rFonts w:hint="eastAsia" w:ascii="仿宋_GB2312" w:eastAsia="仿宋_GB2312"/>
        </w:rPr>
        <w:t>保修费用由造成质量缺陷的责任方承担。</w:t>
      </w:r>
    </w:p>
    <w:p w14:paraId="3D9EEAD5">
      <w:pPr>
        <w:spacing w:line="360" w:lineRule="auto"/>
        <w:ind w:firstLine="600"/>
        <w:outlineLvl w:val="4"/>
        <w:rPr>
          <w:rFonts w:ascii="仿宋_GB2312" w:eastAsia="仿宋_GB2312"/>
          <w:u w:val="single"/>
        </w:rPr>
      </w:pPr>
      <w:r>
        <w:rPr>
          <w:rFonts w:hint="eastAsia" w:ascii="黑体" w:hAnsi="黑体" w:eastAsia="黑体"/>
        </w:rPr>
        <w:t>六、双方约定的其他工程质量保修事项：</w:t>
      </w:r>
    </w:p>
    <w:p w14:paraId="1D61DD64">
      <w:pPr>
        <w:spacing w:line="360" w:lineRule="auto"/>
        <w:ind w:firstLine="600"/>
        <w:rPr>
          <w:rFonts w:ascii="仿宋_GB2312" w:eastAsia="仿宋_GB2312"/>
        </w:rPr>
      </w:pPr>
      <w:r>
        <w:rPr>
          <w:rFonts w:hint="eastAsia" w:ascii="仿宋_GB2312" w:eastAsia="仿宋_GB2312"/>
        </w:rPr>
        <w:t>工程质量保修书由发包人、承包人在工程竣工验收前共同签署，作为工程总承包合同附件，其有效期限至保修期满。</w:t>
      </w:r>
    </w:p>
    <w:p w14:paraId="18987ACD">
      <w:pPr>
        <w:spacing w:line="360" w:lineRule="auto"/>
        <w:ind w:firstLine="600"/>
        <w:rPr>
          <w:rFonts w:ascii="仿宋_GB2312" w:eastAsia="仿宋_GB2312"/>
        </w:rPr>
      </w:pPr>
    </w:p>
    <w:p w14:paraId="6EE9EE83">
      <w:pPr>
        <w:spacing w:line="360" w:lineRule="auto"/>
        <w:ind w:firstLine="600"/>
        <w:rPr>
          <w:rFonts w:ascii="仿宋_GB2312" w:eastAsia="仿宋_GB2312"/>
        </w:rPr>
      </w:pPr>
      <w:r>
        <w:rPr>
          <w:rFonts w:hint="eastAsia" w:ascii="仿宋_GB2312" w:eastAsia="仿宋_GB2312"/>
        </w:rPr>
        <w:t xml:space="preserve">发包人(公章）：               承包人(公章）：          </w:t>
      </w:r>
    </w:p>
    <w:p w14:paraId="3E07882D">
      <w:pPr>
        <w:spacing w:line="360" w:lineRule="auto"/>
        <w:ind w:firstLine="600"/>
        <w:rPr>
          <w:rFonts w:ascii="仿宋_GB2312" w:eastAsia="仿宋_GB2312"/>
        </w:rPr>
      </w:pPr>
      <w:r>
        <w:rPr>
          <w:rFonts w:hint="eastAsia" w:ascii="仿宋_GB2312" w:eastAsia="仿宋_GB2312"/>
        </w:rPr>
        <w:t xml:space="preserve">地  址：                     地  址：       </w:t>
      </w:r>
    </w:p>
    <w:p w14:paraId="3555B77F">
      <w:pPr>
        <w:spacing w:line="360" w:lineRule="auto"/>
        <w:ind w:firstLine="600"/>
        <w:rPr>
          <w:rFonts w:ascii="仿宋_GB2312" w:eastAsia="仿宋_GB2312"/>
        </w:rPr>
      </w:pPr>
      <w:r>
        <w:rPr>
          <w:rFonts w:hint="eastAsia" w:ascii="仿宋_GB2312" w:eastAsia="仿宋_GB2312"/>
        </w:rPr>
        <w:t xml:space="preserve">法定代表人(签字）：           法定代表人(签字）：       </w:t>
      </w:r>
    </w:p>
    <w:p w14:paraId="681E0CA7">
      <w:pPr>
        <w:spacing w:line="360" w:lineRule="auto"/>
        <w:ind w:firstLine="600"/>
        <w:rPr>
          <w:rFonts w:ascii="仿宋_GB2312" w:eastAsia="仿宋_GB2312"/>
        </w:rPr>
      </w:pPr>
      <w:r>
        <w:rPr>
          <w:rFonts w:hint="eastAsia" w:ascii="仿宋_GB2312" w:eastAsia="仿宋_GB2312"/>
        </w:rPr>
        <w:t xml:space="preserve">委托代理人(签字）：           委托代理人(签字）：       </w:t>
      </w:r>
    </w:p>
    <w:p w14:paraId="53022A99">
      <w:pPr>
        <w:spacing w:line="360" w:lineRule="auto"/>
        <w:ind w:firstLine="600"/>
        <w:rPr>
          <w:rFonts w:ascii="仿宋_GB2312" w:eastAsia="仿宋_GB2312"/>
        </w:rPr>
      </w:pPr>
      <w:r>
        <w:rPr>
          <w:rFonts w:hint="eastAsia" w:ascii="仿宋_GB2312" w:eastAsia="仿宋_GB2312"/>
        </w:rPr>
        <w:t>电  话：                     电  话：</w:t>
      </w:r>
    </w:p>
    <w:p w14:paraId="4B7B9ECC">
      <w:pPr>
        <w:spacing w:line="360" w:lineRule="auto"/>
        <w:ind w:firstLine="600"/>
        <w:rPr>
          <w:rFonts w:ascii="仿宋_GB2312" w:eastAsia="仿宋_GB2312"/>
        </w:rPr>
      </w:pPr>
      <w:r>
        <w:rPr>
          <w:rFonts w:hint="eastAsia" w:ascii="仿宋_GB2312" w:eastAsia="仿宋_GB2312"/>
        </w:rPr>
        <w:t xml:space="preserve">传  真：                     传  真：  </w:t>
      </w:r>
    </w:p>
    <w:p w14:paraId="3D777345">
      <w:pPr>
        <w:spacing w:line="360" w:lineRule="auto"/>
        <w:ind w:firstLine="600"/>
        <w:rPr>
          <w:rFonts w:ascii="仿宋_GB2312" w:eastAsia="仿宋_GB2312"/>
        </w:rPr>
      </w:pPr>
      <w:r>
        <w:rPr>
          <w:rFonts w:hint="eastAsia" w:ascii="仿宋_GB2312" w:eastAsia="仿宋_GB2312"/>
        </w:rPr>
        <w:t>开户银行：                   开户银行：</w:t>
      </w:r>
    </w:p>
    <w:p w14:paraId="18709B08">
      <w:pPr>
        <w:spacing w:line="360" w:lineRule="auto"/>
        <w:ind w:firstLine="600"/>
        <w:rPr>
          <w:rFonts w:ascii="仿宋_GB2312" w:eastAsia="仿宋_GB2312"/>
        </w:rPr>
      </w:pPr>
      <w:r>
        <w:rPr>
          <w:rFonts w:hint="eastAsia" w:ascii="仿宋_GB2312" w:eastAsia="仿宋_GB2312"/>
        </w:rPr>
        <w:t xml:space="preserve">账  号：                     账  号： </w:t>
      </w:r>
    </w:p>
    <w:p w14:paraId="1440235F">
      <w:pPr>
        <w:spacing w:line="360" w:lineRule="auto"/>
        <w:ind w:firstLine="600"/>
        <w:rPr>
          <w:rFonts w:ascii="仿宋_GB2312" w:eastAsia="仿宋_GB2312"/>
        </w:rPr>
      </w:pPr>
      <w:r>
        <w:rPr>
          <w:rFonts w:hint="eastAsia" w:ascii="仿宋_GB2312" w:eastAsia="仿宋_GB2312"/>
        </w:rPr>
        <w:t xml:space="preserve">邮政编码：                   邮政编码：   </w:t>
      </w:r>
    </w:p>
    <w:p w14:paraId="4DF3B0A2">
      <w:pPr>
        <w:spacing w:line="360" w:lineRule="auto"/>
        <w:jc w:val="left"/>
      </w:pPr>
      <w:r>
        <w:br w:type="page"/>
      </w:r>
    </w:p>
    <w:p w14:paraId="4E6DE7FD">
      <w:pPr>
        <w:pStyle w:val="44"/>
        <w:numPr>
          <w:ilvl w:val="0"/>
          <w:numId w:val="0"/>
        </w:numPr>
        <w:rPr>
          <w:rFonts w:hint="eastAsia"/>
          <w:sz w:val="28"/>
          <w:szCs w:val="28"/>
        </w:rPr>
      </w:pPr>
      <w:bookmarkStart w:id="1860" w:name="_Toc20171896"/>
      <w:bookmarkEnd w:id="1860"/>
      <w:bookmarkStart w:id="1861" w:name="_Toc29097"/>
      <w:bookmarkEnd w:id="1861"/>
      <w:bookmarkStart w:id="1862" w:name="_Toc54862355"/>
      <w:bookmarkEnd w:id="1862"/>
      <w:bookmarkStart w:id="1863" w:name="_Toc1827"/>
      <w:bookmarkEnd w:id="1863"/>
      <w:r>
        <w:rPr>
          <w:rFonts w:hint="eastAsia"/>
          <w:sz w:val="28"/>
          <w:szCs w:val="28"/>
        </w:rPr>
        <w:t>附件4 主要建设工程文件目录</w:t>
      </w:r>
    </w:p>
    <w:tbl>
      <w:tblPr>
        <w:tblStyle w:val="25"/>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125"/>
        <w:gridCol w:w="1276"/>
        <w:gridCol w:w="1450"/>
        <w:gridCol w:w="1243"/>
        <w:gridCol w:w="1450"/>
        <w:gridCol w:w="1670"/>
      </w:tblGrid>
      <w:tr w14:paraId="7DBAD2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125" w:type="dxa"/>
            <w:tcBorders>
              <w:top w:val="single" w:color="auto" w:sz="12" w:space="0"/>
              <w:bottom w:val="double" w:color="auto" w:sz="6" w:space="0"/>
            </w:tcBorders>
            <w:vAlign w:val="center"/>
          </w:tcPr>
          <w:p w14:paraId="3D047EC9">
            <w:pPr>
              <w:pStyle w:val="8"/>
              <w:spacing w:line="360" w:lineRule="auto"/>
              <w:jc w:val="center"/>
              <w:rPr>
                <w:rFonts w:hint="eastAsia" w:ascii="仿宋_GB2312" w:hAnsi="宋体" w:eastAsia="仿宋_GB2312"/>
                <w:kern w:val="0"/>
                <w:sz w:val="21"/>
                <w:szCs w:val="21"/>
              </w:rPr>
            </w:pPr>
            <w:r>
              <w:rPr>
                <w:rFonts w:hint="eastAsia" w:ascii="仿宋_GB2312" w:hAnsi="宋体" w:eastAsia="仿宋_GB2312"/>
                <w:kern w:val="0"/>
                <w:sz w:val="21"/>
                <w:szCs w:val="21"/>
              </w:rPr>
              <w:t>文件名称</w:t>
            </w:r>
          </w:p>
        </w:tc>
        <w:tc>
          <w:tcPr>
            <w:tcW w:w="1276" w:type="dxa"/>
            <w:tcBorders>
              <w:top w:val="single" w:color="auto" w:sz="12" w:space="0"/>
              <w:bottom w:val="double" w:color="auto" w:sz="6" w:space="0"/>
            </w:tcBorders>
            <w:vAlign w:val="center"/>
          </w:tcPr>
          <w:p w14:paraId="303D29AE">
            <w:pPr>
              <w:pStyle w:val="8"/>
              <w:spacing w:line="360" w:lineRule="auto"/>
              <w:jc w:val="center"/>
              <w:rPr>
                <w:rFonts w:hint="eastAsia" w:ascii="仿宋_GB2312" w:hAnsi="宋体" w:eastAsia="仿宋_GB2312"/>
                <w:kern w:val="0"/>
                <w:sz w:val="21"/>
                <w:szCs w:val="21"/>
              </w:rPr>
            </w:pPr>
            <w:r>
              <w:rPr>
                <w:rFonts w:hint="eastAsia" w:ascii="仿宋_GB2312" w:hAnsi="宋体" w:eastAsia="仿宋_GB2312"/>
                <w:kern w:val="0"/>
                <w:sz w:val="21"/>
                <w:szCs w:val="21"/>
              </w:rPr>
              <w:t>套数</w:t>
            </w:r>
          </w:p>
        </w:tc>
        <w:tc>
          <w:tcPr>
            <w:tcW w:w="1450" w:type="dxa"/>
            <w:tcBorders>
              <w:top w:val="single" w:color="auto" w:sz="12" w:space="0"/>
              <w:bottom w:val="double" w:color="auto" w:sz="6" w:space="0"/>
            </w:tcBorders>
            <w:vAlign w:val="center"/>
          </w:tcPr>
          <w:p w14:paraId="7565BF29">
            <w:pPr>
              <w:pStyle w:val="8"/>
              <w:spacing w:line="360" w:lineRule="auto"/>
              <w:jc w:val="center"/>
              <w:rPr>
                <w:rFonts w:hint="eastAsia" w:ascii="仿宋_GB2312" w:hAnsi="宋体" w:eastAsia="仿宋_GB2312"/>
                <w:kern w:val="0"/>
                <w:sz w:val="21"/>
                <w:szCs w:val="21"/>
              </w:rPr>
            </w:pPr>
            <w:r>
              <w:rPr>
                <w:rFonts w:hint="eastAsia" w:ascii="仿宋_GB2312" w:hAnsi="宋体" w:eastAsia="仿宋_GB2312"/>
                <w:kern w:val="0"/>
                <w:sz w:val="21"/>
                <w:szCs w:val="21"/>
              </w:rPr>
              <w:t>费用（元）</w:t>
            </w:r>
          </w:p>
        </w:tc>
        <w:tc>
          <w:tcPr>
            <w:tcW w:w="1243" w:type="dxa"/>
            <w:tcBorders>
              <w:top w:val="single" w:color="auto" w:sz="12" w:space="0"/>
              <w:bottom w:val="double" w:color="auto" w:sz="6" w:space="0"/>
            </w:tcBorders>
            <w:vAlign w:val="center"/>
          </w:tcPr>
          <w:p w14:paraId="5AE669B5">
            <w:pPr>
              <w:pStyle w:val="8"/>
              <w:spacing w:line="360" w:lineRule="auto"/>
              <w:jc w:val="center"/>
              <w:rPr>
                <w:rFonts w:hint="eastAsia" w:ascii="仿宋_GB2312" w:hAnsi="宋体" w:eastAsia="仿宋_GB2312"/>
                <w:kern w:val="0"/>
                <w:sz w:val="21"/>
                <w:szCs w:val="21"/>
              </w:rPr>
            </w:pPr>
            <w:r>
              <w:rPr>
                <w:rFonts w:hint="eastAsia" w:ascii="仿宋_GB2312" w:hAnsi="宋体" w:eastAsia="仿宋_GB2312"/>
                <w:kern w:val="0"/>
                <w:sz w:val="21"/>
                <w:szCs w:val="21"/>
              </w:rPr>
              <w:t>质量</w:t>
            </w:r>
          </w:p>
        </w:tc>
        <w:tc>
          <w:tcPr>
            <w:tcW w:w="1450" w:type="dxa"/>
            <w:tcBorders>
              <w:top w:val="single" w:color="auto" w:sz="12" w:space="0"/>
              <w:bottom w:val="double" w:color="auto" w:sz="6" w:space="0"/>
            </w:tcBorders>
          </w:tcPr>
          <w:p w14:paraId="2D5DA092">
            <w:pPr>
              <w:spacing w:line="360" w:lineRule="auto"/>
              <w:jc w:val="center"/>
              <w:rPr>
                <w:rFonts w:ascii="仿宋_GB2312" w:eastAsia="仿宋_GB2312"/>
              </w:rPr>
            </w:pPr>
            <w:r>
              <w:rPr>
                <w:rFonts w:hint="eastAsia" w:ascii="仿宋_GB2312" w:eastAsia="仿宋_GB2312"/>
              </w:rPr>
              <w:t>移交时间</w:t>
            </w:r>
          </w:p>
        </w:tc>
        <w:tc>
          <w:tcPr>
            <w:tcW w:w="1670" w:type="dxa"/>
            <w:tcBorders>
              <w:top w:val="single" w:color="auto" w:sz="12" w:space="0"/>
              <w:bottom w:val="double" w:color="auto" w:sz="6" w:space="0"/>
            </w:tcBorders>
          </w:tcPr>
          <w:p w14:paraId="4E2FE49E">
            <w:pPr>
              <w:spacing w:line="360" w:lineRule="auto"/>
              <w:jc w:val="center"/>
              <w:rPr>
                <w:rFonts w:ascii="仿宋_GB2312" w:eastAsia="仿宋_GB2312"/>
              </w:rPr>
            </w:pPr>
            <w:r>
              <w:rPr>
                <w:rFonts w:hint="eastAsia" w:ascii="仿宋_GB2312" w:eastAsia="仿宋_GB2312"/>
              </w:rPr>
              <w:t>责任人</w:t>
            </w:r>
          </w:p>
        </w:tc>
      </w:tr>
      <w:tr w14:paraId="08883F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double" w:color="auto" w:sz="6" w:space="0"/>
              <w:bottom w:val="single" w:color="auto" w:sz="6" w:space="0"/>
            </w:tcBorders>
            <w:vAlign w:val="center"/>
          </w:tcPr>
          <w:p w14:paraId="74324470">
            <w:pPr>
              <w:pStyle w:val="8"/>
              <w:spacing w:line="360" w:lineRule="auto"/>
              <w:rPr>
                <w:rFonts w:hint="eastAsia" w:ascii="仿宋_GB2312" w:hAnsi="宋体" w:eastAsia="仿宋_GB2312"/>
                <w:kern w:val="0"/>
                <w:sz w:val="21"/>
                <w:szCs w:val="21"/>
              </w:rPr>
            </w:pPr>
          </w:p>
        </w:tc>
        <w:tc>
          <w:tcPr>
            <w:tcW w:w="1276" w:type="dxa"/>
            <w:tcBorders>
              <w:top w:val="double" w:color="auto" w:sz="6" w:space="0"/>
              <w:bottom w:val="single" w:color="auto" w:sz="6" w:space="0"/>
            </w:tcBorders>
            <w:vAlign w:val="center"/>
          </w:tcPr>
          <w:p w14:paraId="4D6E7AC9">
            <w:pPr>
              <w:pStyle w:val="8"/>
              <w:spacing w:line="360" w:lineRule="auto"/>
              <w:rPr>
                <w:rFonts w:hint="eastAsia" w:ascii="仿宋_GB2312" w:hAnsi="宋体" w:eastAsia="仿宋_GB2312"/>
                <w:kern w:val="0"/>
                <w:sz w:val="21"/>
                <w:szCs w:val="21"/>
              </w:rPr>
            </w:pPr>
          </w:p>
        </w:tc>
        <w:tc>
          <w:tcPr>
            <w:tcW w:w="1450" w:type="dxa"/>
            <w:tcBorders>
              <w:top w:val="double" w:color="auto" w:sz="6" w:space="0"/>
              <w:bottom w:val="single" w:color="auto" w:sz="6" w:space="0"/>
            </w:tcBorders>
            <w:vAlign w:val="center"/>
          </w:tcPr>
          <w:p w14:paraId="61C19AFE">
            <w:pPr>
              <w:pStyle w:val="8"/>
              <w:spacing w:line="360" w:lineRule="auto"/>
              <w:rPr>
                <w:rFonts w:hint="eastAsia" w:ascii="仿宋_GB2312" w:hAnsi="宋体" w:eastAsia="仿宋_GB2312"/>
                <w:kern w:val="0"/>
                <w:sz w:val="21"/>
                <w:szCs w:val="21"/>
              </w:rPr>
            </w:pPr>
          </w:p>
        </w:tc>
        <w:tc>
          <w:tcPr>
            <w:tcW w:w="1243" w:type="dxa"/>
            <w:tcBorders>
              <w:top w:val="double" w:color="auto" w:sz="6" w:space="0"/>
              <w:bottom w:val="single" w:color="auto" w:sz="6" w:space="0"/>
            </w:tcBorders>
            <w:vAlign w:val="center"/>
          </w:tcPr>
          <w:p w14:paraId="5D388068">
            <w:pPr>
              <w:pStyle w:val="8"/>
              <w:spacing w:line="360" w:lineRule="auto"/>
              <w:rPr>
                <w:rFonts w:hint="eastAsia" w:ascii="仿宋_GB2312" w:hAnsi="宋体" w:eastAsia="仿宋_GB2312"/>
                <w:kern w:val="0"/>
                <w:sz w:val="21"/>
                <w:szCs w:val="21"/>
              </w:rPr>
            </w:pPr>
          </w:p>
        </w:tc>
        <w:tc>
          <w:tcPr>
            <w:tcW w:w="1450" w:type="dxa"/>
            <w:tcBorders>
              <w:top w:val="double" w:color="auto" w:sz="6" w:space="0"/>
              <w:bottom w:val="single" w:color="auto" w:sz="6" w:space="0"/>
            </w:tcBorders>
            <w:vAlign w:val="center"/>
          </w:tcPr>
          <w:p w14:paraId="624877F0">
            <w:pPr>
              <w:pStyle w:val="8"/>
              <w:spacing w:line="360" w:lineRule="auto"/>
              <w:rPr>
                <w:rFonts w:hint="eastAsia" w:ascii="仿宋_GB2312" w:hAnsi="宋体" w:eastAsia="仿宋_GB2312"/>
                <w:kern w:val="0"/>
                <w:sz w:val="21"/>
                <w:szCs w:val="21"/>
              </w:rPr>
            </w:pPr>
          </w:p>
        </w:tc>
        <w:tc>
          <w:tcPr>
            <w:tcW w:w="1670" w:type="dxa"/>
            <w:tcBorders>
              <w:top w:val="double" w:color="auto" w:sz="6" w:space="0"/>
              <w:bottom w:val="single" w:color="auto" w:sz="6" w:space="0"/>
            </w:tcBorders>
            <w:vAlign w:val="center"/>
          </w:tcPr>
          <w:p w14:paraId="3548A485">
            <w:pPr>
              <w:pStyle w:val="8"/>
              <w:spacing w:line="360" w:lineRule="auto"/>
              <w:rPr>
                <w:rFonts w:hint="eastAsia" w:ascii="仿宋_GB2312" w:hAnsi="宋体" w:eastAsia="仿宋_GB2312"/>
                <w:kern w:val="0"/>
                <w:sz w:val="21"/>
                <w:szCs w:val="21"/>
              </w:rPr>
            </w:pPr>
          </w:p>
        </w:tc>
      </w:tr>
      <w:tr w14:paraId="081F1E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nil"/>
            </w:tcBorders>
            <w:vAlign w:val="center"/>
          </w:tcPr>
          <w:p w14:paraId="6807AF44">
            <w:pPr>
              <w:pStyle w:val="8"/>
              <w:spacing w:line="360" w:lineRule="auto"/>
              <w:rPr>
                <w:rFonts w:hint="eastAsia" w:ascii="仿宋_GB2312" w:hAnsi="宋体" w:eastAsia="仿宋_GB2312"/>
                <w:kern w:val="0"/>
                <w:sz w:val="21"/>
                <w:szCs w:val="21"/>
              </w:rPr>
            </w:pPr>
          </w:p>
        </w:tc>
        <w:tc>
          <w:tcPr>
            <w:tcW w:w="1276" w:type="dxa"/>
            <w:tcBorders>
              <w:top w:val="nil"/>
            </w:tcBorders>
            <w:vAlign w:val="center"/>
          </w:tcPr>
          <w:p w14:paraId="0AA07185">
            <w:pPr>
              <w:pStyle w:val="8"/>
              <w:spacing w:line="360" w:lineRule="auto"/>
              <w:rPr>
                <w:rFonts w:hint="eastAsia" w:ascii="仿宋_GB2312" w:hAnsi="宋体" w:eastAsia="仿宋_GB2312"/>
                <w:kern w:val="0"/>
                <w:sz w:val="21"/>
                <w:szCs w:val="21"/>
              </w:rPr>
            </w:pPr>
          </w:p>
        </w:tc>
        <w:tc>
          <w:tcPr>
            <w:tcW w:w="1450" w:type="dxa"/>
            <w:tcBorders>
              <w:top w:val="nil"/>
            </w:tcBorders>
            <w:vAlign w:val="center"/>
          </w:tcPr>
          <w:p w14:paraId="1F362193">
            <w:pPr>
              <w:pStyle w:val="8"/>
              <w:spacing w:line="360" w:lineRule="auto"/>
              <w:rPr>
                <w:rFonts w:hint="eastAsia" w:ascii="仿宋_GB2312" w:hAnsi="宋体" w:eastAsia="仿宋_GB2312"/>
                <w:kern w:val="0"/>
                <w:sz w:val="21"/>
                <w:szCs w:val="21"/>
              </w:rPr>
            </w:pPr>
          </w:p>
        </w:tc>
        <w:tc>
          <w:tcPr>
            <w:tcW w:w="1243" w:type="dxa"/>
            <w:tcBorders>
              <w:top w:val="nil"/>
            </w:tcBorders>
            <w:vAlign w:val="center"/>
          </w:tcPr>
          <w:p w14:paraId="71670F83">
            <w:pPr>
              <w:pStyle w:val="8"/>
              <w:spacing w:line="360" w:lineRule="auto"/>
              <w:rPr>
                <w:rFonts w:hint="eastAsia" w:ascii="仿宋_GB2312" w:hAnsi="宋体" w:eastAsia="仿宋_GB2312"/>
                <w:kern w:val="0"/>
                <w:sz w:val="21"/>
                <w:szCs w:val="21"/>
              </w:rPr>
            </w:pPr>
          </w:p>
        </w:tc>
        <w:tc>
          <w:tcPr>
            <w:tcW w:w="1450" w:type="dxa"/>
            <w:tcBorders>
              <w:top w:val="nil"/>
            </w:tcBorders>
            <w:vAlign w:val="center"/>
          </w:tcPr>
          <w:p w14:paraId="0D1004A6">
            <w:pPr>
              <w:pStyle w:val="8"/>
              <w:spacing w:line="360" w:lineRule="auto"/>
              <w:rPr>
                <w:rFonts w:hint="eastAsia" w:ascii="仿宋_GB2312" w:hAnsi="宋体" w:eastAsia="仿宋_GB2312"/>
                <w:kern w:val="0"/>
                <w:sz w:val="21"/>
                <w:szCs w:val="21"/>
              </w:rPr>
            </w:pPr>
          </w:p>
        </w:tc>
        <w:tc>
          <w:tcPr>
            <w:tcW w:w="1670" w:type="dxa"/>
            <w:tcBorders>
              <w:top w:val="nil"/>
            </w:tcBorders>
            <w:vAlign w:val="center"/>
          </w:tcPr>
          <w:p w14:paraId="4C900A06">
            <w:pPr>
              <w:pStyle w:val="8"/>
              <w:spacing w:line="360" w:lineRule="auto"/>
              <w:rPr>
                <w:rFonts w:hint="eastAsia" w:ascii="仿宋_GB2312" w:hAnsi="宋体" w:eastAsia="仿宋_GB2312"/>
                <w:kern w:val="0"/>
                <w:sz w:val="21"/>
                <w:szCs w:val="21"/>
              </w:rPr>
            </w:pPr>
          </w:p>
        </w:tc>
      </w:tr>
      <w:tr w14:paraId="7704C9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1227C447">
            <w:pPr>
              <w:pStyle w:val="8"/>
              <w:spacing w:line="360" w:lineRule="auto"/>
              <w:rPr>
                <w:rFonts w:hint="eastAsia" w:ascii="仿宋_GB2312" w:hAnsi="宋体" w:eastAsia="仿宋_GB2312"/>
                <w:kern w:val="0"/>
                <w:sz w:val="21"/>
                <w:szCs w:val="21"/>
              </w:rPr>
            </w:pPr>
          </w:p>
        </w:tc>
        <w:tc>
          <w:tcPr>
            <w:tcW w:w="1276" w:type="dxa"/>
            <w:vAlign w:val="center"/>
          </w:tcPr>
          <w:p w14:paraId="50F4B5F9">
            <w:pPr>
              <w:pStyle w:val="8"/>
              <w:spacing w:line="360" w:lineRule="auto"/>
              <w:rPr>
                <w:rFonts w:hint="eastAsia" w:ascii="仿宋_GB2312" w:hAnsi="宋体" w:eastAsia="仿宋_GB2312"/>
                <w:kern w:val="0"/>
                <w:sz w:val="21"/>
                <w:szCs w:val="21"/>
              </w:rPr>
            </w:pPr>
          </w:p>
        </w:tc>
        <w:tc>
          <w:tcPr>
            <w:tcW w:w="1450" w:type="dxa"/>
            <w:vAlign w:val="center"/>
          </w:tcPr>
          <w:p w14:paraId="14E366E2">
            <w:pPr>
              <w:pStyle w:val="8"/>
              <w:spacing w:line="360" w:lineRule="auto"/>
              <w:rPr>
                <w:rFonts w:hint="eastAsia" w:ascii="仿宋_GB2312" w:hAnsi="宋体" w:eastAsia="仿宋_GB2312"/>
                <w:kern w:val="0"/>
                <w:sz w:val="21"/>
                <w:szCs w:val="21"/>
              </w:rPr>
            </w:pPr>
          </w:p>
        </w:tc>
        <w:tc>
          <w:tcPr>
            <w:tcW w:w="1243" w:type="dxa"/>
            <w:vAlign w:val="center"/>
          </w:tcPr>
          <w:p w14:paraId="084BCBD8">
            <w:pPr>
              <w:pStyle w:val="8"/>
              <w:spacing w:line="360" w:lineRule="auto"/>
              <w:rPr>
                <w:rFonts w:hint="eastAsia" w:ascii="仿宋_GB2312" w:hAnsi="宋体" w:eastAsia="仿宋_GB2312"/>
                <w:kern w:val="0"/>
                <w:sz w:val="21"/>
                <w:szCs w:val="21"/>
              </w:rPr>
            </w:pPr>
          </w:p>
        </w:tc>
        <w:tc>
          <w:tcPr>
            <w:tcW w:w="1450" w:type="dxa"/>
            <w:vAlign w:val="center"/>
          </w:tcPr>
          <w:p w14:paraId="4AB66178">
            <w:pPr>
              <w:pStyle w:val="8"/>
              <w:spacing w:line="360" w:lineRule="auto"/>
              <w:rPr>
                <w:rFonts w:hint="eastAsia" w:ascii="仿宋_GB2312" w:hAnsi="宋体" w:eastAsia="仿宋_GB2312"/>
                <w:kern w:val="0"/>
                <w:sz w:val="21"/>
                <w:szCs w:val="21"/>
              </w:rPr>
            </w:pPr>
          </w:p>
        </w:tc>
        <w:tc>
          <w:tcPr>
            <w:tcW w:w="1670" w:type="dxa"/>
            <w:vAlign w:val="center"/>
          </w:tcPr>
          <w:p w14:paraId="1FE1FB8A">
            <w:pPr>
              <w:pStyle w:val="8"/>
              <w:spacing w:line="360" w:lineRule="auto"/>
              <w:rPr>
                <w:rFonts w:hint="eastAsia" w:ascii="仿宋_GB2312" w:hAnsi="宋体" w:eastAsia="仿宋_GB2312"/>
                <w:kern w:val="0"/>
                <w:sz w:val="21"/>
                <w:szCs w:val="21"/>
              </w:rPr>
            </w:pPr>
          </w:p>
        </w:tc>
      </w:tr>
      <w:tr w14:paraId="72B4CB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79E1DB8A">
            <w:pPr>
              <w:pStyle w:val="8"/>
              <w:spacing w:line="360" w:lineRule="auto"/>
              <w:rPr>
                <w:rFonts w:hint="eastAsia" w:ascii="仿宋_GB2312" w:hAnsi="宋体" w:eastAsia="仿宋_GB2312"/>
                <w:kern w:val="0"/>
                <w:sz w:val="21"/>
                <w:szCs w:val="21"/>
              </w:rPr>
            </w:pPr>
          </w:p>
        </w:tc>
        <w:tc>
          <w:tcPr>
            <w:tcW w:w="1276" w:type="dxa"/>
            <w:vAlign w:val="center"/>
          </w:tcPr>
          <w:p w14:paraId="4EA4D9A6">
            <w:pPr>
              <w:pStyle w:val="8"/>
              <w:spacing w:line="360" w:lineRule="auto"/>
              <w:rPr>
                <w:rFonts w:hint="eastAsia" w:ascii="仿宋_GB2312" w:hAnsi="宋体" w:eastAsia="仿宋_GB2312"/>
                <w:kern w:val="0"/>
                <w:sz w:val="21"/>
                <w:szCs w:val="21"/>
              </w:rPr>
            </w:pPr>
          </w:p>
        </w:tc>
        <w:tc>
          <w:tcPr>
            <w:tcW w:w="1450" w:type="dxa"/>
            <w:vAlign w:val="center"/>
          </w:tcPr>
          <w:p w14:paraId="47920ABB">
            <w:pPr>
              <w:pStyle w:val="8"/>
              <w:spacing w:line="360" w:lineRule="auto"/>
              <w:rPr>
                <w:rFonts w:hint="eastAsia" w:ascii="仿宋_GB2312" w:hAnsi="宋体" w:eastAsia="仿宋_GB2312"/>
                <w:kern w:val="0"/>
                <w:sz w:val="21"/>
                <w:szCs w:val="21"/>
              </w:rPr>
            </w:pPr>
          </w:p>
        </w:tc>
        <w:tc>
          <w:tcPr>
            <w:tcW w:w="1243" w:type="dxa"/>
            <w:vAlign w:val="center"/>
          </w:tcPr>
          <w:p w14:paraId="547C325B">
            <w:pPr>
              <w:pStyle w:val="8"/>
              <w:spacing w:line="360" w:lineRule="auto"/>
              <w:rPr>
                <w:rFonts w:hint="eastAsia" w:ascii="仿宋_GB2312" w:hAnsi="宋体" w:eastAsia="仿宋_GB2312"/>
                <w:kern w:val="0"/>
                <w:sz w:val="21"/>
                <w:szCs w:val="21"/>
              </w:rPr>
            </w:pPr>
          </w:p>
        </w:tc>
        <w:tc>
          <w:tcPr>
            <w:tcW w:w="1450" w:type="dxa"/>
            <w:vAlign w:val="center"/>
          </w:tcPr>
          <w:p w14:paraId="0FA18E9F">
            <w:pPr>
              <w:pStyle w:val="8"/>
              <w:spacing w:line="360" w:lineRule="auto"/>
              <w:rPr>
                <w:rFonts w:hint="eastAsia" w:ascii="仿宋_GB2312" w:hAnsi="宋体" w:eastAsia="仿宋_GB2312"/>
                <w:kern w:val="0"/>
                <w:sz w:val="21"/>
                <w:szCs w:val="21"/>
              </w:rPr>
            </w:pPr>
          </w:p>
        </w:tc>
        <w:tc>
          <w:tcPr>
            <w:tcW w:w="1670" w:type="dxa"/>
            <w:vAlign w:val="center"/>
          </w:tcPr>
          <w:p w14:paraId="12C28317">
            <w:pPr>
              <w:pStyle w:val="8"/>
              <w:spacing w:line="360" w:lineRule="auto"/>
              <w:rPr>
                <w:rFonts w:hint="eastAsia" w:ascii="仿宋_GB2312" w:hAnsi="宋体" w:eastAsia="仿宋_GB2312"/>
                <w:kern w:val="0"/>
                <w:sz w:val="21"/>
                <w:szCs w:val="21"/>
              </w:rPr>
            </w:pPr>
          </w:p>
        </w:tc>
      </w:tr>
      <w:tr w14:paraId="6F65AD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2006702E">
            <w:pPr>
              <w:pStyle w:val="8"/>
              <w:spacing w:line="360" w:lineRule="auto"/>
              <w:rPr>
                <w:rFonts w:hint="eastAsia" w:ascii="仿宋_GB2312" w:hAnsi="宋体" w:eastAsia="仿宋_GB2312"/>
                <w:kern w:val="0"/>
                <w:sz w:val="21"/>
                <w:szCs w:val="21"/>
              </w:rPr>
            </w:pPr>
          </w:p>
        </w:tc>
        <w:tc>
          <w:tcPr>
            <w:tcW w:w="1276" w:type="dxa"/>
            <w:vAlign w:val="center"/>
          </w:tcPr>
          <w:p w14:paraId="5C833BB9">
            <w:pPr>
              <w:pStyle w:val="8"/>
              <w:spacing w:line="360" w:lineRule="auto"/>
              <w:rPr>
                <w:rFonts w:hint="eastAsia" w:ascii="仿宋_GB2312" w:hAnsi="宋体" w:eastAsia="仿宋_GB2312"/>
                <w:kern w:val="0"/>
                <w:sz w:val="21"/>
                <w:szCs w:val="21"/>
              </w:rPr>
            </w:pPr>
          </w:p>
        </w:tc>
        <w:tc>
          <w:tcPr>
            <w:tcW w:w="1450" w:type="dxa"/>
            <w:vAlign w:val="center"/>
          </w:tcPr>
          <w:p w14:paraId="252D6AEC">
            <w:pPr>
              <w:pStyle w:val="8"/>
              <w:spacing w:line="360" w:lineRule="auto"/>
              <w:rPr>
                <w:rFonts w:hint="eastAsia" w:ascii="仿宋_GB2312" w:hAnsi="宋体" w:eastAsia="仿宋_GB2312"/>
                <w:kern w:val="0"/>
                <w:sz w:val="21"/>
                <w:szCs w:val="21"/>
              </w:rPr>
            </w:pPr>
          </w:p>
        </w:tc>
        <w:tc>
          <w:tcPr>
            <w:tcW w:w="1243" w:type="dxa"/>
            <w:vAlign w:val="center"/>
          </w:tcPr>
          <w:p w14:paraId="6152E59A">
            <w:pPr>
              <w:pStyle w:val="8"/>
              <w:spacing w:line="360" w:lineRule="auto"/>
              <w:rPr>
                <w:rFonts w:hint="eastAsia" w:ascii="仿宋_GB2312" w:hAnsi="宋体" w:eastAsia="仿宋_GB2312"/>
                <w:kern w:val="0"/>
                <w:sz w:val="21"/>
                <w:szCs w:val="21"/>
              </w:rPr>
            </w:pPr>
          </w:p>
        </w:tc>
        <w:tc>
          <w:tcPr>
            <w:tcW w:w="1450" w:type="dxa"/>
            <w:vAlign w:val="center"/>
          </w:tcPr>
          <w:p w14:paraId="2AD67F61">
            <w:pPr>
              <w:pStyle w:val="8"/>
              <w:spacing w:line="360" w:lineRule="auto"/>
              <w:rPr>
                <w:rFonts w:hint="eastAsia" w:ascii="仿宋_GB2312" w:hAnsi="宋体" w:eastAsia="仿宋_GB2312"/>
                <w:kern w:val="0"/>
                <w:sz w:val="21"/>
                <w:szCs w:val="21"/>
              </w:rPr>
            </w:pPr>
          </w:p>
        </w:tc>
        <w:tc>
          <w:tcPr>
            <w:tcW w:w="1670" w:type="dxa"/>
            <w:vAlign w:val="center"/>
          </w:tcPr>
          <w:p w14:paraId="69FC17CE">
            <w:pPr>
              <w:pStyle w:val="8"/>
              <w:spacing w:line="360" w:lineRule="auto"/>
              <w:rPr>
                <w:rFonts w:hint="eastAsia" w:ascii="仿宋_GB2312" w:hAnsi="宋体" w:eastAsia="仿宋_GB2312"/>
                <w:kern w:val="0"/>
                <w:sz w:val="21"/>
                <w:szCs w:val="21"/>
              </w:rPr>
            </w:pPr>
          </w:p>
        </w:tc>
      </w:tr>
      <w:tr w14:paraId="5FAD2B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600A1BDC">
            <w:pPr>
              <w:pStyle w:val="8"/>
              <w:spacing w:line="360" w:lineRule="auto"/>
              <w:rPr>
                <w:rFonts w:hint="eastAsia" w:ascii="仿宋_GB2312" w:hAnsi="宋体" w:eastAsia="仿宋_GB2312"/>
                <w:kern w:val="0"/>
                <w:sz w:val="21"/>
                <w:szCs w:val="21"/>
              </w:rPr>
            </w:pPr>
          </w:p>
        </w:tc>
        <w:tc>
          <w:tcPr>
            <w:tcW w:w="1276" w:type="dxa"/>
            <w:vAlign w:val="center"/>
          </w:tcPr>
          <w:p w14:paraId="698C8136">
            <w:pPr>
              <w:pStyle w:val="8"/>
              <w:spacing w:line="360" w:lineRule="auto"/>
              <w:rPr>
                <w:rFonts w:hint="eastAsia" w:ascii="仿宋_GB2312" w:hAnsi="宋体" w:eastAsia="仿宋_GB2312"/>
                <w:kern w:val="0"/>
                <w:sz w:val="21"/>
                <w:szCs w:val="21"/>
              </w:rPr>
            </w:pPr>
          </w:p>
        </w:tc>
        <w:tc>
          <w:tcPr>
            <w:tcW w:w="1450" w:type="dxa"/>
            <w:vAlign w:val="center"/>
          </w:tcPr>
          <w:p w14:paraId="497B033D">
            <w:pPr>
              <w:pStyle w:val="8"/>
              <w:spacing w:line="360" w:lineRule="auto"/>
              <w:rPr>
                <w:rFonts w:hint="eastAsia" w:ascii="仿宋_GB2312" w:hAnsi="宋体" w:eastAsia="仿宋_GB2312"/>
                <w:kern w:val="0"/>
                <w:sz w:val="21"/>
                <w:szCs w:val="21"/>
              </w:rPr>
            </w:pPr>
          </w:p>
        </w:tc>
        <w:tc>
          <w:tcPr>
            <w:tcW w:w="1243" w:type="dxa"/>
            <w:vAlign w:val="center"/>
          </w:tcPr>
          <w:p w14:paraId="590048E3">
            <w:pPr>
              <w:pStyle w:val="8"/>
              <w:spacing w:line="360" w:lineRule="auto"/>
              <w:rPr>
                <w:rFonts w:hint="eastAsia" w:ascii="仿宋_GB2312" w:hAnsi="宋体" w:eastAsia="仿宋_GB2312"/>
                <w:kern w:val="0"/>
                <w:sz w:val="21"/>
                <w:szCs w:val="21"/>
              </w:rPr>
            </w:pPr>
          </w:p>
        </w:tc>
        <w:tc>
          <w:tcPr>
            <w:tcW w:w="1450" w:type="dxa"/>
            <w:vAlign w:val="center"/>
          </w:tcPr>
          <w:p w14:paraId="0D686A72">
            <w:pPr>
              <w:pStyle w:val="8"/>
              <w:spacing w:line="360" w:lineRule="auto"/>
              <w:rPr>
                <w:rFonts w:hint="eastAsia" w:ascii="仿宋_GB2312" w:hAnsi="宋体" w:eastAsia="仿宋_GB2312"/>
                <w:kern w:val="0"/>
                <w:sz w:val="21"/>
                <w:szCs w:val="21"/>
              </w:rPr>
            </w:pPr>
          </w:p>
        </w:tc>
        <w:tc>
          <w:tcPr>
            <w:tcW w:w="1670" w:type="dxa"/>
            <w:vAlign w:val="center"/>
          </w:tcPr>
          <w:p w14:paraId="0BC002FD">
            <w:pPr>
              <w:pStyle w:val="8"/>
              <w:spacing w:line="360" w:lineRule="auto"/>
              <w:rPr>
                <w:rFonts w:hint="eastAsia" w:ascii="仿宋_GB2312" w:hAnsi="宋体" w:eastAsia="仿宋_GB2312"/>
                <w:kern w:val="0"/>
                <w:sz w:val="21"/>
                <w:szCs w:val="21"/>
              </w:rPr>
            </w:pPr>
          </w:p>
        </w:tc>
      </w:tr>
      <w:tr w14:paraId="063096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22A815B5">
            <w:pPr>
              <w:pStyle w:val="8"/>
              <w:spacing w:line="360" w:lineRule="auto"/>
              <w:rPr>
                <w:rFonts w:hint="eastAsia" w:ascii="仿宋_GB2312" w:hAnsi="宋体" w:eastAsia="仿宋_GB2312"/>
                <w:kern w:val="0"/>
                <w:sz w:val="21"/>
                <w:szCs w:val="21"/>
              </w:rPr>
            </w:pPr>
          </w:p>
        </w:tc>
        <w:tc>
          <w:tcPr>
            <w:tcW w:w="1276" w:type="dxa"/>
            <w:vAlign w:val="center"/>
          </w:tcPr>
          <w:p w14:paraId="570AE274">
            <w:pPr>
              <w:pStyle w:val="8"/>
              <w:spacing w:line="360" w:lineRule="auto"/>
              <w:rPr>
                <w:rFonts w:hint="eastAsia" w:ascii="仿宋_GB2312" w:hAnsi="宋体" w:eastAsia="仿宋_GB2312"/>
                <w:kern w:val="0"/>
                <w:sz w:val="21"/>
                <w:szCs w:val="21"/>
              </w:rPr>
            </w:pPr>
          </w:p>
        </w:tc>
        <w:tc>
          <w:tcPr>
            <w:tcW w:w="1450" w:type="dxa"/>
            <w:vAlign w:val="center"/>
          </w:tcPr>
          <w:p w14:paraId="379CD9F3">
            <w:pPr>
              <w:pStyle w:val="8"/>
              <w:spacing w:line="360" w:lineRule="auto"/>
              <w:rPr>
                <w:rFonts w:hint="eastAsia" w:ascii="仿宋_GB2312" w:hAnsi="宋体" w:eastAsia="仿宋_GB2312"/>
                <w:kern w:val="0"/>
                <w:sz w:val="21"/>
                <w:szCs w:val="21"/>
              </w:rPr>
            </w:pPr>
          </w:p>
        </w:tc>
        <w:tc>
          <w:tcPr>
            <w:tcW w:w="1243" w:type="dxa"/>
            <w:vAlign w:val="center"/>
          </w:tcPr>
          <w:p w14:paraId="55884812">
            <w:pPr>
              <w:pStyle w:val="8"/>
              <w:spacing w:line="360" w:lineRule="auto"/>
              <w:rPr>
                <w:rFonts w:hint="eastAsia" w:ascii="仿宋_GB2312" w:hAnsi="宋体" w:eastAsia="仿宋_GB2312"/>
                <w:kern w:val="0"/>
                <w:sz w:val="21"/>
                <w:szCs w:val="21"/>
              </w:rPr>
            </w:pPr>
          </w:p>
        </w:tc>
        <w:tc>
          <w:tcPr>
            <w:tcW w:w="1450" w:type="dxa"/>
            <w:vAlign w:val="center"/>
          </w:tcPr>
          <w:p w14:paraId="2575DD6F">
            <w:pPr>
              <w:pStyle w:val="8"/>
              <w:spacing w:line="360" w:lineRule="auto"/>
              <w:rPr>
                <w:rFonts w:hint="eastAsia" w:ascii="仿宋_GB2312" w:hAnsi="宋体" w:eastAsia="仿宋_GB2312"/>
                <w:kern w:val="0"/>
                <w:sz w:val="21"/>
                <w:szCs w:val="21"/>
              </w:rPr>
            </w:pPr>
          </w:p>
        </w:tc>
        <w:tc>
          <w:tcPr>
            <w:tcW w:w="1670" w:type="dxa"/>
            <w:vAlign w:val="center"/>
          </w:tcPr>
          <w:p w14:paraId="485BEA36">
            <w:pPr>
              <w:pStyle w:val="8"/>
              <w:spacing w:line="360" w:lineRule="auto"/>
              <w:rPr>
                <w:rFonts w:hint="eastAsia" w:ascii="仿宋_GB2312" w:hAnsi="宋体" w:eastAsia="仿宋_GB2312"/>
                <w:kern w:val="0"/>
                <w:sz w:val="21"/>
                <w:szCs w:val="21"/>
              </w:rPr>
            </w:pPr>
          </w:p>
        </w:tc>
      </w:tr>
      <w:tr w14:paraId="7D0ED2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41480014">
            <w:pPr>
              <w:pStyle w:val="8"/>
              <w:spacing w:line="360" w:lineRule="auto"/>
              <w:rPr>
                <w:rFonts w:hint="eastAsia" w:ascii="仿宋_GB2312" w:hAnsi="宋体" w:eastAsia="仿宋_GB2312"/>
                <w:kern w:val="0"/>
                <w:sz w:val="21"/>
                <w:szCs w:val="21"/>
              </w:rPr>
            </w:pPr>
          </w:p>
        </w:tc>
        <w:tc>
          <w:tcPr>
            <w:tcW w:w="1276" w:type="dxa"/>
            <w:vAlign w:val="center"/>
          </w:tcPr>
          <w:p w14:paraId="7A7F629A">
            <w:pPr>
              <w:pStyle w:val="8"/>
              <w:spacing w:line="360" w:lineRule="auto"/>
              <w:rPr>
                <w:rFonts w:hint="eastAsia" w:ascii="仿宋_GB2312" w:hAnsi="宋体" w:eastAsia="仿宋_GB2312"/>
                <w:kern w:val="0"/>
                <w:sz w:val="21"/>
                <w:szCs w:val="21"/>
              </w:rPr>
            </w:pPr>
          </w:p>
        </w:tc>
        <w:tc>
          <w:tcPr>
            <w:tcW w:w="1450" w:type="dxa"/>
            <w:vAlign w:val="center"/>
          </w:tcPr>
          <w:p w14:paraId="6562110C">
            <w:pPr>
              <w:pStyle w:val="8"/>
              <w:spacing w:line="360" w:lineRule="auto"/>
              <w:rPr>
                <w:rFonts w:hint="eastAsia" w:ascii="仿宋_GB2312" w:hAnsi="宋体" w:eastAsia="仿宋_GB2312"/>
                <w:kern w:val="0"/>
                <w:sz w:val="21"/>
                <w:szCs w:val="21"/>
              </w:rPr>
            </w:pPr>
          </w:p>
        </w:tc>
        <w:tc>
          <w:tcPr>
            <w:tcW w:w="1243" w:type="dxa"/>
            <w:vAlign w:val="center"/>
          </w:tcPr>
          <w:p w14:paraId="34597927">
            <w:pPr>
              <w:pStyle w:val="8"/>
              <w:spacing w:line="360" w:lineRule="auto"/>
              <w:rPr>
                <w:rFonts w:hint="eastAsia" w:ascii="仿宋_GB2312" w:hAnsi="宋体" w:eastAsia="仿宋_GB2312"/>
                <w:kern w:val="0"/>
                <w:sz w:val="21"/>
                <w:szCs w:val="21"/>
              </w:rPr>
            </w:pPr>
          </w:p>
        </w:tc>
        <w:tc>
          <w:tcPr>
            <w:tcW w:w="1450" w:type="dxa"/>
            <w:vAlign w:val="center"/>
          </w:tcPr>
          <w:p w14:paraId="59FFF52D">
            <w:pPr>
              <w:pStyle w:val="8"/>
              <w:spacing w:line="360" w:lineRule="auto"/>
              <w:rPr>
                <w:rFonts w:hint="eastAsia" w:ascii="仿宋_GB2312" w:hAnsi="宋体" w:eastAsia="仿宋_GB2312"/>
                <w:kern w:val="0"/>
                <w:sz w:val="21"/>
                <w:szCs w:val="21"/>
              </w:rPr>
            </w:pPr>
          </w:p>
        </w:tc>
        <w:tc>
          <w:tcPr>
            <w:tcW w:w="1670" w:type="dxa"/>
            <w:vAlign w:val="center"/>
          </w:tcPr>
          <w:p w14:paraId="69F74231">
            <w:pPr>
              <w:pStyle w:val="8"/>
              <w:spacing w:line="360" w:lineRule="auto"/>
              <w:rPr>
                <w:rFonts w:hint="eastAsia" w:ascii="仿宋_GB2312" w:hAnsi="宋体" w:eastAsia="仿宋_GB2312"/>
                <w:kern w:val="0"/>
                <w:sz w:val="21"/>
                <w:szCs w:val="21"/>
              </w:rPr>
            </w:pPr>
          </w:p>
        </w:tc>
      </w:tr>
      <w:tr w14:paraId="05D3FF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229DD78C">
            <w:pPr>
              <w:spacing w:line="360" w:lineRule="auto"/>
              <w:rPr>
                <w:rFonts w:ascii="仿宋_GB2312" w:eastAsia="仿宋_GB2312"/>
              </w:rPr>
            </w:pPr>
          </w:p>
        </w:tc>
        <w:tc>
          <w:tcPr>
            <w:tcW w:w="1276" w:type="dxa"/>
          </w:tcPr>
          <w:p w14:paraId="0CF34FF9">
            <w:pPr>
              <w:spacing w:line="360" w:lineRule="auto"/>
              <w:rPr>
                <w:rFonts w:ascii="仿宋_GB2312" w:eastAsia="仿宋_GB2312"/>
              </w:rPr>
            </w:pPr>
          </w:p>
        </w:tc>
        <w:tc>
          <w:tcPr>
            <w:tcW w:w="1450" w:type="dxa"/>
          </w:tcPr>
          <w:p w14:paraId="3D12898B">
            <w:pPr>
              <w:spacing w:line="360" w:lineRule="auto"/>
              <w:rPr>
                <w:rFonts w:ascii="仿宋_GB2312" w:eastAsia="仿宋_GB2312"/>
              </w:rPr>
            </w:pPr>
          </w:p>
        </w:tc>
        <w:tc>
          <w:tcPr>
            <w:tcW w:w="1243" w:type="dxa"/>
          </w:tcPr>
          <w:p w14:paraId="0540B506">
            <w:pPr>
              <w:spacing w:line="360" w:lineRule="auto"/>
              <w:rPr>
                <w:rFonts w:ascii="仿宋_GB2312" w:eastAsia="仿宋_GB2312"/>
              </w:rPr>
            </w:pPr>
          </w:p>
        </w:tc>
        <w:tc>
          <w:tcPr>
            <w:tcW w:w="1450" w:type="dxa"/>
          </w:tcPr>
          <w:p w14:paraId="15F1C37F">
            <w:pPr>
              <w:spacing w:line="360" w:lineRule="auto"/>
              <w:rPr>
                <w:rFonts w:ascii="仿宋_GB2312" w:eastAsia="仿宋_GB2312"/>
              </w:rPr>
            </w:pPr>
          </w:p>
        </w:tc>
        <w:tc>
          <w:tcPr>
            <w:tcW w:w="1670" w:type="dxa"/>
          </w:tcPr>
          <w:p w14:paraId="7C8854B3">
            <w:pPr>
              <w:spacing w:line="360" w:lineRule="auto"/>
              <w:rPr>
                <w:rFonts w:ascii="仿宋_GB2312" w:eastAsia="仿宋_GB2312"/>
              </w:rPr>
            </w:pPr>
          </w:p>
        </w:tc>
      </w:tr>
      <w:tr w14:paraId="4C16D3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vAlign w:val="center"/>
          </w:tcPr>
          <w:p w14:paraId="4D20CFE1">
            <w:pPr>
              <w:pStyle w:val="8"/>
              <w:spacing w:line="360" w:lineRule="auto"/>
              <w:rPr>
                <w:rFonts w:hint="eastAsia" w:ascii="仿宋_GB2312" w:hAnsi="宋体" w:eastAsia="仿宋_GB2312"/>
                <w:kern w:val="0"/>
                <w:sz w:val="21"/>
                <w:szCs w:val="21"/>
              </w:rPr>
            </w:pPr>
          </w:p>
        </w:tc>
        <w:tc>
          <w:tcPr>
            <w:tcW w:w="1276" w:type="dxa"/>
            <w:vAlign w:val="center"/>
          </w:tcPr>
          <w:p w14:paraId="6DBCAE5B">
            <w:pPr>
              <w:pStyle w:val="8"/>
              <w:spacing w:line="360" w:lineRule="auto"/>
              <w:rPr>
                <w:rFonts w:hint="eastAsia" w:ascii="仿宋_GB2312" w:hAnsi="宋体" w:eastAsia="仿宋_GB2312"/>
                <w:kern w:val="0"/>
                <w:sz w:val="21"/>
                <w:szCs w:val="21"/>
              </w:rPr>
            </w:pPr>
          </w:p>
        </w:tc>
        <w:tc>
          <w:tcPr>
            <w:tcW w:w="1450" w:type="dxa"/>
            <w:vAlign w:val="center"/>
          </w:tcPr>
          <w:p w14:paraId="52FB2488">
            <w:pPr>
              <w:pStyle w:val="8"/>
              <w:spacing w:line="360" w:lineRule="auto"/>
              <w:rPr>
                <w:rFonts w:hint="eastAsia" w:ascii="仿宋_GB2312" w:hAnsi="宋体" w:eastAsia="仿宋_GB2312"/>
                <w:kern w:val="0"/>
                <w:sz w:val="21"/>
                <w:szCs w:val="21"/>
              </w:rPr>
            </w:pPr>
          </w:p>
        </w:tc>
        <w:tc>
          <w:tcPr>
            <w:tcW w:w="1243" w:type="dxa"/>
            <w:vAlign w:val="center"/>
          </w:tcPr>
          <w:p w14:paraId="6E2CFC04">
            <w:pPr>
              <w:pStyle w:val="8"/>
              <w:spacing w:line="360" w:lineRule="auto"/>
              <w:rPr>
                <w:rFonts w:hint="eastAsia" w:ascii="仿宋_GB2312" w:hAnsi="宋体" w:eastAsia="仿宋_GB2312"/>
                <w:kern w:val="0"/>
                <w:sz w:val="21"/>
                <w:szCs w:val="21"/>
              </w:rPr>
            </w:pPr>
          </w:p>
        </w:tc>
        <w:tc>
          <w:tcPr>
            <w:tcW w:w="1450" w:type="dxa"/>
            <w:vAlign w:val="center"/>
          </w:tcPr>
          <w:p w14:paraId="00DB7061">
            <w:pPr>
              <w:pStyle w:val="8"/>
              <w:spacing w:line="360" w:lineRule="auto"/>
              <w:rPr>
                <w:rFonts w:hint="eastAsia" w:ascii="仿宋_GB2312" w:hAnsi="宋体" w:eastAsia="仿宋_GB2312"/>
                <w:kern w:val="0"/>
                <w:sz w:val="21"/>
                <w:szCs w:val="21"/>
              </w:rPr>
            </w:pPr>
          </w:p>
        </w:tc>
        <w:tc>
          <w:tcPr>
            <w:tcW w:w="1670" w:type="dxa"/>
            <w:vAlign w:val="center"/>
          </w:tcPr>
          <w:p w14:paraId="0A26329E">
            <w:pPr>
              <w:pStyle w:val="8"/>
              <w:spacing w:line="360" w:lineRule="auto"/>
              <w:rPr>
                <w:rFonts w:hint="eastAsia" w:ascii="仿宋_GB2312" w:hAnsi="宋体" w:eastAsia="仿宋_GB2312"/>
                <w:kern w:val="0"/>
                <w:sz w:val="21"/>
                <w:szCs w:val="21"/>
              </w:rPr>
            </w:pPr>
          </w:p>
        </w:tc>
      </w:tr>
      <w:tr w14:paraId="636A8A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116F8EFE">
            <w:pPr>
              <w:spacing w:line="360" w:lineRule="auto"/>
              <w:rPr>
                <w:rFonts w:ascii="仿宋_GB2312" w:eastAsia="仿宋_GB2312"/>
              </w:rPr>
            </w:pPr>
          </w:p>
        </w:tc>
        <w:tc>
          <w:tcPr>
            <w:tcW w:w="1276" w:type="dxa"/>
          </w:tcPr>
          <w:p w14:paraId="7C1E54A5">
            <w:pPr>
              <w:spacing w:line="360" w:lineRule="auto"/>
              <w:rPr>
                <w:rFonts w:ascii="仿宋_GB2312" w:eastAsia="仿宋_GB2312"/>
              </w:rPr>
            </w:pPr>
          </w:p>
        </w:tc>
        <w:tc>
          <w:tcPr>
            <w:tcW w:w="1450" w:type="dxa"/>
          </w:tcPr>
          <w:p w14:paraId="3357AFDC">
            <w:pPr>
              <w:spacing w:line="360" w:lineRule="auto"/>
              <w:rPr>
                <w:rFonts w:ascii="仿宋_GB2312" w:eastAsia="仿宋_GB2312"/>
              </w:rPr>
            </w:pPr>
          </w:p>
        </w:tc>
        <w:tc>
          <w:tcPr>
            <w:tcW w:w="1243" w:type="dxa"/>
          </w:tcPr>
          <w:p w14:paraId="5C069C5C">
            <w:pPr>
              <w:spacing w:line="360" w:lineRule="auto"/>
              <w:rPr>
                <w:rFonts w:ascii="仿宋_GB2312" w:eastAsia="仿宋_GB2312"/>
              </w:rPr>
            </w:pPr>
          </w:p>
        </w:tc>
        <w:tc>
          <w:tcPr>
            <w:tcW w:w="1450" w:type="dxa"/>
          </w:tcPr>
          <w:p w14:paraId="66A62A23">
            <w:pPr>
              <w:spacing w:line="360" w:lineRule="auto"/>
              <w:rPr>
                <w:rFonts w:ascii="仿宋_GB2312" w:eastAsia="仿宋_GB2312"/>
              </w:rPr>
            </w:pPr>
          </w:p>
        </w:tc>
        <w:tc>
          <w:tcPr>
            <w:tcW w:w="1670" w:type="dxa"/>
          </w:tcPr>
          <w:p w14:paraId="2E2B4A2E">
            <w:pPr>
              <w:spacing w:line="360" w:lineRule="auto"/>
              <w:rPr>
                <w:rFonts w:ascii="仿宋_GB2312" w:eastAsia="仿宋_GB2312"/>
              </w:rPr>
            </w:pPr>
          </w:p>
        </w:tc>
      </w:tr>
      <w:tr w14:paraId="17559D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292A3E92">
            <w:pPr>
              <w:spacing w:line="360" w:lineRule="auto"/>
              <w:rPr>
                <w:rFonts w:ascii="仿宋_GB2312" w:eastAsia="仿宋_GB2312"/>
              </w:rPr>
            </w:pPr>
          </w:p>
        </w:tc>
        <w:tc>
          <w:tcPr>
            <w:tcW w:w="1276" w:type="dxa"/>
          </w:tcPr>
          <w:p w14:paraId="333AFFB0">
            <w:pPr>
              <w:spacing w:line="360" w:lineRule="auto"/>
              <w:rPr>
                <w:rFonts w:ascii="仿宋_GB2312" w:eastAsia="仿宋_GB2312"/>
              </w:rPr>
            </w:pPr>
          </w:p>
        </w:tc>
        <w:tc>
          <w:tcPr>
            <w:tcW w:w="1450" w:type="dxa"/>
          </w:tcPr>
          <w:p w14:paraId="23A22DD9">
            <w:pPr>
              <w:spacing w:line="360" w:lineRule="auto"/>
              <w:rPr>
                <w:rFonts w:ascii="仿宋_GB2312" w:eastAsia="仿宋_GB2312"/>
              </w:rPr>
            </w:pPr>
          </w:p>
        </w:tc>
        <w:tc>
          <w:tcPr>
            <w:tcW w:w="1243" w:type="dxa"/>
          </w:tcPr>
          <w:p w14:paraId="21667EDA">
            <w:pPr>
              <w:spacing w:line="360" w:lineRule="auto"/>
              <w:rPr>
                <w:rFonts w:ascii="仿宋_GB2312" w:eastAsia="仿宋_GB2312"/>
              </w:rPr>
            </w:pPr>
          </w:p>
        </w:tc>
        <w:tc>
          <w:tcPr>
            <w:tcW w:w="1450" w:type="dxa"/>
          </w:tcPr>
          <w:p w14:paraId="3EA49753">
            <w:pPr>
              <w:spacing w:line="360" w:lineRule="auto"/>
              <w:rPr>
                <w:rFonts w:ascii="仿宋_GB2312" w:eastAsia="仿宋_GB2312"/>
              </w:rPr>
            </w:pPr>
          </w:p>
        </w:tc>
        <w:tc>
          <w:tcPr>
            <w:tcW w:w="1670" w:type="dxa"/>
          </w:tcPr>
          <w:p w14:paraId="26362E23">
            <w:pPr>
              <w:spacing w:line="360" w:lineRule="auto"/>
              <w:rPr>
                <w:rFonts w:ascii="仿宋_GB2312" w:eastAsia="仿宋_GB2312"/>
              </w:rPr>
            </w:pPr>
          </w:p>
        </w:tc>
      </w:tr>
      <w:tr w14:paraId="41908B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291BFC21">
            <w:pPr>
              <w:spacing w:line="360" w:lineRule="auto"/>
              <w:rPr>
                <w:rFonts w:ascii="仿宋_GB2312" w:eastAsia="仿宋_GB2312"/>
              </w:rPr>
            </w:pPr>
          </w:p>
        </w:tc>
        <w:tc>
          <w:tcPr>
            <w:tcW w:w="1276" w:type="dxa"/>
          </w:tcPr>
          <w:p w14:paraId="6F8DCBC0">
            <w:pPr>
              <w:spacing w:line="360" w:lineRule="auto"/>
              <w:rPr>
                <w:rFonts w:ascii="仿宋_GB2312" w:eastAsia="仿宋_GB2312"/>
              </w:rPr>
            </w:pPr>
          </w:p>
        </w:tc>
        <w:tc>
          <w:tcPr>
            <w:tcW w:w="1450" w:type="dxa"/>
          </w:tcPr>
          <w:p w14:paraId="67E42DA9">
            <w:pPr>
              <w:spacing w:line="360" w:lineRule="auto"/>
              <w:rPr>
                <w:rFonts w:ascii="仿宋_GB2312" w:eastAsia="仿宋_GB2312"/>
              </w:rPr>
            </w:pPr>
          </w:p>
        </w:tc>
        <w:tc>
          <w:tcPr>
            <w:tcW w:w="1243" w:type="dxa"/>
          </w:tcPr>
          <w:p w14:paraId="2ED01C21">
            <w:pPr>
              <w:spacing w:line="360" w:lineRule="auto"/>
              <w:rPr>
                <w:rFonts w:ascii="仿宋_GB2312" w:eastAsia="仿宋_GB2312"/>
              </w:rPr>
            </w:pPr>
          </w:p>
        </w:tc>
        <w:tc>
          <w:tcPr>
            <w:tcW w:w="1450" w:type="dxa"/>
          </w:tcPr>
          <w:p w14:paraId="338E6752">
            <w:pPr>
              <w:spacing w:line="360" w:lineRule="auto"/>
              <w:rPr>
                <w:rFonts w:ascii="仿宋_GB2312" w:eastAsia="仿宋_GB2312"/>
              </w:rPr>
            </w:pPr>
          </w:p>
        </w:tc>
        <w:tc>
          <w:tcPr>
            <w:tcW w:w="1670" w:type="dxa"/>
          </w:tcPr>
          <w:p w14:paraId="5723EE72">
            <w:pPr>
              <w:spacing w:line="360" w:lineRule="auto"/>
              <w:rPr>
                <w:rFonts w:ascii="仿宋_GB2312" w:eastAsia="仿宋_GB2312"/>
              </w:rPr>
            </w:pPr>
          </w:p>
        </w:tc>
      </w:tr>
      <w:tr w14:paraId="50AFE8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53EABB88">
            <w:pPr>
              <w:spacing w:line="360" w:lineRule="auto"/>
              <w:rPr>
                <w:rFonts w:ascii="仿宋_GB2312" w:eastAsia="仿宋_GB2312"/>
              </w:rPr>
            </w:pPr>
          </w:p>
        </w:tc>
        <w:tc>
          <w:tcPr>
            <w:tcW w:w="1276" w:type="dxa"/>
          </w:tcPr>
          <w:p w14:paraId="542D250F">
            <w:pPr>
              <w:spacing w:line="360" w:lineRule="auto"/>
              <w:rPr>
                <w:rFonts w:ascii="仿宋_GB2312" w:eastAsia="仿宋_GB2312"/>
              </w:rPr>
            </w:pPr>
          </w:p>
        </w:tc>
        <w:tc>
          <w:tcPr>
            <w:tcW w:w="1450" w:type="dxa"/>
          </w:tcPr>
          <w:p w14:paraId="2664D226">
            <w:pPr>
              <w:spacing w:line="360" w:lineRule="auto"/>
              <w:rPr>
                <w:rFonts w:ascii="仿宋_GB2312" w:eastAsia="仿宋_GB2312"/>
              </w:rPr>
            </w:pPr>
          </w:p>
        </w:tc>
        <w:tc>
          <w:tcPr>
            <w:tcW w:w="1243" w:type="dxa"/>
          </w:tcPr>
          <w:p w14:paraId="77C089D1">
            <w:pPr>
              <w:spacing w:line="360" w:lineRule="auto"/>
              <w:rPr>
                <w:rFonts w:ascii="仿宋_GB2312" w:eastAsia="仿宋_GB2312"/>
              </w:rPr>
            </w:pPr>
          </w:p>
        </w:tc>
        <w:tc>
          <w:tcPr>
            <w:tcW w:w="1450" w:type="dxa"/>
          </w:tcPr>
          <w:p w14:paraId="3015D00D">
            <w:pPr>
              <w:spacing w:line="360" w:lineRule="auto"/>
              <w:rPr>
                <w:rFonts w:ascii="仿宋_GB2312" w:eastAsia="仿宋_GB2312"/>
              </w:rPr>
            </w:pPr>
          </w:p>
        </w:tc>
        <w:tc>
          <w:tcPr>
            <w:tcW w:w="1670" w:type="dxa"/>
          </w:tcPr>
          <w:p w14:paraId="40DF1B78">
            <w:pPr>
              <w:spacing w:line="360" w:lineRule="auto"/>
              <w:rPr>
                <w:rFonts w:ascii="仿宋_GB2312" w:eastAsia="仿宋_GB2312"/>
              </w:rPr>
            </w:pPr>
          </w:p>
        </w:tc>
      </w:tr>
      <w:tr w14:paraId="351DF4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39B24347">
            <w:pPr>
              <w:spacing w:line="360" w:lineRule="auto"/>
              <w:rPr>
                <w:rFonts w:ascii="仿宋_GB2312" w:eastAsia="仿宋_GB2312"/>
              </w:rPr>
            </w:pPr>
          </w:p>
        </w:tc>
        <w:tc>
          <w:tcPr>
            <w:tcW w:w="1276" w:type="dxa"/>
          </w:tcPr>
          <w:p w14:paraId="09741AAE">
            <w:pPr>
              <w:spacing w:line="360" w:lineRule="auto"/>
              <w:rPr>
                <w:rFonts w:ascii="仿宋_GB2312" w:eastAsia="仿宋_GB2312"/>
              </w:rPr>
            </w:pPr>
          </w:p>
        </w:tc>
        <w:tc>
          <w:tcPr>
            <w:tcW w:w="1450" w:type="dxa"/>
          </w:tcPr>
          <w:p w14:paraId="4B09E576">
            <w:pPr>
              <w:spacing w:line="360" w:lineRule="auto"/>
              <w:rPr>
                <w:rFonts w:ascii="仿宋_GB2312" w:eastAsia="仿宋_GB2312"/>
              </w:rPr>
            </w:pPr>
          </w:p>
        </w:tc>
        <w:tc>
          <w:tcPr>
            <w:tcW w:w="1243" w:type="dxa"/>
          </w:tcPr>
          <w:p w14:paraId="6679E0B3">
            <w:pPr>
              <w:spacing w:line="360" w:lineRule="auto"/>
              <w:rPr>
                <w:rFonts w:ascii="仿宋_GB2312" w:eastAsia="仿宋_GB2312"/>
              </w:rPr>
            </w:pPr>
          </w:p>
        </w:tc>
        <w:tc>
          <w:tcPr>
            <w:tcW w:w="1450" w:type="dxa"/>
          </w:tcPr>
          <w:p w14:paraId="13A7F84E">
            <w:pPr>
              <w:spacing w:line="360" w:lineRule="auto"/>
              <w:rPr>
                <w:rFonts w:ascii="仿宋_GB2312" w:eastAsia="仿宋_GB2312"/>
              </w:rPr>
            </w:pPr>
          </w:p>
        </w:tc>
        <w:tc>
          <w:tcPr>
            <w:tcW w:w="1670" w:type="dxa"/>
          </w:tcPr>
          <w:p w14:paraId="11F99474">
            <w:pPr>
              <w:spacing w:line="360" w:lineRule="auto"/>
              <w:rPr>
                <w:rFonts w:ascii="仿宋_GB2312" w:eastAsia="仿宋_GB2312"/>
              </w:rPr>
            </w:pPr>
          </w:p>
        </w:tc>
      </w:tr>
      <w:tr w14:paraId="2995BD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7224E404">
            <w:pPr>
              <w:spacing w:line="360" w:lineRule="auto"/>
              <w:rPr>
                <w:rFonts w:ascii="仿宋_GB2312" w:eastAsia="仿宋_GB2312"/>
              </w:rPr>
            </w:pPr>
          </w:p>
        </w:tc>
        <w:tc>
          <w:tcPr>
            <w:tcW w:w="1276" w:type="dxa"/>
          </w:tcPr>
          <w:p w14:paraId="09D61975">
            <w:pPr>
              <w:spacing w:line="360" w:lineRule="auto"/>
              <w:rPr>
                <w:rFonts w:ascii="仿宋_GB2312" w:eastAsia="仿宋_GB2312"/>
              </w:rPr>
            </w:pPr>
          </w:p>
        </w:tc>
        <w:tc>
          <w:tcPr>
            <w:tcW w:w="1450" w:type="dxa"/>
          </w:tcPr>
          <w:p w14:paraId="1B666365">
            <w:pPr>
              <w:spacing w:line="360" w:lineRule="auto"/>
              <w:rPr>
                <w:rFonts w:ascii="仿宋_GB2312" w:eastAsia="仿宋_GB2312"/>
              </w:rPr>
            </w:pPr>
          </w:p>
        </w:tc>
        <w:tc>
          <w:tcPr>
            <w:tcW w:w="1243" w:type="dxa"/>
          </w:tcPr>
          <w:p w14:paraId="071C7568">
            <w:pPr>
              <w:spacing w:line="360" w:lineRule="auto"/>
              <w:rPr>
                <w:rFonts w:ascii="仿宋_GB2312" w:eastAsia="仿宋_GB2312"/>
              </w:rPr>
            </w:pPr>
          </w:p>
        </w:tc>
        <w:tc>
          <w:tcPr>
            <w:tcW w:w="1450" w:type="dxa"/>
          </w:tcPr>
          <w:p w14:paraId="00B2DFF5">
            <w:pPr>
              <w:spacing w:line="360" w:lineRule="auto"/>
              <w:rPr>
                <w:rFonts w:ascii="仿宋_GB2312" w:eastAsia="仿宋_GB2312"/>
              </w:rPr>
            </w:pPr>
          </w:p>
        </w:tc>
        <w:tc>
          <w:tcPr>
            <w:tcW w:w="1670" w:type="dxa"/>
          </w:tcPr>
          <w:p w14:paraId="034A594A">
            <w:pPr>
              <w:spacing w:line="360" w:lineRule="auto"/>
              <w:rPr>
                <w:rFonts w:ascii="仿宋_GB2312" w:eastAsia="仿宋_GB2312"/>
              </w:rPr>
            </w:pPr>
          </w:p>
        </w:tc>
      </w:tr>
      <w:tr w14:paraId="5C290E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278034DB">
            <w:pPr>
              <w:spacing w:line="360" w:lineRule="auto"/>
              <w:rPr>
                <w:rFonts w:ascii="仿宋_GB2312" w:eastAsia="仿宋_GB2312"/>
              </w:rPr>
            </w:pPr>
          </w:p>
        </w:tc>
        <w:tc>
          <w:tcPr>
            <w:tcW w:w="1276" w:type="dxa"/>
          </w:tcPr>
          <w:p w14:paraId="0A091527">
            <w:pPr>
              <w:spacing w:line="360" w:lineRule="auto"/>
              <w:rPr>
                <w:rFonts w:ascii="仿宋_GB2312" w:eastAsia="仿宋_GB2312"/>
              </w:rPr>
            </w:pPr>
          </w:p>
        </w:tc>
        <w:tc>
          <w:tcPr>
            <w:tcW w:w="1450" w:type="dxa"/>
          </w:tcPr>
          <w:p w14:paraId="480F0B4B">
            <w:pPr>
              <w:spacing w:line="360" w:lineRule="auto"/>
              <w:rPr>
                <w:rFonts w:ascii="仿宋_GB2312" w:eastAsia="仿宋_GB2312"/>
              </w:rPr>
            </w:pPr>
          </w:p>
        </w:tc>
        <w:tc>
          <w:tcPr>
            <w:tcW w:w="1243" w:type="dxa"/>
          </w:tcPr>
          <w:p w14:paraId="5CE66CE0">
            <w:pPr>
              <w:spacing w:line="360" w:lineRule="auto"/>
              <w:rPr>
                <w:rFonts w:ascii="仿宋_GB2312" w:eastAsia="仿宋_GB2312"/>
              </w:rPr>
            </w:pPr>
          </w:p>
        </w:tc>
        <w:tc>
          <w:tcPr>
            <w:tcW w:w="1450" w:type="dxa"/>
          </w:tcPr>
          <w:p w14:paraId="7E819562">
            <w:pPr>
              <w:spacing w:line="360" w:lineRule="auto"/>
              <w:rPr>
                <w:rFonts w:ascii="仿宋_GB2312" w:eastAsia="仿宋_GB2312"/>
              </w:rPr>
            </w:pPr>
          </w:p>
        </w:tc>
        <w:tc>
          <w:tcPr>
            <w:tcW w:w="1670" w:type="dxa"/>
          </w:tcPr>
          <w:p w14:paraId="5C1083E1">
            <w:pPr>
              <w:spacing w:line="360" w:lineRule="auto"/>
              <w:rPr>
                <w:rFonts w:ascii="仿宋_GB2312" w:eastAsia="仿宋_GB2312"/>
              </w:rPr>
            </w:pPr>
          </w:p>
        </w:tc>
      </w:tr>
      <w:tr w14:paraId="11E57C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3BEB998F">
            <w:pPr>
              <w:spacing w:line="360" w:lineRule="auto"/>
              <w:rPr>
                <w:rFonts w:ascii="仿宋_GB2312" w:eastAsia="仿宋_GB2312"/>
              </w:rPr>
            </w:pPr>
          </w:p>
        </w:tc>
        <w:tc>
          <w:tcPr>
            <w:tcW w:w="1276" w:type="dxa"/>
          </w:tcPr>
          <w:p w14:paraId="2CE43E2C">
            <w:pPr>
              <w:spacing w:line="360" w:lineRule="auto"/>
              <w:rPr>
                <w:rFonts w:ascii="仿宋_GB2312" w:eastAsia="仿宋_GB2312"/>
              </w:rPr>
            </w:pPr>
          </w:p>
        </w:tc>
        <w:tc>
          <w:tcPr>
            <w:tcW w:w="1450" w:type="dxa"/>
          </w:tcPr>
          <w:p w14:paraId="1CCBA204">
            <w:pPr>
              <w:spacing w:line="360" w:lineRule="auto"/>
              <w:rPr>
                <w:rFonts w:ascii="仿宋_GB2312" w:eastAsia="仿宋_GB2312"/>
              </w:rPr>
            </w:pPr>
          </w:p>
        </w:tc>
        <w:tc>
          <w:tcPr>
            <w:tcW w:w="1243" w:type="dxa"/>
          </w:tcPr>
          <w:p w14:paraId="3146BC31">
            <w:pPr>
              <w:spacing w:line="360" w:lineRule="auto"/>
              <w:rPr>
                <w:rFonts w:ascii="仿宋_GB2312" w:eastAsia="仿宋_GB2312"/>
              </w:rPr>
            </w:pPr>
          </w:p>
        </w:tc>
        <w:tc>
          <w:tcPr>
            <w:tcW w:w="1450" w:type="dxa"/>
          </w:tcPr>
          <w:p w14:paraId="0ED131E8">
            <w:pPr>
              <w:spacing w:line="360" w:lineRule="auto"/>
              <w:rPr>
                <w:rFonts w:ascii="仿宋_GB2312" w:eastAsia="仿宋_GB2312"/>
              </w:rPr>
            </w:pPr>
          </w:p>
        </w:tc>
        <w:tc>
          <w:tcPr>
            <w:tcW w:w="1670" w:type="dxa"/>
          </w:tcPr>
          <w:p w14:paraId="26E884D4">
            <w:pPr>
              <w:spacing w:line="360" w:lineRule="auto"/>
              <w:rPr>
                <w:rFonts w:ascii="仿宋_GB2312" w:eastAsia="仿宋_GB2312"/>
              </w:rPr>
            </w:pPr>
          </w:p>
        </w:tc>
      </w:tr>
      <w:tr w14:paraId="77419B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Pr>
          <w:p w14:paraId="2C48BA2F">
            <w:pPr>
              <w:spacing w:line="360" w:lineRule="auto"/>
              <w:rPr>
                <w:rFonts w:ascii="仿宋_GB2312" w:eastAsia="仿宋_GB2312"/>
              </w:rPr>
            </w:pPr>
          </w:p>
        </w:tc>
        <w:tc>
          <w:tcPr>
            <w:tcW w:w="1276" w:type="dxa"/>
          </w:tcPr>
          <w:p w14:paraId="3D1C7806">
            <w:pPr>
              <w:spacing w:line="360" w:lineRule="auto"/>
              <w:rPr>
                <w:rFonts w:ascii="仿宋_GB2312" w:eastAsia="仿宋_GB2312"/>
              </w:rPr>
            </w:pPr>
          </w:p>
        </w:tc>
        <w:tc>
          <w:tcPr>
            <w:tcW w:w="1450" w:type="dxa"/>
          </w:tcPr>
          <w:p w14:paraId="1E5AC631">
            <w:pPr>
              <w:spacing w:line="360" w:lineRule="auto"/>
              <w:rPr>
                <w:rFonts w:ascii="仿宋_GB2312" w:eastAsia="仿宋_GB2312"/>
              </w:rPr>
            </w:pPr>
          </w:p>
        </w:tc>
        <w:tc>
          <w:tcPr>
            <w:tcW w:w="1243" w:type="dxa"/>
          </w:tcPr>
          <w:p w14:paraId="1DDB7295">
            <w:pPr>
              <w:spacing w:line="360" w:lineRule="auto"/>
              <w:rPr>
                <w:rFonts w:ascii="仿宋_GB2312" w:eastAsia="仿宋_GB2312"/>
              </w:rPr>
            </w:pPr>
          </w:p>
        </w:tc>
        <w:tc>
          <w:tcPr>
            <w:tcW w:w="1450" w:type="dxa"/>
          </w:tcPr>
          <w:p w14:paraId="496E99CC">
            <w:pPr>
              <w:spacing w:line="360" w:lineRule="auto"/>
              <w:rPr>
                <w:rFonts w:ascii="仿宋_GB2312" w:eastAsia="仿宋_GB2312"/>
              </w:rPr>
            </w:pPr>
          </w:p>
        </w:tc>
        <w:tc>
          <w:tcPr>
            <w:tcW w:w="1670" w:type="dxa"/>
          </w:tcPr>
          <w:p w14:paraId="26B9A30D">
            <w:pPr>
              <w:spacing w:line="360" w:lineRule="auto"/>
              <w:rPr>
                <w:rFonts w:ascii="仿宋_GB2312" w:eastAsia="仿宋_GB2312"/>
              </w:rPr>
            </w:pPr>
          </w:p>
        </w:tc>
      </w:tr>
    </w:tbl>
    <w:p w14:paraId="265F33DD">
      <w:pPr>
        <w:spacing w:line="360" w:lineRule="auto"/>
      </w:pPr>
    </w:p>
    <w:p w14:paraId="66A7F6D7">
      <w:pPr>
        <w:spacing w:line="360" w:lineRule="auto"/>
      </w:pPr>
    </w:p>
    <w:p w14:paraId="55634074">
      <w:pPr>
        <w:spacing w:line="360" w:lineRule="auto"/>
        <w:sectPr>
          <w:pgSz w:w="11905" w:h="16838"/>
          <w:pgMar w:top="1417" w:right="1417" w:bottom="1304" w:left="1417" w:header="850" w:footer="992" w:gutter="0"/>
          <w:cols w:space="0" w:num="1"/>
          <w:docGrid w:type="lines" w:linePitch="314" w:charSpace="0"/>
        </w:sectPr>
      </w:pPr>
    </w:p>
    <w:p w14:paraId="085C91B2">
      <w:pPr>
        <w:pStyle w:val="44"/>
        <w:numPr>
          <w:ilvl w:val="0"/>
          <w:numId w:val="0"/>
        </w:numPr>
        <w:rPr>
          <w:rFonts w:hint="eastAsia"/>
          <w:sz w:val="28"/>
          <w:szCs w:val="28"/>
        </w:rPr>
      </w:pPr>
      <w:bookmarkStart w:id="1864" w:name="_Toc6125"/>
      <w:bookmarkEnd w:id="1864"/>
      <w:bookmarkStart w:id="1865" w:name="_Toc54862356"/>
      <w:bookmarkEnd w:id="1865"/>
      <w:bookmarkStart w:id="1866" w:name="_Toc24505"/>
      <w:bookmarkEnd w:id="1866"/>
      <w:bookmarkStart w:id="1867" w:name="_Toc20171897"/>
      <w:bookmarkEnd w:id="1867"/>
      <w:r>
        <w:rPr>
          <w:rFonts w:hint="eastAsia"/>
          <w:sz w:val="28"/>
          <w:szCs w:val="28"/>
        </w:rPr>
        <w:t>附件5 承包人主要管理人员表</w:t>
      </w:r>
    </w:p>
    <w:tbl>
      <w:tblPr>
        <w:tblStyle w:val="25"/>
        <w:tblW w:w="908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05"/>
        <w:gridCol w:w="1418"/>
        <w:gridCol w:w="1134"/>
        <w:gridCol w:w="1134"/>
        <w:gridCol w:w="3896"/>
      </w:tblGrid>
      <w:tr w14:paraId="60B405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tcBorders>
              <w:top w:val="single" w:color="auto" w:sz="12" w:space="0"/>
              <w:bottom w:val="double" w:color="auto" w:sz="6" w:space="0"/>
            </w:tcBorders>
            <w:vAlign w:val="center"/>
          </w:tcPr>
          <w:p w14:paraId="68321AFF">
            <w:pPr>
              <w:pStyle w:val="8"/>
              <w:ind w:firstLine="420"/>
              <w:rPr>
                <w:rFonts w:hint="eastAsia" w:ascii="仿宋_GB2312" w:hAnsi="宋体" w:eastAsia="仿宋_GB2312"/>
                <w:kern w:val="0"/>
                <w:sz w:val="21"/>
                <w:szCs w:val="21"/>
              </w:rPr>
            </w:pPr>
            <w:r>
              <w:rPr>
                <w:rFonts w:hint="eastAsia" w:ascii="仿宋_GB2312" w:hAnsi="宋体" w:eastAsia="仿宋_GB2312"/>
                <w:kern w:val="0"/>
                <w:sz w:val="21"/>
                <w:szCs w:val="21"/>
              </w:rPr>
              <w:t>名    称</w:t>
            </w:r>
          </w:p>
        </w:tc>
        <w:tc>
          <w:tcPr>
            <w:tcW w:w="1418" w:type="dxa"/>
            <w:tcBorders>
              <w:top w:val="single" w:color="auto" w:sz="12" w:space="0"/>
              <w:bottom w:val="double" w:color="auto" w:sz="6" w:space="0"/>
            </w:tcBorders>
            <w:vAlign w:val="center"/>
          </w:tcPr>
          <w:p w14:paraId="19451C3C">
            <w:pPr>
              <w:pStyle w:val="8"/>
              <w:ind w:firstLine="420"/>
              <w:rPr>
                <w:rFonts w:hint="eastAsia" w:ascii="仿宋_GB2312" w:hAnsi="宋体" w:eastAsia="仿宋_GB2312"/>
                <w:kern w:val="0"/>
                <w:sz w:val="21"/>
                <w:szCs w:val="21"/>
              </w:rPr>
            </w:pPr>
            <w:r>
              <w:rPr>
                <w:rFonts w:hint="eastAsia" w:ascii="仿宋_GB2312" w:hAnsi="宋体" w:eastAsia="仿宋_GB2312"/>
                <w:kern w:val="0"/>
                <w:sz w:val="21"/>
                <w:szCs w:val="21"/>
              </w:rPr>
              <w:t>姓名</w:t>
            </w:r>
          </w:p>
        </w:tc>
        <w:tc>
          <w:tcPr>
            <w:tcW w:w="1134" w:type="dxa"/>
            <w:tcBorders>
              <w:top w:val="single" w:color="auto" w:sz="12" w:space="0"/>
              <w:bottom w:val="double" w:color="auto" w:sz="6" w:space="0"/>
            </w:tcBorders>
            <w:vAlign w:val="center"/>
          </w:tcPr>
          <w:p w14:paraId="3717E31C">
            <w:pPr>
              <w:pStyle w:val="8"/>
              <w:ind w:firstLine="420"/>
              <w:rPr>
                <w:rFonts w:hint="eastAsia" w:ascii="仿宋_GB2312" w:hAnsi="宋体" w:eastAsia="仿宋_GB2312"/>
                <w:kern w:val="0"/>
                <w:sz w:val="21"/>
                <w:szCs w:val="21"/>
              </w:rPr>
            </w:pPr>
            <w:r>
              <w:rPr>
                <w:rFonts w:hint="eastAsia" w:ascii="仿宋_GB2312" w:hAnsi="宋体" w:eastAsia="仿宋_GB2312"/>
                <w:kern w:val="0"/>
                <w:sz w:val="21"/>
                <w:szCs w:val="21"/>
              </w:rPr>
              <w:t>职务</w:t>
            </w:r>
          </w:p>
        </w:tc>
        <w:tc>
          <w:tcPr>
            <w:tcW w:w="1134" w:type="dxa"/>
            <w:tcBorders>
              <w:top w:val="single" w:color="auto" w:sz="12" w:space="0"/>
              <w:bottom w:val="double" w:color="auto" w:sz="6" w:space="0"/>
            </w:tcBorders>
            <w:vAlign w:val="center"/>
          </w:tcPr>
          <w:p w14:paraId="0BA75E0B">
            <w:pPr>
              <w:pStyle w:val="8"/>
              <w:ind w:firstLine="420"/>
              <w:rPr>
                <w:rFonts w:hint="eastAsia" w:ascii="仿宋_GB2312" w:hAnsi="宋体" w:eastAsia="仿宋_GB2312"/>
                <w:kern w:val="0"/>
                <w:sz w:val="21"/>
                <w:szCs w:val="21"/>
              </w:rPr>
            </w:pPr>
            <w:r>
              <w:rPr>
                <w:rFonts w:hint="eastAsia" w:ascii="仿宋_GB2312" w:hAnsi="宋体" w:eastAsia="仿宋_GB2312"/>
                <w:kern w:val="0"/>
                <w:sz w:val="21"/>
                <w:szCs w:val="21"/>
              </w:rPr>
              <w:t>职称</w:t>
            </w:r>
          </w:p>
        </w:tc>
        <w:tc>
          <w:tcPr>
            <w:tcW w:w="3896" w:type="dxa"/>
            <w:tcBorders>
              <w:top w:val="single" w:color="auto" w:sz="12" w:space="0"/>
              <w:bottom w:val="double" w:color="auto" w:sz="6" w:space="0"/>
            </w:tcBorders>
            <w:vAlign w:val="center"/>
          </w:tcPr>
          <w:p w14:paraId="51571C2B">
            <w:pPr>
              <w:pStyle w:val="8"/>
              <w:ind w:firstLine="420"/>
              <w:rPr>
                <w:rFonts w:hint="eastAsia" w:ascii="仿宋_GB2312" w:hAnsi="宋体" w:eastAsia="仿宋_GB2312"/>
                <w:kern w:val="0"/>
                <w:sz w:val="21"/>
                <w:szCs w:val="21"/>
              </w:rPr>
            </w:pPr>
            <w:r>
              <w:rPr>
                <w:rFonts w:hint="eastAsia" w:ascii="仿宋_GB2312" w:hAnsi="宋体" w:eastAsia="仿宋_GB2312"/>
                <w:kern w:val="0"/>
                <w:sz w:val="21"/>
                <w:szCs w:val="21"/>
              </w:rPr>
              <w:t>主要资历、经验及承担过的项目</w:t>
            </w:r>
          </w:p>
        </w:tc>
      </w:tr>
      <w:tr w14:paraId="07C4E8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9087" w:type="dxa"/>
            <w:gridSpan w:val="5"/>
            <w:tcBorders>
              <w:top w:val="double" w:color="auto" w:sz="6" w:space="0"/>
              <w:bottom w:val="single" w:color="auto" w:sz="6" w:space="0"/>
            </w:tcBorders>
            <w:vAlign w:val="center"/>
          </w:tcPr>
          <w:p w14:paraId="1CACBCA4">
            <w:pPr>
              <w:pStyle w:val="8"/>
              <w:ind w:firstLine="420"/>
              <w:rPr>
                <w:rFonts w:hint="eastAsia" w:ascii="仿宋_GB2312" w:hAnsi="宋体" w:eastAsia="仿宋_GB2312"/>
                <w:kern w:val="0"/>
                <w:sz w:val="21"/>
                <w:szCs w:val="21"/>
              </w:rPr>
            </w:pPr>
            <w:r>
              <w:rPr>
                <w:rFonts w:hint="eastAsia" w:ascii="仿宋_GB2312" w:hAnsi="宋体" w:eastAsia="仿宋_GB2312"/>
                <w:kern w:val="0"/>
                <w:sz w:val="21"/>
                <w:szCs w:val="21"/>
              </w:rPr>
              <w:t>一、总部人员</w:t>
            </w:r>
          </w:p>
        </w:tc>
      </w:tr>
      <w:tr w14:paraId="27F3B5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tcBorders>
              <w:top w:val="nil"/>
              <w:bottom w:val="nil"/>
            </w:tcBorders>
            <w:vAlign w:val="center"/>
          </w:tcPr>
          <w:p w14:paraId="7B369FAE">
            <w:pPr>
              <w:pStyle w:val="8"/>
              <w:jc w:val="center"/>
              <w:rPr>
                <w:rFonts w:hint="eastAsia" w:ascii="仿宋_GB2312" w:hAnsi="宋体" w:eastAsia="仿宋_GB2312"/>
                <w:kern w:val="0"/>
                <w:sz w:val="21"/>
                <w:szCs w:val="21"/>
              </w:rPr>
            </w:pPr>
            <w:r>
              <w:rPr>
                <w:rFonts w:hint="eastAsia" w:ascii="仿宋_GB2312" w:hAnsi="宋体" w:eastAsia="仿宋_GB2312"/>
                <w:kern w:val="0"/>
                <w:sz w:val="21"/>
                <w:szCs w:val="21"/>
              </w:rPr>
              <w:t>项目主管</w:t>
            </w:r>
          </w:p>
        </w:tc>
        <w:tc>
          <w:tcPr>
            <w:tcW w:w="1418" w:type="dxa"/>
            <w:tcBorders>
              <w:top w:val="nil"/>
            </w:tcBorders>
            <w:vAlign w:val="center"/>
          </w:tcPr>
          <w:p w14:paraId="020FB477">
            <w:pPr>
              <w:pStyle w:val="8"/>
              <w:ind w:firstLine="420"/>
              <w:rPr>
                <w:rFonts w:hint="eastAsia" w:ascii="仿宋_GB2312" w:hAnsi="宋体" w:eastAsia="仿宋_GB2312"/>
                <w:kern w:val="0"/>
                <w:sz w:val="21"/>
                <w:szCs w:val="21"/>
              </w:rPr>
            </w:pPr>
          </w:p>
        </w:tc>
        <w:tc>
          <w:tcPr>
            <w:tcW w:w="1134" w:type="dxa"/>
            <w:tcBorders>
              <w:top w:val="nil"/>
            </w:tcBorders>
            <w:vAlign w:val="center"/>
          </w:tcPr>
          <w:p w14:paraId="565AF595">
            <w:pPr>
              <w:pStyle w:val="8"/>
              <w:ind w:firstLine="420"/>
              <w:rPr>
                <w:rFonts w:hint="eastAsia" w:ascii="仿宋_GB2312" w:hAnsi="宋体" w:eastAsia="仿宋_GB2312"/>
                <w:kern w:val="0"/>
                <w:sz w:val="21"/>
                <w:szCs w:val="21"/>
              </w:rPr>
            </w:pPr>
          </w:p>
        </w:tc>
        <w:tc>
          <w:tcPr>
            <w:tcW w:w="1134" w:type="dxa"/>
            <w:tcBorders>
              <w:top w:val="nil"/>
            </w:tcBorders>
            <w:vAlign w:val="center"/>
          </w:tcPr>
          <w:p w14:paraId="2D13E99F">
            <w:pPr>
              <w:pStyle w:val="8"/>
              <w:ind w:firstLine="420"/>
              <w:rPr>
                <w:rFonts w:hint="eastAsia" w:ascii="仿宋_GB2312" w:hAnsi="宋体" w:eastAsia="仿宋_GB2312"/>
                <w:kern w:val="0"/>
                <w:sz w:val="21"/>
                <w:szCs w:val="21"/>
              </w:rPr>
            </w:pPr>
          </w:p>
        </w:tc>
        <w:tc>
          <w:tcPr>
            <w:tcW w:w="3896" w:type="dxa"/>
            <w:tcBorders>
              <w:top w:val="nil"/>
            </w:tcBorders>
            <w:vAlign w:val="center"/>
          </w:tcPr>
          <w:p w14:paraId="23DAD634">
            <w:pPr>
              <w:pStyle w:val="8"/>
              <w:ind w:firstLine="420"/>
              <w:rPr>
                <w:rFonts w:hint="eastAsia" w:ascii="仿宋_GB2312" w:hAnsi="宋体" w:eastAsia="仿宋_GB2312"/>
                <w:kern w:val="0"/>
                <w:sz w:val="21"/>
                <w:szCs w:val="21"/>
              </w:rPr>
            </w:pPr>
          </w:p>
        </w:tc>
      </w:tr>
      <w:tr w14:paraId="5D9F3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tcBorders>
              <w:top w:val="single" w:color="auto" w:sz="6" w:space="0"/>
              <w:bottom w:val="nil"/>
            </w:tcBorders>
            <w:vAlign w:val="center"/>
          </w:tcPr>
          <w:p w14:paraId="56E713A6">
            <w:pPr>
              <w:pStyle w:val="8"/>
              <w:ind w:firstLine="420"/>
              <w:rPr>
                <w:rFonts w:hint="eastAsia" w:ascii="仿宋_GB2312" w:hAnsi="宋体" w:eastAsia="仿宋_GB2312"/>
                <w:kern w:val="0"/>
                <w:sz w:val="21"/>
                <w:szCs w:val="21"/>
              </w:rPr>
            </w:pPr>
          </w:p>
        </w:tc>
        <w:tc>
          <w:tcPr>
            <w:tcW w:w="1418" w:type="dxa"/>
            <w:vAlign w:val="center"/>
          </w:tcPr>
          <w:p w14:paraId="71B7477C">
            <w:pPr>
              <w:pStyle w:val="8"/>
              <w:ind w:firstLine="420"/>
              <w:rPr>
                <w:rFonts w:hint="eastAsia" w:ascii="仿宋_GB2312" w:hAnsi="宋体" w:eastAsia="仿宋_GB2312"/>
                <w:kern w:val="0"/>
                <w:sz w:val="21"/>
                <w:szCs w:val="21"/>
              </w:rPr>
            </w:pPr>
          </w:p>
        </w:tc>
        <w:tc>
          <w:tcPr>
            <w:tcW w:w="1134" w:type="dxa"/>
            <w:vAlign w:val="center"/>
          </w:tcPr>
          <w:p w14:paraId="10D5DD05">
            <w:pPr>
              <w:pStyle w:val="8"/>
              <w:ind w:firstLine="420"/>
              <w:rPr>
                <w:rFonts w:hint="eastAsia" w:ascii="仿宋_GB2312" w:hAnsi="宋体" w:eastAsia="仿宋_GB2312"/>
                <w:kern w:val="0"/>
                <w:sz w:val="21"/>
                <w:szCs w:val="21"/>
              </w:rPr>
            </w:pPr>
          </w:p>
        </w:tc>
        <w:tc>
          <w:tcPr>
            <w:tcW w:w="1134" w:type="dxa"/>
            <w:vAlign w:val="center"/>
          </w:tcPr>
          <w:p w14:paraId="7904F301">
            <w:pPr>
              <w:pStyle w:val="8"/>
              <w:ind w:firstLine="420"/>
              <w:rPr>
                <w:rFonts w:hint="eastAsia" w:ascii="仿宋_GB2312" w:hAnsi="宋体" w:eastAsia="仿宋_GB2312"/>
                <w:kern w:val="0"/>
                <w:sz w:val="21"/>
                <w:szCs w:val="21"/>
              </w:rPr>
            </w:pPr>
          </w:p>
        </w:tc>
        <w:tc>
          <w:tcPr>
            <w:tcW w:w="3896" w:type="dxa"/>
            <w:vAlign w:val="center"/>
          </w:tcPr>
          <w:p w14:paraId="4BFAB9C1">
            <w:pPr>
              <w:pStyle w:val="8"/>
              <w:ind w:firstLine="420"/>
              <w:rPr>
                <w:rFonts w:hint="eastAsia" w:ascii="仿宋_GB2312" w:hAnsi="宋体" w:eastAsia="仿宋_GB2312"/>
                <w:kern w:val="0"/>
                <w:sz w:val="21"/>
                <w:szCs w:val="21"/>
              </w:rPr>
            </w:pPr>
          </w:p>
        </w:tc>
      </w:tr>
      <w:tr w14:paraId="48D584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tcBorders>
              <w:top w:val="nil"/>
              <w:bottom w:val="nil"/>
            </w:tcBorders>
            <w:vAlign w:val="center"/>
          </w:tcPr>
          <w:p w14:paraId="5DD64174">
            <w:pPr>
              <w:pStyle w:val="8"/>
              <w:jc w:val="center"/>
              <w:rPr>
                <w:rFonts w:hint="eastAsia" w:ascii="仿宋_GB2312" w:hAnsi="宋体" w:eastAsia="仿宋_GB2312"/>
                <w:kern w:val="0"/>
                <w:sz w:val="21"/>
                <w:szCs w:val="21"/>
              </w:rPr>
            </w:pPr>
            <w:r>
              <w:rPr>
                <w:rFonts w:hint="eastAsia" w:ascii="仿宋_GB2312" w:hAnsi="宋体" w:eastAsia="仿宋_GB2312"/>
                <w:kern w:val="0"/>
                <w:sz w:val="21"/>
                <w:szCs w:val="21"/>
              </w:rPr>
              <w:t>其他人员</w:t>
            </w:r>
          </w:p>
        </w:tc>
        <w:tc>
          <w:tcPr>
            <w:tcW w:w="1418" w:type="dxa"/>
            <w:vAlign w:val="center"/>
          </w:tcPr>
          <w:p w14:paraId="71D3C7BE">
            <w:pPr>
              <w:pStyle w:val="8"/>
              <w:ind w:firstLine="420"/>
              <w:rPr>
                <w:rFonts w:hint="eastAsia" w:ascii="仿宋_GB2312" w:hAnsi="宋体" w:eastAsia="仿宋_GB2312"/>
                <w:kern w:val="0"/>
                <w:sz w:val="21"/>
                <w:szCs w:val="21"/>
              </w:rPr>
            </w:pPr>
          </w:p>
        </w:tc>
        <w:tc>
          <w:tcPr>
            <w:tcW w:w="1134" w:type="dxa"/>
            <w:vAlign w:val="center"/>
          </w:tcPr>
          <w:p w14:paraId="60686FF3">
            <w:pPr>
              <w:pStyle w:val="8"/>
              <w:ind w:firstLine="420"/>
              <w:rPr>
                <w:rFonts w:hint="eastAsia" w:ascii="仿宋_GB2312" w:hAnsi="宋体" w:eastAsia="仿宋_GB2312"/>
                <w:kern w:val="0"/>
                <w:sz w:val="21"/>
                <w:szCs w:val="21"/>
              </w:rPr>
            </w:pPr>
          </w:p>
        </w:tc>
        <w:tc>
          <w:tcPr>
            <w:tcW w:w="1134" w:type="dxa"/>
            <w:vAlign w:val="center"/>
          </w:tcPr>
          <w:p w14:paraId="45E83E30">
            <w:pPr>
              <w:pStyle w:val="8"/>
              <w:ind w:firstLine="420"/>
              <w:rPr>
                <w:rFonts w:hint="eastAsia" w:ascii="仿宋_GB2312" w:hAnsi="宋体" w:eastAsia="仿宋_GB2312"/>
                <w:kern w:val="0"/>
                <w:sz w:val="21"/>
                <w:szCs w:val="21"/>
              </w:rPr>
            </w:pPr>
          </w:p>
        </w:tc>
        <w:tc>
          <w:tcPr>
            <w:tcW w:w="3896" w:type="dxa"/>
            <w:vAlign w:val="center"/>
          </w:tcPr>
          <w:p w14:paraId="35948158">
            <w:pPr>
              <w:pStyle w:val="8"/>
              <w:ind w:firstLine="420"/>
              <w:rPr>
                <w:rFonts w:hint="eastAsia" w:ascii="仿宋_GB2312" w:hAnsi="宋体" w:eastAsia="仿宋_GB2312"/>
                <w:kern w:val="0"/>
                <w:sz w:val="21"/>
                <w:szCs w:val="21"/>
              </w:rPr>
            </w:pPr>
          </w:p>
        </w:tc>
      </w:tr>
      <w:tr w14:paraId="1044C0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tcBorders>
              <w:top w:val="nil"/>
              <w:bottom w:val="nil"/>
            </w:tcBorders>
            <w:vAlign w:val="center"/>
          </w:tcPr>
          <w:p w14:paraId="287CF76F">
            <w:pPr>
              <w:pStyle w:val="8"/>
              <w:ind w:firstLine="420"/>
              <w:rPr>
                <w:rFonts w:hint="eastAsia" w:ascii="仿宋_GB2312" w:hAnsi="宋体" w:eastAsia="仿宋_GB2312"/>
                <w:kern w:val="0"/>
                <w:sz w:val="21"/>
                <w:szCs w:val="21"/>
              </w:rPr>
            </w:pPr>
          </w:p>
        </w:tc>
        <w:tc>
          <w:tcPr>
            <w:tcW w:w="1418" w:type="dxa"/>
            <w:vAlign w:val="center"/>
          </w:tcPr>
          <w:p w14:paraId="36147D36">
            <w:pPr>
              <w:pStyle w:val="8"/>
              <w:ind w:firstLine="420"/>
              <w:rPr>
                <w:rFonts w:hint="eastAsia" w:ascii="仿宋_GB2312" w:hAnsi="宋体" w:eastAsia="仿宋_GB2312"/>
                <w:kern w:val="0"/>
                <w:sz w:val="21"/>
                <w:szCs w:val="21"/>
              </w:rPr>
            </w:pPr>
          </w:p>
        </w:tc>
        <w:tc>
          <w:tcPr>
            <w:tcW w:w="1134" w:type="dxa"/>
            <w:vAlign w:val="center"/>
          </w:tcPr>
          <w:p w14:paraId="10BBCD7C">
            <w:pPr>
              <w:pStyle w:val="8"/>
              <w:ind w:firstLine="420"/>
              <w:rPr>
                <w:rFonts w:hint="eastAsia" w:ascii="仿宋_GB2312" w:hAnsi="宋体" w:eastAsia="仿宋_GB2312"/>
                <w:kern w:val="0"/>
                <w:sz w:val="21"/>
                <w:szCs w:val="21"/>
              </w:rPr>
            </w:pPr>
          </w:p>
        </w:tc>
        <w:tc>
          <w:tcPr>
            <w:tcW w:w="1134" w:type="dxa"/>
            <w:vAlign w:val="center"/>
          </w:tcPr>
          <w:p w14:paraId="40282BE7">
            <w:pPr>
              <w:pStyle w:val="8"/>
              <w:ind w:firstLine="420"/>
              <w:rPr>
                <w:rFonts w:hint="eastAsia" w:ascii="仿宋_GB2312" w:hAnsi="宋体" w:eastAsia="仿宋_GB2312"/>
                <w:kern w:val="0"/>
                <w:sz w:val="21"/>
                <w:szCs w:val="21"/>
              </w:rPr>
            </w:pPr>
          </w:p>
        </w:tc>
        <w:tc>
          <w:tcPr>
            <w:tcW w:w="3896" w:type="dxa"/>
            <w:vAlign w:val="center"/>
          </w:tcPr>
          <w:p w14:paraId="64855809">
            <w:pPr>
              <w:pStyle w:val="8"/>
              <w:ind w:firstLine="420"/>
              <w:rPr>
                <w:rFonts w:hint="eastAsia" w:ascii="仿宋_GB2312" w:hAnsi="宋体" w:eastAsia="仿宋_GB2312"/>
                <w:kern w:val="0"/>
                <w:sz w:val="21"/>
                <w:szCs w:val="21"/>
              </w:rPr>
            </w:pPr>
          </w:p>
        </w:tc>
      </w:tr>
      <w:tr w14:paraId="310F20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9087" w:type="dxa"/>
            <w:gridSpan w:val="5"/>
            <w:tcBorders>
              <w:top w:val="single" w:color="auto" w:sz="6" w:space="0"/>
              <w:bottom w:val="single" w:color="auto" w:sz="6" w:space="0"/>
            </w:tcBorders>
            <w:vAlign w:val="center"/>
          </w:tcPr>
          <w:p w14:paraId="37DE6153">
            <w:pPr>
              <w:pStyle w:val="8"/>
              <w:ind w:firstLine="420"/>
              <w:rPr>
                <w:rFonts w:hint="eastAsia" w:ascii="仿宋_GB2312" w:hAnsi="宋体" w:eastAsia="仿宋_GB2312"/>
                <w:kern w:val="0"/>
                <w:sz w:val="21"/>
                <w:szCs w:val="21"/>
              </w:rPr>
            </w:pPr>
            <w:r>
              <w:rPr>
                <w:rFonts w:hint="eastAsia" w:ascii="仿宋_GB2312" w:hAnsi="宋体" w:eastAsia="仿宋_GB2312"/>
                <w:kern w:val="0"/>
                <w:sz w:val="21"/>
                <w:szCs w:val="21"/>
              </w:rPr>
              <w:t>二、现场人员</w:t>
            </w:r>
          </w:p>
        </w:tc>
      </w:tr>
      <w:tr w14:paraId="729A62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tcBorders>
              <w:top w:val="single" w:color="auto" w:sz="6" w:space="0"/>
              <w:bottom w:val="single" w:color="auto" w:sz="6" w:space="0"/>
            </w:tcBorders>
            <w:vAlign w:val="center"/>
          </w:tcPr>
          <w:p w14:paraId="3BEE3B19">
            <w:pPr>
              <w:pStyle w:val="8"/>
              <w:jc w:val="center"/>
              <w:rPr>
                <w:rFonts w:hint="eastAsia" w:ascii="仿宋_GB2312" w:hAnsi="宋体" w:eastAsia="仿宋_GB2312"/>
                <w:kern w:val="0"/>
                <w:sz w:val="21"/>
                <w:szCs w:val="21"/>
              </w:rPr>
            </w:pPr>
            <w:r>
              <w:rPr>
                <w:rFonts w:hint="eastAsia" w:ascii="仿宋_GB2312" w:hAnsi="宋体" w:eastAsia="仿宋_GB2312"/>
                <w:kern w:val="0"/>
                <w:sz w:val="21"/>
                <w:szCs w:val="21"/>
              </w:rPr>
              <w:t>工程总承包</w:t>
            </w:r>
          </w:p>
          <w:p w14:paraId="66FD3D38">
            <w:pPr>
              <w:pStyle w:val="8"/>
              <w:jc w:val="center"/>
              <w:rPr>
                <w:rFonts w:hint="eastAsia" w:ascii="仿宋_GB2312" w:hAnsi="宋体" w:eastAsia="仿宋_GB2312"/>
                <w:kern w:val="0"/>
                <w:sz w:val="21"/>
                <w:szCs w:val="21"/>
              </w:rPr>
            </w:pPr>
            <w:r>
              <w:rPr>
                <w:rFonts w:hint="eastAsia" w:ascii="仿宋_GB2312" w:hAnsi="宋体" w:eastAsia="仿宋_GB2312"/>
                <w:kern w:val="0"/>
                <w:sz w:val="21"/>
                <w:szCs w:val="21"/>
              </w:rPr>
              <w:t>项目经理</w:t>
            </w:r>
          </w:p>
        </w:tc>
        <w:tc>
          <w:tcPr>
            <w:tcW w:w="1418" w:type="dxa"/>
            <w:vAlign w:val="center"/>
          </w:tcPr>
          <w:p w14:paraId="17E0B5BC">
            <w:pPr>
              <w:pStyle w:val="8"/>
              <w:ind w:firstLine="420"/>
              <w:rPr>
                <w:rFonts w:hint="eastAsia" w:ascii="仿宋_GB2312" w:hAnsi="宋体" w:eastAsia="仿宋_GB2312"/>
                <w:kern w:val="0"/>
                <w:sz w:val="21"/>
                <w:szCs w:val="21"/>
              </w:rPr>
            </w:pPr>
          </w:p>
        </w:tc>
        <w:tc>
          <w:tcPr>
            <w:tcW w:w="1134" w:type="dxa"/>
            <w:vAlign w:val="center"/>
          </w:tcPr>
          <w:p w14:paraId="601F5850">
            <w:pPr>
              <w:pStyle w:val="8"/>
              <w:ind w:firstLine="420"/>
              <w:rPr>
                <w:rFonts w:hint="eastAsia" w:ascii="仿宋_GB2312" w:hAnsi="宋体" w:eastAsia="仿宋_GB2312"/>
                <w:kern w:val="0"/>
                <w:sz w:val="21"/>
                <w:szCs w:val="21"/>
              </w:rPr>
            </w:pPr>
          </w:p>
        </w:tc>
        <w:tc>
          <w:tcPr>
            <w:tcW w:w="1134" w:type="dxa"/>
            <w:vAlign w:val="center"/>
          </w:tcPr>
          <w:p w14:paraId="49BFE438">
            <w:pPr>
              <w:pStyle w:val="8"/>
              <w:ind w:firstLine="420"/>
              <w:rPr>
                <w:rFonts w:hint="eastAsia" w:ascii="仿宋_GB2312" w:hAnsi="宋体" w:eastAsia="仿宋_GB2312"/>
                <w:kern w:val="0"/>
                <w:sz w:val="21"/>
                <w:szCs w:val="21"/>
              </w:rPr>
            </w:pPr>
          </w:p>
        </w:tc>
        <w:tc>
          <w:tcPr>
            <w:tcW w:w="3896" w:type="dxa"/>
            <w:vAlign w:val="center"/>
          </w:tcPr>
          <w:p w14:paraId="16443A38">
            <w:pPr>
              <w:pStyle w:val="8"/>
              <w:ind w:firstLine="420"/>
              <w:rPr>
                <w:rFonts w:hint="eastAsia" w:ascii="仿宋_GB2312" w:hAnsi="宋体" w:eastAsia="仿宋_GB2312"/>
                <w:kern w:val="0"/>
                <w:sz w:val="21"/>
                <w:szCs w:val="21"/>
              </w:rPr>
            </w:pPr>
          </w:p>
          <w:p w14:paraId="588A966D">
            <w:pPr>
              <w:pStyle w:val="8"/>
              <w:ind w:firstLine="420"/>
              <w:rPr>
                <w:rFonts w:hint="eastAsia" w:ascii="仿宋_GB2312" w:hAnsi="宋体" w:eastAsia="仿宋_GB2312"/>
                <w:kern w:val="0"/>
                <w:sz w:val="21"/>
                <w:szCs w:val="21"/>
              </w:rPr>
            </w:pPr>
          </w:p>
        </w:tc>
      </w:tr>
      <w:tr w14:paraId="33C70A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tcBorders>
              <w:top w:val="single" w:color="auto" w:sz="6" w:space="0"/>
              <w:bottom w:val="single" w:color="auto" w:sz="6" w:space="0"/>
            </w:tcBorders>
            <w:vAlign w:val="center"/>
          </w:tcPr>
          <w:p w14:paraId="3FE99763">
            <w:pPr>
              <w:pStyle w:val="8"/>
              <w:jc w:val="center"/>
              <w:rPr>
                <w:rFonts w:hint="eastAsia" w:ascii="仿宋_GB2312" w:hAnsi="宋体" w:eastAsia="仿宋_GB2312"/>
                <w:kern w:val="0"/>
                <w:sz w:val="21"/>
                <w:szCs w:val="21"/>
              </w:rPr>
            </w:pPr>
            <w:r>
              <w:rPr>
                <w:rFonts w:hint="eastAsia" w:ascii="仿宋_GB2312" w:hAnsi="宋体" w:eastAsia="仿宋_GB2312"/>
                <w:kern w:val="0"/>
                <w:sz w:val="21"/>
                <w:szCs w:val="21"/>
              </w:rPr>
              <w:t>项目副经理</w:t>
            </w:r>
          </w:p>
        </w:tc>
        <w:tc>
          <w:tcPr>
            <w:tcW w:w="1418" w:type="dxa"/>
            <w:vAlign w:val="center"/>
          </w:tcPr>
          <w:p w14:paraId="68A5F5ED">
            <w:pPr>
              <w:pStyle w:val="8"/>
              <w:ind w:firstLine="420"/>
              <w:rPr>
                <w:rFonts w:hint="eastAsia" w:ascii="仿宋_GB2312" w:hAnsi="宋体" w:eastAsia="仿宋_GB2312"/>
                <w:kern w:val="0"/>
                <w:sz w:val="21"/>
                <w:szCs w:val="21"/>
              </w:rPr>
            </w:pPr>
          </w:p>
        </w:tc>
        <w:tc>
          <w:tcPr>
            <w:tcW w:w="1134" w:type="dxa"/>
            <w:vAlign w:val="center"/>
          </w:tcPr>
          <w:p w14:paraId="218933E8">
            <w:pPr>
              <w:pStyle w:val="8"/>
              <w:ind w:firstLine="420"/>
              <w:rPr>
                <w:rFonts w:hint="eastAsia" w:ascii="仿宋_GB2312" w:hAnsi="宋体" w:eastAsia="仿宋_GB2312"/>
                <w:kern w:val="0"/>
                <w:sz w:val="21"/>
                <w:szCs w:val="21"/>
              </w:rPr>
            </w:pPr>
          </w:p>
        </w:tc>
        <w:tc>
          <w:tcPr>
            <w:tcW w:w="1134" w:type="dxa"/>
            <w:vAlign w:val="center"/>
          </w:tcPr>
          <w:p w14:paraId="36D95CBC">
            <w:pPr>
              <w:pStyle w:val="8"/>
              <w:ind w:firstLine="420"/>
              <w:rPr>
                <w:rFonts w:hint="eastAsia" w:ascii="仿宋_GB2312" w:hAnsi="宋体" w:eastAsia="仿宋_GB2312"/>
                <w:kern w:val="0"/>
                <w:sz w:val="21"/>
                <w:szCs w:val="21"/>
              </w:rPr>
            </w:pPr>
          </w:p>
        </w:tc>
        <w:tc>
          <w:tcPr>
            <w:tcW w:w="3896" w:type="dxa"/>
            <w:vAlign w:val="center"/>
          </w:tcPr>
          <w:p w14:paraId="2FEF92BE">
            <w:pPr>
              <w:pStyle w:val="8"/>
              <w:ind w:firstLine="420"/>
              <w:rPr>
                <w:rFonts w:hint="eastAsia" w:ascii="仿宋_GB2312" w:hAnsi="宋体" w:eastAsia="仿宋_GB2312"/>
                <w:kern w:val="0"/>
                <w:sz w:val="21"/>
                <w:szCs w:val="21"/>
              </w:rPr>
            </w:pPr>
          </w:p>
        </w:tc>
      </w:tr>
      <w:tr w14:paraId="327EE1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tcBorders>
              <w:top w:val="single" w:color="auto" w:sz="6" w:space="0"/>
              <w:bottom w:val="single" w:color="auto" w:sz="6" w:space="0"/>
            </w:tcBorders>
            <w:vAlign w:val="center"/>
          </w:tcPr>
          <w:p w14:paraId="37D8C933">
            <w:pPr>
              <w:pStyle w:val="8"/>
              <w:jc w:val="center"/>
              <w:rPr>
                <w:rFonts w:hint="eastAsia" w:ascii="仿宋_GB2312" w:hAnsi="宋体" w:eastAsia="仿宋_GB2312"/>
                <w:kern w:val="0"/>
                <w:sz w:val="21"/>
                <w:szCs w:val="21"/>
              </w:rPr>
            </w:pPr>
            <w:r>
              <w:rPr>
                <w:rFonts w:hint="eastAsia" w:ascii="仿宋_GB2312" w:hAnsi="宋体" w:eastAsia="仿宋_GB2312"/>
                <w:kern w:val="0"/>
                <w:sz w:val="21"/>
                <w:szCs w:val="21"/>
              </w:rPr>
              <w:t>设计负责人</w:t>
            </w:r>
          </w:p>
        </w:tc>
        <w:tc>
          <w:tcPr>
            <w:tcW w:w="1418" w:type="dxa"/>
            <w:vAlign w:val="center"/>
          </w:tcPr>
          <w:p w14:paraId="1C3B005B">
            <w:pPr>
              <w:pStyle w:val="8"/>
              <w:ind w:firstLine="420"/>
              <w:rPr>
                <w:rFonts w:hint="eastAsia" w:ascii="仿宋_GB2312" w:hAnsi="宋体" w:eastAsia="仿宋_GB2312"/>
                <w:kern w:val="0"/>
                <w:sz w:val="21"/>
                <w:szCs w:val="21"/>
              </w:rPr>
            </w:pPr>
          </w:p>
        </w:tc>
        <w:tc>
          <w:tcPr>
            <w:tcW w:w="1134" w:type="dxa"/>
            <w:vAlign w:val="center"/>
          </w:tcPr>
          <w:p w14:paraId="6C545256">
            <w:pPr>
              <w:pStyle w:val="8"/>
              <w:ind w:firstLine="420"/>
              <w:rPr>
                <w:rFonts w:hint="eastAsia" w:ascii="仿宋_GB2312" w:hAnsi="宋体" w:eastAsia="仿宋_GB2312"/>
                <w:kern w:val="0"/>
                <w:sz w:val="21"/>
                <w:szCs w:val="21"/>
              </w:rPr>
            </w:pPr>
          </w:p>
        </w:tc>
        <w:tc>
          <w:tcPr>
            <w:tcW w:w="1134" w:type="dxa"/>
            <w:vAlign w:val="center"/>
          </w:tcPr>
          <w:p w14:paraId="3805EB61">
            <w:pPr>
              <w:pStyle w:val="8"/>
              <w:ind w:firstLine="420"/>
              <w:rPr>
                <w:rFonts w:hint="eastAsia" w:ascii="仿宋_GB2312" w:hAnsi="宋体" w:eastAsia="仿宋_GB2312"/>
                <w:kern w:val="0"/>
                <w:sz w:val="21"/>
                <w:szCs w:val="21"/>
              </w:rPr>
            </w:pPr>
          </w:p>
        </w:tc>
        <w:tc>
          <w:tcPr>
            <w:tcW w:w="3896" w:type="dxa"/>
            <w:vAlign w:val="center"/>
          </w:tcPr>
          <w:p w14:paraId="09CAD336">
            <w:pPr>
              <w:pStyle w:val="8"/>
              <w:ind w:firstLine="420"/>
              <w:rPr>
                <w:rFonts w:hint="eastAsia" w:ascii="仿宋_GB2312" w:hAnsi="宋体" w:eastAsia="仿宋_GB2312"/>
                <w:kern w:val="0"/>
                <w:sz w:val="21"/>
                <w:szCs w:val="21"/>
              </w:rPr>
            </w:pPr>
          </w:p>
        </w:tc>
      </w:tr>
      <w:tr w14:paraId="3CA044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tcBorders>
              <w:top w:val="single" w:color="auto" w:sz="6" w:space="0"/>
              <w:bottom w:val="single" w:color="auto" w:sz="6" w:space="0"/>
            </w:tcBorders>
            <w:vAlign w:val="center"/>
          </w:tcPr>
          <w:p w14:paraId="661B6E62">
            <w:pPr>
              <w:pStyle w:val="8"/>
              <w:jc w:val="center"/>
              <w:rPr>
                <w:rFonts w:hint="eastAsia" w:ascii="仿宋_GB2312" w:hAnsi="宋体" w:eastAsia="仿宋_GB2312"/>
                <w:kern w:val="0"/>
                <w:sz w:val="21"/>
                <w:szCs w:val="21"/>
              </w:rPr>
            </w:pPr>
            <w:r>
              <w:rPr>
                <w:rFonts w:hint="eastAsia" w:ascii="仿宋_GB2312" w:hAnsi="宋体" w:eastAsia="仿宋_GB2312"/>
                <w:kern w:val="0"/>
                <w:sz w:val="21"/>
                <w:szCs w:val="21"/>
              </w:rPr>
              <w:t>采购负责人</w:t>
            </w:r>
          </w:p>
        </w:tc>
        <w:tc>
          <w:tcPr>
            <w:tcW w:w="1418" w:type="dxa"/>
            <w:vAlign w:val="center"/>
          </w:tcPr>
          <w:p w14:paraId="50892523">
            <w:pPr>
              <w:pStyle w:val="8"/>
              <w:ind w:firstLine="420"/>
              <w:rPr>
                <w:rFonts w:hint="eastAsia" w:ascii="仿宋_GB2312" w:hAnsi="宋体" w:eastAsia="仿宋_GB2312"/>
                <w:kern w:val="0"/>
                <w:sz w:val="21"/>
                <w:szCs w:val="21"/>
              </w:rPr>
            </w:pPr>
          </w:p>
        </w:tc>
        <w:tc>
          <w:tcPr>
            <w:tcW w:w="1134" w:type="dxa"/>
            <w:vAlign w:val="center"/>
          </w:tcPr>
          <w:p w14:paraId="3DE225B8">
            <w:pPr>
              <w:pStyle w:val="8"/>
              <w:ind w:firstLine="420"/>
              <w:rPr>
                <w:rFonts w:hint="eastAsia" w:ascii="仿宋_GB2312" w:hAnsi="宋体" w:eastAsia="仿宋_GB2312"/>
                <w:kern w:val="0"/>
                <w:sz w:val="21"/>
                <w:szCs w:val="21"/>
              </w:rPr>
            </w:pPr>
          </w:p>
        </w:tc>
        <w:tc>
          <w:tcPr>
            <w:tcW w:w="1134" w:type="dxa"/>
            <w:vAlign w:val="center"/>
          </w:tcPr>
          <w:p w14:paraId="361FF80B">
            <w:pPr>
              <w:pStyle w:val="8"/>
              <w:ind w:firstLine="420"/>
              <w:rPr>
                <w:rFonts w:hint="eastAsia" w:ascii="仿宋_GB2312" w:hAnsi="宋体" w:eastAsia="仿宋_GB2312"/>
                <w:kern w:val="0"/>
                <w:sz w:val="21"/>
                <w:szCs w:val="21"/>
              </w:rPr>
            </w:pPr>
          </w:p>
        </w:tc>
        <w:tc>
          <w:tcPr>
            <w:tcW w:w="3896" w:type="dxa"/>
            <w:vAlign w:val="center"/>
          </w:tcPr>
          <w:p w14:paraId="478D568B">
            <w:pPr>
              <w:pStyle w:val="8"/>
              <w:ind w:firstLine="420"/>
              <w:rPr>
                <w:rFonts w:hint="eastAsia" w:ascii="仿宋_GB2312" w:hAnsi="宋体" w:eastAsia="仿宋_GB2312"/>
                <w:kern w:val="0"/>
                <w:sz w:val="21"/>
                <w:szCs w:val="21"/>
              </w:rPr>
            </w:pPr>
          </w:p>
        </w:tc>
      </w:tr>
      <w:tr w14:paraId="6C4491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tcBorders>
              <w:top w:val="single" w:color="auto" w:sz="6" w:space="0"/>
              <w:bottom w:val="single" w:color="auto" w:sz="6" w:space="0"/>
            </w:tcBorders>
            <w:vAlign w:val="center"/>
          </w:tcPr>
          <w:p w14:paraId="33F14BD6">
            <w:pPr>
              <w:pStyle w:val="8"/>
              <w:jc w:val="center"/>
              <w:rPr>
                <w:rFonts w:hint="eastAsia" w:ascii="仿宋_GB2312" w:hAnsi="宋体" w:eastAsia="仿宋_GB2312"/>
                <w:kern w:val="0"/>
                <w:sz w:val="21"/>
                <w:szCs w:val="21"/>
              </w:rPr>
            </w:pPr>
            <w:r>
              <w:rPr>
                <w:rFonts w:hint="eastAsia" w:ascii="仿宋_GB2312" w:hAnsi="宋体" w:eastAsia="仿宋_GB2312"/>
                <w:kern w:val="0"/>
                <w:sz w:val="21"/>
                <w:szCs w:val="21"/>
              </w:rPr>
              <w:t>施工负责人</w:t>
            </w:r>
          </w:p>
        </w:tc>
        <w:tc>
          <w:tcPr>
            <w:tcW w:w="1418" w:type="dxa"/>
            <w:vAlign w:val="center"/>
          </w:tcPr>
          <w:p w14:paraId="38C070F0">
            <w:pPr>
              <w:pStyle w:val="8"/>
              <w:ind w:firstLine="420"/>
              <w:rPr>
                <w:rFonts w:hint="eastAsia" w:ascii="仿宋_GB2312" w:hAnsi="宋体" w:eastAsia="仿宋_GB2312"/>
                <w:kern w:val="0"/>
                <w:sz w:val="21"/>
                <w:szCs w:val="21"/>
              </w:rPr>
            </w:pPr>
          </w:p>
        </w:tc>
        <w:tc>
          <w:tcPr>
            <w:tcW w:w="1134" w:type="dxa"/>
            <w:vAlign w:val="center"/>
          </w:tcPr>
          <w:p w14:paraId="7A5CC419">
            <w:pPr>
              <w:pStyle w:val="8"/>
              <w:ind w:firstLine="420"/>
              <w:rPr>
                <w:rFonts w:hint="eastAsia" w:ascii="仿宋_GB2312" w:hAnsi="宋体" w:eastAsia="仿宋_GB2312"/>
                <w:kern w:val="0"/>
                <w:sz w:val="21"/>
                <w:szCs w:val="21"/>
              </w:rPr>
            </w:pPr>
          </w:p>
        </w:tc>
        <w:tc>
          <w:tcPr>
            <w:tcW w:w="1134" w:type="dxa"/>
            <w:vAlign w:val="center"/>
          </w:tcPr>
          <w:p w14:paraId="7086C4B5">
            <w:pPr>
              <w:pStyle w:val="8"/>
              <w:ind w:firstLine="420"/>
              <w:rPr>
                <w:rFonts w:hint="eastAsia" w:ascii="仿宋_GB2312" w:hAnsi="宋体" w:eastAsia="仿宋_GB2312"/>
                <w:kern w:val="0"/>
                <w:sz w:val="21"/>
                <w:szCs w:val="21"/>
              </w:rPr>
            </w:pPr>
          </w:p>
        </w:tc>
        <w:tc>
          <w:tcPr>
            <w:tcW w:w="3896" w:type="dxa"/>
            <w:vAlign w:val="center"/>
          </w:tcPr>
          <w:p w14:paraId="20078048">
            <w:pPr>
              <w:pStyle w:val="8"/>
              <w:ind w:firstLine="420"/>
              <w:rPr>
                <w:rFonts w:hint="eastAsia" w:ascii="仿宋_GB2312" w:hAnsi="宋体" w:eastAsia="仿宋_GB2312"/>
                <w:kern w:val="0"/>
                <w:sz w:val="21"/>
                <w:szCs w:val="21"/>
              </w:rPr>
            </w:pPr>
          </w:p>
        </w:tc>
      </w:tr>
      <w:tr w14:paraId="4919A6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tcBorders>
              <w:top w:val="single" w:color="auto" w:sz="6" w:space="0"/>
              <w:bottom w:val="single" w:color="auto" w:sz="6" w:space="0"/>
            </w:tcBorders>
            <w:vAlign w:val="center"/>
          </w:tcPr>
          <w:p w14:paraId="7816A187">
            <w:pPr>
              <w:pStyle w:val="8"/>
              <w:jc w:val="center"/>
              <w:rPr>
                <w:rFonts w:hint="eastAsia" w:ascii="仿宋_GB2312" w:hAnsi="宋体" w:eastAsia="仿宋_GB2312"/>
                <w:kern w:val="0"/>
                <w:sz w:val="21"/>
                <w:szCs w:val="21"/>
              </w:rPr>
            </w:pPr>
            <w:r>
              <w:rPr>
                <w:rFonts w:hint="eastAsia" w:ascii="仿宋_GB2312" w:hAnsi="宋体" w:eastAsia="仿宋_GB2312"/>
                <w:kern w:val="0"/>
                <w:sz w:val="21"/>
                <w:szCs w:val="21"/>
              </w:rPr>
              <w:t>技术负责人</w:t>
            </w:r>
          </w:p>
        </w:tc>
        <w:tc>
          <w:tcPr>
            <w:tcW w:w="1418" w:type="dxa"/>
            <w:vAlign w:val="center"/>
          </w:tcPr>
          <w:p w14:paraId="21ABCACB">
            <w:pPr>
              <w:pStyle w:val="8"/>
              <w:ind w:firstLine="420"/>
              <w:rPr>
                <w:rFonts w:hint="eastAsia" w:ascii="仿宋_GB2312" w:hAnsi="宋体" w:eastAsia="仿宋_GB2312"/>
                <w:kern w:val="0"/>
                <w:sz w:val="21"/>
                <w:szCs w:val="21"/>
              </w:rPr>
            </w:pPr>
          </w:p>
        </w:tc>
        <w:tc>
          <w:tcPr>
            <w:tcW w:w="1134" w:type="dxa"/>
            <w:vAlign w:val="center"/>
          </w:tcPr>
          <w:p w14:paraId="30ACE9F6">
            <w:pPr>
              <w:pStyle w:val="8"/>
              <w:ind w:firstLine="420"/>
              <w:rPr>
                <w:rFonts w:hint="eastAsia" w:ascii="仿宋_GB2312" w:hAnsi="宋体" w:eastAsia="仿宋_GB2312"/>
                <w:kern w:val="0"/>
                <w:sz w:val="21"/>
                <w:szCs w:val="21"/>
              </w:rPr>
            </w:pPr>
          </w:p>
        </w:tc>
        <w:tc>
          <w:tcPr>
            <w:tcW w:w="1134" w:type="dxa"/>
            <w:vAlign w:val="center"/>
          </w:tcPr>
          <w:p w14:paraId="67966487">
            <w:pPr>
              <w:pStyle w:val="8"/>
              <w:ind w:firstLine="420"/>
              <w:rPr>
                <w:rFonts w:hint="eastAsia" w:ascii="仿宋_GB2312" w:hAnsi="宋体" w:eastAsia="仿宋_GB2312"/>
                <w:kern w:val="0"/>
                <w:sz w:val="21"/>
                <w:szCs w:val="21"/>
              </w:rPr>
            </w:pPr>
          </w:p>
        </w:tc>
        <w:tc>
          <w:tcPr>
            <w:tcW w:w="3896" w:type="dxa"/>
            <w:vAlign w:val="center"/>
          </w:tcPr>
          <w:p w14:paraId="4A68DC54">
            <w:pPr>
              <w:pStyle w:val="8"/>
              <w:ind w:firstLine="420"/>
              <w:rPr>
                <w:rFonts w:hint="eastAsia" w:ascii="仿宋_GB2312" w:hAnsi="宋体" w:eastAsia="仿宋_GB2312"/>
                <w:kern w:val="0"/>
                <w:sz w:val="21"/>
                <w:szCs w:val="21"/>
              </w:rPr>
            </w:pPr>
          </w:p>
        </w:tc>
      </w:tr>
      <w:tr w14:paraId="5A5644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tcBorders>
              <w:top w:val="single" w:color="auto" w:sz="6" w:space="0"/>
              <w:bottom w:val="single" w:color="auto" w:sz="6" w:space="0"/>
            </w:tcBorders>
            <w:vAlign w:val="center"/>
          </w:tcPr>
          <w:p w14:paraId="54362E59">
            <w:pPr>
              <w:pStyle w:val="8"/>
              <w:jc w:val="center"/>
              <w:rPr>
                <w:rFonts w:hint="eastAsia" w:ascii="仿宋_GB2312" w:hAnsi="宋体" w:eastAsia="仿宋_GB2312"/>
                <w:kern w:val="0"/>
                <w:sz w:val="21"/>
                <w:szCs w:val="21"/>
              </w:rPr>
            </w:pPr>
            <w:r>
              <w:rPr>
                <w:rFonts w:hint="eastAsia" w:ascii="仿宋_GB2312" w:hAnsi="宋体" w:eastAsia="仿宋_GB2312"/>
                <w:kern w:val="0"/>
                <w:sz w:val="21"/>
                <w:szCs w:val="21"/>
              </w:rPr>
              <w:t>造价管理</w:t>
            </w:r>
          </w:p>
        </w:tc>
        <w:tc>
          <w:tcPr>
            <w:tcW w:w="1418" w:type="dxa"/>
            <w:vAlign w:val="center"/>
          </w:tcPr>
          <w:p w14:paraId="02442626">
            <w:pPr>
              <w:pStyle w:val="8"/>
              <w:ind w:firstLine="420"/>
              <w:rPr>
                <w:rFonts w:hint="eastAsia" w:ascii="仿宋_GB2312" w:hAnsi="宋体" w:eastAsia="仿宋_GB2312"/>
                <w:kern w:val="0"/>
                <w:sz w:val="21"/>
                <w:szCs w:val="21"/>
              </w:rPr>
            </w:pPr>
          </w:p>
        </w:tc>
        <w:tc>
          <w:tcPr>
            <w:tcW w:w="1134" w:type="dxa"/>
            <w:vAlign w:val="center"/>
          </w:tcPr>
          <w:p w14:paraId="468298AB">
            <w:pPr>
              <w:pStyle w:val="8"/>
              <w:ind w:firstLine="420"/>
              <w:rPr>
                <w:rFonts w:hint="eastAsia" w:ascii="仿宋_GB2312" w:hAnsi="宋体" w:eastAsia="仿宋_GB2312"/>
                <w:kern w:val="0"/>
                <w:sz w:val="21"/>
                <w:szCs w:val="21"/>
              </w:rPr>
            </w:pPr>
          </w:p>
        </w:tc>
        <w:tc>
          <w:tcPr>
            <w:tcW w:w="1134" w:type="dxa"/>
            <w:vAlign w:val="center"/>
          </w:tcPr>
          <w:p w14:paraId="21552C21">
            <w:pPr>
              <w:pStyle w:val="8"/>
              <w:ind w:firstLine="420"/>
              <w:rPr>
                <w:rFonts w:hint="eastAsia" w:ascii="仿宋_GB2312" w:hAnsi="宋体" w:eastAsia="仿宋_GB2312"/>
                <w:kern w:val="0"/>
                <w:sz w:val="21"/>
                <w:szCs w:val="21"/>
              </w:rPr>
            </w:pPr>
          </w:p>
        </w:tc>
        <w:tc>
          <w:tcPr>
            <w:tcW w:w="3896" w:type="dxa"/>
            <w:vAlign w:val="center"/>
          </w:tcPr>
          <w:p w14:paraId="4D6542EE">
            <w:pPr>
              <w:pStyle w:val="8"/>
              <w:ind w:firstLine="420"/>
              <w:rPr>
                <w:rFonts w:hint="eastAsia" w:ascii="仿宋_GB2312" w:hAnsi="宋体" w:eastAsia="仿宋_GB2312"/>
                <w:kern w:val="0"/>
                <w:sz w:val="21"/>
                <w:szCs w:val="21"/>
              </w:rPr>
            </w:pPr>
          </w:p>
        </w:tc>
      </w:tr>
      <w:tr w14:paraId="67D1D0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tcBorders>
              <w:top w:val="single" w:color="auto" w:sz="6" w:space="0"/>
              <w:bottom w:val="single" w:color="auto" w:sz="6" w:space="0"/>
            </w:tcBorders>
            <w:vAlign w:val="center"/>
          </w:tcPr>
          <w:p w14:paraId="4D792B40">
            <w:pPr>
              <w:pStyle w:val="8"/>
              <w:jc w:val="center"/>
              <w:rPr>
                <w:rFonts w:hint="eastAsia" w:ascii="仿宋_GB2312" w:hAnsi="宋体" w:eastAsia="仿宋_GB2312"/>
                <w:kern w:val="0"/>
                <w:sz w:val="21"/>
                <w:szCs w:val="21"/>
              </w:rPr>
            </w:pPr>
            <w:r>
              <w:rPr>
                <w:rFonts w:hint="eastAsia" w:ascii="仿宋_GB2312" w:hAnsi="宋体" w:eastAsia="仿宋_GB2312"/>
                <w:kern w:val="0"/>
                <w:sz w:val="21"/>
                <w:szCs w:val="21"/>
              </w:rPr>
              <w:t>质量管理</w:t>
            </w:r>
          </w:p>
        </w:tc>
        <w:tc>
          <w:tcPr>
            <w:tcW w:w="1418" w:type="dxa"/>
            <w:vAlign w:val="center"/>
          </w:tcPr>
          <w:p w14:paraId="5C336C56">
            <w:pPr>
              <w:pStyle w:val="8"/>
              <w:ind w:firstLine="420"/>
              <w:rPr>
                <w:rFonts w:hint="eastAsia" w:ascii="仿宋_GB2312" w:hAnsi="宋体" w:eastAsia="仿宋_GB2312"/>
                <w:kern w:val="0"/>
                <w:sz w:val="21"/>
                <w:szCs w:val="21"/>
              </w:rPr>
            </w:pPr>
          </w:p>
        </w:tc>
        <w:tc>
          <w:tcPr>
            <w:tcW w:w="1134" w:type="dxa"/>
            <w:vAlign w:val="center"/>
          </w:tcPr>
          <w:p w14:paraId="6DF3BA43">
            <w:pPr>
              <w:pStyle w:val="8"/>
              <w:ind w:firstLine="420"/>
              <w:rPr>
                <w:rFonts w:hint="eastAsia" w:ascii="仿宋_GB2312" w:hAnsi="宋体" w:eastAsia="仿宋_GB2312"/>
                <w:kern w:val="0"/>
                <w:sz w:val="21"/>
                <w:szCs w:val="21"/>
              </w:rPr>
            </w:pPr>
          </w:p>
        </w:tc>
        <w:tc>
          <w:tcPr>
            <w:tcW w:w="1134" w:type="dxa"/>
            <w:vAlign w:val="center"/>
          </w:tcPr>
          <w:p w14:paraId="60493518">
            <w:pPr>
              <w:pStyle w:val="8"/>
              <w:ind w:firstLine="420"/>
              <w:rPr>
                <w:rFonts w:hint="eastAsia" w:ascii="仿宋_GB2312" w:hAnsi="宋体" w:eastAsia="仿宋_GB2312"/>
                <w:kern w:val="0"/>
                <w:sz w:val="21"/>
                <w:szCs w:val="21"/>
              </w:rPr>
            </w:pPr>
          </w:p>
        </w:tc>
        <w:tc>
          <w:tcPr>
            <w:tcW w:w="3896" w:type="dxa"/>
            <w:vAlign w:val="center"/>
          </w:tcPr>
          <w:p w14:paraId="65F66F27">
            <w:pPr>
              <w:pStyle w:val="8"/>
              <w:ind w:firstLine="420"/>
              <w:rPr>
                <w:rFonts w:hint="eastAsia" w:ascii="仿宋_GB2312" w:hAnsi="宋体" w:eastAsia="仿宋_GB2312"/>
                <w:kern w:val="0"/>
                <w:sz w:val="21"/>
                <w:szCs w:val="21"/>
              </w:rPr>
            </w:pPr>
          </w:p>
        </w:tc>
      </w:tr>
      <w:tr w14:paraId="7200A0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tcBorders>
              <w:top w:val="single" w:color="auto" w:sz="6" w:space="0"/>
              <w:bottom w:val="single" w:color="auto" w:sz="6" w:space="0"/>
            </w:tcBorders>
            <w:vAlign w:val="center"/>
          </w:tcPr>
          <w:p w14:paraId="6373B4A5">
            <w:pPr>
              <w:pStyle w:val="8"/>
              <w:jc w:val="center"/>
              <w:rPr>
                <w:rFonts w:hint="eastAsia" w:ascii="仿宋_GB2312" w:hAnsi="宋体" w:eastAsia="仿宋_GB2312"/>
                <w:kern w:val="0"/>
                <w:sz w:val="21"/>
                <w:szCs w:val="21"/>
              </w:rPr>
            </w:pPr>
            <w:r>
              <w:rPr>
                <w:rFonts w:hint="eastAsia" w:ascii="仿宋_GB2312" w:hAnsi="宋体" w:eastAsia="仿宋_GB2312"/>
                <w:kern w:val="0"/>
                <w:sz w:val="21"/>
                <w:szCs w:val="21"/>
              </w:rPr>
              <w:t>计划管理</w:t>
            </w:r>
          </w:p>
        </w:tc>
        <w:tc>
          <w:tcPr>
            <w:tcW w:w="1418" w:type="dxa"/>
            <w:vAlign w:val="center"/>
          </w:tcPr>
          <w:p w14:paraId="6405B259">
            <w:pPr>
              <w:pStyle w:val="8"/>
              <w:ind w:firstLine="420"/>
              <w:rPr>
                <w:rFonts w:hint="eastAsia" w:ascii="仿宋_GB2312" w:hAnsi="宋体" w:eastAsia="仿宋_GB2312"/>
                <w:kern w:val="0"/>
                <w:sz w:val="21"/>
                <w:szCs w:val="21"/>
              </w:rPr>
            </w:pPr>
          </w:p>
        </w:tc>
        <w:tc>
          <w:tcPr>
            <w:tcW w:w="1134" w:type="dxa"/>
            <w:vAlign w:val="center"/>
          </w:tcPr>
          <w:p w14:paraId="3A490B94">
            <w:pPr>
              <w:pStyle w:val="8"/>
              <w:ind w:firstLine="420"/>
              <w:rPr>
                <w:rFonts w:hint="eastAsia" w:ascii="仿宋_GB2312" w:hAnsi="宋体" w:eastAsia="仿宋_GB2312"/>
                <w:kern w:val="0"/>
                <w:sz w:val="21"/>
                <w:szCs w:val="21"/>
              </w:rPr>
            </w:pPr>
          </w:p>
        </w:tc>
        <w:tc>
          <w:tcPr>
            <w:tcW w:w="1134" w:type="dxa"/>
            <w:vAlign w:val="center"/>
          </w:tcPr>
          <w:p w14:paraId="08E771C5">
            <w:pPr>
              <w:pStyle w:val="8"/>
              <w:ind w:firstLine="420"/>
              <w:rPr>
                <w:rFonts w:hint="eastAsia" w:ascii="仿宋_GB2312" w:hAnsi="宋体" w:eastAsia="仿宋_GB2312"/>
                <w:kern w:val="0"/>
                <w:sz w:val="21"/>
                <w:szCs w:val="21"/>
              </w:rPr>
            </w:pPr>
          </w:p>
        </w:tc>
        <w:tc>
          <w:tcPr>
            <w:tcW w:w="3896" w:type="dxa"/>
            <w:vAlign w:val="center"/>
          </w:tcPr>
          <w:p w14:paraId="2375B4F1">
            <w:pPr>
              <w:pStyle w:val="8"/>
              <w:ind w:firstLine="420"/>
              <w:rPr>
                <w:rFonts w:hint="eastAsia" w:ascii="仿宋_GB2312" w:hAnsi="宋体" w:eastAsia="仿宋_GB2312"/>
                <w:kern w:val="0"/>
                <w:sz w:val="21"/>
                <w:szCs w:val="21"/>
              </w:rPr>
            </w:pPr>
          </w:p>
        </w:tc>
      </w:tr>
      <w:tr w14:paraId="139A27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tcBorders>
              <w:top w:val="single" w:color="auto" w:sz="6" w:space="0"/>
              <w:bottom w:val="single" w:color="auto" w:sz="6" w:space="0"/>
            </w:tcBorders>
            <w:vAlign w:val="center"/>
          </w:tcPr>
          <w:p w14:paraId="13D33FB8">
            <w:pPr>
              <w:pStyle w:val="8"/>
              <w:jc w:val="center"/>
              <w:rPr>
                <w:rFonts w:hint="eastAsia" w:ascii="仿宋_GB2312" w:hAnsi="宋体" w:eastAsia="仿宋_GB2312"/>
                <w:kern w:val="0"/>
                <w:sz w:val="21"/>
                <w:szCs w:val="21"/>
              </w:rPr>
            </w:pPr>
            <w:r>
              <w:rPr>
                <w:rFonts w:hint="eastAsia" w:ascii="仿宋_GB2312" w:hAnsi="宋体" w:eastAsia="仿宋_GB2312"/>
                <w:kern w:val="0"/>
                <w:sz w:val="21"/>
                <w:szCs w:val="21"/>
              </w:rPr>
              <w:t>安全管理</w:t>
            </w:r>
          </w:p>
        </w:tc>
        <w:tc>
          <w:tcPr>
            <w:tcW w:w="1418" w:type="dxa"/>
            <w:vAlign w:val="center"/>
          </w:tcPr>
          <w:p w14:paraId="1A2E999A">
            <w:pPr>
              <w:pStyle w:val="8"/>
              <w:ind w:firstLine="420"/>
              <w:rPr>
                <w:rFonts w:hint="eastAsia" w:ascii="仿宋_GB2312" w:hAnsi="宋体" w:eastAsia="仿宋_GB2312"/>
                <w:kern w:val="0"/>
                <w:sz w:val="21"/>
                <w:szCs w:val="21"/>
              </w:rPr>
            </w:pPr>
          </w:p>
        </w:tc>
        <w:tc>
          <w:tcPr>
            <w:tcW w:w="1134" w:type="dxa"/>
            <w:vAlign w:val="center"/>
          </w:tcPr>
          <w:p w14:paraId="45C9CF30">
            <w:pPr>
              <w:pStyle w:val="8"/>
              <w:ind w:firstLine="420"/>
              <w:rPr>
                <w:rFonts w:hint="eastAsia" w:ascii="仿宋_GB2312" w:hAnsi="宋体" w:eastAsia="仿宋_GB2312"/>
                <w:kern w:val="0"/>
                <w:sz w:val="21"/>
                <w:szCs w:val="21"/>
              </w:rPr>
            </w:pPr>
          </w:p>
        </w:tc>
        <w:tc>
          <w:tcPr>
            <w:tcW w:w="1134" w:type="dxa"/>
            <w:vAlign w:val="center"/>
          </w:tcPr>
          <w:p w14:paraId="4E8D74E6">
            <w:pPr>
              <w:pStyle w:val="8"/>
              <w:ind w:firstLine="420"/>
              <w:rPr>
                <w:rFonts w:hint="eastAsia" w:ascii="仿宋_GB2312" w:hAnsi="宋体" w:eastAsia="仿宋_GB2312"/>
                <w:kern w:val="0"/>
                <w:sz w:val="21"/>
                <w:szCs w:val="21"/>
              </w:rPr>
            </w:pPr>
          </w:p>
        </w:tc>
        <w:tc>
          <w:tcPr>
            <w:tcW w:w="3896" w:type="dxa"/>
            <w:vAlign w:val="center"/>
          </w:tcPr>
          <w:p w14:paraId="61050FCA">
            <w:pPr>
              <w:pStyle w:val="8"/>
              <w:ind w:firstLine="420"/>
              <w:rPr>
                <w:rFonts w:hint="eastAsia" w:ascii="仿宋_GB2312" w:hAnsi="宋体" w:eastAsia="仿宋_GB2312"/>
                <w:kern w:val="0"/>
                <w:sz w:val="21"/>
                <w:szCs w:val="21"/>
              </w:rPr>
            </w:pPr>
          </w:p>
        </w:tc>
      </w:tr>
      <w:tr w14:paraId="21E640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tcBorders>
              <w:top w:val="single" w:color="auto" w:sz="6" w:space="0"/>
              <w:bottom w:val="single" w:color="auto" w:sz="6" w:space="0"/>
            </w:tcBorders>
            <w:vAlign w:val="center"/>
          </w:tcPr>
          <w:p w14:paraId="0FE6A73E">
            <w:pPr>
              <w:pStyle w:val="8"/>
              <w:jc w:val="center"/>
              <w:rPr>
                <w:rFonts w:hint="eastAsia" w:ascii="仿宋_GB2312" w:hAnsi="宋体" w:eastAsia="仿宋_GB2312"/>
                <w:kern w:val="0"/>
                <w:sz w:val="21"/>
                <w:szCs w:val="21"/>
              </w:rPr>
            </w:pPr>
            <w:r>
              <w:rPr>
                <w:rFonts w:hint="eastAsia" w:ascii="仿宋_GB2312" w:hAnsi="宋体" w:eastAsia="仿宋_GB2312"/>
                <w:kern w:val="0"/>
                <w:sz w:val="21"/>
                <w:szCs w:val="21"/>
              </w:rPr>
              <w:t>环境管理</w:t>
            </w:r>
          </w:p>
        </w:tc>
        <w:tc>
          <w:tcPr>
            <w:tcW w:w="1418" w:type="dxa"/>
            <w:vAlign w:val="center"/>
          </w:tcPr>
          <w:p w14:paraId="2FDEADEF">
            <w:pPr>
              <w:pStyle w:val="8"/>
              <w:ind w:firstLine="420"/>
              <w:rPr>
                <w:rFonts w:hint="eastAsia" w:ascii="仿宋_GB2312" w:hAnsi="宋体" w:eastAsia="仿宋_GB2312"/>
                <w:kern w:val="0"/>
                <w:sz w:val="21"/>
                <w:szCs w:val="21"/>
              </w:rPr>
            </w:pPr>
          </w:p>
        </w:tc>
        <w:tc>
          <w:tcPr>
            <w:tcW w:w="1134" w:type="dxa"/>
            <w:vAlign w:val="center"/>
          </w:tcPr>
          <w:p w14:paraId="43D245C1">
            <w:pPr>
              <w:pStyle w:val="8"/>
              <w:ind w:firstLine="420"/>
              <w:rPr>
                <w:rFonts w:hint="eastAsia" w:ascii="仿宋_GB2312" w:hAnsi="宋体" w:eastAsia="仿宋_GB2312"/>
                <w:kern w:val="0"/>
                <w:sz w:val="21"/>
                <w:szCs w:val="21"/>
              </w:rPr>
            </w:pPr>
          </w:p>
        </w:tc>
        <w:tc>
          <w:tcPr>
            <w:tcW w:w="1134" w:type="dxa"/>
            <w:vAlign w:val="center"/>
          </w:tcPr>
          <w:p w14:paraId="15893BA4">
            <w:pPr>
              <w:pStyle w:val="8"/>
              <w:ind w:firstLine="420"/>
              <w:rPr>
                <w:rFonts w:hint="eastAsia" w:ascii="仿宋_GB2312" w:hAnsi="宋体" w:eastAsia="仿宋_GB2312"/>
                <w:kern w:val="0"/>
                <w:sz w:val="21"/>
                <w:szCs w:val="21"/>
              </w:rPr>
            </w:pPr>
          </w:p>
        </w:tc>
        <w:tc>
          <w:tcPr>
            <w:tcW w:w="3896" w:type="dxa"/>
            <w:vAlign w:val="center"/>
          </w:tcPr>
          <w:p w14:paraId="19BFB788">
            <w:pPr>
              <w:pStyle w:val="8"/>
              <w:ind w:firstLine="420"/>
              <w:rPr>
                <w:rFonts w:hint="eastAsia" w:ascii="仿宋_GB2312" w:hAnsi="宋体" w:eastAsia="仿宋_GB2312"/>
                <w:kern w:val="0"/>
                <w:sz w:val="21"/>
                <w:szCs w:val="21"/>
              </w:rPr>
            </w:pPr>
          </w:p>
        </w:tc>
      </w:tr>
      <w:tr w14:paraId="217CC0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vMerge w:val="restart"/>
            <w:tcBorders>
              <w:top w:val="single" w:color="auto" w:sz="6" w:space="0"/>
            </w:tcBorders>
            <w:vAlign w:val="center"/>
          </w:tcPr>
          <w:p w14:paraId="43A4FF12">
            <w:pPr>
              <w:pStyle w:val="8"/>
              <w:jc w:val="center"/>
              <w:rPr>
                <w:rFonts w:hint="eastAsia" w:ascii="仿宋_GB2312" w:hAnsi="宋体" w:eastAsia="仿宋_GB2312"/>
                <w:kern w:val="0"/>
                <w:sz w:val="21"/>
                <w:szCs w:val="21"/>
              </w:rPr>
            </w:pPr>
            <w:r>
              <w:rPr>
                <w:rFonts w:hint="eastAsia" w:ascii="仿宋_GB2312" w:hAnsi="宋体" w:eastAsia="仿宋_GB2312"/>
                <w:kern w:val="0"/>
                <w:sz w:val="21"/>
                <w:szCs w:val="21"/>
              </w:rPr>
              <w:t>其他人员</w:t>
            </w:r>
          </w:p>
        </w:tc>
        <w:tc>
          <w:tcPr>
            <w:tcW w:w="1418" w:type="dxa"/>
            <w:vAlign w:val="center"/>
          </w:tcPr>
          <w:p w14:paraId="5E28B063">
            <w:pPr>
              <w:pStyle w:val="8"/>
              <w:ind w:firstLine="420"/>
              <w:rPr>
                <w:rFonts w:hint="eastAsia" w:ascii="仿宋_GB2312" w:hAnsi="宋体" w:eastAsia="仿宋_GB2312"/>
                <w:kern w:val="0"/>
                <w:sz w:val="21"/>
                <w:szCs w:val="21"/>
              </w:rPr>
            </w:pPr>
          </w:p>
        </w:tc>
        <w:tc>
          <w:tcPr>
            <w:tcW w:w="1134" w:type="dxa"/>
            <w:vAlign w:val="center"/>
          </w:tcPr>
          <w:p w14:paraId="7914EF29">
            <w:pPr>
              <w:pStyle w:val="8"/>
              <w:ind w:firstLine="420"/>
              <w:rPr>
                <w:rFonts w:hint="eastAsia" w:ascii="仿宋_GB2312" w:hAnsi="宋体" w:eastAsia="仿宋_GB2312"/>
                <w:kern w:val="0"/>
                <w:sz w:val="21"/>
                <w:szCs w:val="21"/>
              </w:rPr>
            </w:pPr>
          </w:p>
        </w:tc>
        <w:tc>
          <w:tcPr>
            <w:tcW w:w="1134" w:type="dxa"/>
            <w:vAlign w:val="center"/>
          </w:tcPr>
          <w:p w14:paraId="43DCB6ED">
            <w:pPr>
              <w:pStyle w:val="8"/>
              <w:ind w:firstLine="420"/>
              <w:rPr>
                <w:rFonts w:hint="eastAsia" w:ascii="仿宋_GB2312" w:hAnsi="宋体" w:eastAsia="仿宋_GB2312"/>
                <w:kern w:val="0"/>
                <w:sz w:val="21"/>
                <w:szCs w:val="21"/>
              </w:rPr>
            </w:pPr>
          </w:p>
        </w:tc>
        <w:tc>
          <w:tcPr>
            <w:tcW w:w="3896" w:type="dxa"/>
            <w:vAlign w:val="center"/>
          </w:tcPr>
          <w:p w14:paraId="63B7DB48">
            <w:pPr>
              <w:pStyle w:val="8"/>
              <w:ind w:firstLine="420"/>
              <w:rPr>
                <w:rFonts w:hint="eastAsia" w:ascii="仿宋_GB2312" w:hAnsi="宋体" w:eastAsia="仿宋_GB2312"/>
                <w:kern w:val="0"/>
                <w:sz w:val="21"/>
                <w:szCs w:val="21"/>
              </w:rPr>
            </w:pPr>
          </w:p>
        </w:tc>
      </w:tr>
      <w:tr w14:paraId="041194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vMerge w:val="continue"/>
            <w:vAlign w:val="center"/>
          </w:tcPr>
          <w:p w14:paraId="090BE84D">
            <w:pPr>
              <w:pStyle w:val="8"/>
              <w:ind w:firstLine="420"/>
              <w:rPr>
                <w:rFonts w:hint="eastAsia" w:ascii="仿宋_GB2312" w:hAnsi="宋体" w:eastAsia="仿宋_GB2312"/>
                <w:kern w:val="0"/>
                <w:sz w:val="21"/>
                <w:szCs w:val="21"/>
              </w:rPr>
            </w:pPr>
          </w:p>
        </w:tc>
        <w:tc>
          <w:tcPr>
            <w:tcW w:w="1418" w:type="dxa"/>
            <w:tcBorders>
              <w:bottom w:val="nil"/>
            </w:tcBorders>
            <w:vAlign w:val="center"/>
          </w:tcPr>
          <w:p w14:paraId="4D02B2EB">
            <w:pPr>
              <w:pStyle w:val="8"/>
              <w:ind w:firstLine="420"/>
              <w:rPr>
                <w:rFonts w:hint="eastAsia" w:ascii="仿宋_GB2312" w:hAnsi="宋体" w:eastAsia="仿宋_GB2312"/>
                <w:kern w:val="0"/>
                <w:sz w:val="21"/>
                <w:szCs w:val="21"/>
              </w:rPr>
            </w:pPr>
          </w:p>
        </w:tc>
        <w:tc>
          <w:tcPr>
            <w:tcW w:w="1134" w:type="dxa"/>
            <w:tcBorders>
              <w:bottom w:val="nil"/>
            </w:tcBorders>
            <w:vAlign w:val="center"/>
          </w:tcPr>
          <w:p w14:paraId="2E00EA4B">
            <w:pPr>
              <w:pStyle w:val="8"/>
              <w:ind w:firstLine="420"/>
              <w:rPr>
                <w:rFonts w:hint="eastAsia" w:ascii="仿宋_GB2312" w:hAnsi="宋体" w:eastAsia="仿宋_GB2312"/>
                <w:kern w:val="0"/>
                <w:sz w:val="21"/>
                <w:szCs w:val="21"/>
              </w:rPr>
            </w:pPr>
          </w:p>
        </w:tc>
        <w:tc>
          <w:tcPr>
            <w:tcW w:w="1134" w:type="dxa"/>
            <w:tcBorders>
              <w:bottom w:val="nil"/>
            </w:tcBorders>
            <w:vAlign w:val="center"/>
          </w:tcPr>
          <w:p w14:paraId="408DC7EA">
            <w:pPr>
              <w:pStyle w:val="8"/>
              <w:ind w:firstLine="420"/>
              <w:rPr>
                <w:rFonts w:hint="eastAsia" w:ascii="仿宋_GB2312" w:hAnsi="宋体" w:eastAsia="仿宋_GB2312"/>
                <w:kern w:val="0"/>
                <w:sz w:val="21"/>
                <w:szCs w:val="21"/>
              </w:rPr>
            </w:pPr>
          </w:p>
        </w:tc>
        <w:tc>
          <w:tcPr>
            <w:tcW w:w="3896" w:type="dxa"/>
            <w:tcBorders>
              <w:bottom w:val="nil"/>
            </w:tcBorders>
            <w:vAlign w:val="center"/>
          </w:tcPr>
          <w:p w14:paraId="46A9110D">
            <w:pPr>
              <w:pStyle w:val="8"/>
              <w:ind w:firstLine="420"/>
              <w:rPr>
                <w:rFonts w:hint="eastAsia" w:ascii="仿宋_GB2312" w:hAnsi="宋体" w:eastAsia="仿宋_GB2312"/>
                <w:kern w:val="0"/>
                <w:sz w:val="21"/>
                <w:szCs w:val="21"/>
              </w:rPr>
            </w:pPr>
          </w:p>
        </w:tc>
      </w:tr>
      <w:tr w14:paraId="200565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vMerge w:val="continue"/>
            <w:vAlign w:val="center"/>
          </w:tcPr>
          <w:p w14:paraId="536D102C">
            <w:pPr>
              <w:pStyle w:val="8"/>
              <w:ind w:firstLine="420"/>
              <w:rPr>
                <w:rFonts w:hint="eastAsia" w:ascii="仿宋_GB2312" w:hAnsi="宋体" w:eastAsia="仿宋_GB2312"/>
                <w:kern w:val="0"/>
                <w:sz w:val="21"/>
                <w:szCs w:val="21"/>
              </w:rPr>
            </w:pPr>
          </w:p>
        </w:tc>
        <w:tc>
          <w:tcPr>
            <w:tcW w:w="1418" w:type="dxa"/>
            <w:vAlign w:val="center"/>
          </w:tcPr>
          <w:p w14:paraId="00FDB8DB">
            <w:pPr>
              <w:pStyle w:val="8"/>
              <w:ind w:firstLine="420"/>
              <w:rPr>
                <w:rFonts w:hint="eastAsia" w:ascii="仿宋_GB2312" w:hAnsi="宋体" w:eastAsia="仿宋_GB2312"/>
                <w:kern w:val="0"/>
                <w:sz w:val="21"/>
                <w:szCs w:val="21"/>
              </w:rPr>
            </w:pPr>
          </w:p>
        </w:tc>
        <w:tc>
          <w:tcPr>
            <w:tcW w:w="1134" w:type="dxa"/>
            <w:vAlign w:val="center"/>
          </w:tcPr>
          <w:p w14:paraId="1152DD54">
            <w:pPr>
              <w:pStyle w:val="8"/>
              <w:ind w:firstLine="420"/>
              <w:rPr>
                <w:rFonts w:hint="eastAsia" w:ascii="仿宋_GB2312" w:hAnsi="宋体" w:eastAsia="仿宋_GB2312"/>
                <w:kern w:val="0"/>
                <w:sz w:val="21"/>
                <w:szCs w:val="21"/>
              </w:rPr>
            </w:pPr>
          </w:p>
        </w:tc>
        <w:tc>
          <w:tcPr>
            <w:tcW w:w="1134" w:type="dxa"/>
            <w:vAlign w:val="center"/>
          </w:tcPr>
          <w:p w14:paraId="026E83C2">
            <w:pPr>
              <w:pStyle w:val="8"/>
              <w:ind w:firstLine="420"/>
              <w:rPr>
                <w:rFonts w:hint="eastAsia" w:ascii="仿宋_GB2312" w:hAnsi="宋体" w:eastAsia="仿宋_GB2312"/>
                <w:kern w:val="0"/>
                <w:sz w:val="21"/>
                <w:szCs w:val="21"/>
              </w:rPr>
            </w:pPr>
          </w:p>
        </w:tc>
        <w:tc>
          <w:tcPr>
            <w:tcW w:w="3896" w:type="dxa"/>
            <w:vAlign w:val="center"/>
          </w:tcPr>
          <w:p w14:paraId="58C68A2F">
            <w:pPr>
              <w:pStyle w:val="8"/>
              <w:ind w:firstLine="420"/>
              <w:rPr>
                <w:rFonts w:hint="eastAsia" w:ascii="仿宋_GB2312" w:hAnsi="宋体" w:eastAsia="仿宋_GB2312"/>
                <w:kern w:val="0"/>
                <w:sz w:val="21"/>
                <w:szCs w:val="21"/>
              </w:rPr>
            </w:pPr>
          </w:p>
        </w:tc>
      </w:tr>
      <w:tr w14:paraId="055C8A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1505" w:type="dxa"/>
            <w:vMerge w:val="continue"/>
            <w:vAlign w:val="center"/>
          </w:tcPr>
          <w:p w14:paraId="705E648E">
            <w:pPr>
              <w:pStyle w:val="8"/>
              <w:ind w:firstLine="420"/>
              <w:rPr>
                <w:rFonts w:hint="eastAsia" w:ascii="仿宋_GB2312" w:hAnsi="宋体" w:eastAsia="仿宋_GB2312"/>
                <w:kern w:val="0"/>
                <w:sz w:val="21"/>
                <w:szCs w:val="21"/>
              </w:rPr>
            </w:pPr>
          </w:p>
        </w:tc>
        <w:tc>
          <w:tcPr>
            <w:tcW w:w="1418" w:type="dxa"/>
            <w:vAlign w:val="center"/>
          </w:tcPr>
          <w:p w14:paraId="7D1F7A06">
            <w:pPr>
              <w:pStyle w:val="8"/>
              <w:ind w:firstLine="420"/>
              <w:rPr>
                <w:rFonts w:hint="eastAsia" w:ascii="仿宋_GB2312" w:hAnsi="宋体" w:eastAsia="仿宋_GB2312"/>
                <w:kern w:val="0"/>
                <w:sz w:val="21"/>
                <w:szCs w:val="21"/>
              </w:rPr>
            </w:pPr>
          </w:p>
        </w:tc>
        <w:tc>
          <w:tcPr>
            <w:tcW w:w="1134" w:type="dxa"/>
            <w:vAlign w:val="center"/>
          </w:tcPr>
          <w:p w14:paraId="5AEADF61">
            <w:pPr>
              <w:pStyle w:val="8"/>
              <w:ind w:firstLine="420"/>
              <w:rPr>
                <w:rFonts w:hint="eastAsia" w:ascii="仿宋_GB2312" w:hAnsi="宋体" w:eastAsia="仿宋_GB2312"/>
                <w:kern w:val="0"/>
                <w:sz w:val="21"/>
                <w:szCs w:val="21"/>
              </w:rPr>
            </w:pPr>
          </w:p>
        </w:tc>
        <w:tc>
          <w:tcPr>
            <w:tcW w:w="1134" w:type="dxa"/>
            <w:vAlign w:val="center"/>
          </w:tcPr>
          <w:p w14:paraId="395C6CAD">
            <w:pPr>
              <w:pStyle w:val="8"/>
              <w:ind w:firstLine="420"/>
              <w:rPr>
                <w:rFonts w:hint="eastAsia" w:ascii="仿宋_GB2312" w:hAnsi="宋体" w:eastAsia="仿宋_GB2312"/>
                <w:kern w:val="0"/>
                <w:sz w:val="21"/>
                <w:szCs w:val="21"/>
              </w:rPr>
            </w:pPr>
          </w:p>
        </w:tc>
        <w:tc>
          <w:tcPr>
            <w:tcW w:w="3896" w:type="dxa"/>
            <w:vAlign w:val="center"/>
          </w:tcPr>
          <w:p w14:paraId="13C38DFA">
            <w:pPr>
              <w:pStyle w:val="8"/>
              <w:ind w:firstLine="420"/>
              <w:rPr>
                <w:rFonts w:hint="eastAsia" w:ascii="仿宋_GB2312" w:hAnsi="宋体" w:eastAsia="仿宋_GB2312"/>
                <w:kern w:val="0"/>
                <w:sz w:val="21"/>
                <w:szCs w:val="21"/>
              </w:rPr>
            </w:pPr>
          </w:p>
        </w:tc>
      </w:tr>
    </w:tbl>
    <w:p w14:paraId="3E4098D8">
      <w:pPr>
        <w:spacing w:line="360" w:lineRule="auto"/>
      </w:pPr>
    </w:p>
    <w:p w14:paraId="267AA699">
      <w:pPr>
        <w:rPr>
          <w:sz w:val="28"/>
          <w:szCs w:val="28"/>
        </w:rPr>
      </w:pPr>
      <w:bookmarkStart w:id="1868" w:name="_Toc14342"/>
      <w:bookmarkEnd w:id="1868"/>
      <w:bookmarkStart w:id="1869" w:name="_Toc2888"/>
      <w:bookmarkEnd w:id="1869"/>
      <w:r>
        <w:rPr>
          <w:rFonts w:hint="eastAsia"/>
          <w:sz w:val="28"/>
          <w:szCs w:val="28"/>
        </w:rPr>
        <w:br w:type="page"/>
      </w:r>
    </w:p>
    <w:p w14:paraId="3DE863C0">
      <w:pPr>
        <w:pStyle w:val="44"/>
        <w:numPr>
          <w:ilvl w:val="0"/>
          <w:numId w:val="0"/>
        </w:numPr>
        <w:rPr>
          <w:rFonts w:hint="eastAsia"/>
          <w:sz w:val="28"/>
          <w:szCs w:val="28"/>
        </w:rPr>
      </w:pPr>
      <w:r>
        <w:rPr>
          <w:rFonts w:hint="eastAsia"/>
          <w:sz w:val="28"/>
          <w:szCs w:val="28"/>
        </w:rPr>
        <w:t>附件6 价格指数权重表</w:t>
      </w:r>
    </w:p>
    <w:tbl>
      <w:tblPr>
        <w:tblStyle w:val="25"/>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584"/>
        <w:gridCol w:w="876"/>
        <w:gridCol w:w="1215"/>
        <w:gridCol w:w="1080"/>
        <w:gridCol w:w="1215"/>
        <w:gridCol w:w="1230"/>
        <w:gridCol w:w="1380"/>
      </w:tblGrid>
      <w:tr w14:paraId="18D76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829" w:type="dxa"/>
            <w:vMerge w:val="restart"/>
          </w:tcPr>
          <w:p w14:paraId="5F1471C5">
            <w:pPr>
              <w:spacing w:line="360" w:lineRule="auto"/>
              <w:rPr>
                <w:rFonts w:ascii="仿宋_GB2312" w:eastAsia="仿宋_GB2312"/>
              </w:rPr>
            </w:pPr>
            <w:r>
              <w:rPr>
                <w:rFonts w:hint="eastAsia" w:ascii="仿宋_GB2312" w:eastAsia="仿宋_GB2312"/>
              </w:rPr>
              <w:t>序号</w:t>
            </w:r>
          </w:p>
        </w:tc>
        <w:tc>
          <w:tcPr>
            <w:tcW w:w="1460" w:type="dxa"/>
            <w:gridSpan w:val="2"/>
            <w:vMerge w:val="restart"/>
          </w:tcPr>
          <w:p w14:paraId="0D02B615">
            <w:pPr>
              <w:spacing w:line="360" w:lineRule="auto"/>
              <w:rPr>
                <w:rFonts w:ascii="仿宋_GB2312" w:eastAsia="仿宋_GB2312"/>
              </w:rPr>
            </w:pPr>
            <w:r>
              <w:rPr>
                <w:rFonts w:hint="eastAsia" w:ascii="仿宋_GB2312" w:eastAsia="仿宋_GB2312"/>
              </w:rPr>
              <w:t>名称</w:t>
            </w:r>
          </w:p>
        </w:tc>
        <w:tc>
          <w:tcPr>
            <w:tcW w:w="2295" w:type="dxa"/>
            <w:gridSpan w:val="2"/>
          </w:tcPr>
          <w:p w14:paraId="5EC508CB">
            <w:pPr>
              <w:spacing w:line="360" w:lineRule="auto"/>
              <w:rPr>
                <w:rFonts w:ascii="仿宋_GB2312" w:eastAsia="仿宋_GB2312"/>
              </w:rPr>
            </w:pPr>
            <w:r>
              <w:rPr>
                <w:rFonts w:hint="eastAsia" w:ascii="仿宋_GB2312" w:eastAsia="仿宋_GB2312"/>
              </w:rPr>
              <w:t>变更权重B</w:t>
            </w:r>
          </w:p>
        </w:tc>
        <w:tc>
          <w:tcPr>
            <w:tcW w:w="2445" w:type="dxa"/>
            <w:gridSpan w:val="2"/>
          </w:tcPr>
          <w:p w14:paraId="7F5D1707">
            <w:pPr>
              <w:spacing w:line="360" w:lineRule="auto"/>
              <w:rPr>
                <w:rFonts w:ascii="仿宋_GB2312" w:eastAsia="仿宋_GB2312"/>
              </w:rPr>
            </w:pPr>
            <w:r>
              <w:rPr>
                <w:rFonts w:hint="eastAsia" w:ascii="仿宋_GB2312" w:eastAsia="仿宋_GB2312"/>
              </w:rPr>
              <w:t>基本价格指数F0</w:t>
            </w:r>
          </w:p>
        </w:tc>
        <w:tc>
          <w:tcPr>
            <w:tcW w:w="1380" w:type="dxa"/>
          </w:tcPr>
          <w:p w14:paraId="3ED0C254">
            <w:pPr>
              <w:spacing w:line="360" w:lineRule="auto"/>
              <w:rPr>
                <w:rFonts w:ascii="仿宋_GB2312" w:eastAsia="仿宋_GB2312"/>
              </w:rPr>
            </w:pPr>
            <w:r>
              <w:rPr>
                <w:rFonts w:hint="eastAsia" w:ascii="仿宋_GB2312" w:eastAsia="仿宋_GB2312"/>
              </w:rPr>
              <w:t>备注</w:t>
            </w:r>
          </w:p>
        </w:tc>
      </w:tr>
      <w:tr w14:paraId="20A21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29" w:type="dxa"/>
            <w:vMerge w:val="continue"/>
          </w:tcPr>
          <w:p w14:paraId="0E2CBE56">
            <w:pPr>
              <w:spacing w:line="360" w:lineRule="auto"/>
              <w:rPr>
                <w:rFonts w:ascii="仿宋_GB2312" w:eastAsia="仿宋_GB2312"/>
              </w:rPr>
            </w:pPr>
          </w:p>
        </w:tc>
        <w:tc>
          <w:tcPr>
            <w:tcW w:w="1460" w:type="dxa"/>
            <w:gridSpan w:val="2"/>
            <w:vMerge w:val="continue"/>
          </w:tcPr>
          <w:p w14:paraId="6DA720C2">
            <w:pPr>
              <w:spacing w:line="360" w:lineRule="auto"/>
              <w:rPr>
                <w:rFonts w:ascii="仿宋_GB2312" w:eastAsia="仿宋_GB2312"/>
              </w:rPr>
            </w:pPr>
          </w:p>
        </w:tc>
        <w:tc>
          <w:tcPr>
            <w:tcW w:w="1215" w:type="dxa"/>
          </w:tcPr>
          <w:p w14:paraId="0C02AA42">
            <w:pPr>
              <w:spacing w:line="360" w:lineRule="auto"/>
              <w:rPr>
                <w:rFonts w:ascii="仿宋_GB2312" w:eastAsia="仿宋_GB2312"/>
              </w:rPr>
            </w:pPr>
            <w:r>
              <w:rPr>
                <w:rFonts w:hint="eastAsia" w:ascii="仿宋_GB2312" w:eastAsia="仿宋_GB2312"/>
              </w:rPr>
              <w:t>代号</w:t>
            </w:r>
          </w:p>
        </w:tc>
        <w:tc>
          <w:tcPr>
            <w:tcW w:w="1080" w:type="dxa"/>
          </w:tcPr>
          <w:p w14:paraId="779C2837">
            <w:pPr>
              <w:spacing w:line="360" w:lineRule="auto"/>
              <w:rPr>
                <w:rFonts w:ascii="仿宋_GB2312" w:eastAsia="仿宋_GB2312"/>
              </w:rPr>
            </w:pPr>
            <w:r>
              <w:rPr>
                <w:rFonts w:hint="eastAsia" w:ascii="仿宋_GB2312" w:eastAsia="仿宋_GB2312"/>
              </w:rPr>
              <w:t>权重</w:t>
            </w:r>
          </w:p>
        </w:tc>
        <w:tc>
          <w:tcPr>
            <w:tcW w:w="1215" w:type="dxa"/>
          </w:tcPr>
          <w:p w14:paraId="37F4B6EA">
            <w:pPr>
              <w:spacing w:line="360" w:lineRule="auto"/>
              <w:rPr>
                <w:rFonts w:ascii="仿宋_GB2312" w:eastAsia="仿宋_GB2312"/>
              </w:rPr>
            </w:pPr>
            <w:r>
              <w:rPr>
                <w:rFonts w:hint="eastAsia" w:ascii="仿宋_GB2312" w:eastAsia="仿宋_GB2312"/>
              </w:rPr>
              <w:t>代号</w:t>
            </w:r>
          </w:p>
        </w:tc>
        <w:tc>
          <w:tcPr>
            <w:tcW w:w="1230" w:type="dxa"/>
          </w:tcPr>
          <w:p w14:paraId="7A08C5BE">
            <w:pPr>
              <w:spacing w:line="360" w:lineRule="auto"/>
              <w:rPr>
                <w:rFonts w:ascii="仿宋_GB2312" w:eastAsia="仿宋_GB2312"/>
              </w:rPr>
            </w:pPr>
            <w:r>
              <w:rPr>
                <w:rFonts w:hint="eastAsia" w:ascii="仿宋_GB2312" w:eastAsia="仿宋_GB2312"/>
              </w:rPr>
              <w:t>指数</w:t>
            </w:r>
          </w:p>
        </w:tc>
        <w:tc>
          <w:tcPr>
            <w:tcW w:w="1380" w:type="dxa"/>
          </w:tcPr>
          <w:p w14:paraId="3EFB747D">
            <w:pPr>
              <w:spacing w:line="360" w:lineRule="auto"/>
              <w:rPr>
                <w:rFonts w:ascii="仿宋_GB2312" w:eastAsia="仿宋_GB2312"/>
              </w:rPr>
            </w:pPr>
          </w:p>
        </w:tc>
      </w:tr>
      <w:tr w14:paraId="4C757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5B9C3BA9">
            <w:pPr>
              <w:spacing w:line="360" w:lineRule="auto"/>
              <w:rPr>
                <w:rFonts w:ascii="仿宋_GB2312" w:eastAsia="仿宋_GB2312"/>
              </w:rPr>
            </w:pPr>
          </w:p>
        </w:tc>
        <w:tc>
          <w:tcPr>
            <w:tcW w:w="584" w:type="dxa"/>
            <w:vMerge w:val="restart"/>
          </w:tcPr>
          <w:p w14:paraId="39E7B84A">
            <w:pPr>
              <w:spacing w:line="360" w:lineRule="auto"/>
              <w:rPr>
                <w:rFonts w:ascii="仿宋_GB2312" w:eastAsia="仿宋_GB2312"/>
              </w:rPr>
            </w:pPr>
            <w:r>
              <w:rPr>
                <w:rFonts w:hint="eastAsia" w:ascii="仿宋_GB2312" w:eastAsia="仿宋_GB2312"/>
              </w:rPr>
              <w:t>变</w:t>
            </w:r>
          </w:p>
          <w:p w14:paraId="341FE494">
            <w:pPr>
              <w:spacing w:line="360" w:lineRule="auto"/>
              <w:rPr>
                <w:rFonts w:ascii="仿宋_GB2312" w:eastAsia="仿宋_GB2312"/>
              </w:rPr>
            </w:pPr>
            <w:r>
              <w:rPr>
                <w:rFonts w:hint="eastAsia" w:ascii="仿宋_GB2312" w:eastAsia="仿宋_GB2312"/>
              </w:rPr>
              <w:t>值</w:t>
            </w:r>
          </w:p>
          <w:p w14:paraId="28E99CA8">
            <w:pPr>
              <w:spacing w:line="360" w:lineRule="auto"/>
              <w:rPr>
                <w:rFonts w:ascii="仿宋_GB2312" w:eastAsia="仿宋_GB2312"/>
              </w:rPr>
            </w:pPr>
            <w:r>
              <w:rPr>
                <w:rFonts w:hint="eastAsia" w:ascii="仿宋_GB2312" w:eastAsia="仿宋_GB2312"/>
              </w:rPr>
              <w:t>部</w:t>
            </w:r>
          </w:p>
          <w:p w14:paraId="2412A353">
            <w:pPr>
              <w:spacing w:line="360" w:lineRule="auto"/>
              <w:rPr>
                <w:rFonts w:ascii="仿宋_GB2312" w:eastAsia="仿宋_GB2312"/>
              </w:rPr>
            </w:pPr>
            <w:r>
              <w:rPr>
                <w:rFonts w:hint="eastAsia" w:ascii="仿宋_GB2312" w:eastAsia="仿宋_GB2312"/>
              </w:rPr>
              <w:t>分</w:t>
            </w:r>
          </w:p>
        </w:tc>
        <w:tc>
          <w:tcPr>
            <w:tcW w:w="876" w:type="dxa"/>
          </w:tcPr>
          <w:p w14:paraId="20EDE195">
            <w:pPr>
              <w:spacing w:line="360" w:lineRule="auto"/>
              <w:rPr>
                <w:rFonts w:ascii="仿宋_GB2312" w:eastAsia="仿宋_GB2312"/>
              </w:rPr>
            </w:pPr>
          </w:p>
        </w:tc>
        <w:tc>
          <w:tcPr>
            <w:tcW w:w="1215" w:type="dxa"/>
          </w:tcPr>
          <w:p w14:paraId="2DE82109">
            <w:pPr>
              <w:spacing w:line="360" w:lineRule="auto"/>
              <w:rPr>
                <w:rFonts w:ascii="仿宋_GB2312" w:eastAsia="仿宋_GB2312"/>
              </w:rPr>
            </w:pPr>
            <w:r>
              <w:rPr>
                <w:rFonts w:hint="eastAsia" w:ascii="仿宋_GB2312" w:eastAsia="仿宋_GB2312"/>
              </w:rPr>
              <w:t>B1</w:t>
            </w:r>
          </w:p>
        </w:tc>
        <w:tc>
          <w:tcPr>
            <w:tcW w:w="1080" w:type="dxa"/>
          </w:tcPr>
          <w:p w14:paraId="24045BCC">
            <w:pPr>
              <w:spacing w:line="360" w:lineRule="auto"/>
              <w:rPr>
                <w:rFonts w:ascii="仿宋_GB2312" w:eastAsia="仿宋_GB2312"/>
              </w:rPr>
            </w:pPr>
          </w:p>
        </w:tc>
        <w:tc>
          <w:tcPr>
            <w:tcW w:w="1215" w:type="dxa"/>
          </w:tcPr>
          <w:p w14:paraId="3A030144">
            <w:pPr>
              <w:spacing w:line="360" w:lineRule="auto"/>
              <w:rPr>
                <w:rFonts w:ascii="仿宋_GB2312" w:eastAsia="仿宋_GB2312"/>
              </w:rPr>
            </w:pPr>
            <w:r>
              <w:rPr>
                <w:rFonts w:hint="eastAsia" w:ascii="仿宋_GB2312" w:eastAsia="仿宋_GB2312"/>
              </w:rPr>
              <w:t>F01</w:t>
            </w:r>
          </w:p>
        </w:tc>
        <w:tc>
          <w:tcPr>
            <w:tcW w:w="1230" w:type="dxa"/>
          </w:tcPr>
          <w:p w14:paraId="13E6B719">
            <w:pPr>
              <w:spacing w:line="360" w:lineRule="auto"/>
              <w:rPr>
                <w:rFonts w:ascii="仿宋_GB2312" w:eastAsia="仿宋_GB2312"/>
              </w:rPr>
            </w:pPr>
          </w:p>
        </w:tc>
        <w:tc>
          <w:tcPr>
            <w:tcW w:w="1380" w:type="dxa"/>
          </w:tcPr>
          <w:p w14:paraId="214D1302">
            <w:pPr>
              <w:spacing w:line="360" w:lineRule="auto"/>
              <w:rPr>
                <w:rFonts w:ascii="仿宋_GB2312" w:eastAsia="仿宋_GB2312"/>
              </w:rPr>
            </w:pPr>
          </w:p>
        </w:tc>
      </w:tr>
      <w:tr w14:paraId="39E9C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0CB24CE5">
            <w:pPr>
              <w:spacing w:line="360" w:lineRule="auto"/>
              <w:rPr>
                <w:rFonts w:ascii="仿宋_GB2312" w:eastAsia="仿宋_GB2312"/>
              </w:rPr>
            </w:pPr>
          </w:p>
        </w:tc>
        <w:tc>
          <w:tcPr>
            <w:tcW w:w="584" w:type="dxa"/>
            <w:vMerge w:val="continue"/>
          </w:tcPr>
          <w:p w14:paraId="0E956837">
            <w:pPr>
              <w:spacing w:line="360" w:lineRule="auto"/>
              <w:rPr>
                <w:rFonts w:ascii="仿宋_GB2312" w:eastAsia="仿宋_GB2312"/>
              </w:rPr>
            </w:pPr>
          </w:p>
        </w:tc>
        <w:tc>
          <w:tcPr>
            <w:tcW w:w="876" w:type="dxa"/>
          </w:tcPr>
          <w:p w14:paraId="1BBC25CE">
            <w:pPr>
              <w:spacing w:line="360" w:lineRule="auto"/>
              <w:rPr>
                <w:rFonts w:ascii="仿宋_GB2312" w:eastAsia="仿宋_GB2312"/>
              </w:rPr>
            </w:pPr>
          </w:p>
        </w:tc>
        <w:tc>
          <w:tcPr>
            <w:tcW w:w="1215" w:type="dxa"/>
          </w:tcPr>
          <w:p w14:paraId="22A94F63">
            <w:pPr>
              <w:spacing w:line="360" w:lineRule="auto"/>
              <w:rPr>
                <w:rFonts w:ascii="仿宋_GB2312" w:eastAsia="仿宋_GB2312"/>
              </w:rPr>
            </w:pPr>
            <w:r>
              <w:rPr>
                <w:rFonts w:hint="eastAsia" w:ascii="仿宋_GB2312" w:eastAsia="仿宋_GB2312"/>
              </w:rPr>
              <w:t>B2</w:t>
            </w:r>
          </w:p>
        </w:tc>
        <w:tc>
          <w:tcPr>
            <w:tcW w:w="1080" w:type="dxa"/>
          </w:tcPr>
          <w:p w14:paraId="2011A170">
            <w:pPr>
              <w:spacing w:line="360" w:lineRule="auto"/>
              <w:rPr>
                <w:rFonts w:ascii="仿宋_GB2312" w:eastAsia="仿宋_GB2312"/>
              </w:rPr>
            </w:pPr>
          </w:p>
        </w:tc>
        <w:tc>
          <w:tcPr>
            <w:tcW w:w="1215" w:type="dxa"/>
          </w:tcPr>
          <w:p w14:paraId="54ADA06A">
            <w:pPr>
              <w:spacing w:line="360" w:lineRule="auto"/>
              <w:rPr>
                <w:rFonts w:ascii="仿宋_GB2312" w:eastAsia="仿宋_GB2312"/>
              </w:rPr>
            </w:pPr>
            <w:r>
              <w:rPr>
                <w:rFonts w:hint="eastAsia" w:ascii="仿宋_GB2312" w:eastAsia="仿宋_GB2312"/>
              </w:rPr>
              <w:t>F02</w:t>
            </w:r>
          </w:p>
        </w:tc>
        <w:tc>
          <w:tcPr>
            <w:tcW w:w="1230" w:type="dxa"/>
          </w:tcPr>
          <w:p w14:paraId="051C2231">
            <w:pPr>
              <w:spacing w:line="360" w:lineRule="auto"/>
              <w:rPr>
                <w:rFonts w:ascii="仿宋_GB2312" w:eastAsia="仿宋_GB2312"/>
              </w:rPr>
            </w:pPr>
          </w:p>
        </w:tc>
        <w:tc>
          <w:tcPr>
            <w:tcW w:w="1380" w:type="dxa"/>
          </w:tcPr>
          <w:p w14:paraId="023C8BAA">
            <w:pPr>
              <w:spacing w:line="360" w:lineRule="auto"/>
              <w:rPr>
                <w:rFonts w:ascii="仿宋_GB2312" w:eastAsia="仿宋_GB2312"/>
              </w:rPr>
            </w:pPr>
          </w:p>
        </w:tc>
      </w:tr>
      <w:tr w14:paraId="35D07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448FA4EF">
            <w:pPr>
              <w:spacing w:line="360" w:lineRule="auto"/>
              <w:rPr>
                <w:rFonts w:ascii="仿宋_GB2312" w:eastAsia="仿宋_GB2312"/>
              </w:rPr>
            </w:pPr>
          </w:p>
        </w:tc>
        <w:tc>
          <w:tcPr>
            <w:tcW w:w="584" w:type="dxa"/>
            <w:vMerge w:val="continue"/>
          </w:tcPr>
          <w:p w14:paraId="012D6A4C">
            <w:pPr>
              <w:spacing w:line="360" w:lineRule="auto"/>
              <w:rPr>
                <w:rFonts w:ascii="仿宋_GB2312" w:eastAsia="仿宋_GB2312"/>
              </w:rPr>
            </w:pPr>
          </w:p>
        </w:tc>
        <w:tc>
          <w:tcPr>
            <w:tcW w:w="876" w:type="dxa"/>
          </w:tcPr>
          <w:p w14:paraId="01A6014B">
            <w:pPr>
              <w:spacing w:line="360" w:lineRule="auto"/>
              <w:rPr>
                <w:rFonts w:ascii="仿宋_GB2312" w:eastAsia="仿宋_GB2312"/>
              </w:rPr>
            </w:pPr>
          </w:p>
        </w:tc>
        <w:tc>
          <w:tcPr>
            <w:tcW w:w="1215" w:type="dxa"/>
          </w:tcPr>
          <w:p w14:paraId="5308FDFC">
            <w:pPr>
              <w:spacing w:line="360" w:lineRule="auto"/>
              <w:rPr>
                <w:rFonts w:ascii="仿宋_GB2312" w:eastAsia="仿宋_GB2312"/>
              </w:rPr>
            </w:pPr>
            <w:r>
              <w:rPr>
                <w:rFonts w:hint="eastAsia" w:ascii="仿宋_GB2312" w:eastAsia="仿宋_GB2312"/>
              </w:rPr>
              <w:t>B3</w:t>
            </w:r>
          </w:p>
        </w:tc>
        <w:tc>
          <w:tcPr>
            <w:tcW w:w="1080" w:type="dxa"/>
          </w:tcPr>
          <w:p w14:paraId="7C86EDDB">
            <w:pPr>
              <w:spacing w:line="360" w:lineRule="auto"/>
              <w:rPr>
                <w:rFonts w:ascii="仿宋_GB2312" w:eastAsia="仿宋_GB2312"/>
              </w:rPr>
            </w:pPr>
          </w:p>
        </w:tc>
        <w:tc>
          <w:tcPr>
            <w:tcW w:w="1215" w:type="dxa"/>
          </w:tcPr>
          <w:p w14:paraId="6436F02B">
            <w:pPr>
              <w:spacing w:line="360" w:lineRule="auto"/>
              <w:rPr>
                <w:rFonts w:ascii="仿宋_GB2312" w:eastAsia="仿宋_GB2312"/>
              </w:rPr>
            </w:pPr>
            <w:r>
              <w:rPr>
                <w:rFonts w:hint="eastAsia" w:ascii="仿宋_GB2312" w:eastAsia="仿宋_GB2312"/>
              </w:rPr>
              <w:t>F03</w:t>
            </w:r>
          </w:p>
        </w:tc>
        <w:tc>
          <w:tcPr>
            <w:tcW w:w="1230" w:type="dxa"/>
          </w:tcPr>
          <w:p w14:paraId="2526B835">
            <w:pPr>
              <w:spacing w:line="360" w:lineRule="auto"/>
              <w:rPr>
                <w:rFonts w:ascii="仿宋_GB2312" w:eastAsia="仿宋_GB2312"/>
              </w:rPr>
            </w:pPr>
          </w:p>
        </w:tc>
        <w:tc>
          <w:tcPr>
            <w:tcW w:w="1380" w:type="dxa"/>
          </w:tcPr>
          <w:p w14:paraId="33D042C7">
            <w:pPr>
              <w:spacing w:line="360" w:lineRule="auto"/>
              <w:rPr>
                <w:rFonts w:ascii="仿宋_GB2312" w:eastAsia="仿宋_GB2312"/>
              </w:rPr>
            </w:pPr>
          </w:p>
        </w:tc>
      </w:tr>
      <w:tr w14:paraId="4BDF7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20F8DE77">
            <w:pPr>
              <w:spacing w:line="360" w:lineRule="auto"/>
              <w:rPr>
                <w:rFonts w:ascii="仿宋_GB2312" w:eastAsia="仿宋_GB2312"/>
              </w:rPr>
            </w:pPr>
          </w:p>
        </w:tc>
        <w:tc>
          <w:tcPr>
            <w:tcW w:w="584" w:type="dxa"/>
            <w:vMerge w:val="continue"/>
          </w:tcPr>
          <w:p w14:paraId="1F36F743">
            <w:pPr>
              <w:spacing w:line="360" w:lineRule="auto"/>
              <w:rPr>
                <w:rFonts w:ascii="仿宋_GB2312" w:eastAsia="仿宋_GB2312"/>
              </w:rPr>
            </w:pPr>
          </w:p>
        </w:tc>
        <w:tc>
          <w:tcPr>
            <w:tcW w:w="876" w:type="dxa"/>
          </w:tcPr>
          <w:p w14:paraId="166E1F1C">
            <w:pPr>
              <w:spacing w:line="360" w:lineRule="auto"/>
              <w:rPr>
                <w:rFonts w:ascii="仿宋_GB2312" w:eastAsia="仿宋_GB2312"/>
              </w:rPr>
            </w:pPr>
          </w:p>
        </w:tc>
        <w:tc>
          <w:tcPr>
            <w:tcW w:w="1215" w:type="dxa"/>
          </w:tcPr>
          <w:p w14:paraId="72973DA0">
            <w:pPr>
              <w:spacing w:line="360" w:lineRule="auto"/>
              <w:rPr>
                <w:rFonts w:ascii="仿宋_GB2312" w:eastAsia="仿宋_GB2312"/>
              </w:rPr>
            </w:pPr>
            <w:r>
              <w:rPr>
                <w:rFonts w:hint="eastAsia" w:ascii="仿宋_GB2312" w:eastAsia="仿宋_GB2312"/>
              </w:rPr>
              <w:t>B4</w:t>
            </w:r>
          </w:p>
        </w:tc>
        <w:tc>
          <w:tcPr>
            <w:tcW w:w="1080" w:type="dxa"/>
          </w:tcPr>
          <w:p w14:paraId="452B301A">
            <w:pPr>
              <w:spacing w:line="360" w:lineRule="auto"/>
              <w:rPr>
                <w:rFonts w:ascii="仿宋_GB2312" w:eastAsia="仿宋_GB2312"/>
              </w:rPr>
            </w:pPr>
          </w:p>
        </w:tc>
        <w:tc>
          <w:tcPr>
            <w:tcW w:w="1215" w:type="dxa"/>
          </w:tcPr>
          <w:p w14:paraId="7E844204">
            <w:pPr>
              <w:spacing w:line="360" w:lineRule="auto"/>
              <w:rPr>
                <w:rFonts w:ascii="仿宋_GB2312" w:eastAsia="仿宋_GB2312"/>
              </w:rPr>
            </w:pPr>
            <w:r>
              <w:rPr>
                <w:rFonts w:hint="eastAsia" w:ascii="仿宋_GB2312" w:eastAsia="仿宋_GB2312"/>
              </w:rPr>
              <w:t>F04</w:t>
            </w:r>
          </w:p>
        </w:tc>
        <w:tc>
          <w:tcPr>
            <w:tcW w:w="1230" w:type="dxa"/>
          </w:tcPr>
          <w:p w14:paraId="1FB5139D">
            <w:pPr>
              <w:spacing w:line="360" w:lineRule="auto"/>
              <w:rPr>
                <w:rFonts w:ascii="仿宋_GB2312" w:eastAsia="仿宋_GB2312"/>
              </w:rPr>
            </w:pPr>
          </w:p>
        </w:tc>
        <w:tc>
          <w:tcPr>
            <w:tcW w:w="1380" w:type="dxa"/>
          </w:tcPr>
          <w:p w14:paraId="18DCC531">
            <w:pPr>
              <w:spacing w:line="360" w:lineRule="auto"/>
              <w:rPr>
                <w:rFonts w:ascii="仿宋_GB2312" w:eastAsia="仿宋_GB2312"/>
              </w:rPr>
            </w:pPr>
          </w:p>
        </w:tc>
      </w:tr>
      <w:tr w14:paraId="6A4DD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63A9792D">
            <w:pPr>
              <w:spacing w:line="360" w:lineRule="auto"/>
              <w:rPr>
                <w:rFonts w:ascii="仿宋_GB2312" w:eastAsia="仿宋_GB2312"/>
              </w:rPr>
            </w:pPr>
          </w:p>
        </w:tc>
        <w:tc>
          <w:tcPr>
            <w:tcW w:w="584" w:type="dxa"/>
            <w:vMerge w:val="continue"/>
          </w:tcPr>
          <w:p w14:paraId="1B175327">
            <w:pPr>
              <w:spacing w:line="360" w:lineRule="auto"/>
              <w:rPr>
                <w:rFonts w:ascii="仿宋_GB2312" w:eastAsia="仿宋_GB2312"/>
              </w:rPr>
            </w:pPr>
          </w:p>
        </w:tc>
        <w:tc>
          <w:tcPr>
            <w:tcW w:w="876" w:type="dxa"/>
          </w:tcPr>
          <w:p w14:paraId="5DB1E671">
            <w:pPr>
              <w:spacing w:line="360" w:lineRule="auto"/>
              <w:rPr>
                <w:rFonts w:ascii="仿宋_GB2312" w:eastAsia="仿宋_GB2312"/>
              </w:rPr>
            </w:pPr>
          </w:p>
        </w:tc>
        <w:tc>
          <w:tcPr>
            <w:tcW w:w="1215" w:type="dxa"/>
          </w:tcPr>
          <w:p w14:paraId="1CBEF201">
            <w:pPr>
              <w:spacing w:line="360" w:lineRule="auto"/>
              <w:rPr>
                <w:rFonts w:ascii="仿宋_GB2312" w:eastAsia="仿宋_GB2312"/>
              </w:rPr>
            </w:pPr>
          </w:p>
        </w:tc>
        <w:tc>
          <w:tcPr>
            <w:tcW w:w="1080" w:type="dxa"/>
          </w:tcPr>
          <w:p w14:paraId="1E48C1CE">
            <w:pPr>
              <w:spacing w:line="360" w:lineRule="auto"/>
              <w:rPr>
                <w:rFonts w:ascii="仿宋_GB2312" w:eastAsia="仿宋_GB2312"/>
              </w:rPr>
            </w:pPr>
          </w:p>
        </w:tc>
        <w:tc>
          <w:tcPr>
            <w:tcW w:w="1215" w:type="dxa"/>
          </w:tcPr>
          <w:p w14:paraId="60F1A68B">
            <w:pPr>
              <w:spacing w:line="360" w:lineRule="auto"/>
              <w:rPr>
                <w:rFonts w:ascii="仿宋_GB2312" w:eastAsia="仿宋_GB2312"/>
              </w:rPr>
            </w:pPr>
          </w:p>
        </w:tc>
        <w:tc>
          <w:tcPr>
            <w:tcW w:w="1230" w:type="dxa"/>
          </w:tcPr>
          <w:p w14:paraId="167BD047">
            <w:pPr>
              <w:spacing w:line="360" w:lineRule="auto"/>
              <w:rPr>
                <w:rFonts w:ascii="仿宋_GB2312" w:eastAsia="仿宋_GB2312"/>
              </w:rPr>
            </w:pPr>
          </w:p>
        </w:tc>
        <w:tc>
          <w:tcPr>
            <w:tcW w:w="1380" w:type="dxa"/>
          </w:tcPr>
          <w:p w14:paraId="6B25E507">
            <w:pPr>
              <w:spacing w:line="360" w:lineRule="auto"/>
              <w:rPr>
                <w:rFonts w:ascii="仿宋_GB2312" w:eastAsia="仿宋_GB2312"/>
              </w:rPr>
            </w:pPr>
          </w:p>
        </w:tc>
      </w:tr>
      <w:tr w14:paraId="09213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14:paraId="6F8095C2">
            <w:pPr>
              <w:spacing w:line="360" w:lineRule="auto"/>
              <w:rPr>
                <w:rFonts w:ascii="仿宋_GB2312" w:eastAsia="仿宋_GB2312"/>
              </w:rPr>
            </w:pPr>
          </w:p>
        </w:tc>
        <w:tc>
          <w:tcPr>
            <w:tcW w:w="584" w:type="dxa"/>
            <w:vMerge w:val="continue"/>
          </w:tcPr>
          <w:p w14:paraId="1904B778">
            <w:pPr>
              <w:spacing w:line="360" w:lineRule="auto"/>
              <w:rPr>
                <w:rFonts w:ascii="仿宋_GB2312" w:eastAsia="仿宋_GB2312"/>
              </w:rPr>
            </w:pPr>
          </w:p>
        </w:tc>
        <w:tc>
          <w:tcPr>
            <w:tcW w:w="876" w:type="dxa"/>
          </w:tcPr>
          <w:p w14:paraId="48B5B50A">
            <w:pPr>
              <w:spacing w:line="360" w:lineRule="auto"/>
              <w:rPr>
                <w:rFonts w:ascii="仿宋_GB2312" w:eastAsia="仿宋_GB2312"/>
              </w:rPr>
            </w:pPr>
          </w:p>
        </w:tc>
        <w:tc>
          <w:tcPr>
            <w:tcW w:w="1215" w:type="dxa"/>
          </w:tcPr>
          <w:p w14:paraId="7D797D1B">
            <w:pPr>
              <w:spacing w:line="360" w:lineRule="auto"/>
              <w:rPr>
                <w:rFonts w:ascii="仿宋_GB2312" w:eastAsia="仿宋_GB2312"/>
              </w:rPr>
            </w:pPr>
          </w:p>
        </w:tc>
        <w:tc>
          <w:tcPr>
            <w:tcW w:w="1080" w:type="dxa"/>
          </w:tcPr>
          <w:p w14:paraId="4DACA0A8">
            <w:pPr>
              <w:spacing w:line="360" w:lineRule="auto"/>
              <w:rPr>
                <w:rFonts w:ascii="仿宋_GB2312" w:eastAsia="仿宋_GB2312"/>
              </w:rPr>
            </w:pPr>
          </w:p>
        </w:tc>
        <w:tc>
          <w:tcPr>
            <w:tcW w:w="1215" w:type="dxa"/>
          </w:tcPr>
          <w:p w14:paraId="3CA0E658">
            <w:pPr>
              <w:spacing w:line="360" w:lineRule="auto"/>
              <w:rPr>
                <w:rFonts w:ascii="仿宋_GB2312" w:eastAsia="仿宋_GB2312"/>
              </w:rPr>
            </w:pPr>
          </w:p>
        </w:tc>
        <w:tc>
          <w:tcPr>
            <w:tcW w:w="1230" w:type="dxa"/>
          </w:tcPr>
          <w:p w14:paraId="2D483CD0">
            <w:pPr>
              <w:spacing w:line="360" w:lineRule="auto"/>
              <w:rPr>
                <w:rFonts w:ascii="仿宋_GB2312" w:eastAsia="仿宋_GB2312"/>
              </w:rPr>
            </w:pPr>
          </w:p>
        </w:tc>
        <w:tc>
          <w:tcPr>
            <w:tcW w:w="1380" w:type="dxa"/>
          </w:tcPr>
          <w:p w14:paraId="7FEA7E25">
            <w:pPr>
              <w:spacing w:line="360" w:lineRule="auto"/>
              <w:rPr>
                <w:rFonts w:ascii="仿宋_GB2312" w:eastAsia="仿宋_GB2312"/>
              </w:rPr>
            </w:pPr>
          </w:p>
        </w:tc>
      </w:tr>
      <w:tr w14:paraId="225BC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tcPr>
          <w:p w14:paraId="3A09863A">
            <w:pPr>
              <w:spacing w:line="360" w:lineRule="auto"/>
              <w:rPr>
                <w:rFonts w:ascii="仿宋_GB2312" w:eastAsia="仿宋_GB2312"/>
              </w:rPr>
            </w:pPr>
            <w:r>
              <w:rPr>
                <w:rFonts w:hint="eastAsia" w:ascii="仿宋_GB2312" w:eastAsia="仿宋_GB2312"/>
              </w:rPr>
              <w:t>定值部分权重A</w:t>
            </w:r>
          </w:p>
        </w:tc>
        <w:tc>
          <w:tcPr>
            <w:tcW w:w="1215" w:type="dxa"/>
          </w:tcPr>
          <w:p w14:paraId="4929008F">
            <w:pPr>
              <w:spacing w:line="360" w:lineRule="auto"/>
              <w:rPr>
                <w:rFonts w:ascii="仿宋_GB2312" w:eastAsia="仿宋_GB2312"/>
              </w:rPr>
            </w:pPr>
          </w:p>
        </w:tc>
        <w:tc>
          <w:tcPr>
            <w:tcW w:w="1080" w:type="dxa"/>
          </w:tcPr>
          <w:p w14:paraId="5A06F163">
            <w:pPr>
              <w:spacing w:line="360" w:lineRule="auto"/>
              <w:rPr>
                <w:rFonts w:ascii="仿宋_GB2312" w:eastAsia="仿宋_GB2312"/>
              </w:rPr>
            </w:pPr>
          </w:p>
        </w:tc>
        <w:tc>
          <w:tcPr>
            <w:tcW w:w="1215" w:type="dxa"/>
          </w:tcPr>
          <w:p w14:paraId="3522817D">
            <w:pPr>
              <w:spacing w:line="360" w:lineRule="auto"/>
              <w:rPr>
                <w:rFonts w:ascii="仿宋_GB2312" w:eastAsia="仿宋_GB2312"/>
              </w:rPr>
            </w:pPr>
          </w:p>
        </w:tc>
        <w:tc>
          <w:tcPr>
            <w:tcW w:w="1230" w:type="dxa"/>
          </w:tcPr>
          <w:p w14:paraId="38371DC8">
            <w:pPr>
              <w:spacing w:line="360" w:lineRule="auto"/>
              <w:rPr>
                <w:rFonts w:ascii="仿宋_GB2312" w:eastAsia="仿宋_GB2312"/>
              </w:rPr>
            </w:pPr>
          </w:p>
        </w:tc>
        <w:tc>
          <w:tcPr>
            <w:tcW w:w="1380" w:type="dxa"/>
          </w:tcPr>
          <w:p w14:paraId="73CAB326">
            <w:pPr>
              <w:spacing w:line="360" w:lineRule="auto"/>
              <w:rPr>
                <w:rFonts w:ascii="仿宋_GB2312" w:eastAsia="仿宋_GB2312"/>
              </w:rPr>
            </w:pPr>
          </w:p>
        </w:tc>
      </w:tr>
      <w:tr w14:paraId="1F74C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tcPr>
          <w:p w14:paraId="4C54343E">
            <w:pPr>
              <w:spacing w:line="360" w:lineRule="auto"/>
              <w:rPr>
                <w:rFonts w:ascii="仿宋_GB2312" w:eastAsia="仿宋_GB2312"/>
              </w:rPr>
            </w:pPr>
            <w:r>
              <w:rPr>
                <w:rFonts w:hint="eastAsia" w:ascii="仿宋_GB2312" w:eastAsia="仿宋_GB2312"/>
              </w:rPr>
              <w:t>合计</w:t>
            </w:r>
          </w:p>
        </w:tc>
        <w:tc>
          <w:tcPr>
            <w:tcW w:w="2295" w:type="dxa"/>
            <w:gridSpan w:val="2"/>
          </w:tcPr>
          <w:p w14:paraId="37721EE3">
            <w:pPr>
              <w:spacing w:line="360" w:lineRule="auto"/>
              <w:rPr>
                <w:rFonts w:ascii="仿宋_GB2312" w:eastAsia="仿宋_GB2312"/>
              </w:rPr>
            </w:pPr>
          </w:p>
        </w:tc>
        <w:tc>
          <w:tcPr>
            <w:tcW w:w="2445" w:type="dxa"/>
            <w:gridSpan w:val="2"/>
          </w:tcPr>
          <w:p w14:paraId="5073FD9D">
            <w:pPr>
              <w:spacing w:line="360" w:lineRule="auto"/>
              <w:rPr>
                <w:rFonts w:ascii="仿宋_GB2312" w:eastAsia="仿宋_GB2312"/>
              </w:rPr>
            </w:pPr>
          </w:p>
        </w:tc>
        <w:tc>
          <w:tcPr>
            <w:tcW w:w="1380" w:type="dxa"/>
          </w:tcPr>
          <w:p w14:paraId="348AA181">
            <w:pPr>
              <w:spacing w:line="360" w:lineRule="auto"/>
              <w:rPr>
                <w:rFonts w:ascii="仿宋_GB2312" w:eastAsia="仿宋_GB2312"/>
              </w:rPr>
            </w:pPr>
          </w:p>
        </w:tc>
      </w:tr>
    </w:tbl>
    <w:p w14:paraId="5C70FB0A">
      <w:pPr>
        <w:pStyle w:val="44"/>
        <w:numPr>
          <w:ilvl w:val="0"/>
          <w:numId w:val="0"/>
        </w:numPr>
        <w:spacing w:before="0" w:after="0"/>
        <w:outlineLvl w:val="9"/>
        <w:rPr>
          <w:rFonts w:hint="eastAsia"/>
          <w:sz w:val="28"/>
          <w:szCs w:val="28"/>
        </w:rPr>
      </w:pPr>
    </w:p>
    <w:p w14:paraId="3307AF17">
      <w:pPr>
        <w:pStyle w:val="44"/>
        <w:numPr>
          <w:ilvl w:val="0"/>
          <w:numId w:val="0"/>
        </w:numPr>
        <w:spacing w:before="0" w:after="0"/>
        <w:outlineLvl w:val="9"/>
        <w:rPr>
          <w:rFonts w:hint="eastAsia"/>
          <w:sz w:val="28"/>
          <w:szCs w:val="28"/>
        </w:rPr>
      </w:pPr>
    </w:p>
    <w:p w14:paraId="67867F94">
      <w:pPr>
        <w:pStyle w:val="44"/>
        <w:numPr>
          <w:ilvl w:val="0"/>
          <w:numId w:val="0"/>
        </w:numPr>
        <w:spacing w:before="0" w:after="0"/>
        <w:outlineLvl w:val="9"/>
        <w:rPr>
          <w:rFonts w:hint="eastAsia"/>
          <w:sz w:val="28"/>
          <w:szCs w:val="28"/>
        </w:rPr>
      </w:pPr>
    </w:p>
    <w:p w14:paraId="49850C02">
      <w:pPr>
        <w:rPr>
          <w:sz w:val="28"/>
          <w:szCs w:val="28"/>
        </w:rPr>
      </w:pPr>
    </w:p>
    <w:p w14:paraId="56E331F7">
      <w:pPr>
        <w:pStyle w:val="6"/>
        <w:ind w:firstLine="480"/>
      </w:pPr>
    </w:p>
    <w:p w14:paraId="3EBF9D2E">
      <w:pPr>
        <w:rPr>
          <w:sz w:val="28"/>
          <w:szCs w:val="28"/>
        </w:rPr>
      </w:pPr>
      <w:bookmarkStart w:id="1870" w:name="_Toc27451"/>
      <w:bookmarkEnd w:id="1870"/>
      <w:bookmarkStart w:id="1871" w:name="_Toc26516"/>
      <w:bookmarkEnd w:id="1871"/>
      <w:r>
        <w:rPr>
          <w:rFonts w:hint="eastAsia"/>
          <w:sz w:val="28"/>
          <w:szCs w:val="28"/>
        </w:rPr>
        <w:br w:type="page"/>
      </w:r>
    </w:p>
    <w:p w14:paraId="238A6631">
      <w:pPr>
        <w:pStyle w:val="44"/>
        <w:numPr>
          <w:ilvl w:val="0"/>
          <w:numId w:val="0"/>
        </w:numPr>
        <w:spacing w:before="0" w:after="0"/>
        <w:rPr>
          <w:rFonts w:hint="eastAsia" w:ascii="仿宋_GB2312" w:hAnsi="宋体" w:eastAsia="仿宋_GB2312" w:cs="Times New Roman"/>
          <w:kern w:val="0"/>
          <w:sz w:val="28"/>
          <w:szCs w:val="28"/>
        </w:rPr>
      </w:pPr>
      <w:r>
        <w:rPr>
          <w:rFonts w:hint="eastAsia"/>
          <w:sz w:val="28"/>
          <w:szCs w:val="28"/>
        </w:rPr>
        <w:t>附件7 预付款保函示范文本</w:t>
      </w:r>
    </w:p>
    <w:p w14:paraId="694BC941">
      <w:pPr>
        <w:spacing w:line="360" w:lineRule="auto"/>
        <w:jc w:val="center"/>
        <w:rPr>
          <w:rFonts w:hint="eastAsia" w:ascii="黑体" w:hAnsi="黑体" w:eastAsia="黑体" w:cs="Arial"/>
          <w:b/>
          <w:bCs/>
          <w:sz w:val="28"/>
          <w:szCs w:val="28"/>
        </w:rPr>
      </w:pPr>
      <w:r>
        <w:rPr>
          <w:rFonts w:hint="eastAsia" w:ascii="黑体" w:hAnsi="黑体" w:eastAsia="黑体" w:cs="Arial"/>
          <w:b/>
          <w:bCs/>
          <w:sz w:val="28"/>
          <w:szCs w:val="28"/>
        </w:rPr>
        <w:t>（独立保函）</w:t>
      </w:r>
    </w:p>
    <w:p w14:paraId="78F2E0F9">
      <w:pPr>
        <w:wordWrap w:val="0"/>
        <w:spacing w:line="360" w:lineRule="auto"/>
        <w:jc w:val="right"/>
        <w:rPr>
          <w:rFonts w:hint="eastAsia" w:ascii="仿宋_GB2312" w:hAnsi="宋体" w:eastAsia="仿宋_GB2312" w:cs="Times New Roman"/>
          <w:kern w:val="0"/>
        </w:rPr>
      </w:pPr>
      <w:r>
        <w:rPr>
          <w:rFonts w:hint="eastAsia" w:ascii="仿宋_GB2312" w:hAnsi="宋体" w:eastAsia="仿宋_GB2312" w:cs="Times New Roman"/>
          <w:kern w:val="0"/>
        </w:rPr>
        <w:t xml:space="preserve">编号：           </w:t>
      </w:r>
    </w:p>
    <w:p w14:paraId="038DBEF0">
      <w:pPr>
        <w:spacing w:line="360" w:lineRule="auto"/>
        <w:rPr>
          <w:rFonts w:hint="eastAsia" w:ascii="仿宋_GB2312" w:hAnsi="宋体" w:eastAsia="仿宋_GB2312" w:cs="Times New Roman"/>
          <w:kern w:val="0"/>
        </w:rPr>
      </w:pPr>
    </w:p>
    <w:p w14:paraId="4DB0873A">
      <w:pPr>
        <w:spacing w:line="360" w:lineRule="auto"/>
        <w:rPr>
          <w:rFonts w:hint="eastAsia" w:ascii="仿宋_GB2312" w:hAnsi="宋体" w:eastAsia="仿宋_GB2312" w:cs="Times New Roman"/>
          <w:kern w:val="0"/>
        </w:rPr>
      </w:pPr>
      <w:r>
        <w:rPr>
          <w:rFonts w:hint="eastAsia" w:ascii="仿宋_GB2312" w:hAnsi="宋体" w:eastAsia="仿宋_GB2312" w:cs="Times New Roman"/>
          <w:kern w:val="0"/>
        </w:rPr>
        <w:t>申请人：</w:t>
      </w:r>
    </w:p>
    <w:p w14:paraId="630DCCA4">
      <w:pPr>
        <w:spacing w:line="360" w:lineRule="auto"/>
        <w:rPr>
          <w:rFonts w:hint="eastAsia" w:ascii="仿宋_GB2312" w:hAnsi="宋体" w:eastAsia="仿宋_GB2312" w:cs="Times New Roman"/>
          <w:kern w:val="0"/>
        </w:rPr>
      </w:pPr>
      <w:r>
        <w:rPr>
          <w:rFonts w:hint="eastAsia" w:ascii="仿宋_GB2312" w:hAnsi="宋体" w:eastAsia="仿宋_GB2312" w:cs="Times New Roman"/>
          <w:kern w:val="0"/>
        </w:rPr>
        <w:t xml:space="preserve">  地址：</w:t>
      </w:r>
    </w:p>
    <w:p w14:paraId="690B9A68">
      <w:pPr>
        <w:spacing w:line="360" w:lineRule="auto"/>
        <w:rPr>
          <w:rFonts w:hint="eastAsia" w:ascii="仿宋_GB2312" w:hAnsi="宋体" w:eastAsia="仿宋_GB2312" w:cs="Times New Roman"/>
          <w:kern w:val="0"/>
        </w:rPr>
      </w:pPr>
      <w:r>
        <w:rPr>
          <w:rFonts w:hint="eastAsia" w:ascii="仿宋_GB2312" w:hAnsi="宋体" w:eastAsia="仿宋_GB2312" w:cs="Times New Roman"/>
          <w:kern w:val="0"/>
        </w:rPr>
        <w:t>受益人：</w:t>
      </w:r>
    </w:p>
    <w:p w14:paraId="7249FA24">
      <w:pPr>
        <w:spacing w:line="360" w:lineRule="auto"/>
        <w:rPr>
          <w:rFonts w:hint="eastAsia" w:ascii="仿宋_GB2312" w:hAnsi="宋体" w:eastAsia="仿宋_GB2312" w:cs="Times New Roman"/>
          <w:kern w:val="0"/>
        </w:rPr>
      </w:pPr>
      <w:r>
        <w:rPr>
          <w:rFonts w:hint="eastAsia" w:ascii="仿宋_GB2312" w:hAnsi="宋体" w:eastAsia="仿宋_GB2312" w:cs="Times New Roman"/>
          <w:kern w:val="0"/>
        </w:rPr>
        <w:t xml:space="preserve">  地址：</w:t>
      </w:r>
    </w:p>
    <w:p w14:paraId="489BB2A9">
      <w:pPr>
        <w:spacing w:line="360" w:lineRule="auto"/>
        <w:rPr>
          <w:rFonts w:hint="eastAsia" w:ascii="仿宋_GB2312" w:hAnsi="宋体" w:eastAsia="仿宋_GB2312" w:cs="Times New Roman"/>
          <w:kern w:val="0"/>
        </w:rPr>
      </w:pPr>
      <w:r>
        <w:rPr>
          <w:rFonts w:hint="eastAsia" w:ascii="仿宋_GB2312" w:hAnsi="宋体" w:eastAsia="仿宋_GB2312" w:cs="Times New Roman"/>
          <w:kern w:val="0"/>
        </w:rPr>
        <w:t>开立人：</w:t>
      </w:r>
    </w:p>
    <w:p w14:paraId="2BB4B39A">
      <w:pPr>
        <w:spacing w:line="360" w:lineRule="auto"/>
        <w:rPr>
          <w:rFonts w:hint="eastAsia" w:ascii="仿宋_GB2312" w:hAnsi="宋体" w:eastAsia="仿宋_GB2312" w:cs="Times New Roman"/>
          <w:kern w:val="0"/>
        </w:rPr>
      </w:pPr>
      <w:r>
        <w:rPr>
          <w:rFonts w:hint="eastAsia" w:ascii="仿宋_GB2312" w:hAnsi="宋体" w:eastAsia="仿宋_GB2312" w:cs="Times New Roman"/>
          <w:kern w:val="0"/>
        </w:rPr>
        <w:t xml:space="preserve">  地址：</w:t>
      </w:r>
    </w:p>
    <w:p w14:paraId="042A6EDB">
      <w:pPr>
        <w:spacing w:line="360" w:lineRule="auto"/>
        <w:rPr>
          <w:rFonts w:hint="eastAsia" w:ascii="仿宋_GB2312" w:hAnsi="宋体" w:eastAsia="仿宋_GB2312" w:cs="Times New Roman"/>
          <w:kern w:val="0"/>
        </w:rPr>
      </w:pPr>
    </w:p>
    <w:p w14:paraId="2AAA2A24">
      <w:pPr>
        <w:spacing w:line="360" w:lineRule="auto"/>
        <w:rPr>
          <w:rFonts w:hint="eastAsia" w:ascii="仿宋_GB2312" w:hAnsi="宋体" w:eastAsia="仿宋_GB2312" w:cs="Times New Roman"/>
          <w:kern w:val="0"/>
        </w:rPr>
      </w:pPr>
      <w:r>
        <w:rPr>
          <w:rFonts w:hint="eastAsia" w:ascii="仿宋_GB2312" w:hAnsi="宋体" w:eastAsia="仿宋_GB2312" w:cs="Times New Roman"/>
          <w:kern w:val="0"/>
        </w:rPr>
        <w:t xml:space="preserve">              （受益人名称）： </w:t>
      </w:r>
    </w:p>
    <w:p w14:paraId="6A84B7CD">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鉴于        （以下简称“受益人”）与         （以下简称“申请人”）于   年   月   日就           工程（以下简称“本工程”）施工和有关事项协商一致共同签订《         》（以下简称“基础合同”），我方（即“开立人”）根据主合同了解到申请人为主合同项下之承包人，受益人为主合同项下之发包人，基于申请人的请求，我方同意就申请人按照合同约定正确和合理地为合同目的使用预付款，向贵方提供不可撤销、不可转让的见索即付独立保函（以下简称“本保函”）。 </w:t>
      </w:r>
    </w:p>
    <w:p w14:paraId="2FA293CC">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一、本保函担保范围：申请人未按照合同约定正确和合理地为合同目的使用预付款，应当向贵方承担违约责任和赔偿因此造成的损失、利息、律师费、诉讼费用等实现债权的费用。</w:t>
      </w:r>
    </w:p>
    <w:p w14:paraId="7ED29293">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二、本保函担保金额最高不超过人民币（大写）          元（¥       ）。 </w:t>
      </w:r>
    </w:p>
    <w:p w14:paraId="5D889C26">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三、本保函有效期自开立之日起至发包人全额扣回预付款后   日止，最迟不超过    年    月    日。</w:t>
      </w:r>
    </w:p>
    <w:p w14:paraId="5B772887">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四、我方承诺，在收到受益人发来的书面付款通知后的    日内无条件支付，前述书面付款通知即为付款要求之单据，且应满足以下要求：</w:t>
      </w:r>
    </w:p>
    <w:p w14:paraId="13D25770">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（1）付款通知到达的日期在本保函的有效期内；</w:t>
      </w:r>
    </w:p>
    <w:p w14:paraId="4C329461">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（2）载明要求支付的金额；</w:t>
      </w:r>
    </w:p>
    <w:p w14:paraId="4DFEBC8C">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（3）载明申请人违反合同义务的条款和内容；</w:t>
      </w:r>
    </w:p>
    <w:p w14:paraId="4E946403">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（4）声明不存在合同文件约定或我国法律规定免除申请人或开立人支付责任的情形；</w:t>
      </w:r>
    </w:p>
    <w:p w14:paraId="3F082A87">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（5）付款通知应在本保函有效期内到达的地址是：             。</w:t>
      </w:r>
    </w:p>
    <w:p w14:paraId="11E2AD47">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受益人发出的书面付款通知应由其为鉴明受益人法定代表人（负责人）或授权代理人签字并加盖公章。</w:t>
      </w:r>
    </w:p>
    <w:p w14:paraId="3F3627BF">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五、本保函项下的权利不得转让，不得设定担保。贵方未经我方书面同意转 让本保函或其项下任何权利，对我方不发生法律效力。 </w:t>
      </w:r>
    </w:p>
    <w:p w14:paraId="4CA115E3">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六、与本保函有关的基础合同不成立、不生效、无效、被撤销、被解除，不影响本保函的独立有效。 </w:t>
      </w:r>
    </w:p>
    <w:p w14:paraId="6B4D4720">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七、贵方应在本保函到期后的七日内将本保函正本退回我方注销，但不论贵方是否按此要求将本保函正本退回我方，我方在本保函项下的义务和责任均在保函有效期到期后自动消灭。 </w:t>
      </w:r>
    </w:p>
    <w:p w14:paraId="2424AFED">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八、本保函适用的法律为中华人民共和国法律，争议裁判管辖地为中华人民共和国     。 </w:t>
      </w:r>
    </w:p>
    <w:p w14:paraId="393D0EB6">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九、本保函自我方法定代表人或授权代表签字并加盖公章之日起生效。 </w:t>
      </w:r>
    </w:p>
    <w:p w14:paraId="3AA6B701">
      <w:pPr>
        <w:spacing w:line="360" w:lineRule="auto"/>
        <w:ind w:firstLine="420" w:firstLineChars="200"/>
        <w:rPr>
          <w:rFonts w:hint="eastAsia" w:ascii="仿宋_GB2312" w:hAnsi="宋体" w:eastAsia="仿宋_GB2312" w:cs="Times New Roman"/>
          <w:kern w:val="0"/>
        </w:rPr>
      </w:pPr>
    </w:p>
    <w:p w14:paraId="00E2284A">
      <w:pPr>
        <w:spacing w:line="360" w:lineRule="auto"/>
        <w:ind w:firstLine="420" w:firstLineChars="200"/>
        <w:rPr>
          <w:rFonts w:hint="eastAsia" w:ascii="仿宋_GB2312" w:hAnsi="宋体" w:eastAsia="仿宋_GB2312" w:cs="Times New Roman"/>
          <w:kern w:val="0"/>
        </w:rPr>
      </w:pPr>
    </w:p>
    <w:p w14:paraId="49168DC4">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开 立 人：                              （公章） </w:t>
      </w:r>
    </w:p>
    <w:p w14:paraId="0C65E417">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法定代表人（或授权代表）：               （签字） </w:t>
      </w:r>
    </w:p>
    <w:p w14:paraId="297E0503">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地    址：                                       </w:t>
      </w:r>
    </w:p>
    <w:p w14:paraId="3CE744D5">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邮政编码：                 </w:t>
      </w:r>
    </w:p>
    <w:p w14:paraId="0DD92D68">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电    话：                 </w:t>
      </w:r>
    </w:p>
    <w:p w14:paraId="14FA1913">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传    真：                 </w:t>
      </w:r>
    </w:p>
    <w:p w14:paraId="7A693DAA">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开立时间：      年      月        日</w:t>
      </w:r>
    </w:p>
    <w:p w14:paraId="701F6918">
      <w:pPr>
        <w:pStyle w:val="6"/>
        <w:ind w:firstLine="480"/>
      </w:pPr>
    </w:p>
    <w:p w14:paraId="29AE1682">
      <w:pPr>
        <w:pStyle w:val="6"/>
        <w:ind w:firstLine="480"/>
      </w:pPr>
    </w:p>
    <w:p w14:paraId="0939A951">
      <w:pPr>
        <w:pStyle w:val="6"/>
        <w:ind w:firstLine="480"/>
      </w:pPr>
    </w:p>
    <w:p w14:paraId="1682B134">
      <w:pPr>
        <w:pStyle w:val="6"/>
        <w:ind w:firstLine="480"/>
      </w:pPr>
    </w:p>
    <w:p w14:paraId="37C726B9">
      <w:pPr>
        <w:pStyle w:val="6"/>
        <w:ind w:firstLine="480"/>
      </w:pPr>
    </w:p>
    <w:p w14:paraId="11F42ECB">
      <w:pPr>
        <w:pStyle w:val="6"/>
        <w:ind w:firstLine="480"/>
      </w:pPr>
    </w:p>
    <w:p w14:paraId="03759A96">
      <w:pPr>
        <w:pStyle w:val="6"/>
        <w:ind w:firstLine="480"/>
      </w:pPr>
    </w:p>
    <w:p w14:paraId="5673E81C">
      <w:pPr>
        <w:pStyle w:val="6"/>
        <w:ind w:firstLine="480"/>
      </w:pPr>
    </w:p>
    <w:p w14:paraId="5ADA617E">
      <w:pPr>
        <w:pStyle w:val="6"/>
        <w:ind w:firstLine="480"/>
      </w:pPr>
    </w:p>
    <w:p w14:paraId="1103CE5F">
      <w:pPr>
        <w:pStyle w:val="6"/>
        <w:ind w:firstLine="480"/>
      </w:pPr>
    </w:p>
    <w:p w14:paraId="44F489A6">
      <w:pPr>
        <w:pStyle w:val="6"/>
        <w:ind w:firstLine="480"/>
      </w:pPr>
    </w:p>
    <w:p w14:paraId="189E72FA">
      <w:pPr>
        <w:pStyle w:val="6"/>
        <w:ind w:firstLine="480"/>
      </w:pPr>
    </w:p>
    <w:p w14:paraId="0314D60A">
      <w:pPr>
        <w:pStyle w:val="6"/>
        <w:ind w:firstLine="480"/>
      </w:pPr>
    </w:p>
    <w:p w14:paraId="4BEA7E1E">
      <w:pPr>
        <w:pStyle w:val="6"/>
        <w:ind w:firstLine="480"/>
      </w:pPr>
    </w:p>
    <w:p w14:paraId="1E70C0AA">
      <w:pPr>
        <w:pStyle w:val="6"/>
        <w:ind w:firstLine="480"/>
      </w:pPr>
    </w:p>
    <w:p w14:paraId="7707FF76">
      <w:pPr>
        <w:pStyle w:val="6"/>
        <w:ind w:firstLine="480"/>
      </w:pPr>
    </w:p>
    <w:p w14:paraId="41DA3C82">
      <w:pPr>
        <w:pStyle w:val="44"/>
        <w:numPr>
          <w:ilvl w:val="0"/>
          <w:numId w:val="0"/>
        </w:numPr>
        <w:spacing w:before="0" w:after="0"/>
        <w:rPr>
          <w:rFonts w:hint="eastAsia"/>
          <w:sz w:val="28"/>
          <w:szCs w:val="28"/>
        </w:rPr>
      </w:pPr>
      <w:bookmarkStart w:id="1872" w:name="_Toc30971"/>
      <w:bookmarkEnd w:id="1872"/>
      <w:bookmarkStart w:id="1873" w:name="_Toc29326"/>
      <w:bookmarkEnd w:id="1873"/>
      <w:r>
        <w:rPr>
          <w:rFonts w:hint="eastAsia"/>
          <w:sz w:val="28"/>
          <w:szCs w:val="28"/>
        </w:rPr>
        <w:t>附件8 支付保函示范文本</w:t>
      </w:r>
    </w:p>
    <w:p w14:paraId="0D33AC42">
      <w:pPr>
        <w:spacing w:line="360" w:lineRule="auto"/>
        <w:jc w:val="center"/>
        <w:rPr>
          <w:rFonts w:hint="eastAsia" w:ascii="宋体" w:hAnsi="宋体"/>
          <w:b/>
          <w:bCs/>
          <w:sz w:val="28"/>
          <w:szCs w:val="28"/>
        </w:rPr>
      </w:pPr>
      <w:r>
        <w:rPr>
          <w:rFonts w:hint="eastAsia" w:ascii="宋体" w:hAnsi="宋体"/>
          <w:b/>
          <w:bCs/>
          <w:sz w:val="28"/>
          <w:szCs w:val="28"/>
        </w:rPr>
        <w:t>（独立保函）</w:t>
      </w:r>
    </w:p>
    <w:p w14:paraId="49B13270">
      <w:pPr>
        <w:spacing w:line="360" w:lineRule="auto"/>
        <w:ind w:firstLine="420" w:firstLineChars="200"/>
        <w:jc w:val="center"/>
        <w:rPr>
          <w:rFonts w:hint="eastAsia" w:ascii="仿宋_GB2312" w:hAnsi="宋体" w:eastAsia="仿宋_GB2312" w:cs="Times New Roman"/>
          <w:kern w:val="0"/>
        </w:rPr>
      </w:pPr>
      <w:r>
        <w:rPr>
          <w:rFonts w:hint="eastAsia" w:ascii="仿宋_GB2312" w:hAnsi="宋体" w:eastAsia="仿宋_GB2312" w:cs="Times New Roman"/>
          <w:kern w:val="0"/>
        </w:rPr>
        <w:t xml:space="preserve">                                           编号：      </w:t>
      </w:r>
    </w:p>
    <w:p w14:paraId="50FF0296">
      <w:pPr>
        <w:spacing w:line="360" w:lineRule="auto"/>
        <w:ind w:firstLine="420" w:firstLineChars="200"/>
        <w:jc w:val="center"/>
        <w:rPr>
          <w:rFonts w:hint="eastAsia" w:ascii="仿宋_GB2312" w:hAnsi="宋体" w:eastAsia="仿宋_GB2312" w:cs="Times New Roman"/>
          <w:kern w:val="0"/>
        </w:rPr>
      </w:pPr>
    </w:p>
    <w:p w14:paraId="7D0E4336">
      <w:pPr>
        <w:spacing w:line="360" w:lineRule="auto"/>
        <w:ind w:firstLine="420" w:firstLineChars="200"/>
        <w:jc w:val="left"/>
        <w:rPr>
          <w:rFonts w:hint="eastAsia" w:ascii="仿宋_GB2312" w:hAnsi="宋体" w:eastAsia="仿宋_GB2312" w:cs="Times New Roman"/>
          <w:kern w:val="0"/>
        </w:rPr>
      </w:pPr>
      <w:r>
        <w:rPr>
          <w:rFonts w:hint="eastAsia" w:ascii="仿宋_GB2312" w:hAnsi="宋体" w:eastAsia="仿宋_GB2312" w:cs="Times New Roman"/>
          <w:kern w:val="0"/>
        </w:rPr>
        <w:t>申请人：</w:t>
      </w:r>
    </w:p>
    <w:p w14:paraId="0A4AB42D">
      <w:pPr>
        <w:spacing w:line="360" w:lineRule="auto"/>
        <w:ind w:firstLine="420" w:firstLineChars="200"/>
        <w:jc w:val="left"/>
        <w:rPr>
          <w:rFonts w:hint="eastAsia" w:ascii="仿宋_GB2312" w:hAnsi="宋体" w:eastAsia="仿宋_GB2312" w:cs="Times New Roman"/>
          <w:kern w:val="0"/>
        </w:rPr>
      </w:pPr>
      <w:r>
        <w:rPr>
          <w:rFonts w:hint="eastAsia" w:ascii="仿宋_GB2312" w:hAnsi="宋体" w:eastAsia="仿宋_GB2312" w:cs="Times New Roman"/>
          <w:kern w:val="0"/>
        </w:rPr>
        <w:t xml:space="preserve">  地址：</w:t>
      </w:r>
    </w:p>
    <w:p w14:paraId="68B48936">
      <w:pPr>
        <w:spacing w:line="360" w:lineRule="auto"/>
        <w:ind w:firstLine="420" w:firstLineChars="200"/>
        <w:jc w:val="left"/>
        <w:rPr>
          <w:rFonts w:hint="eastAsia" w:ascii="仿宋_GB2312" w:hAnsi="宋体" w:eastAsia="仿宋_GB2312" w:cs="Times New Roman"/>
          <w:kern w:val="0"/>
        </w:rPr>
      </w:pPr>
      <w:r>
        <w:rPr>
          <w:rFonts w:hint="eastAsia" w:ascii="仿宋_GB2312" w:hAnsi="宋体" w:eastAsia="仿宋_GB2312" w:cs="Times New Roman"/>
          <w:kern w:val="0"/>
        </w:rPr>
        <w:t>受益人：</w:t>
      </w:r>
    </w:p>
    <w:p w14:paraId="41383EBE">
      <w:pPr>
        <w:spacing w:line="360" w:lineRule="auto"/>
        <w:ind w:firstLine="420" w:firstLineChars="200"/>
        <w:jc w:val="left"/>
        <w:rPr>
          <w:rFonts w:hint="eastAsia" w:ascii="仿宋_GB2312" w:hAnsi="宋体" w:eastAsia="仿宋_GB2312" w:cs="Times New Roman"/>
          <w:kern w:val="0"/>
        </w:rPr>
      </w:pPr>
      <w:r>
        <w:rPr>
          <w:rFonts w:hint="eastAsia" w:ascii="仿宋_GB2312" w:hAnsi="宋体" w:eastAsia="仿宋_GB2312" w:cs="Times New Roman"/>
          <w:kern w:val="0"/>
        </w:rPr>
        <w:t xml:space="preserve">  地址：</w:t>
      </w:r>
    </w:p>
    <w:p w14:paraId="61C84667">
      <w:pPr>
        <w:spacing w:line="360" w:lineRule="auto"/>
        <w:ind w:firstLine="420" w:firstLineChars="200"/>
        <w:jc w:val="left"/>
        <w:rPr>
          <w:rFonts w:hint="eastAsia" w:ascii="仿宋_GB2312" w:hAnsi="宋体" w:eastAsia="仿宋_GB2312" w:cs="Times New Roman"/>
          <w:kern w:val="0"/>
        </w:rPr>
      </w:pPr>
      <w:r>
        <w:rPr>
          <w:rFonts w:hint="eastAsia" w:ascii="仿宋_GB2312" w:hAnsi="宋体" w:eastAsia="仿宋_GB2312" w:cs="Times New Roman"/>
          <w:kern w:val="0"/>
        </w:rPr>
        <w:t>开立人：</w:t>
      </w:r>
    </w:p>
    <w:p w14:paraId="7206A7C5">
      <w:pPr>
        <w:spacing w:line="360" w:lineRule="auto"/>
        <w:ind w:firstLine="420" w:firstLineChars="200"/>
        <w:jc w:val="left"/>
        <w:rPr>
          <w:rFonts w:hint="eastAsia" w:ascii="仿宋_GB2312" w:hAnsi="宋体" w:eastAsia="仿宋_GB2312" w:cs="Times New Roman"/>
          <w:kern w:val="0"/>
        </w:rPr>
      </w:pPr>
      <w:r>
        <w:rPr>
          <w:rFonts w:hint="eastAsia" w:ascii="仿宋_GB2312" w:hAnsi="宋体" w:eastAsia="仿宋_GB2312" w:cs="Times New Roman"/>
          <w:kern w:val="0"/>
        </w:rPr>
        <w:t xml:space="preserve">  地址：</w:t>
      </w:r>
    </w:p>
    <w:p w14:paraId="010DB51B">
      <w:pPr>
        <w:spacing w:line="360" w:lineRule="auto"/>
        <w:ind w:firstLine="420" w:firstLineChars="200"/>
        <w:rPr>
          <w:rFonts w:hint="eastAsia" w:ascii="仿宋_GB2312" w:hAnsi="宋体" w:eastAsia="仿宋_GB2312" w:cs="Times New Roman"/>
          <w:kern w:val="0"/>
        </w:rPr>
      </w:pPr>
    </w:p>
    <w:p w14:paraId="444F7294">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              （受益人名称）： </w:t>
      </w:r>
    </w:p>
    <w:p w14:paraId="241B8E4B">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鉴于        （以下简称“受益人”）与         （以下简称“申请人”）于   年   月   日就           工程（以下简称“本工程”）施工和有关事项协商一致共同签订《         》（以下简称基础合同”），我方（即“开立人”）根据基础合同了解到申请人为基础合同项下之发包人，受益人为基础合同项下之承包人，基于申请人的请求，我方同意就申请人履行与贵方签订的基础合同项下的工程款（指基础合同约定的除工程质量保修金以外的工程款）付款义务，向贵方提供不可撤销、不可转让的见索即付独立保函（以下简称“本保函”）。 </w:t>
      </w:r>
    </w:p>
    <w:p w14:paraId="2369A691">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一、本保函担保范围：申请人未履行基础合同约定的工程款支付义务，应当向贵方承担违约责任和赔偿因此造成的损失、利息、律师费、诉讼费用等实现债权的费用。</w:t>
      </w:r>
    </w:p>
    <w:p w14:paraId="0246E8EA">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二、本保函担保金额最高不超过人民币（大写）          元（¥       ）。 </w:t>
      </w:r>
    </w:p>
    <w:p w14:paraId="3E345A1F">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三、本保函有效期自开立之日起至基础合同约定的除工程质量保修金以外的全部工程结算款项支付之日   止，最迟不超过    年    月    日。 </w:t>
      </w:r>
    </w:p>
    <w:p w14:paraId="315A7119">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四、我方承诺，在收到受益人发来的书面付款通知后的    日内无条件支付，前述书面付款通知即为付款要求之单据，且应满足以下要求：</w:t>
      </w:r>
    </w:p>
    <w:p w14:paraId="15A52E1F">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（1）付款通知到达的日期在本保函的有效期内；</w:t>
      </w:r>
    </w:p>
    <w:p w14:paraId="740EC82B">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（2）载明要求支付的金额；</w:t>
      </w:r>
    </w:p>
    <w:p w14:paraId="2D24BC2C">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（3）载明申请人违反合同义务的条款和内容；</w:t>
      </w:r>
    </w:p>
    <w:p w14:paraId="36A717CB">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（4）声明不存在合同文件约定或我国法律规定免除申请人或开立人支付责任的情形；</w:t>
      </w:r>
    </w:p>
    <w:p w14:paraId="554F37BF">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（5）付款通知应在本保函有效期内到达的地址是：             。</w:t>
      </w:r>
    </w:p>
    <w:p w14:paraId="44DF6AAA">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受益人发出的书面付款通知应由其为鉴明受益人法定代表人（负责人）或授权代理人签字并加盖公章。</w:t>
      </w:r>
    </w:p>
    <w:p w14:paraId="52B40038">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五、本保函项下的权利不得转让，不得设定担保。贵方未经我方书面同意转 让本保函或其项下任何权利，对我方不发生法律效力。 </w:t>
      </w:r>
    </w:p>
    <w:p w14:paraId="67DD0756">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六、与本保函有关的基础合同不成立、不生效、无效、被撤销、被解除，不影响本保函的独立有效。 </w:t>
      </w:r>
    </w:p>
    <w:p w14:paraId="3629A0E2">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七、贵方应在本保函到期后的七日内将本保函正本退回我方注销，但不论贵方是否按此要求将本保函正本退回我方，我方在本保函项下的义务和责任均在保函有效期到期后自动消灭。 </w:t>
      </w:r>
    </w:p>
    <w:p w14:paraId="62EF8BE2">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八、本保函适用的法律为中华人民共和国法律，争议裁判管辖地为中华人民共和国     。 </w:t>
      </w:r>
    </w:p>
    <w:p w14:paraId="1C8631FB">
      <w:pPr>
        <w:spacing w:line="360" w:lineRule="auto"/>
        <w:ind w:firstLine="420" w:firstLineChars="200"/>
        <w:rPr>
          <w:rFonts w:hint="eastAsia" w:ascii="仿宋_GB2312" w:hAnsi="宋体" w:eastAsia="仿宋_GB2312" w:cs="Times New Roman"/>
          <w:kern w:val="0"/>
        </w:rPr>
      </w:pPr>
      <w:bookmarkStart w:id="1874" w:name="_Hlk58487855"/>
      <w:bookmarkEnd w:id="1874"/>
      <w:r>
        <w:rPr>
          <w:rFonts w:hint="eastAsia" w:ascii="仿宋_GB2312" w:hAnsi="宋体" w:eastAsia="仿宋_GB2312" w:cs="Times New Roman"/>
          <w:kern w:val="0"/>
        </w:rPr>
        <w:t xml:space="preserve">九、本保函自我方法定代表人或授权代表签字并加盖公章之日起生效。 </w:t>
      </w:r>
    </w:p>
    <w:p w14:paraId="253615AA">
      <w:pPr>
        <w:spacing w:line="360" w:lineRule="auto"/>
        <w:ind w:firstLine="420" w:firstLineChars="200"/>
        <w:rPr>
          <w:rFonts w:hint="eastAsia" w:ascii="仿宋_GB2312" w:hAnsi="宋体" w:eastAsia="仿宋_GB2312" w:cs="Times New Roman"/>
          <w:kern w:val="0"/>
        </w:rPr>
      </w:pPr>
    </w:p>
    <w:p w14:paraId="3DA75F51">
      <w:pPr>
        <w:spacing w:line="360" w:lineRule="auto"/>
        <w:ind w:firstLine="420" w:firstLineChars="200"/>
        <w:rPr>
          <w:rFonts w:hint="eastAsia" w:ascii="仿宋_GB2312" w:hAnsi="宋体" w:eastAsia="仿宋_GB2312" w:cs="Times New Roman"/>
          <w:kern w:val="0"/>
        </w:rPr>
      </w:pPr>
    </w:p>
    <w:p w14:paraId="579F49AE">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开 立 人：                              （公章） </w:t>
      </w:r>
    </w:p>
    <w:p w14:paraId="7AB6AC31">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法定代表人（或授权代表）：               （签字） </w:t>
      </w:r>
    </w:p>
    <w:p w14:paraId="0B3CE4C5">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地    址：                                       </w:t>
      </w:r>
    </w:p>
    <w:p w14:paraId="316C51DE">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邮政编码：                 </w:t>
      </w:r>
    </w:p>
    <w:p w14:paraId="0A20608F">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电    话：                 </w:t>
      </w:r>
    </w:p>
    <w:p w14:paraId="5C8EB23A">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传    真：                 </w:t>
      </w:r>
    </w:p>
    <w:p w14:paraId="29B81DBA">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开立时间：      年      月        日</w:t>
      </w:r>
    </w:p>
    <w:p w14:paraId="5A979411">
      <w:pPr>
        <w:spacing w:line="360" w:lineRule="auto"/>
        <w:ind w:firstLine="420" w:firstLineChars="200"/>
        <w:rPr>
          <w:rFonts w:hint="eastAsia" w:ascii="仿宋_GB2312" w:hAnsi="宋体" w:eastAsia="仿宋_GB2312" w:cs="Times New Roman"/>
          <w:kern w:val="0"/>
        </w:rPr>
      </w:pPr>
    </w:p>
    <w:p w14:paraId="571C634B">
      <w:pPr>
        <w:pStyle w:val="29"/>
        <w:rPr>
          <w:rFonts w:hint="eastAsia" w:ascii="仿宋_GB2312" w:hAnsi="宋体" w:eastAsia="仿宋_GB2312" w:cs="Times New Roman"/>
          <w:color w:val="auto"/>
          <w:sz w:val="21"/>
          <w:szCs w:val="21"/>
        </w:rPr>
      </w:pPr>
    </w:p>
    <w:p w14:paraId="0DA4A45B">
      <w:pPr>
        <w:pStyle w:val="29"/>
        <w:rPr>
          <w:rFonts w:hint="eastAsia" w:ascii="仿宋_GB2312" w:hAnsi="宋体" w:eastAsia="仿宋_GB2312" w:cs="Times New Roman"/>
          <w:color w:val="auto"/>
          <w:sz w:val="21"/>
          <w:szCs w:val="21"/>
        </w:rPr>
      </w:pPr>
    </w:p>
    <w:p w14:paraId="04F6D709">
      <w:pPr>
        <w:pStyle w:val="29"/>
        <w:rPr>
          <w:rFonts w:hint="eastAsia" w:ascii="仿宋_GB2312" w:hAnsi="宋体" w:eastAsia="仿宋_GB2312" w:cs="Times New Roman"/>
          <w:color w:val="auto"/>
          <w:sz w:val="21"/>
          <w:szCs w:val="21"/>
        </w:rPr>
      </w:pPr>
    </w:p>
    <w:p w14:paraId="42344D35">
      <w:pPr>
        <w:pStyle w:val="29"/>
        <w:rPr>
          <w:rFonts w:hint="eastAsia" w:ascii="仿宋_GB2312" w:hAnsi="宋体" w:eastAsia="仿宋_GB2312" w:cs="Times New Roman"/>
          <w:color w:val="auto"/>
          <w:sz w:val="21"/>
          <w:szCs w:val="21"/>
        </w:rPr>
      </w:pPr>
    </w:p>
    <w:p w14:paraId="70CE934B">
      <w:pPr>
        <w:pStyle w:val="29"/>
        <w:rPr>
          <w:rFonts w:hint="eastAsia" w:ascii="仿宋_GB2312" w:hAnsi="宋体" w:eastAsia="仿宋_GB2312" w:cs="Times New Roman"/>
          <w:color w:val="auto"/>
          <w:sz w:val="21"/>
          <w:szCs w:val="21"/>
        </w:rPr>
      </w:pPr>
    </w:p>
    <w:p w14:paraId="0F988AB4">
      <w:pPr>
        <w:pStyle w:val="29"/>
        <w:rPr>
          <w:rFonts w:hint="eastAsia" w:ascii="仿宋_GB2312" w:hAnsi="宋体" w:eastAsia="仿宋_GB2312" w:cs="Times New Roman"/>
          <w:color w:val="auto"/>
          <w:sz w:val="21"/>
          <w:szCs w:val="21"/>
        </w:rPr>
      </w:pPr>
    </w:p>
    <w:p w14:paraId="46B000A4">
      <w:pPr>
        <w:pStyle w:val="29"/>
        <w:rPr>
          <w:rFonts w:hint="eastAsia" w:ascii="仿宋_GB2312" w:hAnsi="宋体" w:eastAsia="仿宋_GB2312" w:cs="Times New Roman"/>
          <w:color w:val="auto"/>
          <w:sz w:val="21"/>
          <w:szCs w:val="21"/>
        </w:rPr>
      </w:pPr>
    </w:p>
    <w:p w14:paraId="7596A5F2">
      <w:pPr>
        <w:pStyle w:val="29"/>
        <w:rPr>
          <w:rFonts w:hint="eastAsia" w:ascii="仿宋_GB2312" w:hAnsi="宋体" w:eastAsia="仿宋_GB2312" w:cs="Times New Roman"/>
          <w:color w:val="auto"/>
          <w:sz w:val="21"/>
          <w:szCs w:val="21"/>
        </w:rPr>
      </w:pPr>
    </w:p>
    <w:p w14:paraId="26091B40">
      <w:pPr>
        <w:pStyle w:val="29"/>
        <w:rPr>
          <w:rFonts w:hint="eastAsia" w:ascii="仿宋_GB2312" w:hAnsi="宋体" w:eastAsia="仿宋_GB2312" w:cs="Times New Roman"/>
          <w:color w:val="auto"/>
          <w:sz w:val="21"/>
          <w:szCs w:val="21"/>
        </w:rPr>
      </w:pPr>
    </w:p>
    <w:p w14:paraId="60D9C4C8">
      <w:pPr>
        <w:pStyle w:val="29"/>
        <w:rPr>
          <w:rFonts w:hint="eastAsia" w:ascii="仿宋_GB2312" w:hAnsi="宋体" w:eastAsia="仿宋_GB2312" w:cs="Times New Roman"/>
          <w:color w:val="auto"/>
          <w:sz w:val="21"/>
          <w:szCs w:val="21"/>
        </w:rPr>
      </w:pPr>
    </w:p>
    <w:p w14:paraId="225848DE">
      <w:pPr>
        <w:pStyle w:val="29"/>
        <w:rPr>
          <w:rFonts w:hint="eastAsia" w:ascii="仿宋_GB2312" w:hAnsi="宋体" w:eastAsia="仿宋_GB2312" w:cs="Times New Roman"/>
          <w:color w:val="auto"/>
          <w:sz w:val="21"/>
          <w:szCs w:val="21"/>
        </w:rPr>
      </w:pPr>
    </w:p>
    <w:p w14:paraId="12443CD7">
      <w:pPr>
        <w:pStyle w:val="29"/>
        <w:rPr>
          <w:rFonts w:hint="eastAsia" w:ascii="仿宋_GB2312" w:hAnsi="宋体" w:eastAsia="仿宋_GB2312" w:cs="Times New Roman"/>
          <w:color w:val="auto"/>
          <w:sz w:val="21"/>
          <w:szCs w:val="21"/>
        </w:rPr>
      </w:pPr>
    </w:p>
    <w:p w14:paraId="50A647EB">
      <w:pPr>
        <w:pStyle w:val="29"/>
        <w:rPr>
          <w:rFonts w:hint="eastAsia" w:ascii="仿宋_GB2312" w:hAnsi="宋体" w:eastAsia="仿宋_GB2312" w:cs="Times New Roman"/>
          <w:color w:val="auto"/>
          <w:sz w:val="21"/>
          <w:szCs w:val="21"/>
        </w:rPr>
      </w:pPr>
    </w:p>
    <w:p w14:paraId="1B24CCC8">
      <w:pPr>
        <w:pStyle w:val="44"/>
        <w:numPr>
          <w:ilvl w:val="0"/>
          <w:numId w:val="0"/>
        </w:numPr>
        <w:spacing w:before="0" w:after="0"/>
        <w:rPr>
          <w:rFonts w:hint="eastAsia"/>
          <w:sz w:val="28"/>
          <w:szCs w:val="28"/>
        </w:rPr>
      </w:pPr>
      <w:bookmarkStart w:id="1875" w:name="_Toc10102"/>
      <w:bookmarkEnd w:id="1875"/>
      <w:bookmarkStart w:id="1876" w:name="_Toc18517"/>
      <w:bookmarkEnd w:id="1876"/>
      <w:r>
        <w:rPr>
          <w:rFonts w:hint="eastAsia"/>
          <w:sz w:val="28"/>
          <w:szCs w:val="28"/>
        </w:rPr>
        <w:t>附件9履约保函示范文本</w:t>
      </w:r>
    </w:p>
    <w:p w14:paraId="1534A9B1">
      <w:pPr>
        <w:pStyle w:val="44"/>
        <w:numPr>
          <w:ilvl w:val="0"/>
          <w:numId w:val="0"/>
        </w:numPr>
        <w:spacing w:before="0" w:after="0"/>
        <w:rPr>
          <w:rFonts w:hint="eastAsia"/>
          <w:sz w:val="28"/>
          <w:szCs w:val="28"/>
        </w:rPr>
      </w:pPr>
      <w:bookmarkStart w:id="1877" w:name="_Toc11335"/>
      <w:bookmarkEnd w:id="1877"/>
      <w:bookmarkStart w:id="1878" w:name="_Toc24330"/>
      <w:bookmarkEnd w:id="1878"/>
      <w:r>
        <w:rPr>
          <w:rFonts w:hint="eastAsia"/>
          <w:sz w:val="28"/>
          <w:szCs w:val="28"/>
        </w:rPr>
        <w:t>（独立保函）</w:t>
      </w:r>
    </w:p>
    <w:p w14:paraId="187695CB">
      <w:pPr>
        <w:spacing w:line="360" w:lineRule="auto"/>
        <w:ind w:firstLine="420" w:firstLineChars="200"/>
        <w:jc w:val="center"/>
        <w:rPr>
          <w:rFonts w:hint="eastAsia" w:ascii="仿宋_GB2312" w:hAnsi="宋体" w:eastAsia="仿宋_GB2312" w:cs="Times New Roman"/>
          <w:kern w:val="0"/>
        </w:rPr>
      </w:pPr>
      <w:r>
        <w:rPr>
          <w:rFonts w:hint="eastAsia" w:ascii="仿宋_GB2312" w:hAnsi="宋体" w:eastAsia="仿宋_GB2312" w:cs="Times New Roman"/>
          <w:kern w:val="0"/>
        </w:rPr>
        <w:t xml:space="preserve">                        编号：</w:t>
      </w:r>
    </w:p>
    <w:p w14:paraId="480493C9">
      <w:pPr>
        <w:pStyle w:val="29"/>
        <w:rPr>
          <w:color w:val="auto"/>
        </w:rPr>
      </w:pPr>
    </w:p>
    <w:p w14:paraId="03BCF48D">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申请人：</w:t>
      </w:r>
    </w:p>
    <w:p w14:paraId="033D24FD">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  地址：</w:t>
      </w:r>
    </w:p>
    <w:p w14:paraId="7F3AC902">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受益人：</w:t>
      </w:r>
    </w:p>
    <w:p w14:paraId="59DC8790">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  地址：</w:t>
      </w:r>
    </w:p>
    <w:p w14:paraId="059D27CC">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开立人：</w:t>
      </w:r>
    </w:p>
    <w:p w14:paraId="6CE11DE9">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  地址：</w:t>
      </w:r>
    </w:p>
    <w:p w14:paraId="1821A476">
      <w:pPr>
        <w:spacing w:line="360" w:lineRule="auto"/>
        <w:ind w:firstLine="420" w:firstLineChars="200"/>
        <w:rPr>
          <w:rFonts w:hint="eastAsia" w:ascii="仿宋_GB2312" w:hAnsi="宋体" w:eastAsia="仿宋_GB2312" w:cs="Times New Roman"/>
          <w:kern w:val="0"/>
        </w:rPr>
      </w:pPr>
    </w:p>
    <w:p w14:paraId="1DBAB1DD">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              （受益人名称）： </w:t>
      </w:r>
    </w:p>
    <w:p w14:paraId="3084A960">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鉴于        （以下简称“受益人”）与         （以下简称“申请人”）于   年   月   日就           工程（以下简称“本工程”）施工和有关事项协商一致共同签订《         》（以下简称“基础合同”），我方（即“开立人”）根据基础合同了解到申请人为基础合同项下之承包人，受益人为基础合同项下之发包人，基于申请人的请求，我方同意就申请人履行与贵方签订的基础合同项下的义务，向贵方提供不可撤销、不可转让的见索即付独立保函（以下简称“本保函”）。 </w:t>
      </w:r>
    </w:p>
    <w:p w14:paraId="02CF19D6">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一、本保函担保范围：承包人未按照基础合同的约定履行义务，应当向贵方承担违约责任和赔偿因此造成的损失、利息、律师费、诉讼费用等实现债权的费用。</w:t>
      </w:r>
    </w:p>
    <w:p w14:paraId="3724B145">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二、本保函担保金额最高不超过人民币（大写）          元（¥       ）。 </w:t>
      </w:r>
    </w:p>
    <w:p w14:paraId="0630045C">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三、本保函有效期自开立之日起至基础合同约定的缺陷责任期后   日止，最迟不超过    年    月    日。 </w:t>
      </w:r>
    </w:p>
    <w:p w14:paraId="7FD790BF">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四、我方承诺，在收到受益人发来的书面付款通知后的    日内无条件支付，前述书面付款通知即为付款要求之单据，且应满足以下要求：</w:t>
      </w:r>
    </w:p>
    <w:p w14:paraId="43C3C4C0">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（1）付款通知到达的日期在本保函的有效期内；</w:t>
      </w:r>
    </w:p>
    <w:p w14:paraId="07551208">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（2）载明要求支付的金额；</w:t>
      </w:r>
    </w:p>
    <w:p w14:paraId="681B29E2">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（3）载明申请人违反合同义务的条款和内容；</w:t>
      </w:r>
    </w:p>
    <w:p w14:paraId="4B8E4104">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（4）声明不存在合同文件约定或我国法律规定免除申请人或开立人支付责任的情形；</w:t>
      </w:r>
    </w:p>
    <w:p w14:paraId="52C168A5">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（5）付款通知应在本保函有效期内到达的地址是：             。</w:t>
      </w:r>
    </w:p>
    <w:p w14:paraId="47C4F992">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受益人发出的书面付款通知应由其为鉴明受益人法定代表人（负责人）或授权代理人签字并加盖公章。</w:t>
      </w:r>
    </w:p>
    <w:p w14:paraId="6A2FACCB">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五、本保函项下的权利不得转让，不得设定担保。贵方未经我方书面同意转 让本保函或其项下任何权利，对我方不发生法律效力。 </w:t>
      </w:r>
    </w:p>
    <w:p w14:paraId="32174140">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六、与本保函有关的基础合同不成立、不生效、无效、被撤销、被解除，不影响本保函的独立有效。 </w:t>
      </w:r>
    </w:p>
    <w:p w14:paraId="65A97812">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七、贵方应在本保函到期后的七日内将本保函正本退回我方注销，但不论贵方是否按此要求将本保函正本退回我方，我方在本保函项下的义务和责任均在保函有效期到期后自动消灭。 </w:t>
      </w:r>
    </w:p>
    <w:p w14:paraId="6FCA76FC">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八、本保函适用的法律为中华人民共和国法律，争议裁判管辖地为中华人民共和国     。 </w:t>
      </w:r>
    </w:p>
    <w:p w14:paraId="537154FD">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九、本保函自我方法定代表人或授权代表签字并加盖公章之日起生效。 </w:t>
      </w:r>
    </w:p>
    <w:p w14:paraId="58A9687E">
      <w:pPr>
        <w:pStyle w:val="29"/>
        <w:rPr>
          <w:rFonts w:hint="eastAsia" w:ascii="仿宋_GB2312" w:hAnsi="宋体" w:eastAsia="仿宋_GB2312" w:cs="Times New Roman"/>
          <w:color w:val="auto"/>
        </w:rPr>
      </w:pPr>
    </w:p>
    <w:p w14:paraId="36584D8B">
      <w:pPr>
        <w:pStyle w:val="29"/>
        <w:rPr>
          <w:rFonts w:hint="eastAsia" w:ascii="仿宋_GB2312" w:hAnsi="宋体" w:eastAsia="仿宋_GB2312" w:cs="Times New Roman"/>
          <w:color w:val="auto"/>
        </w:rPr>
      </w:pPr>
    </w:p>
    <w:p w14:paraId="625206E4">
      <w:pPr>
        <w:pStyle w:val="29"/>
        <w:rPr>
          <w:rFonts w:hint="eastAsia" w:ascii="仿宋_GB2312" w:hAnsi="宋体" w:eastAsia="仿宋_GB2312" w:cs="Times New Roman"/>
          <w:color w:val="auto"/>
        </w:rPr>
      </w:pPr>
    </w:p>
    <w:p w14:paraId="370A6D8E">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开 立 人：                              （公章） </w:t>
      </w:r>
    </w:p>
    <w:p w14:paraId="651FB043">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法定代表人（或授权代表）：               （签字） </w:t>
      </w:r>
    </w:p>
    <w:p w14:paraId="74978AC3">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地    址：                                       </w:t>
      </w:r>
    </w:p>
    <w:p w14:paraId="3E63E118">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邮政编码：                 </w:t>
      </w:r>
    </w:p>
    <w:p w14:paraId="697DE464">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电    话：                 </w:t>
      </w:r>
    </w:p>
    <w:p w14:paraId="0D89C0EC">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 xml:space="preserve">传    真：                 </w:t>
      </w:r>
    </w:p>
    <w:p w14:paraId="69724A2D">
      <w:pPr>
        <w:spacing w:line="360" w:lineRule="auto"/>
        <w:ind w:firstLine="420" w:firstLineChars="200"/>
        <w:rPr>
          <w:rFonts w:hint="eastAsia" w:ascii="仿宋_GB2312" w:hAnsi="宋体" w:eastAsia="仿宋_GB2312" w:cs="Times New Roman"/>
          <w:kern w:val="0"/>
        </w:rPr>
      </w:pPr>
      <w:r>
        <w:rPr>
          <w:rFonts w:hint="eastAsia" w:ascii="仿宋_GB2312" w:hAnsi="宋体" w:eastAsia="仿宋_GB2312" w:cs="Times New Roman"/>
          <w:kern w:val="0"/>
        </w:rPr>
        <w:t>开立时间：      年      月     日</w:t>
      </w:r>
    </w:p>
    <w:p w14:paraId="7D21F5A1">
      <w:bookmarkStart w:id="1879" w:name="_Toc247527819"/>
      <w:bookmarkStart w:id="1880" w:name="_Toc5731"/>
      <w:bookmarkStart w:id="1881" w:name="_Toc45896868"/>
      <w:bookmarkStart w:id="1882" w:name="_Toc247514232"/>
      <w:bookmarkStart w:id="1883" w:name="_Toc446574741"/>
    </w:p>
    <w:p w14:paraId="34EE8EC9">
      <w:pPr>
        <w:pStyle w:val="6"/>
        <w:ind w:firstLine="480"/>
      </w:pPr>
    </w:p>
    <w:p w14:paraId="7B356D44">
      <w:pPr>
        <w:pStyle w:val="6"/>
        <w:ind w:firstLine="480"/>
      </w:pPr>
    </w:p>
    <w:p w14:paraId="7260D5EC">
      <w:pPr>
        <w:pStyle w:val="6"/>
        <w:ind w:firstLine="480"/>
      </w:pPr>
    </w:p>
    <w:p w14:paraId="2CB0E712">
      <w:pPr>
        <w:pStyle w:val="6"/>
        <w:ind w:firstLine="480"/>
      </w:pPr>
    </w:p>
    <w:p w14:paraId="2B851F8A">
      <w:pPr>
        <w:pStyle w:val="6"/>
        <w:ind w:firstLine="480"/>
      </w:pPr>
    </w:p>
    <w:p w14:paraId="651599A9">
      <w:pPr>
        <w:pStyle w:val="6"/>
        <w:ind w:firstLine="480"/>
      </w:pPr>
    </w:p>
    <w:p w14:paraId="6B63F892">
      <w:pPr>
        <w:pStyle w:val="6"/>
        <w:ind w:firstLine="480"/>
      </w:pPr>
    </w:p>
    <w:p w14:paraId="7B081057">
      <w:pPr>
        <w:pStyle w:val="6"/>
        <w:ind w:firstLine="480"/>
      </w:pPr>
    </w:p>
    <w:p w14:paraId="4C84F8A8">
      <w:pPr>
        <w:pStyle w:val="6"/>
        <w:ind w:firstLine="480"/>
      </w:pPr>
    </w:p>
    <w:p w14:paraId="0ABF38BD">
      <w:pPr>
        <w:pStyle w:val="6"/>
        <w:ind w:firstLine="480"/>
      </w:pPr>
    </w:p>
    <w:p w14:paraId="2574D020">
      <w:pPr>
        <w:pStyle w:val="6"/>
        <w:ind w:firstLine="480"/>
      </w:pPr>
    </w:p>
    <w:p w14:paraId="69B71BE3">
      <w:pPr>
        <w:pStyle w:val="6"/>
        <w:ind w:firstLine="480"/>
      </w:pPr>
    </w:p>
    <w:p w14:paraId="31418223">
      <w:pPr>
        <w:pStyle w:val="6"/>
        <w:ind w:firstLine="480"/>
      </w:pPr>
    </w:p>
    <w:p w14:paraId="2DB6F670">
      <w:pPr>
        <w:pStyle w:val="6"/>
        <w:ind w:firstLine="480"/>
      </w:pPr>
    </w:p>
    <w:p w14:paraId="118A0FFC">
      <w:pPr>
        <w:pStyle w:val="6"/>
        <w:ind w:firstLine="480"/>
      </w:pPr>
    </w:p>
    <w:p w14:paraId="0E24E37F">
      <w:pPr>
        <w:pStyle w:val="6"/>
        <w:ind w:firstLine="480"/>
      </w:pPr>
    </w:p>
    <w:bookmarkEnd w:id="1879"/>
    <w:bookmarkEnd w:id="1880"/>
    <w:bookmarkEnd w:id="1881"/>
    <w:bookmarkEnd w:id="1882"/>
    <w:bookmarkEnd w:id="1883"/>
    <w:p w14:paraId="2C589F03">
      <w:pPr>
        <w:pStyle w:val="2"/>
        <w:jc w:val="center"/>
        <w:rPr>
          <w:rFonts w:cs="宋体"/>
        </w:rPr>
      </w:pPr>
      <w:bookmarkStart w:id="1884" w:name="_Toc20630"/>
      <w:bookmarkEnd w:id="1884"/>
      <w:bookmarkStart w:id="1885" w:name="_Toc152045782"/>
      <w:bookmarkStart w:id="1886" w:name="_Toc247527820"/>
      <w:bookmarkStart w:id="1887" w:name="_Toc144974851"/>
      <w:bookmarkStart w:id="1888" w:name="_Toc152042571"/>
      <w:bookmarkStart w:id="1889" w:name="_Toc247514233"/>
      <w:bookmarkStart w:id="1890" w:name="_Toc446574742"/>
      <w:r>
        <w:rPr>
          <w:rFonts w:hint="eastAsia" w:cs="宋体"/>
        </w:rPr>
        <w:t>第二卷</w:t>
      </w:r>
    </w:p>
    <w:p w14:paraId="31F5B929">
      <w:pPr>
        <w:rPr>
          <w:rFonts w:cs="宋体"/>
        </w:rPr>
      </w:pPr>
    </w:p>
    <w:p w14:paraId="78C18CDF">
      <w:pPr>
        <w:pStyle w:val="29"/>
        <w:rPr>
          <w:color w:val="auto"/>
        </w:rPr>
      </w:pPr>
    </w:p>
    <w:p w14:paraId="3EEEFB33">
      <w:pPr>
        <w:pStyle w:val="29"/>
        <w:rPr>
          <w:color w:val="auto"/>
        </w:rPr>
      </w:pPr>
    </w:p>
    <w:p w14:paraId="78F7A167">
      <w:pPr>
        <w:pStyle w:val="29"/>
        <w:rPr>
          <w:color w:val="auto"/>
        </w:rPr>
      </w:pPr>
    </w:p>
    <w:p w14:paraId="5C0B1512">
      <w:pPr>
        <w:pStyle w:val="29"/>
        <w:rPr>
          <w:color w:val="auto"/>
        </w:rPr>
      </w:pPr>
    </w:p>
    <w:p w14:paraId="4DCB1229">
      <w:pPr>
        <w:pStyle w:val="29"/>
        <w:rPr>
          <w:color w:val="auto"/>
        </w:rPr>
      </w:pPr>
    </w:p>
    <w:p w14:paraId="19C4353E">
      <w:pPr>
        <w:pStyle w:val="29"/>
        <w:rPr>
          <w:color w:val="auto"/>
        </w:rPr>
      </w:pPr>
    </w:p>
    <w:p w14:paraId="6BB4C7DB">
      <w:pPr>
        <w:pStyle w:val="29"/>
        <w:rPr>
          <w:color w:val="auto"/>
        </w:rPr>
      </w:pPr>
    </w:p>
    <w:p w14:paraId="618C6893">
      <w:pPr>
        <w:pStyle w:val="29"/>
        <w:rPr>
          <w:color w:val="auto"/>
        </w:rPr>
      </w:pPr>
    </w:p>
    <w:p w14:paraId="343718DB">
      <w:pPr>
        <w:pStyle w:val="29"/>
        <w:rPr>
          <w:color w:val="auto"/>
        </w:rPr>
      </w:pPr>
    </w:p>
    <w:p w14:paraId="79A4FC54">
      <w:pPr>
        <w:pStyle w:val="29"/>
        <w:rPr>
          <w:color w:val="auto"/>
        </w:rPr>
      </w:pPr>
    </w:p>
    <w:p w14:paraId="5C001385">
      <w:pPr>
        <w:pStyle w:val="29"/>
        <w:rPr>
          <w:color w:val="auto"/>
        </w:rPr>
      </w:pPr>
    </w:p>
    <w:p w14:paraId="71A4E4FF">
      <w:pPr>
        <w:pStyle w:val="29"/>
        <w:rPr>
          <w:color w:val="auto"/>
        </w:rPr>
      </w:pPr>
    </w:p>
    <w:p w14:paraId="0E534D2D">
      <w:pPr>
        <w:pStyle w:val="29"/>
        <w:rPr>
          <w:color w:val="auto"/>
        </w:rPr>
      </w:pPr>
    </w:p>
    <w:p w14:paraId="21AFD07E">
      <w:pPr>
        <w:pStyle w:val="29"/>
        <w:rPr>
          <w:color w:val="auto"/>
        </w:rPr>
      </w:pPr>
    </w:p>
    <w:p w14:paraId="4303E383">
      <w:pPr>
        <w:pStyle w:val="29"/>
        <w:rPr>
          <w:color w:val="auto"/>
        </w:rPr>
      </w:pPr>
    </w:p>
    <w:p w14:paraId="41D3AB7B">
      <w:pPr>
        <w:pStyle w:val="29"/>
        <w:rPr>
          <w:color w:val="auto"/>
        </w:rPr>
      </w:pPr>
    </w:p>
    <w:p w14:paraId="4107B7EB">
      <w:pPr>
        <w:pStyle w:val="29"/>
        <w:rPr>
          <w:color w:val="auto"/>
        </w:rPr>
      </w:pPr>
    </w:p>
    <w:p w14:paraId="40155673">
      <w:pPr>
        <w:pStyle w:val="29"/>
        <w:rPr>
          <w:color w:val="auto"/>
        </w:rPr>
      </w:pPr>
    </w:p>
    <w:p w14:paraId="52C25E73">
      <w:pPr>
        <w:pStyle w:val="29"/>
        <w:rPr>
          <w:color w:val="auto"/>
        </w:rPr>
      </w:pPr>
    </w:p>
    <w:p w14:paraId="573B928D">
      <w:pPr>
        <w:pStyle w:val="29"/>
        <w:rPr>
          <w:color w:val="auto"/>
        </w:rPr>
      </w:pPr>
    </w:p>
    <w:p w14:paraId="42AB8B54">
      <w:pPr>
        <w:pStyle w:val="29"/>
        <w:rPr>
          <w:color w:val="auto"/>
        </w:rPr>
      </w:pPr>
    </w:p>
    <w:p w14:paraId="6C1AF63B">
      <w:pPr>
        <w:pStyle w:val="29"/>
        <w:rPr>
          <w:color w:val="auto"/>
        </w:rPr>
      </w:pPr>
    </w:p>
    <w:p w14:paraId="2FE47DAA">
      <w:pPr>
        <w:pStyle w:val="29"/>
        <w:rPr>
          <w:color w:val="auto"/>
        </w:rPr>
      </w:pPr>
    </w:p>
    <w:p w14:paraId="48BC67B6">
      <w:pPr>
        <w:pStyle w:val="29"/>
        <w:rPr>
          <w:color w:val="auto"/>
        </w:rPr>
      </w:pPr>
    </w:p>
    <w:p w14:paraId="47D010C2">
      <w:pPr>
        <w:pStyle w:val="29"/>
        <w:rPr>
          <w:color w:val="auto"/>
        </w:rPr>
      </w:pPr>
    </w:p>
    <w:p w14:paraId="6635B02D">
      <w:pPr>
        <w:pStyle w:val="29"/>
        <w:rPr>
          <w:color w:val="auto"/>
        </w:rPr>
      </w:pPr>
    </w:p>
    <w:p w14:paraId="7520BC0B">
      <w:pPr>
        <w:pStyle w:val="29"/>
        <w:rPr>
          <w:color w:val="auto"/>
        </w:rPr>
      </w:pPr>
    </w:p>
    <w:p w14:paraId="7B732839">
      <w:pPr>
        <w:rPr>
          <w:rFonts w:cs="宋体"/>
          <w:sz w:val="36"/>
          <w:szCs w:val="36"/>
        </w:rPr>
      </w:pPr>
      <w:bookmarkStart w:id="1891" w:name="_Toc8104_WPSOffice_Level1"/>
      <w:bookmarkStart w:id="1892" w:name="_Toc17087_WPSOffice_Level1"/>
      <w:bookmarkStart w:id="1893" w:name="_Toc1444557"/>
      <w:r>
        <w:rPr>
          <w:rFonts w:hint="eastAsia" w:cs="宋体"/>
          <w:sz w:val="36"/>
          <w:szCs w:val="36"/>
        </w:rPr>
        <w:br w:type="page"/>
      </w:r>
    </w:p>
    <w:bookmarkEnd w:id="1891"/>
    <w:bookmarkEnd w:id="1892"/>
    <w:bookmarkEnd w:id="1893"/>
    <w:p w14:paraId="1475E934">
      <w:pPr>
        <w:pStyle w:val="2"/>
        <w:spacing w:before="100" w:after="0" w:line="360" w:lineRule="auto"/>
        <w:jc w:val="center"/>
        <w:rPr>
          <w:rFonts w:cs="Times New Roman"/>
          <w:sz w:val="36"/>
          <w:szCs w:val="36"/>
        </w:rPr>
      </w:pPr>
      <w:bookmarkStart w:id="1894" w:name="_Toc8584"/>
      <w:bookmarkEnd w:id="1894"/>
      <w:r>
        <w:rPr>
          <w:rFonts w:hint="eastAsia" w:cs="宋体"/>
          <w:sz w:val="36"/>
          <w:szCs w:val="36"/>
        </w:rPr>
        <w:t>第五章  发包人要求</w:t>
      </w:r>
    </w:p>
    <w:p w14:paraId="2C5701D8">
      <w:pPr>
        <w:snapToGrid w:val="0"/>
        <w:spacing w:line="360" w:lineRule="auto"/>
        <w:ind w:firstLine="446" w:firstLineChars="202"/>
        <w:rPr>
          <w:rFonts w:hint="eastAsia" w:ascii="宋体" w:hAnsi="宋体" w:cs="宋体"/>
          <w:b/>
          <w:bCs/>
          <w:sz w:val="22"/>
          <w:szCs w:val="22"/>
        </w:rPr>
      </w:pPr>
      <w:r>
        <w:rPr>
          <w:rFonts w:hint="eastAsia" w:ascii="宋体" w:hAnsi="宋体" w:cs="宋体"/>
          <w:b/>
          <w:bCs/>
          <w:sz w:val="22"/>
          <w:szCs w:val="22"/>
        </w:rPr>
        <w:t>一、项目概况</w:t>
      </w:r>
    </w:p>
    <w:p w14:paraId="35AA677A">
      <w:pPr>
        <w:snapToGrid w:val="0"/>
        <w:spacing w:line="360" w:lineRule="auto"/>
        <w:ind w:firstLine="424" w:firstLineChars="202"/>
        <w:rPr>
          <w:rFonts w:hint="eastAsia" w:ascii="宋体" w:hAnsi="宋体" w:cs="宋体"/>
        </w:rPr>
      </w:pPr>
      <w:r>
        <w:rPr>
          <w:rFonts w:hint="eastAsia" w:ascii="宋体" w:hAnsi="宋体" w:cs="宋体"/>
        </w:rPr>
        <w:t>1.</w:t>
      </w:r>
      <w:r>
        <w:rPr>
          <w:rFonts w:hint="eastAsia" w:ascii="宋体" w:hAnsi="宋体" w:cs="宋体"/>
          <w:lang w:val="zh-CN"/>
        </w:rPr>
        <w:t>项目名称：姚安县官屯加油站建设项目设计施工总承包（EPC）。</w:t>
      </w:r>
      <w:r>
        <w:rPr>
          <w:rFonts w:hint="eastAsia" w:ascii="宋体" w:hAnsi="宋体" w:cs="宋体"/>
        </w:rPr>
        <w:t xml:space="preserve"> </w:t>
      </w:r>
    </w:p>
    <w:p w14:paraId="33559977">
      <w:pPr>
        <w:snapToGrid w:val="0"/>
        <w:spacing w:line="360" w:lineRule="auto"/>
        <w:ind w:firstLine="424" w:firstLineChars="202"/>
        <w:rPr>
          <w:rFonts w:hint="eastAsia" w:ascii="宋体" w:hAnsi="宋体" w:cs="宋体"/>
        </w:rPr>
      </w:pPr>
      <w:r>
        <w:rPr>
          <w:rFonts w:hint="eastAsia" w:ascii="宋体" w:hAnsi="宋体" w:cs="宋体"/>
        </w:rPr>
        <w:t>2.</w:t>
      </w:r>
      <w:r>
        <w:rPr>
          <w:rFonts w:hint="eastAsia" w:ascii="宋体" w:hAnsi="宋体" w:cs="宋体"/>
          <w:lang w:val="zh-CN"/>
        </w:rPr>
        <w:t>建设地点：姚安县官屯镇山坡村委会姚苴公路旁。</w:t>
      </w:r>
    </w:p>
    <w:p w14:paraId="40FFC8DF">
      <w:pPr>
        <w:snapToGrid w:val="0"/>
        <w:spacing w:line="360" w:lineRule="auto"/>
        <w:ind w:firstLine="420" w:firstLineChars="200"/>
        <w:rPr>
          <w:rFonts w:hint="eastAsia" w:ascii="宋体" w:hAnsi="宋体" w:cs="宋体"/>
          <w:lang w:val="zh-CN"/>
        </w:rPr>
      </w:pPr>
      <w:r>
        <w:rPr>
          <w:rFonts w:hint="eastAsia" w:ascii="宋体" w:hAnsi="宋体" w:cs="宋体"/>
        </w:rPr>
        <w:t>3.</w:t>
      </w:r>
      <w:r>
        <w:rPr>
          <w:rFonts w:hint="eastAsia" w:ascii="宋体" w:hAnsi="宋体" w:cs="宋体"/>
          <w:lang w:val="zh-CN"/>
        </w:rPr>
        <w:t>建设内容及规模：建设一座三级加油站和四级室外充电站合建站，项目总用地面积约4099.01平方米，总建筑面积约471.9平方米，主要建设内容包括:新建加油站站房建筑面积约158.4平方米；加油罩棚建筑面积约264平方米；充电车棚建筑面积约49.5平方米。</w:t>
      </w:r>
    </w:p>
    <w:p w14:paraId="4FA3E567">
      <w:pPr>
        <w:snapToGrid w:val="0"/>
        <w:spacing w:line="360" w:lineRule="auto"/>
        <w:ind w:firstLine="420" w:firstLineChars="200"/>
        <w:outlineLvl w:val="2"/>
        <w:rPr>
          <w:rFonts w:hint="eastAsia" w:ascii="宋体" w:hAnsi="宋体" w:cs="宋体"/>
          <w:lang w:val="zh-CN"/>
        </w:rPr>
      </w:pPr>
      <w:r>
        <w:rPr>
          <w:rFonts w:hint="eastAsia" w:ascii="宋体" w:hAnsi="宋体" w:cs="宋体"/>
          <w:lang w:val="en-US" w:eastAsia="zh-CN"/>
        </w:rPr>
        <w:t>4.投资概算及建设资金来源：本项目估算总投资965万元，建安工程费</w:t>
      </w:r>
      <w:r>
        <w:rPr>
          <w:rFonts w:hint="eastAsia" w:ascii="宋体" w:hAnsi="宋体" w:cs="宋体"/>
          <w:b w:val="0"/>
          <w:bCs w:val="0"/>
          <w:color w:val="auto"/>
          <w:highlight w:val="none"/>
          <w:u w:val="none"/>
          <w:lang w:val="zh-CN"/>
        </w:rPr>
        <w:t>616.39万元</w:t>
      </w:r>
      <w:r>
        <w:rPr>
          <w:rFonts w:hint="eastAsia" w:ascii="宋体" w:hAnsi="宋体" w:cs="宋体"/>
          <w:lang w:val="en-US" w:eastAsia="zh-CN"/>
        </w:rPr>
        <w:t>，工程建设其他费用314.58万元，预备费34.03万元。</w:t>
      </w:r>
    </w:p>
    <w:p w14:paraId="5AA0C31D">
      <w:pPr>
        <w:snapToGrid w:val="0"/>
        <w:spacing w:line="360" w:lineRule="auto"/>
        <w:ind w:firstLine="420" w:firstLineChars="200"/>
        <w:outlineLvl w:val="2"/>
        <w:rPr>
          <w:rFonts w:hint="eastAsia" w:ascii="宋体" w:hAnsi="宋体" w:eastAsia="宋体" w:cs="宋体"/>
          <w:lang w:val="zh-CN" w:eastAsia="zh-CN"/>
        </w:rPr>
      </w:pPr>
      <w:r>
        <w:rPr>
          <w:rFonts w:hint="eastAsia" w:ascii="宋体" w:hAnsi="宋体" w:cs="宋体"/>
          <w:lang w:val="en-US" w:eastAsia="zh-CN"/>
        </w:rPr>
        <w:t>5</w:t>
      </w:r>
      <w:r>
        <w:rPr>
          <w:rFonts w:hint="eastAsia" w:ascii="宋体" w:hAnsi="宋体" w:cs="宋体"/>
        </w:rPr>
        <w:t>.</w:t>
      </w:r>
      <w:r>
        <w:rPr>
          <w:rFonts w:hint="eastAsia" w:ascii="宋体" w:hAnsi="宋体" w:cs="宋体"/>
          <w:lang w:val="zh-CN"/>
        </w:rPr>
        <w:t>工期要求：</w:t>
      </w:r>
      <w:r>
        <w:rPr>
          <w:rFonts w:hint="eastAsia" w:ascii="宋体" w:hAnsi="宋体" w:cs="宋体"/>
          <w:lang w:eastAsia="zh-CN"/>
        </w:rPr>
        <w:t>365日历天。</w:t>
      </w:r>
    </w:p>
    <w:p w14:paraId="6F6AD2FB">
      <w:pPr>
        <w:snapToGrid w:val="0"/>
        <w:spacing w:line="360" w:lineRule="auto"/>
        <w:ind w:firstLine="420" w:firstLineChars="200"/>
        <w:rPr>
          <w:rFonts w:hint="eastAsia" w:ascii="宋体" w:hAnsi="宋体" w:cs="宋体"/>
          <w:lang w:val="zh-CN"/>
        </w:rPr>
      </w:pPr>
      <w:r>
        <w:rPr>
          <w:rFonts w:hint="eastAsia" w:ascii="宋体" w:hAnsi="宋体" w:cs="宋体"/>
          <w:lang w:val="en-US" w:eastAsia="zh-CN"/>
        </w:rPr>
        <w:t>6</w:t>
      </w:r>
      <w:r>
        <w:rPr>
          <w:rFonts w:hint="eastAsia" w:ascii="宋体" w:hAnsi="宋体" w:cs="宋体"/>
        </w:rPr>
        <w:t>.</w:t>
      </w:r>
      <w:r>
        <w:rPr>
          <w:rFonts w:hint="eastAsia" w:ascii="宋体" w:hAnsi="宋体" w:cs="宋体"/>
          <w:lang w:val="zh-CN"/>
        </w:rPr>
        <w:t>招标范围：本项目范围内全部施工图设计、设施设备采购</w:t>
      </w:r>
      <w:r>
        <w:rPr>
          <w:rFonts w:hint="eastAsia" w:ascii="宋体" w:hAnsi="宋体" w:cs="宋体"/>
        </w:rPr>
        <w:t>、</w:t>
      </w:r>
      <w:r>
        <w:rPr>
          <w:rFonts w:hint="eastAsia" w:ascii="宋体" w:hAnsi="宋体" w:cs="宋体"/>
          <w:lang w:val="zh-CN"/>
        </w:rPr>
        <w:t>工程</w:t>
      </w:r>
      <w:r>
        <w:rPr>
          <w:rFonts w:hint="eastAsia" w:ascii="宋体" w:hAnsi="宋体" w:cs="宋体"/>
        </w:rPr>
        <w:t>施工</w:t>
      </w:r>
      <w:r>
        <w:rPr>
          <w:rFonts w:hint="eastAsia" w:ascii="宋体" w:hAnsi="宋体" w:cs="宋体"/>
          <w:lang w:val="zh-CN"/>
        </w:rPr>
        <w:t>及项目实施过程中的配合服务。包括但不限于本项目的施工图设计、工程施工直至竣工验收合格及整体移交、工程缺陷期内的缺陷修复和保修期内的保修工作。</w:t>
      </w:r>
    </w:p>
    <w:p w14:paraId="5945AFAD">
      <w:pPr>
        <w:snapToGrid w:val="0"/>
        <w:spacing w:line="360" w:lineRule="auto"/>
        <w:ind w:firstLine="420" w:firstLineChars="200"/>
        <w:rPr>
          <w:rFonts w:hint="eastAsia" w:ascii="宋体" w:hAnsi="宋体" w:cs="宋体"/>
          <w:lang w:val="zh-CN"/>
        </w:rPr>
      </w:pPr>
      <w:r>
        <w:rPr>
          <w:rFonts w:hint="eastAsia" w:ascii="宋体" w:hAnsi="宋体" w:cs="宋体"/>
          <w:lang w:val="en-US" w:eastAsia="zh-CN"/>
        </w:rPr>
        <w:t>6</w:t>
      </w:r>
      <w:r>
        <w:rPr>
          <w:rFonts w:hint="eastAsia" w:ascii="宋体" w:hAnsi="宋体" w:cs="宋体"/>
          <w:lang w:val="zh-CN"/>
        </w:rPr>
        <w:t>.</w:t>
      </w:r>
      <w:r>
        <w:rPr>
          <w:rFonts w:hint="eastAsia" w:ascii="宋体" w:hAnsi="宋体" w:cs="宋体"/>
        </w:rPr>
        <w:t>1</w:t>
      </w:r>
      <w:r>
        <w:rPr>
          <w:rFonts w:hint="eastAsia" w:ascii="宋体" w:hAnsi="宋体" w:cs="宋体"/>
          <w:lang w:val="zh-CN"/>
        </w:rPr>
        <w:t>设计(包括但不限于）：完成本项目建设内容范围内全部工程及配套设施等的施工图设计，完成设计全套成果资料制作；配合审图公司完成施工图审查；配合甲方完成行政主管部门的审批、专家咨询、组织专家论证会、资料收集等相关工作；施工过程中的全过程设计服务及协调工作，设计后期的跟踪服务等，工作范围以设计任务书及合同签订</w:t>
      </w:r>
      <w:r>
        <w:rPr>
          <w:rFonts w:hint="eastAsia" w:ascii="宋体" w:hAnsi="宋体" w:cs="宋体"/>
          <w:sz w:val="22"/>
          <w:szCs w:val="22"/>
          <w:lang w:val="zh-CN"/>
        </w:rPr>
        <w:t>内容</w:t>
      </w:r>
      <w:r>
        <w:rPr>
          <w:rFonts w:hint="eastAsia" w:ascii="宋体" w:hAnsi="宋体" w:cs="宋体"/>
          <w:lang w:val="zh-CN"/>
        </w:rPr>
        <w:t>为准。</w:t>
      </w:r>
    </w:p>
    <w:p w14:paraId="251C8466">
      <w:pPr>
        <w:snapToGrid w:val="0"/>
        <w:spacing w:line="360" w:lineRule="auto"/>
        <w:ind w:firstLine="420" w:firstLineChars="200"/>
        <w:rPr>
          <w:rFonts w:hint="eastAsia" w:ascii="宋体" w:hAnsi="宋体" w:cs="宋体"/>
          <w:lang w:val="zh-CN"/>
        </w:rPr>
      </w:pPr>
      <w:r>
        <w:rPr>
          <w:rFonts w:hint="eastAsia" w:ascii="宋体" w:hAnsi="宋体" w:cs="宋体"/>
          <w:lang w:val="en-US" w:eastAsia="zh-CN"/>
        </w:rPr>
        <w:t>6</w:t>
      </w:r>
      <w:r>
        <w:rPr>
          <w:rFonts w:hint="eastAsia" w:ascii="宋体" w:hAnsi="宋体" w:cs="宋体"/>
          <w:lang w:val="zh-CN"/>
        </w:rPr>
        <w:t>.</w:t>
      </w:r>
      <w:r>
        <w:rPr>
          <w:rFonts w:hint="eastAsia" w:ascii="宋体" w:hAnsi="宋体" w:cs="宋体"/>
        </w:rPr>
        <w:t>2</w:t>
      </w:r>
      <w:r>
        <w:rPr>
          <w:rFonts w:hint="eastAsia" w:ascii="宋体" w:hAnsi="宋体" w:cs="宋体"/>
          <w:lang w:val="zh-CN"/>
        </w:rPr>
        <w:t>施工(包括但不限于）：完成本项目经评审通过的施工图设计范围内的全部工程内容，材料、设备采购及安装、调试等工作，工程竣工验收、移交、交付使用、工程资料编制归档，配合办理工程建设相关行政审批等服务、工程保修期内的缺陷修复和保修工作等。</w:t>
      </w:r>
    </w:p>
    <w:p w14:paraId="65458872">
      <w:pPr>
        <w:snapToGrid w:val="0"/>
        <w:spacing w:line="360" w:lineRule="auto"/>
        <w:ind w:firstLine="424" w:firstLineChars="202"/>
        <w:outlineLvl w:val="2"/>
        <w:rPr>
          <w:rFonts w:hint="eastAsia" w:ascii="宋体" w:hAnsi="宋体" w:cs="宋体"/>
          <w:lang w:val="zh-CN"/>
        </w:rPr>
      </w:pPr>
      <w:r>
        <w:rPr>
          <w:rFonts w:hint="eastAsia" w:ascii="宋体" w:hAnsi="宋体" w:cs="宋体"/>
          <w:lang w:val="en-US" w:eastAsia="zh-CN"/>
        </w:rPr>
        <w:t>7</w:t>
      </w:r>
      <w:r>
        <w:rPr>
          <w:rFonts w:hint="eastAsia" w:ascii="宋体" w:hAnsi="宋体" w:cs="宋体"/>
        </w:rPr>
        <w:t>.</w:t>
      </w:r>
      <w:r>
        <w:rPr>
          <w:rFonts w:hint="eastAsia" w:ascii="宋体" w:hAnsi="宋体" w:cs="宋体"/>
          <w:lang w:val="zh-CN"/>
        </w:rPr>
        <w:t>质量要求：</w:t>
      </w:r>
    </w:p>
    <w:p w14:paraId="5D56C5F7">
      <w:pPr>
        <w:snapToGrid w:val="0"/>
        <w:spacing w:line="360" w:lineRule="auto"/>
        <w:ind w:firstLine="424" w:firstLineChars="202"/>
        <w:rPr>
          <w:rFonts w:hint="eastAsia" w:ascii="宋体" w:hAnsi="宋体" w:cs="宋体"/>
          <w:lang w:val="zh-CN"/>
        </w:rPr>
      </w:pPr>
      <w:r>
        <w:rPr>
          <w:rFonts w:hint="eastAsia" w:ascii="宋体" w:hAnsi="宋体" w:cs="宋体"/>
          <w:lang w:val="en-US" w:eastAsia="zh-CN"/>
        </w:rPr>
        <w:t>7</w:t>
      </w:r>
      <w:r>
        <w:rPr>
          <w:rFonts w:hint="eastAsia" w:ascii="宋体" w:hAnsi="宋体" w:cs="宋体"/>
          <w:lang w:val="zh-CN"/>
        </w:rPr>
        <w:t>.</w:t>
      </w:r>
      <w:r>
        <w:rPr>
          <w:rFonts w:hint="eastAsia" w:ascii="宋体" w:hAnsi="宋体" w:cs="宋体"/>
        </w:rPr>
        <w:t>1</w:t>
      </w:r>
      <w:r>
        <w:rPr>
          <w:rFonts w:hint="eastAsia" w:ascii="宋体" w:hAnsi="宋体" w:cs="宋体"/>
          <w:lang w:val="zh-CN"/>
        </w:rPr>
        <w:t>设计：在满足招标人提出的本项目使用功能要求的前提下进行限额设计，符合国家、行业及地方现行的相关标准及强制性规范，并对提供的设计成果质量终身负责。</w:t>
      </w:r>
    </w:p>
    <w:p w14:paraId="432DFF4B">
      <w:pPr>
        <w:snapToGrid w:val="0"/>
        <w:spacing w:line="360" w:lineRule="auto"/>
        <w:ind w:firstLine="424" w:firstLineChars="202"/>
        <w:rPr>
          <w:rFonts w:hint="eastAsia" w:ascii="宋体" w:hAnsi="宋体" w:cs="宋体"/>
          <w:lang w:val="zh-CN"/>
        </w:rPr>
      </w:pPr>
      <w:r>
        <w:rPr>
          <w:rFonts w:hint="eastAsia" w:ascii="宋体" w:hAnsi="宋体" w:cs="宋体"/>
          <w:lang w:val="en-US" w:eastAsia="zh-CN"/>
        </w:rPr>
        <w:t>7</w:t>
      </w:r>
      <w:r>
        <w:rPr>
          <w:rFonts w:hint="eastAsia" w:ascii="宋体" w:hAnsi="宋体" w:cs="宋体"/>
          <w:lang w:val="zh-CN"/>
        </w:rPr>
        <w:t>.</w:t>
      </w:r>
      <w:r>
        <w:rPr>
          <w:rFonts w:hint="eastAsia" w:ascii="宋体" w:hAnsi="宋体" w:cs="宋体"/>
        </w:rPr>
        <w:t>2</w:t>
      </w:r>
      <w:r>
        <w:rPr>
          <w:rFonts w:hint="eastAsia" w:ascii="宋体" w:hAnsi="宋体" w:cs="宋体"/>
          <w:lang w:val="zh-CN"/>
        </w:rPr>
        <w:t>施工：符合设计要求，执行《建筑工程施工质量验收统一标准》(GB50300-2013）及国家省、市现行的质量验收标准，保证各专项工程通过验收，一次性验收合格，</w:t>
      </w:r>
      <w:bookmarkStart w:id="1976" w:name="_GoBack"/>
      <w:bookmarkEnd w:id="1976"/>
      <w:r>
        <w:rPr>
          <w:rFonts w:hint="eastAsia" w:ascii="宋体" w:hAnsi="宋体" w:cs="宋体"/>
          <w:lang w:val="zh-CN"/>
        </w:rPr>
        <w:t>对施工质量终身负责。</w:t>
      </w:r>
    </w:p>
    <w:p w14:paraId="1250BAC5">
      <w:pPr>
        <w:snapToGrid w:val="0"/>
        <w:spacing w:line="360" w:lineRule="auto"/>
        <w:ind w:firstLine="424" w:firstLineChars="202"/>
        <w:rPr>
          <w:rFonts w:hint="eastAsia" w:ascii="宋体" w:hAnsi="宋体" w:cs="宋体"/>
          <w:lang w:val="zh-CN"/>
        </w:rPr>
      </w:pPr>
      <w:r>
        <w:rPr>
          <w:rFonts w:hint="eastAsia" w:ascii="宋体" w:hAnsi="宋体" w:cs="宋体"/>
          <w:lang w:val="en-US" w:eastAsia="zh-CN"/>
        </w:rPr>
        <w:t>7</w:t>
      </w:r>
      <w:r>
        <w:rPr>
          <w:rFonts w:hint="eastAsia" w:ascii="宋体" w:hAnsi="宋体" w:cs="宋体"/>
          <w:lang w:val="zh-CN"/>
        </w:rPr>
        <w:t>.</w:t>
      </w:r>
      <w:r>
        <w:rPr>
          <w:rFonts w:hint="eastAsia" w:ascii="宋体" w:hAnsi="宋体" w:cs="宋体"/>
        </w:rPr>
        <w:t>3</w:t>
      </w:r>
      <w:r>
        <w:rPr>
          <w:rFonts w:hint="eastAsia" w:ascii="宋体" w:hAnsi="宋体" w:cs="宋体"/>
          <w:lang w:val="zh-CN"/>
        </w:rPr>
        <w:t>总承包承诺：执行《建设项目工程总承包管理规范》(GB</w:t>
      </w:r>
      <w:r>
        <w:rPr>
          <w:rFonts w:hint="eastAsia" w:ascii="宋体" w:hAnsi="宋体" w:cs="宋体"/>
        </w:rPr>
        <w:t>/</w:t>
      </w:r>
      <w:r>
        <w:rPr>
          <w:rFonts w:hint="eastAsia" w:ascii="宋体" w:hAnsi="宋体" w:cs="宋体"/>
          <w:lang w:val="zh-CN"/>
        </w:rPr>
        <w:t>T</w:t>
      </w:r>
      <w:r>
        <w:rPr>
          <w:rFonts w:hint="eastAsia" w:ascii="宋体" w:hAnsi="宋体" w:cs="宋体"/>
        </w:rPr>
        <w:t xml:space="preserve"> </w:t>
      </w:r>
      <w:r>
        <w:rPr>
          <w:rFonts w:hint="eastAsia" w:ascii="宋体" w:hAnsi="宋体" w:cs="宋体"/>
          <w:lang w:val="zh-CN"/>
        </w:rPr>
        <w:t>50358-2017）及国家、省、市现行法规、规范的相关规定。</w:t>
      </w:r>
    </w:p>
    <w:p w14:paraId="7DE226FC">
      <w:pPr>
        <w:snapToGrid w:val="0"/>
        <w:spacing w:line="360" w:lineRule="auto"/>
        <w:ind w:firstLine="424" w:firstLineChars="202"/>
        <w:rPr>
          <w:rFonts w:hint="eastAsia" w:ascii="宋体" w:hAnsi="宋体" w:cs="宋体"/>
          <w:b/>
          <w:bCs/>
          <w:sz w:val="22"/>
          <w:szCs w:val="22"/>
        </w:rPr>
      </w:pPr>
      <w:r>
        <w:rPr>
          <w:rFonts w:hint="eastAsia" w:ascii="宋体" w:hAnsi="宋体" w:cs="宋体"/>
          <w:lang w:val="en-US" w:eastAsia="zh-CN"/>
        </w:rPr>
        <w:t>8</w:t>
      </w:r>
      <w:r>
        <w:rPr>
          <w:rFonts w:hint="eastAsia" w:ascii="宋体" w:hAnsi="宋体" w:cs="宋体"/>
        </w:rPr>
        <w:t>.</w:t>
      </w:r>
      <w:r>
        <w:rPr>
          <w:rFonts w:hint="eastAsia" w:ascii="宋体" w:hAnsi="宋体" w:cs="宋体"/>
          <w:lang w:val="zh-CN"/>
        </w:rPr>
        <w:t>标段划分：本项目只设一个标段。</w:t>
      </w:r>
    </w:p>
    <w:p w14:paraId="4B175AB5">
      <w:pPr>
        <w:snapToGrid w:val="0"/>
        <w:spacing w:line="360" w:lineRule="auto"/>
        <w:ind w:firstLine="446" w:firstLineChars="202"/>
        <w:rPr>
          <w:rFonts w:hint="eastAsia" w:ascii="宋体" w:hAnsi="宋体" w:cs="宋体"/>
          <w:b/>
          <w:bCs/>
          <w:sz w:val="22"/>
          <w:szCs w:val="22"/>
        </w:rPr>
      </w:pPr>
      <w:r>
        <w:rPr>
          <w:rFonts w:hint="eastAsia" w:ascii="宋体" w:hAnsi="宋体" w:cs="宋体"/>
          <w:b/>
          <w:bCs/>
          <w:sz w:val="22"/>
          <w:szCs w:val="22"/>
        </w:rPr>
        <w:t>二、主要标准和技术规范</w:t>
      </w:r>
    </w:p>
    <w:p w14:paraId="61E619C2">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1.</w:t>
      </w:r>
      <w:r>
        <w:rPr>
          <w:rFonts w:hint="eastAsia" w:ascii="宋体" w:hAnsi="宋体" w:cs="宋体"/>
        </w:rPr>
        <w:t>《工程建设标准强制性条文》（城市建设部分）（2013版）；</w:t>
      </w:r>
    </w:p>
    <w:p w14:paraId="45636325">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2.</w:t>
      </w:r>
      <w:r>
        <w:rPr>
          <w:rFonts w:hint="eastAsia" w:ascii="宋体" w:hAnsi="宋体" w:cs="宋体"/>
        </w:rPr>
        <w:t>《</w:t>
      </w:r>
      <w:r>
        <w:rPr>
          <w:rFonts w:hint="eastAsia" w:ascii="宋体" w:hAnsi="宋体" w:cs="宋体"/>
          <w:lang w:eastAsia="zh-CN"/>
        </w:rPr>
        <w:t>汽车加油加气加氢站技术标准</w:t>
      </w:r>
      <w:r>
        <w:rPr>
          <w:rFonts w:hint="eastAsia" w:ascii="宋体" w:hAnsi="宋体" w:cs="宋体"/>
        </w:rPr>
        <w:t>》GB 50156-2021；</w:t>
      </w:r>
    </w:p>
    <w:p w14:paraId="3028E045">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3.</w:t>
      </w:r>
      <w:r>
        <w:rPr>
          <w:rFonts w:hint="eastAsia" w:ascii="宋体" w:hAnsi="宋体" w:cs="宋体"/>
        </w:rPr>
        <w:t>《汽车加油加气加氢站技术标准》GB 50156-2021；</w:t>
      </w:r>
    </w:p>
    <w:p w14:paraId="7E96A6FD">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4.</w:t>
      </w:r>
      <w:r>
        <w:rPr>
          <w:rFonts w:hint="eastAsia" w:ascii="宋体" w:hAnsi="宋体" w:cs="宋体"/>
        </w:rPr>
        <w:t>《电动汽车充电站设计标准》GB/T 50966-2024；</w:t>
      </w:r>
    </w:p>
    <w:p w14:paraId="09B33F47">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5.</w:t>
      </w:r>
      <w:r>
        <w:rPr>
          <w:rFonts w:hint="eastAsia" w:ascii="宋体" w:hAnsi="宋体" w:cs="宋体"/>
        </w:rPr>
        <w:t>《建筑设计防火规范》GB 50016-2014（2018 年局部修订）；</w:t>
      </w:r>
    </w:p>
    <w:p w14:paraId="43117404">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6.</w:t>
      </w:r>
      <w:r>
        <w:rPr>
          <w:rFonts w:hint="eastAsia" w:ascii="宋体" w:hAnsi="宋体" w:cs="宋体"/>
        </w:rPr>
        <w:t>《爆炸危险环境电力装置设计规范》GB 50058-2014；</w:t>
      </w:r>
    </w:p>
    <w:p w14:paraId="06786780">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7.</w:t>
      </w:r>
      <w:r>
        <w:rPr>
          <w:rFonts w:hint="eastAsia" w:ascii="宋体" w:hAnsi="宋体" w:cs="宋体"/>
        </w:rPr>
        <w:t>《储罐区防火堤设计规范》GB 50351-2014；</w:t>
      </w:r>
    </w:p>
    <w:p w14:paraId="58BA7CA6">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8.</w:t>
      </w:r>
      <w:r>
        <w:rPr>
          <w:rFonts w:hint="eastAsia" w:ascii="宋体" w:hAnsi="宋体" w:cs="宋体"/>
        </w:rPr>
        <w:t>《加油站大气污染物排放标准》GB 20952-2020；</w:t>
      </w:r>
    </w:p>
    <w:p w14:paraId="7BCE8BF4">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9.</w:t>
      </w:r>
      <w:r>
        <w:rPr>
          <w:rFonts w:hint="eastAsia" w:ascii="宋体" w:hAnsi="宋体" w:cs="宋体"/>
        </w:rPr>
        <w:t>《加油站作业安全规范》</w:t>
      </w:r>
      <w:r>
        <w:rPr>
          <w:rFonts w:hint="eastAsia" w:ascii="宋体" w:hAnsi="宋体" w:cs="宋体"/>
          <w:lang w:eastAsia="zh-CN"/>
        </w:rPr>
        <w:t>AQ 3010-2022</w:t>
      </w:r>
      <w:r>
        <w:rPr>
          <w:rFonts w:hint="eastAsia" w:ascii="宋体" w:hAnsi="宋体" w:cs="宋体"/>
        </w:rPr>
        <w:t>；</w:t>
      </w:r>
    </w:p>
    <w:p w14:paraId="4C2E0F08">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10.</w:t>
      </w:r>
      <w:r>
        <w:rPr>
          <w:rFonts w:hint="eastAsia" w:ascii="宋体" w:hAnsi="宋体" w:cs="宋体"/>
        </w:rPr>
        <w:t>《供配电系统设计规范》GB 50052-2009；</w:t>
      </w:r>
    </w:p>
    <w:p w14:paraId="657BBD3F">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11.</w:t>
      </w:r>
      <w:r>
        <w:rPr>
          <w:rFonts w:hint="eastAsia" w:ascii="宋体" w:hAnsi="宋体" w:cs="宋体"/>
        </w:rPr>
        <w:t>《</w:t>
      </w:r>
      <w:r>
        <w:rPr>
          <w:rFonts w:hint="eastAsia" w:ascii="宋体" w:hAnsi="宋体" w:cs="宋体"/>
          <w:lang w:eastAsia="zh-CN"/>
        </w:rPr>
        <w:t>建筑抗震设计标准</w:t>
      </w:r>
      <w:r>
        <w:rPr>
          <w:rFonts w:hint="eastAsia" w:ascii="宋体" w:hAnsi="宋体" w:cs="宋体"/>
        </w:rPr>
        <w:t>》</w:t>
      </w:r>
      <w:r>
        <w:rPr>
          <w:rFonts w:hint="eastAsia" w:ascii="宋体" w:hAnsi="宋体" w:cs="宋体"/>
          <w:lang w:eastAsia="zh-CN"/>
        </w:rPr>
        <w:t>GB/T 50011-2010[2024年版]</w:t>
      </w:r>
      <w:r>
        <w:rPr>
          <w:rFonts w:hint="eastAsia" w:ascii="宋体" w:hAnsi="宋体" w:cs="宋体"/>
        </w:rPr>
        <w:t>；</w:t>
      </w:r>
    </w:p>
    <w:p w14:paraId="3C071AF7">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12.</w:t>
      </w:r>
      <w:r>
        <w:rPr>
          <w:rFonts w:hint="eastAsia" w:ascii="宋体" w:hAnsi="宋体" w:cs="宋体"/>
        </w:rPr>
        <w:t>《工业金属管道工程施工规范》GB 50235-2010；</w:t>
      </w:r>
    </w:p>
    <w:p w14:paraId="2386AE37">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13.</w:t>
      </w:r>
      <w:r>
        <w:rPr>
          <w:rFonts w:hint="eastAsia" w:ascii="宋体" w:hAnsi="宋体" w:cs="宋体"/>
        </w:rPr>
        <w:t>《建筑工程设计文件编制深度规定》（2016年版）；</w:t>
      </w:r>
    </w:p>
    <w:p w14:paraId="781EF31C">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14.</w:t>
      </w:r>
      <w:r>
        <w:rPr>
          <w:rFonts w:hint="eastAsia" w:ascii="宋体" w:hAnsi="宋体" w:cs="宋体"/>
        </w:rPr>
        <w:t>《建筑与市政工程无障碍通用规范》GB55019-2021；</w:t>
      </w:r>
    </w:p>
    <w:p w14:paraId="6EEBE595">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15.</w:t>
      </w:r>
      <w:r>
        <w:rPr>
          <w:rFonts w:hint="eastAsia" w:ascii="宋体" w:hAnsi="宋体" w:cs="宋体"/>
        </w:rPr>
        <w:t>《建筑防火通用规范》GB55037-2022；</w:t>
      </w:r>
    </w:p>
    <w:p w14:paraId="25B2E8F1">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16.</w:t>
      </w:r>
      <w:r>
        <w:rPr>
          <w:rFonts w:hint="eastAsia" w:ascii="宋体" w:hAnsi="宋体" w:cs="宋体"/>
        </w:rPr>
        <w:t>《消防设施通用规范》GB55036-2022；</w:t>
      </w:r>
    </w:p>
    <w:p w14:paraId="2AC9769C">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17.</w:t>
      </w:r>
      <w:r>
        <w:rPr>
          <w:rFonts w:hint="eastAsia" w:ascii="宋体" w:hAnsi="宋体" w:cs="宋体"/>
        </w:rPr>
        <w:t>《建筑与市政工程抗震通用规范》GB55002-2021；</w:t>
      </w:r>
    </w:p>
    <w:p w14:paraId="068CA42D">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18.</w:t>
      </w:r>
      <w:r>
        <w:rPr>
          <w:rFonts w:hint="eastAsia" w:ascii="宋体" w:hAnsi="宋体" w:cs="宋体"/>
        </w:rPr>
        <w:t>《建筑给水排水与节水通用规范》GB 55020-2021；</w:t>
      </w:r>
    </w:p>
    <w:p w14:paraId="015F57EF">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19.</w:t>
      </w:r>
      <w:r>
        <w:rPr>
          <w:rFonts w:hint="eastAsia" w:ascii="宋体" w:hAnsi="宋体" w:cs="宋体"/>
        </w:rPr>
        <w:t>《室外给水设计标准》GB50013-2018；</w:t>
      </w:r>
    </w:p>
    <w:p w14:paraId="6AC55EF5">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20.</w:t>
      </w:r>
      <w:r>
        <w:rPr>
          <w:rFonts w:hint="eastAsia" w:ascii="宋体" w:hAnsi="宋体" w:cs="宋体"/>
        </w:rPr>
        <w:t>《室外排水设计标准》（GB 50014-2021）；</w:t>
      </w:r>
    </w:p>
    <w:p w14:paraId="43DB1C16">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21.</w:t>
      </w:r>
      <w:r>
        <w:rPr>
          <w:rFonts w:hint="eastAsia" w:ascii="宋体" w:hAnsi="宋体" w:cs="宋体"/>
        </w:rPr>
        <w:t>《建设工程监理规范》GB/T 50319-2013；</w:t>
      </w:r>
    </w:p>
    <w:p w14:paraId="1DFE4242">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22.</w:t>
      </w:r>
      <w:r>
        <w:rPr>
          <w:rFonts w:hint="eastAsia" w:ascii="宋体" w:hAnsi="宋体" w:cs="宋体"/>
        </w:rPr>
        <w:t>《建筑地基基础设计规范》 (GB 50007-2011）；</w:t>
      </w:r>
    </w:p>
    <w:p w14:paraId="7373440C">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23.</w:t>
      </w:r>
      <w:r>
        <w:rPr>
          <w:rFonts w:hint="eastAsia" w:ascii="宋体" w:hAnsi="宋体" w:cs="宋体"/>
        </w:rPr>
        <w:t>《砌体结构通用规范》（GB 55007-2021）；</w:t>
      </w:r>
    </w:p>
    <w:p w14:paraId="344127BE">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24.</w:t>
      </w:r>
      <w:r>
        <w:rPr>
          <w:rFonts w:hint="eastAsia" w:ascii="宋体" w:hAnsi="宋体" w:cs="宋体"/>
        </w:rPr>
        <w:t>《低压配电设计规范》(GB50054-2011）；</w:t>
      </w:r>
    </w:p>
    <w:p w14:paraId="2A96657E">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25.</w:t>
      </w:r>
      <w:r>
        <w:rPr>
          <w:rFonts w:hint="eastAsia" w:ascii="宋体" w:hAnsi="宋体" w:cs="宋体"/>
        </w:rPr>
        <w:t>《建筑物防雷设计规范》(GB50057-2010）；</w:t>
      </w:r>
    </w:p>
    <w:p w14:paraId="7319F0F1">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26.</w:t>
      </w:r>
      <w:r>
        <w:rPr>
          <w:rFonts w:hint="eastAsia" w:ascii="宋体" w:hAnsi="宋体" w:cs="宋体"/>
        </w:rPr>
        <w:t>《电力工程电缆设计标准》(GB50217-2018）；</w:t>
      </w:r>
    </w:p>
    <w:p w14:paraId="2D37963B">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27.</w:t>
      </w:r>
      <w:r>
        <w:rPr>
          <w:rFonts w:hint="eastAsia" w:ascii="宋体" w:hAnsi="宋体" w:cs="宋体"/>
        </w:rPr>
        <w:t>《供配电系统设计规范》(GB50052-2009）；</w:t>
      </w:r>
    </w:p>
    <w:p w14:paraId="39850928">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28.</w:t>
      </w:r>
      <w:r>
        <w:rPr>
          <w:rFonts w:hint="eastAsia" w:ascii="宋体" w:hAnsi="宋体" w:cs="宋体"/>
        </w:rPr>
        <w:t>《建筑防火通用规范》GB 55037-2022；</w:t>
      </w:r>
    </w:p>
    <w:p w14:paraId="47B186F6">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29.</w:t>
      </w:r>
      <w:r>
        <w:rPr>
          <w:rFonts w:hint="eastAsia" w:ascii="宋体" w:hAnsi="宋体" w:cs="宋体"/>
        </w:rPr>
        <w:t>《建筑设计防火规范》GB 50016-2014（2018年版）；</w:t>
      </w:r>
    </w:p>
    <w:p w14:paraId="4021F7CB">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30.</w:t>
      </w:r>
      <w:r>
        <w:rPr>
          <w:rFonts w:hint="eastAsia" w:ascii="宋体" w:hAnsi="宋体" w:cs="宋体"/>
        </w:rPr>
        <w:t>《建筑与市政工程无障碍通用规范》（GB 55019-2021）；</w:t>
      </w:r>
    </w:p>
    <w:p w14:paraId="3B1AA5CF">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31.</w:t>
      </w:r>
      <w:r>
        <w:rPr>
          <w:rFonts w:hint="eastAsia" w:ascii="宋体" w:hAnsi="宋体" w:cs="宋体"/>
        </w:rPr>
        <w:t>《建筑节能与可再生能源利用通用规范》（GB55015-2021）；</w:t>
      </w:r>
    </w:p>
    <w:p w14:paraId="0AA20D21">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32.</w:t>
      </w:r>
      <w:r>
        <w:rPr>
          <w:rFonts w:hint="eastAsia" w:ascii="宋体" w:hAnsi="宋体" w:cs="宋体"/>
        </w:rPr>
        <w:t>《建筑与市政工程防水通用规范》（GB55030-2022）；</w:t>
      </w:r>
    </w:p>
    <w:p w14:paraId="5AE0A442">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33.</w:t>
      </w:r>
      <w:r>
        <w:rPr>
          <w:rFonts w:hint="eastAsia" w:ascii="宋体" w:hAnsi="宋体" w:cs="宋体"/>
        </w:rPr>
        <w:t>《装配式建筑评价技术规范》（DB34/T3830-2021）；</w:t>
      </w:r>
    </w:p>
    <w:p w14:paraId="33ABA5D9">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34.</w:t>
      </w:r>
      <w:r>
        <w:rPr>
          <w:rFonts w:hint="eastAsia" w:ascii="宋体" w:hAnsi="宋体" w:cs="宋体"/>
        </w:rPr>
        <w:t>《装配式建筑施工安全技术规范》（DB11/T2004-2022）；</w:t>
      </w:r>
    </w:p>
    <w:p w14:paraId="24FA7D11">
      <w:pPr>
        <w:widowControl/>
        <w:kinsoku w:val="0"/>
        <w:autoSpaceDE w:val="0"/>
        <w:autoSpaceDN w:val="0"/>
        <w:adjustRightInd w:val="0"/>
        <w:snapToGrid w:val="0"/>
        <w:spacing w:line="360" w:lineRule="auto"/>
        <w:ind w:firstLine="420" w:firstLineChars="200"/>
        <w:textAlignment w:val="baseline"/>
        <w:rPr>
          <w:rFonts w:hint="eastAsia" w:ascii="宋体" w:hAnsi="宋体" w:cs="宋体"/>
        </w:rPr>
      </w:pPr>
      <w:r>
        <w:rPr>
          <w:rFonts w:hint="eastAsia" w:ascii="宋体" w:hAnsi="宋体" w:cs="宋体"/>
          <w:lang w:eastAsia="zh-CN"/>
        </w:rPr>
        <w:t>35.</w:t>
      </w:r>
      <w:r>
        <w:rPr>
          <w:rFonts w:hint="eastAsia" w:ascii="宋体" w:hAnsi="宋体" w:cs="宋体"/>
        </w:rPr>
        <w:t>《装配式建筑绿色建造评价标准》（T/CECS1075-2022）。国家及地方相关规范、地方性法规规范等。</w:t>
      </w:r>
    </w:p>
    <w:p w14:paraId="0BA03A3D">
      <w:pPr>
        <w:snapToGrid w:val="0"/>
        <w:spacing w:line="360" w:lineRule="auto"/>
        <w:ind w:firstLine="446" w:firstLineChars="202"/>
        <w:rPr>
          <w:rFonts w:hint="eastAsia" w:ascii="宋体" w:hAnsi="宋体" w:eastAsia="宋体" w:cs="宋体"/>
          <w:b/>
          <w:bCs/>
          <w:sz w:val="22"/>
          <w:szCs w:val="22"/>
          <w:lang w:eastAsia="zh-CN"/>
        </w:rPr>
      </w:pPr>
      <w:bookmarkStart w:id="1895" w:name="_Toc5377_WPSOffice_Level1"/>
      <w:bookmarkEnd w:id="1895"/>
      <w:bookmarkStart w:id="1896" w:name="_Toc300835206"/>
      <w:bookmarkEnd w:id="1896"/>
      <w:bookmarkStart w:id="1897" w:name="_Toc12961"/>
      <w:bookmarkEnd w:id="1897"/>
      <w:bookmarkStart w:id="1898" w:name="_Toc10115_WPSOffice_Level1"/>
      <w:bookmarkEnd w:id="1898"/>
      <w:r>
        <w:rPr>
          <w:rFonts w:hint="eastAsia" w:ascii="宋体" w:hAnsi="宋体" w:eastAsia="宋体" w:cs="宋体"/>
          <w:b/>
          <w:bCs/>
          <w:sz w:val="22"/>
          <w:szCs w:val="22"/>
          <w:lang w:eastAsia="zh-CN"/>
        </w:rPr>
        <w:t>三、其他</w:t>
      </w:r>
    </w:p>
    <w:p w14:paraId="1A8BA9F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本招标工程在实施过程中材料、设备、施工必须符合现行中华人民共和国以及省、自治区、直辖市或行业的工程建设标准、规范的要求。</w:t>
      </w:r>
    </w:p>
    <w:p w14:paraId="001FD76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本招标工程的安全生产、文明施工、环境保护措施应符合中华人民共和国以及省、自治区、直辖市或行业以及当地政府的有关法律、法规的要求。</w:t>
      </w:r>
    </w:p>
    <w:p w14:paraId="536716D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根据工程设计要求及所需地域当地政府的相关规定该项工程下列项目的材料、设备、施工除必须达到以上标准外，还应满足下列要求：</w:t>
      </w:r>
    </w:p>
    <w:p w14:paraId="5D52628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3.1</w:t>
      </w:r>
      <w:r>
        <w:rPr>
          <w:rFonts w:hint="eastAsia" w:ascii="宋体" w:hAnsi="宋体" w:eastAsia="宋体" w:cs="宋体"/>
          <w:color w:val="auto"/>
          <w:kern w:val="0"/>
          <w:sz w:val="21"/>
          <w:szCs w:val="21"/>
          <w:highlight w:val="none"/>
        </w:rPr>
        <w:t>建设工程施工质量验收统一标准（GB50300-2013）</w:t>
      </w:r>
    </w:p>
    <w:p w14:paraId="3FFDF2A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3.2</w:t>
      </w:r>
      <w:r>
        <w:rPr>
          <w:rFonts w:hint="eastAsia" w:ascii="宋体" w:hAnsi="宋体" w:eastAsia="宋体" w:cs="宋体"/>
          <w:color w:val="auto"/>
          <w:kern w:val="0"/>
          <w:sz w:val="21"/>
          <w:szCs w:val="21"/>
          <w:highlight w:val="none"/>
        </w:rPr>
        <w:t>其他现行相关的强制性标准和技术规范、规程。</w:t>
      </w:r>
    </w:p>
    <w:p w14:paraId="524AE43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施工进度违约金：因承包人原因造成施工工期进度违约的，承包人承担违约责任。</w:t>
      </w:r>
    </w:p>
    <w:p w14:paraId="40C8A69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承包人质量违约：因承包人原因造成工程质量未达到合同约定验收标准的，发包人有权要求承包人返工直至工程质量达到合同约定的标准为止，并由承包人承担由此增加的费用和（或）延误的工期，同时承包人承担相应的违约金，由发包方在结算价款中直接扣出。</w:t>
      </w:r>
    </w:p>
    <w:p w14:paraId="53E488C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cs="宋体"/>
          <w:color w:val="auto"/>
          <w:kern w:val="0"/>
          <w:sz w:val="21"/>
          <w:szCs w:val="21"/>
          <w:highlight w:val="none"/>
          <w:lang w:eastAsia="zh-CN"/>
        </w:rPr>
      </w:pPr>
      <w:r>
        <w:rPr>
          <w:rFonts w:hint="eastAsia" w:ascii="宋体" w:hAnsi="宋体" w:cs="宋体"/>
          <w:color w:val="auto"/>
          <w:kern w:val="0"/>
          <w:sz w:val="21"/>
          <w:szCs w:val="21"/>
          <w:highlight w:val="none"/>
          <w:lang w:eastAsia="zh-CN"/>
        </w:rPr>
        <w:t>本项目中标人须在中标后购买工程保险，投标人须在投标文件中单独声明无条件购买工程保险。</w:t>
      </w:r>
    </w:p>
    <w:p w14:paraId="3FDA6C1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本《技术要求》为最低要求，投标人在编制投标文件时，在满足《技术要求》实质性要求的基础上，可以提出比《技术要求》更有利于招标人的承诺。</w:t>
      </w:r>
    </w:p>
    <w:p w14:paraId="5036F38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本项目所有专业工程施工必须符合国家相关的质量验收规范及评定标准，如在施工过程国家、地方、行业行政主管部门出具或更新的技术规范、标准、规程、强制性标准的，投标人须在投标文件中单独声明无条件按最新的技术规范、标准、规程、强制性标准进行施工。</w:t>
      </w:r>
    </w:p>
    <w:p w14:paraId="7FA5226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cs="Times New Roman"/>
          <w:b/>
          <w:bCs/>
        </w:rPr>
      </w:pPr>
      <w:r>
        <w:rPr>
          <w:rFonts w:hint="eastAsia" w:ascii="宋体" w:hAnsi="宋体" w:eastAsia="宋体" w:cs="宋体"/>
          <w:color w:val="auto"/>
          <w:kern w:val="0"/>
          <w:sz w:val="21"/>
          <w:szCs w:val="21"/>
          <w:highlight w:val="none"/>
        </w:rPr>
        <w:t>上述规范不足部分执行其他现行的法规、规范文件。</w:t>
      </w:r>
      <w:r>
        <w:rPr>
          <w:rFonts w:hint="eastAsia" w:cs="宋体"/>
          <w:sz w:val="21"/>
          <w:szCs w:val="21"/>
        </w:rPr>
        <w:br w:type="page"/>
      </w:r>
      <w:r>
        <w:rPr>
          <w:rFonts w:hint="eastAsia" w:cs="宋体"/>
          <w:b/>
          <w:bCs/>
          <w:sz w:val="36"/>
          <w:szCs w:val="36"/>
        </w:rPr>
        <w:t>第六章  发包人提供的资料</w:t>
      </w:r>
    </w:p>
    <w:p w14:paraId="7DE74406">
      <w:pPr>
        <w:spacing w:line="360" w:lineRule="auto"/>
        <w:rPr>
          <w:rFonts w:cs="Times New Roman"/>
          <w:sz w:val="24"/>
          <w:szCs w:val="24"/>
        </w:rPr>
      </w:pPr>
    </w:p>
    <w:p w14:paraId="2F0B1D04">
      <w:pPr>
        <w:numPr>
          <w:ilvl w:val="0"/>
          <w:numId w:val="8"/>
        </w:numPr>
        <w:rPr>
          <w:rFonts w:cs="宋体"/>
          <w:b/>
          <w:bCs/>
          <w:sz w:val="28"/>
          <w:szCs w:val="28"/>
        </w:rPr>
      </w:pPr>
      <w:bookmarkStart w:id="1899" w:name="_Toc19617"/>
      <w:bookmarkEnd w:id="1899"/>
      <w:bookmarkStart w:id="1900" w:name="_Toc21880"/>
      <w:bookmarkEnd w:id="1900"/>
      <w:r>
        <w:rPr>
          <w:rFonts w:hint="eastAsia" w:cs="宋体"/>
          <w:b/>
          <w:bCs/>
          <w:sz w:val="28"/>
          <w:szCs w:val="28"/>
        </w:rPr>
        <w:t>项目可行性研究报告</w:t>
      </w:r>
    </w:p>
    <w:p w14:paraId="6C25AF00">
      <w:pPr>
        <w:rPr>
          <w:rFonts w:cs="宋体"/>
          <w:b/>
          <w:bCs/>
          <w:sz w:val="28"/>
          <w:szCs w:val="28"/>
        </w:rPr>
      </w:pPr>
      <w:r>
        <w:rPr>
          <w:rFonts w:hint="eastAsia" w:cs="宋体"/>
          <w:b/>
          <w:bCs/>
          <w:sz w:val="28"/>
          <w:szCs w:val="28"/>
        </w:rPr>
        <w:t>（另附）</w:t>
      </w:r>
    </w:p>
    <w:p w14:paraId="23E3BCB3">
      <w:pPr>
        <w:pStyle w:val="29"/>
        <w:rPr>
          <w:rFonts w:cs="Times New Roman"/>
          <w:color w:val="auto"/>
        </w:rPr>
      </w:pPr>
    </w:p>
    <w:p w14:paraId="3DD99155">
      <w:pPr>
        <w:pStyle w:val="29"/>
        <w:rPr>
          <w:rFonts w:cs="Times New Roman"/>
          <w:color w:val="auto"/>
        </w:rPr>
      </w:pPr>
    </w:p>
    <w:p w14:paraId="3556A9BE">
      <w:pPr>
        <w:pStyle w:val="29"/>
        <w:rPr>
          <w:rFonts w:cs="Times New Roman"/>
          <w:color w:val="auto"/>
        </w:rPr>
      </w:pPr>
    </w:p>
    <w:p w14:paraId="1469DE56">
      <w:pPr>
        <w:pStyle w:val="29"/>
        <w:rPr>
          <w:rFonts w:cs="Times New Roman"/>
          <w:color w:val="auto"/>
        </w:rPr>
      </w:pPr>
    </w:p>
    <w:p w14:paraId="5FFE3779">
      <w:pPr>
        <w:pStyle w:val="29"/>
        <w:rPr>
          <w:rFonts w:cs="Times New Roman"/>
          <w:color w:val="auto"/>
        </w:rPr>
      </w:pPr>
    </w:p>
    <w:p w14:paraId="60F79E52">
      <w:pPr>
        <w:pStyle w:val="29"/>
        <w:rPr>
          <w:rFonts w:cs="Times New Roman"/>
          <w:color w:val="auto"/>
        </w:rPr>
      </w:pPr>
    </w:p>
    <w:p w14:paraId="76ED9EDA">
      <w:pPr>
        <w:pStyle w:val="29"/>
        <w:rPr>
          <w:rFonts w:cs="Times New Roman"/>
          <w:color w:val="auto"/>
        </w:rPr>
      </w:pPr>
    </w:p>
    <w:p w14:paraId="61830A4D">
      <w:pPr>
        <w:pStyle w:val="29"/>
        <w:rPr>
          <w:rFonts w:cs="Times New Roman"/>
          <w:color w:val="auto"/>
        </w:rPr>
      </w:pPr>
    </w:p>
    <w:p w14:paraId="56AB799E">
      <w:pPr>
        <w:pStyle w:val="29"/>
        <w:rPr>
          <w:rFonts w:cs="Times New Roman"/>
          <w:color w:val="auto"/>
        </w:rPr>
      </w:pPr>
    </w:p>
    <w:p w14:paraId="26683EDD">
      <w:pPr>
        <w:pStyle w:val="29"/>
        <w:rPr>
          <w:rFonts w:cs="Times New Roman"/>
          <w:color w:val="auto"/>
        </w:rPr>
      </w:pPr>
    </w:p>
    <w:p w14:paraId="463948C8">
      <w:pPr>
        <w:pStyle w:val="29"/>
        <w:rPr>
          <w:rFonts w:cs="Times New Roman"/>
          <w:color w:val="auto"/>
        </w:rPr>
      </w:pPr>
    </w:p>
    <w:p w14:paraId="271B1DB4">
      <w:pPr>
        <w:pStyle w:val="29"/>
        <w:rPr>
          <w:rFonts w:cs="Times New Roman"/>
          <w:color w:val="auto"/>
        </w:rPr>
      </w:pPr>
    </w:p>
    <w:p w14:paraId="724A95AB">
      <w:pPr>
        <w:pStyle w:val="29"/>
        <w:rPr>
          <w:rFonts w:cs="Times New Roman"/>
          <w:color w:val="auto"/>
        </w:rPr>
      </w:pPr>
    </w:p>
    <w:p w14:paraId="2BA0F859">
      <w:pPr>
        <w:pStyle w:val="29"/>
        <w:rPr>
          <w:rFonts w:cs="Times New Roman"/>
          <w:color w:val="auto"/>
        </w:rPr>
      </w:pPr>
    </w:p>
    <w:p w14:paraId="1C121C54">
      <w:pPr>
        <w:pStyle w:val="29"/>
        <w:rPr>
          <w:rFonts w:cs="Times New Roman"/>
          <w:color w:val="auto"/>
        </w:rPr>
      </w:pPr>
    </w:p>
    <w:p w14:paraId="262C9410">
      <w:pPr>
        <w:pStyle w:val="29"/>
        <w:rPr>
          <w:rFonts w:cs="Times New Roman"/>
          <w:color w:val="auto"/>
        </w:rPr>
      </w:pPr>
    </w:p>
    <w:p w14:paraId="300C62FF">
      <w:pPr>
        <w:pStyle w:val="29"/>
        <w:rPr>
          <w:rFonts w:cs="Times New Roman"/>
          <w:color w:val="auto"/>
        </w:rPr>
      </w:pPr>
    </w:p>
    <w:p w14:paraId="715A3285">
      <w:pPr>
        <w:pStyle w:val="29"/>
        <w:rPr>
          <w:rFonts w:cs="Times New Roman"/>
          <w:color w:val="auto"/>
        </w:rPr>
      </w:pPr>
    </w:p>
    <w:p w14:paraId="680DB64A">
      <w:pPr>
        <w:pStyle w:val="29"/>
        <w:rPr>
          <w:rFonts w:cs="Times New Roman"/>
          <w:color w:val="auto"/>
        </w:rPr>
      </w:pPr>
    </w:p>
    <w:p w14:paraId="27196BCB">
      <w:pPr>
        <w:pStyle w:val="29"/>
        <w:rPr>
          <w:rFonts w:cs="Times New Roman"/>
          <w:color w:val="auto"/>
        </w:rPr>
      </w:pPr>
    </w:p>
    <w:p w14:paraId="32A10EE1">
      <w:pPr>
        <w:pStyle w:val="29"/>
        <w:rPr>
          <w:rFonts w:cs="Times New Roman"/>
          <w:color w:val="auto"/>
        </w:rPr>
      </w:pPr>
    </w:p>
    <w:p w14:paraId="5FE8B859">
      <w:pPr>
        <w:pStyle w:val="29"/>
        <w:rPr>
          <w:rFonts w:cs="Times New Roman"/>
          <w:color w:val="auto"/>
        </w:rPr>
      </w:pPr>
    </w:p>
    <w:p w14:paraId="5770F559">
      <w:pPr>
        <w:pStyle w:val="29"/>
        <w:rPr>
          <w:rFonts w:cs="Times New Roman"/>
          <w:color w:val="auto"/>
        </w:rPr>
      </w:pPr>
    </w:p>
    <w:p w14:paraId="6D433510">
      <w:pPr>
        <w:pStyle w:val="29"/>
        <w:rPr>
          <w:rFonts w:cs="Times New Roman"/>
          <w:color w:val="auto"/>
        </w:rPr>
      </w:pPr>
    </w:p>
    <w:p w14:paraId="0EE66261">
      <w:pPr>
        <w:pStyle w:val="2"/>
        <w:jc w:val="center"/>
        <w:rPr>
          <w:rFonts w:cs="宋体"/>
        </w:rPr>
      </w:pPr>
      <w:bookmarkStart w:id="1901" w:name="_Toc300835207"/>
      <w:bookmarkStart w:id="1902" w:name="_Toc247527825"/>
      <w:bookmarkStart w:id="1903" w:name="_Toc247514244"/>
    </w:p>
    <w:p w14:paraId="451D5FD9">
      <w:pPr>
        <w:rPr>
          <w:rFonts w:cs="宋体"/>
        </w:rPr>
      </w:pPr>
      <w:r>
        <w:rPr>
          <w:rFonts w:hint="eastAsia" w:cs="宋体"/>
        </w:rPr>
        <w:br w:type="page"/>
      </w:r>
    </w:p>
    <w:bookmarkEnd w:id="1901"/>
    <w:bookmarkEnd w:id="1902"/>
    <w:bookmarkEnd w:id="1903"/>
    <w:p w14:paraId="03A3FFA3">
      <w:pPr>
        <w:pStyle w:val="2"/>
        <w:jc w:val="center"/>
        <w:rPr>
          <w:rFonts w:cs="宋体"/>
        </w:rPr>
      </w:pPr>
      <w:bookmarkStart w:id="1904" w:name="_Toc1216"/>
      <w:bookmarkEnd w:id="1904"/>
      <w:bookmarkStart w:id="1905" w:name="_Toc4043_WPSOffice_Level1"/>
      <w:bookmarkStart w:id="1906" w:name="_Toc9497_WPSOffice_Level1"/>
      <w:r>
        <w:rPr>
          <w:rFonts w:hint="eastAsia" w:cs="宋体"/>
        </w:rPr>
        <w:t>第三卷</w:t>
      </w:r>
    </w:p>
    <w:p w14:paraId="264B43B8">
      <w:pPr>
        <w:rPr>
          <w:rFonts w:cs="宋体"/>
        </w:rPr>
      </w:pPr>
    </w:p>
    <w:p w14:paraId="7D01D49F">
      <w:pPr>
        <w:pStyle w:val="29"/>
        <w:rPr>
          <w:color w:val="auto"/>
        </w:rPr>
      </w:pPr>
    </w:p>
    <w:p w14:paraId="7CEF0256">
      <w:pPr>
        <w:pStyle w:val="29"/>
        <w:rPr>
          <w:color w:val="auto"/>
        </w:rPr>
      </w:pPr>
    </w:p>
    <w:p w14:paraId="4F47B060">
      <w:pPr>
        <w:pStyle w:val="29"/>
        <w:rPr>
          <w:color w:val="auto"/>
        </w:rPr>
      </w:pPr>
    </w:p>
    <w:p w14:paraId="62C94397">
      <w:pPr>
        <w:pStyle w:val="29"/>
        <w:rPr>
          <w:color w:val="auto"/>
        </w:rPr>
      </w:pPr>
    </w:p>
    <w:p w14:paraId="389E93B7">
      <w:pPr>
        <w:pStyle w:val="29"/>
        <w:rPr>
          <w:color w:val="auto"/>
        </w:rPr>
      </w:pPr>
    </w:p>
    <w:p w14:paraId="7D6CE135">
      <w:pPr>
        <w:pStyle w:val="29"/>
        <w:rPr>
          <w:color w:val="auto"/>
        </w:rPr>
      </w:pPr>
    </w:p>
    <w:p w14:paraId="1054A889">
      <w:pPr>
        <w:pStyle w:val="29"/>
        <w:rPr>
          <w:color w:val="auto"/>
        </w:rPr>
      </w:pPr>
    </w:p>
    <w:p w14:paraId="3A6A50F7">
      <w:pPr>
        <w:pStyle w:val="29"/>
        <w:rPr>
          <w:color w:val="auto"/>
        </w:rPr>
      </w:pPr>
    </w:p>
    <w:p w14:paraId="1D3A305C">
      <w:pPr>
        <w:pStyle w:val="29"/>
        <w:rPr>
          <w:color w:val="auto"/>
        </w:rPr>
      </w:pPr>
    </w:p>
    <w:p w14:paraId="6AD29D61">
      <w:pPr>
        <w:pStyle w:val="29"/>
        <w:rPr>
          <w:color w:val="auto"/>
        </w:rPr>
      </w:pPr>
    </w:p>
    <w:p w14:paraId="629CA9D0">
      <w:pPr>
        <w:pStyle w:val="29"/>
        <w:rPr>
          <w:color w:val="auto"/>
        </w:rPr>
      </w:pPr>
    </w:p>
    <w:p w14:paraId="2B8C7691">
      <w:pPr>
        <w:pStyle w:val="29"/>
        <w:rPr>
          <w:color w:val="auto"/>
        </w:rPr>
      </w:pPr>
    </w:p>
    <w:p w14:paraId="1D82E15B">
      <w:pPr>
        <w:pStyle w:val="29"/>
        <w:rPr>
          <w:color w:val="auto"/>
        </w:rPr>
      </w:pPr>
    </w:p>
    <w:p w14:paraId="42981FD4">
      <w:pPr>
        <w:pStyle w:val="29"/>
        <w:rPr>
          <w:color w:val="auto"/>
        </w:rPr>
      </w:pPr>
    </w:p>
    <w:p w14:paraId="66CD671D">
      <w:pPr>
        <w:pStyle w:val="29"/>
        <w:rPr>
          <w:color w:val="auto"/>
        </w:rPr>
      </w:pPr>
    </w:p>
    <w:p w14:paraId="66E0AC9B">
      <w:pPr>
        <w:pStyle w:val="29"/>
        <w:rPr>
          <w:color w:val="auto"/>
        </w:rPr>
      </w:pPr>
    </w:p>
    <w:p w14:paraId="3F329E05">
      <w:pPr>
        <w:pStyle w:val="29"/>
        <w:rPr>
          <w:color w:val="auto"/>
        </w:rPr>
      </w:pPr>
    </w:p>
    <w:p w14:paraId="4C25899D">
      <w:pPr>
        <w:pStyle w:val="29"/>
        <w:rPr>
          <w:color w:val="auto"/>
        </w:rPr>
      </w:pPr>
    </w:p>
    <w:p w14:paraId="08B5388B">
      <w:pPr>
        <w:pStyle w:val="29"/>
        <w:rPr>
          <w:color w:val="auto"/>
        </w:rPr>
      </w:pPr>
    </w:p>
    <w:p w14:paraId="6725AC58">
      <w:pPr>
        <w:pStyle w:val="29"/>
        <w:rPr>
          <w:color w:val="auto"/>
        </w:rPr>
      </w:pPr>
    </w:p>
    <w:p w14:paraId="21EA322C">
      <w:pPr>
        <w:pStyle w:val="29"/>
        <w:rPr>
          <w:color w:val="auto"/>
        </w:rPr>
      </w:pPr>
    </w:p>
    <w:p w14:paraId="3A604787">
      <w:pPr>
        <w:pStyle w:val="29"/>
        <w:rPr>
          <w:color w:val="auto"/>
        </w:rPr>
      </w:pPr>
    </w:p>
    <w:p w14:paraId="66E8706B">
      <w:pPr>
        <w:pStyle w:val="29"/>
        <w:rPr>
          <w:color w:val="auto"/>
        </w:rPr>
      </w:pPr>
    </w:p>
    <w:p w14:paraId="0778CB76">
      <w:pPr>
        <w:pStyle w:val="29"/>
        <w:rPr>
          <w:color w:val="auto"/>
        </w:rPr>
      </w:pPr>
    </w:p>
    <w:p w14:paraId="758BFB58">
      <w:pPr>
        <w:pStyle w:val="29"/>
        <w:rPr>
          <w:color w:val="auto"/>
        </w:rPr>
      </w:pPr>
    </w:p>
    <w:p w14:paraId="56010402">
      <w:pPr>
        <w:pStyle w:val="29"/>
        <w:rPr>
          <w:color w:val="auto"/>
        </w:rPr>
      </w:pPr>
    </w:p>
    <w:p w14:paraId="16E394CB">
      <w:pPr>
        <w:pStyle w:val="29"/>
        <w:rPr>
          <w:color w:val="auto"/>
        </w:rPr>
      </w:pPr>
    </w:p>
    <w:p w14:paraId="2A37037A">
      <w:pPr>
        <w:pStyle w:val="29"/>
        <w:rPr>
          <w:color w:val="auto"/>
        </w:rPr>
      </w:pPr>
    </w:p>
    <w:p w14:paraId="221E9CFF">
      <w:pPr>
        <w:pStyle w:val="29"/>
        <w:rPr>
          <w:color w:val="auto"/>
        </w:rPr>
      </w:pPr>
    </w:p>
    <w:p w14:paraId="24EB38B6">
      <w:pPr>
        <w:rPr>
          <w:rFonts w:cs="宋体"/>
          <w:sz w:val="36"/>
          <w:szCs w:val="36"/>
        </w:rPr>
      </w:pPr>
      <w:r>
        <w:rPr>
          <w:rFonts w:hint="eastAsia" w:cs="宋体"/>
          <w:sz w:val="36"/>
          <w:szCs w:val="36"/>
        </w:rPr>
        <w:br w:type="page"/>
      </w:r>
    </w:p>
    <w:bookmarkEnd w:id="1885"/>
    <w:bookmarkEnd w:id="1886"/>
    <w:bookmarkEnd w:id="1887"/>
    <w:bookmarkEnd w:id="1888"/>
    <w:bookmarkEnd w:id="1889"/>
    <w:bookmarkEnd w:id="1890"/>
    <w:bookmarkEnd w:id="1905"/>
    <w:bookmarkEnd w:id="1906"/>
    <w:p w14:paraId="75005423">
      <w:pPr>
        <w:pStyle w:val="2"/>
        <w:jc w:val="center"/>
        <w:rPr>
          <w:rFonts w:cs="Times New Roman"/>
          <w:sz w:val="36"/>
          <w:szCs w:val="36"/>
        </w:rPr>
      </w:pPr>
      <w:bookmarkStart w:id="1907" w:name="_Toc8430"/>
      <w:bookmarkEnd w:id="1907"/>
      <w:bookmarkStart w:id="1908" w:name="_Ref318968019"/>
      <w:bookmarkEnd w:id="1908"/>
      <w:bookmarkStart w:id="1909" w:name="_Ref318969888"/>
      <w:bookmarkEnd w:id="1909"/>
      <w:bookmarkStart w:id="1910" w:name="_Toc1261"/>
      <w:bookmarkEnd w:id="1910"/>
      <w:bookmarkStart w:id="1911" w:name="_Ref319050087"/>
      <w:bookmarkEnd w:id="1911"/>
      <w:bookmarkStart w:id="1912" w:name="_Ref318967872"/>
      <w:bookmarkEnd w:id="1912"/>
      <w:r>
        <w:rPr>
          <w:rFonts w:hint="eastAsia" w:cs="宋体"/>
          <w:sz w:val="36"/>
          <w:szCs w:val="36"/>
        </w:rPr>
        <w:t>第七章  投标文件格式</w:t>
      </w:r>
    </w:p>
    <w:p w14:paraId="663B0B43">
      <w:pPr>
        <w:adjustRightInd w:val="0"/>
        <w:snapToGrid w:val="0"/>
        <w:spacing w:line="360" w:lineRule="auto"/>
        <w:rPr>
          <w:rFonts w:ascii="宋体" w:cs="Times New Roman"/>
          <w:sz w:val="28"/>
          <w:szCs w:val="28"/>
        </w:rPr>
      </w:pPr>
    </w:p>
    <w:p w14:paraId="541DCC93">
      <w:pPr>
        <w:tabs>
          <w:tab w:val="left" w:pos="142"/>
        </w:tabs>
        <w:autoSpaceDE w:val="0"/>
        <w:autoSpaceDN w:val="0"/>
        <w:spacing w:line="360" w:lineRule="auto"/>
        <w:jc w:val="center"/>
        <w:rPr>
          <w:rFonts w:ascii="宋体" w:cs="Times New Roman"/>
          <w:b/>
          <w:bCs/>
          <w:sz w:val="32"/>
          <w:szCs w:val="32"/>
        </w:rPr>
      </w:pPr>
      <w:bookmarkStart w:id="1913" w:name="_Toc2710_WPSOffice_Level1"/>
      <w:bookmarkEnd w:id="1913"/>
      <w:bookmarkStart w:id="1914" w:name="_Toc25385_WPSOffice_Level1"/>
      <w:bookmarkEnd w:id="1914"/>
      <w:r>
        <w:rPr>
          <w:rFonts w:ascii="宋体" w:hAnsi="宋体" w:cs="宋体"/>
          <w:sz w:val="32"/>
          <w:szCs w:val="32"/>
        </w:rPr>
        <w:t>_________________</w:t>
      </w:r>
      <w:r>
        <w:rPr>
          <w:rFonts w:hint="eastAsia" w:ascii="宋体" w:hAnsi="宋体" w:cs="宋体"/>
          <w:sz w:val="32"/>
          <w:szCs w:val="32"/>
        </w:rPr>
        <w:t>（项目名称）</w:t>
      </w:r>
    </w:p>
    <w:p w14:paraId="679BE733">
      <w:pPr>
        <w:adjustRightInd w:val="0"/>
        <w:snapToGrid w:val="0"/>
        <w:spacing w:line="360" w:lineRule="auto"/>
        <w:jc w:val="center"/>
        <w:rPr>
          <w:rFonts w:ascii="宋体" w:cs="Times New Roman"/>
          <w:sz w:val="40"/>
          <w:szCs w:val="40"/>
        </w:rPr>
      </w:pPr>
    </w:p>
    <w:p w14:paraId="1AB9F4F4">
      <w:pPr>
        <w:adjustRightInd w:val="0"/>
        <w:snapToGrid w:val="0"/>
        <w:spacing w:line="360" w:lineRule="auto"/>
        <w:rPr>
          <w:rFonts w:ascii="宋体" w:cs="Times New Roman"/>
          <w:sz w:val="40"/>
          <w:szCs w:val="40"/>
        </w:rPr>
      </w:pPr>
    </w:p>
    <w:p w14:paraId="32E180C7">
      <w:pPr>
        <w:pStyle w:val="29"/>
        <w:rPr>
          <w:rFonts w:cs="Times New Roman"/>
          <w:color w:val="auto"/>
        </w:rPr>
      </w:pPr>
    </w:p>
    <w:p w14:paraId="53C5A742">
      <w:pPr>
        <w:adjustRightInd w:val="0"/>
        <w:snapToGrid w:val="0"/>
        <w:spacing w:line="360" w:lineRule="auto"/>
        <w:rPr>
          <w:rFonts w:ascii="宋体" w:cs="Times New Roman"/>
          <w:sz w:val="28"/>
          <w:szCs w:val="28"/>
        </w:rPr>
      </w:pPr>
    </w:p>
    <w:p w14:paraId="0B9280EF">
      <w:pPr>
        <w:adjustRightInd w:val="0"/>
        <w:snapToGrid w:val="0"/>
        <w:spacing w:line="360" w:lineRule="auto"/>
        <w:jc w:val="center"/>
        <w:rPr>
          <w:rFonts w:ascii="宋体" w:cs="Times New Roman"/>
          <w:b/>
          <w:bCs/>
          <w:sz w:val="80"/>
          <w:szCs w:val="80"/>
        </w:rPr>
      </w:pPr>
      <w:bookmarkStart w:id="1915" w:name="_Toc1669_WPSOffice_Level1"/>
      <w:bookmarkEnd w:id="1915"/>
      <w:bookmarkStart w:id="1916" w:name="_Toc19723_WPSOffice_Level1"/>
      <w:bookmarkEnd w:id="1916"/>
      <w:r>
        <w:rPr>
          <w:rFonts w:hint="eastAsia" w:ascii="宋体" w:hAnsi="宋体" w:cs="宋体"/>
          <w:b/>
          <w:bCs/>
          <w:sz w:val="80"/>
          <w:szCs w:val="80"/>
        </w:rPr>
        <w:t>投 标 文 件</w:t>
      </w:r>
    </w:p>
    <w:p w14:paraId="47D17B81">
      <w:pPr>
        <w:adjustRightInd w:val="0"/>
        <w:snapToGrid w:val="0"/>
        <w:spacing w:line="360" w:lineRule="auto"/>
        <w:rPr>
          <w:rFonts w:ascii="宋体" w:cs="Times New Roman"/>
          <w:sz w:val="28"/>
          <w:szCs w:val="28"/>
        </w:rPr>
      </w:pPr>
    </w:p>
    <w:p w14:paraId="152A7B30">
      <w:pPr>
        <w:adjustRightInd w:val="0"/>
        <w:snapToGrid w:val="0"/>
        <w:spacing w:line="360" w:lineRule="auto"/>
        <w:rPr>
          <w:rFonts w:ascii="宋体" w:cs="Times New Roman"/>
          <w:sz w:val="28"/>
          <w:szCs w:val="28"/>
        </w:rPr>
      </w:pPr>
    </w:p>
    <w:p w14:paraId="1A01DC2A">
      <w:pPr>
        <w:adjustRightInd w:val="0"/>
        <w:snapToGrid w:val="0"/>
        <w:spacing w:line="360" w:lineRule="auto"/>
        <w:rPr>
          <w:rFonts w:ascii="宋体" w:cs="Times New Roman"/>
          <w:sz w:val="28"/>
          <w:szCs w:val="28"/>
        </w:rPr>
      </w:pPr>
      <w:r>
        <w:rPr>
          <w:rFonts w:hint="eastAsia" w:ascii="宋体" w:cs="Times New Roman"/>
          <w:sz w:val="28"/>
          <w:szCs w:val="28"/>
        </w:rPr>
        <w:t>s</w:t>
      </w:r>
    </w:p>
    <w:p w14:paraId="05E17E12">
      <w:pPr>
        <w:adjustRightInd w:val="0"/>
        <w:snapToGrid w:val="0"/>
        <w:spacing w:line="360" w:lineRule="auto"/>
        <w:rPr>
          <w:rFonts w:ascii="宋体" w:cs="Times New Roman"/>
          <w:sz w:val="28"/>
          <w:szCs w:val="28"/>
        </w:rPr>
      </w:pPr>
    </w:p>
    <w:p w14:paraId="5CF1A803">
      <w:pPr>
        <w:adjustRightInd w:val="0"/>
        <w:snapToGrid w:val="0"/>
        <w:spacing w:line="360" w:lineRule="auto"/>
        <w:rPr>
          <w:rFonts w:ascii="宋体" w:cs="Times New Roman"/>
          <w:sz w:val="28"/>
          <w:szCs w:val="28"/>
        </w:rPr>
      </w:pPr>
    </w:p>
    <w:p w14:paraId="085684F2">
      <w:pPr>
        <w:adjustRightInd w:val="0"/>
        <w:snapToGrid w:val="0"/>
        <w:spacing w:line="360" w:lineRule="auto"/>
        <w:jc w:val="center"/>
        <w:outlineLvl w:val="2"/>
        <w:rPr>
          <w:rFonts w:ascii="宋体" w:cs="Times New Roman"/>
          <w:sz w:val="28"/>
          <w:szCs w:val="28"/>
        </w:rPr>
      </w:pPr>
      <w:bookmarkStart w:id="1917" w:name="_Toc3861_WPSOffice_Level1"/>
      <w:bookmarkEnd w:id="1917"/>
      <w:bookmarkStart w:id="1918" w:name="_Toc17617_WPSOffice_Level1"/>
      <w:bookmarkEnd w:id="1918"/>
      <w:r>
        <w:rPr>
          <w:rFonts w:hint="eastAsia" w:ascii="宋体" w:hAnsi="宋体" w:cs="宋体"/>
          <w:sz w:val="28"/>
          <w:szCs w:val="28"/>
        </w:rPr>
        <w:t>投标人（牵头单位）：</w:t>
      </w:r>
      <w:r>
        <w:rPr>
          <w:rFonts w:ascii="宋体" w:hAnsi="宋体" w:cs="宋体"/>
          <w:sz w:val="28"/>
          <w:szCs w:val="28"/>
        </w:rPr>
        <w:t>__________________</w:t>
      </w:r>
      <w:r>
        <w:rPr>
          <w:rFonts w:hint="eastAsia" w:ascii="黑体" w:eastAsia="黑体" w:cs="黑体"/>
          <w:sz w:val="28"/>
          <w:szCs w:val="28"/>
        </w:rPr>
        <w:t>（电子签章）</w:t>
      </w:r>
    </w:p>
    <w:p w14:paraId="398C6411">
      <w:pPr>
        <w:adjustRightInd w:val="0"/>
        <w:snapToGrid w:val="0"/>
        <w:spacing w:line="360" w:lineRule="auto"/>
        <w:ind w:firstLine="280" w:firstLineChars="100"/>
        <w:rPr>
          <w:rFonts w:ascii="宋体" w:cs="Times New Roman"/>
          <w:sz w:val="28"/>
          <w:szCs w:val="28"/>
        </w:rPr>
      </w:pPr>
      <w:bookmarkStart w:id="1919" w:name="_Toc27735_WPSOffice_Level2"/>
      <w:bookmarkEnd w:id="1919"/>
      <w:bookmarkStart w:id="1920" w:name="_Toc19835_WPSOffice_Level2"/>
      <w:bookmarkEnd w:id="1920"/>
      <w:r>
        <w:rPr>
          <w:rFonts w:hint="eastAsia" w:ascii="宋体" w:hAnsi="宋体" w:cs="宋体"/>
          <w:sz w:val="28"/>
          <w:szCs w:val="28"/>
        </w:rPr>
        <w:t>法定代表人或其委托代理人：</w:t>
      </w:r>
      <w:r>
        <w:rPr>
          <w:rFonts w:ascii="宋体" w:hAnsi="宋体" w:cs="宋体"/>
          <w:sz w:val="28"/>
          <w:szCs w:val="28"/>
        </w:rPr>
        <w:t xml:space="preserve">______________ </w:t>
      </w:r>
      <w:r>
        <w:rPr>
          <w:rFonts w:hint="eastAsia" w:ascii="黑体" w:eastAsia="黑体" w:cs="黑体"/>
          <w:sz w:val="28"/>
          <w:szCs w:val="28"/>
        </w:rPr>
        <w:t>（电子签章）</w:t>
      </w:r>
    </w:p>
    <w:p w14:paraId="5403F941">
      <w:pPr>
        <w:adjustRightInd w:val="0"/>
        <w:snapToGrid w:val="0"/>
        <w:spacing w:line="360" w:lineRule="auto"/>
        <w:jc w:val="center"/>
        <w:rPr>
          <w:rFonts w:ascii="宋体" w:cs="Times New Roman"/>
          <w:sz w:val="28"/>
          <w:szCs w:val="28"/>
        </w:rPr>
      </w:pPr>
    </w:p>
    <w:p w14:paraId="33C6DD78">
      <w:pPr>
        <w:adjustRightInd w:val="0"/>
        <w:snapToGrid w:val="0"/>
        <w:spacing w:line="360" w:lineRule="auto"/>
        <w:jc w:val="center"/>
        <w:rPr>
          <w:rFonts w:ascii="宋体" w:cs="Times New Roman"/>
          <w:sz w:val="28"/>
          <w:szCs w:val="28"/>
        </w:rPr>
      </w:pPr>
      <w:bookmarkStart w:id="1921" w:name="_Toc20964_WPSOffice_Level1"/>
      <w:bookmarkEnd w:id="1921"/>
      <w:bookmarkStart w:id="1922" w:name="_Toc16868_WPSOffice_Level1"/>
      <w:bookmarkEnd w:id="1922"/>
      <w:r>
        <w:rPr>
          <w:rFonts w:ascii="宋体" w:hAnsi="宋体" w:cs="宋体"/>
          <w:sz w:val="28"/>
          <w:szCs w:val="28"/>
        </w:rPr>
        <w:t>______</w:t>
      </w:r>
      <w:r>
        <w:rPr>
          <w:rFonts w:hint="eastAsia" w:ascii="宋体" w:hAnsi="宋体" w:cs="宋体"/>
          <w:sz w:val="28"/>
          <w:szCs w:val="28"/>
        </w:rPr>
        <w:t>年</w:t>
      </w:r>
      <w:r>
        <w:rPr>
          <w:rFonts w:ascii="宋体" w:hAnsi="宋体" w:cs="宋体"/>
          <w:sz w:val="28"/>
          <w:szCs w:val="28"/>
        </w:rPr>
        <w:t>___</w:t>
      </w:r>
      <w:r>
        <w:rPr>
          <w:rFonts w:hint="eastAsia" w:ascii="宋体" w:hAnsi="宋体" w:cs="宋体"/>
          <w:sz w:val="28"/>
          <w:szCs w:val="28"/>
        </w:rPr>
        <w:t>月</w:t>
      </w:r>
      <w:r>
        <w:rPr>
          <w:rFonts w:ascii="宋体" w:hAnsi="宋体" w:cs="宋体"/>
          <w:sz w:val="28"/>
          <w:szCs w:val="28"/>
        </w:rPr>
        <w:t>____</w:t>
      </w:r>
      <w:r>
        <w:rPr>
          <w:rFonts w:hint="eastAsia" w:ascii="宋体" w:hAnsi="宋体" w:cs="宋体"/>
          <w:sz w:val="28"/>
          <w:szCs w:val="28"/>
        </w:rPr>
        <w:t>日</w:t>
      </w:r>
    </w:p>
    <w:p w14:paraId="5F447808">
      <w:pPr>
        <w:adjustRightInd w:val="0"/>
        <w:snapToGrid w:val="0"/>
        <w:spacing w:line="360" w:lineRule="auto"/>
        <w:jc w:val="center"/>
        <w:rPr>
          <w:rFonts w:ascii="宋体" w:cs="Times New Roman"/>
          <w:b/>
          <w:bCs/>
          <w:sz w:val="28"/>
          <w:szCs w:val="28"/>
        </w:rPr>
      </w:pPr>
    </w:p>
    <w:p w14:paraId="5B4A03D5">
      <w:pPr>
        <w:adjustRightInd w:val="0"/>
        <w:snapToGrid w:val="0"/>
        <w:spacing w:line="360" w:lineRule="auto"/>
        <w:jc w:val="center"/>
        <w:rPr>
          <w:rFonts w:hint="eastAsia" w:ascii="宋体" w:hAnsi="宋体" w:cs="宋体"/>
          <w:b/>
          <w:bCs/>
          <w:sz w:val="28"/>
          <w:szCs w:val="28"/>
        </w:rPr>
      </w:pPr>
    </w:p>
    <w:p w14:paraId="4CF3995F">
      <w:pPr>
        <w:pStyle w:val="6"/>
        <w:ind w:firstLine="480"/>
      </w:pPr>
    </w:p>
    <w:p w14:paraId="048ED362">
      <w:pPr>
        <w:pStyle w:val="46"/>
        <w:adjustRightInd w:val="0"/>
        <w:snapToGrid w:val="0"/>
        <w:spacing w:after="100" w:line="380" w:lineRule="exact"/>
        <w:jc w:val="both"/>
        <w:rPr>
          <w:rStyle w:val="48"/>
          <w:rFonts w:hint="eastAsia" w:ascii="宋体" w:hAnsi="宋体" w:cs="宋体"/>
          <w:b/>
          <w:bCs/>
          <w:kern w:val="2"/>
          <w:sz w:val="28"/>
          <w:szCs w:val="28"/>
        </w:rPr>
      </w:pPr>
    </w:p>
    <w:p w14:paraId="60E5C51D">
      <w:pPr>
        <w:rPr>
          <w:rFonts w:cs="宋体"/>
          <w:b/>
          <w:bCs/>
          <w:sz w:val="28"/>
          <w:szCs w:val="28"/>
        </w:rPr>
      </w:pPr>
      <w:r>
        <w:rPr>
          <w:rFonts w:hint="eastAsia" w:cs="宋体"/>
          <w:b/>
          <w:bCs/>
          <w:sz w:val="28"/>
          <w:szCs w:val="28"/>
        </w:rPr>
        <w:br w:type="page"/>
      </w:r>
    </w:p>
    <w:p w14:paraId="2011A678">
      <w:pPr>
        <w:pStyle w:val="49"/>
        <w:snapToGrid w:val="0"/>
        <w:spacing w:before="157" w:beforeLines="50" w:after="314" w:afterLines="100" w:line="360" w:lineRule="auto"/>
        <w:ind w:left="0" w:firstLine="0"/>
        <w:jc w:val="center"/>
        <w:rPr>
          <w:rFonts w:cs="Times New Roman"/>
          <w:b/>
          <w:bCs/>
          <w:sz w:val="28"/>
          <w:szCs w:val="28"/>
        </w:rPr>
      </w:pPr>
      <w:r>
        <w:rPr>
          <w:rFonts w:hint="eastAsia" w:cs="宋体"/>
          <w:b/>
          <w:bCs/>
          <w:sz w:val="28"/>
          <w:szCs w:val="28"/>
        </w:rPr>
        <w:t>唱标一览表</w:t>
      </w:r>
    </w:p>
    <w:tbl>
      <w:tblPr>
        <w:tblStyle w:val="25"/>
        <w:tblW w:w="9345" w:type="dxa"/>
        <w:tblInd w:w="108" w:type="dxa"/>
        <w:tblLayout w:type="fixed"/>
        <w:tblCellMar>
          <w:top w:w="0" w:type="dxa"/>
          <w:left w:w="108" w:type="dxa"/>
          <w:bottom w:w="0" w:type="dxa"/>
          <w:right w:w="108" w:type="dxa"/>
        </w:tblCellMar>
      </w:tblPr>
      <w:tblGrid>
        <w:gridCol w:w="1054"/>
        <w:gridCol w:w="3789"/>
        <w:gridCol w:w="4502"/>
      </w:tblGrid>
      <w:tr w14:paraId="53C19189">
        <w:tblPrEx>
          <w:tblCellMar>
            <w:top w:w="0" w:type="dxa"/>
            <w:left w:w="108" w:type="dxa"/>
            <w:bottom w:w="0" w:type="dxa"/>
            <w:right w:w="108" w:type="dxa"/>
          </w:tblCellMar>
        </w:tblPrEx>
        <w:trPr>
          <w:trHeight w:val="672"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32FCF1D8">
            <w:pPr>
              <w:spacing w:line="360" w:lineRule="auto"/>
              <w:jc w:val="center"/>
              <w:rPr>
                <w:rFonts w:cs="Times New Roman"/>
              </w:rPr>
            </w:pPr>
            <w:r>
              <w:rPr>
                <w:rFonts w:hint="eastAsia" w:cs="宋体"/>
              </w:rPr>
              <w:t>序号</w:t>
            </w:r>
          </w:p>
        </w:tc>
        <w:tc>
          <w:tcPr>
            <w:tcW w:w="3789" w:type="dxa"/>
            <w:tcBorders>
              <w:top w:val="single" w:color="000000" w:sz="4" w:space="0"/>
              <w:bottom w:val="single" w:color="000000" w:sz="4" w:space="0"/>
              <w:right w:val="single" w:color="000000" w:sz="4" w:space="0"/>
            </w:tcBorders>
            <w:vAlign w:val="center"/>
          </w:tcPr>
          <w:p w14:paraId="077CEB1F">
            <w:pPr>
              <w:spacing w:line="360" w:lineRule="auto"/>
              <w:jc w:val="center"/>
              <w:rPr>
                <w:rFonts w:cs="Times New Roman"/>
              </w:rPr>
            </w:pPr>
            <w:r>
              <w:rPr>
                <w:rFonts w:hint="eastAsia" w:cs="宋体"/>
              </w:rPr>
              <w:t>项目</w:t>
            </w:r>
          </w:p>
        </w:tc>
        <w:tc>
          <w:tcPr>
            <w:tcW w:w="4502" w:type="dxa"/>
            <w:tcBorders>
              <w:top w:val="single" w:color="000000" w:sz="4" w:space="0"/>
              <w:bottom w:val="single" w:color="000000" w:sz="4" w:space="0"/>
              <w:right w:val="single" w:color="000000" w:sz="4" w:space="0"/>
            </w:tcBorders>
            <w:vAlign w:val="center"/>
          </w:tcPr>
          <w:p w14:paraId="55EE5094">
            <w:pPr>
              <w:spacing w:line="360" w:lineRule="auto"/>
              <w:jc w:val="center"/>
              <w:rPr>
                <w:rFonts w:cs="Times New Roman"/>
              </w:rPr>
            </w:pPr>
            <w:r>
              <w:rPr>
                <w:rFonts w:hint="eastAsia" w:cs="宋体"/>
              </w:rPr>
              <w:t>填报内容</w:t>
            </w:r>
          </w:p>
        </w:tc>
      </w:tr>
      <w:tr w14:paraId="22392E1B">
        <w:tblPrEx>
          <w:tblCellMar>
            <w:top w:w="0" w:type="dxa"/>
            <w:left w:w="108" w:type="dxa"/>
            <w:bottom w:w="0" w:type="dxa"/>
            <w:right w:w="108" w:type="dxa"/>
          </w:tblCellMar>
        </w:tblPrEx>
        <w:trPr>
          <w:trHeight w:val="820"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37FD419B">
            <w:pPr>
              <w:spacing w:line="360" w:lineRule="auto"/>
              <w:jc w:val="center"/>
            </w:pPr>
            <w:r>
              <w:rPr>
                <w:rFonts w:hint="eastAsia"/>
              </w:rPr>
              <w:t>1</w:t>
            </w:r>
          </w:p>
        </w:tc>
        <w:tc>
          <w:tcPr>
            <w:tcW w:w="3789" w:type="dxa"/>
            <w:tcBorders>
              <w:top w:val="single" w:color="000000" w:sz="4" w:space="0"/>
              <w:bottom w:val="single" w:color="000000" w:sz="4" w:space="0"/>
              <w:right w:val="single" w:color="000000" w:sz="4" w:space="0"/>
            </w:tcBorders>
            <w:vAlign w:val="center"/>
          </w:tcPr>
          <w:p w14:paraId="7FD11A0B">
            <w:pPr>
              <w:spacing w:line="360" w:lineRule="auto"/>
              <w:jc w:val="center"/>
              <w:rPr>
                <w:rFonts w:hint="eastAsia" w:ascii="宋体" w:hAnsi="宋体" w:cs="宋体"/>
              </w:rPr>
            </w:pPr>
            <w:r>
              <w:rPr>
                <w:rFonts w:hint="eastAsia" w:ascii="宋体" w:hAnsi="宋体" w:cs="宋体"/>
              </w:rPr>
              <w:t>工程设计费投标报价</w:t>
            </w:r>
          </w:p>
        </w:tc>
        <w:tc>
          <w:tcPr>
            <w:tcW w:w="4502" w:type="dxa"/>
            <w:tcBorders>
              <w:top w:val="single" w:color="000000" w:sz="4" w:space="0"/>
              <w:bottom w:val="single" w:color="000000" w:sz="4" w:space="0"/>
              <w:right w:val="single" w:color="000000" w:sz="4" w:space="0"/>
            </w:tcBorders>
            <w:vAlign w:val="center"/>
          </w:tcPr>
          <w:p w14:paraId="1615B78C">
            <w:pPr>
              <w:spacing w:line="360" w:lineRule="auto"/>
              <w:ind w:firstLine="1050" w:firstLineChars="500"/>
              <w:jc w:val="left"/>
              <w:rPr>
                <w:rFonts w:hint="eastAsia" w:ascii="宋体" w:hAnsi="宋体" w:cs="宋体"/>
              </w:rPr>
            </w:pPr>
            <w:r>
              <w:rPr>
                <w:rFonts w:hint="eastAsia" w:ascii="宋体" w:hAnsi="宋体" w:cs="宋体"/>
              </w:rPr>
              <w:t xml:space="preserve">元 </w:t>
            </w:r>
          </w:p>
        </w:tc>
      </w:tr>
      <w:tr w14:paraId="50901243">
        <w:tblPrEx>
          <w:tblCellMar>
            <w:top w:w="0" w:type="dxa"/>
            <w:left w:w="108" w:type="dxa"/>
            <w:bottom w:w="0" w:type="dxa"/>
            <w:right w:w="108" w:type="dxa"/>
          </w:tblCellMar>
        </w:tblPrEx>
        <w:trPr>
          <w:trHeight w:val="713"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618E90B2">
            <w:pPr>
              <w:spacing w:line="360" w:lineRule="auto"/>
              <w:jc w:val="center"/>
            </w:pPr>
            <w:r>
              <w:rPr>
                <w:rFonts w:hint="eastAsia"/>
              </w:rPr>
              <w:t>2</w:t>
            </w:r>
          </w:p>
        </w:tc>
        <w:tc>
          <w:tcPr>
            <w:tcW w:w="3789" w:type="dxa"/>
            <w:tcBorders>
              <w:top w:val="single" w:color="000000" w:sz="4" w:space="0"/>
              <w:bottom w:val="single" w:color="000000" w:sz="4" w:space="0"/>
              <w:right w:val="single" w:color="000000" w:sz="4" w:space="0"/>
            </w:tcBorders>
            <w:vAlign w:val="center"/>
          </w:tcPr>
          <w:p w14:paraId="2CC2D4DC">
            <w:pPr>
              <w:spacing w:line="360" w:lineRule="auto"/>
              <w:jc w:val="center"/>
              <w:rPr>
                <w:rFonts w:ascii="宋体" w:cs="Times New Roman"/>
                <w:b/>
                <w:bCs/>
              </w:rPr>
            </w:pPr>
            <w:r>
              <w:rPr>
                <w:rFonts w:hint="eastAsia" w:ascii="宋体" w:hAnsi="宋体" w:cs="宋体"/>
              </w:rPr>
              <w:t>建安工程费下浮率投标报价</w:t>
            </w:r>
          </w:p>
        </w:tc>
        <w:tc>
          <w:tcPr>
            <w:tcW w:w="4502" w:type="dxa"/>
            <w:tcBorders>
              <w:top w:val="single" w:color="000000" w:sz="4" w:space="0"/>
              <w:bottom w:val="single" w:color="000000" w:sz="4" w:space="0"/>
              <w:right w:val="single" w:color="000000" w:sz="4" w:space="0"/>
            </w:tcBorders>
            <w:vAlign w:val="center"/>
          </w:tcPr>
          <w:p w14:paraId="729E9599">
            <w:pPr>
              <w:spacing w:line="360" w:lineRule="auto"/>
              <w:ind w:firstLine="1050" w:firstLineChars="500"/>
              <w:jc w:val="left"/>
              <w:rPr>
                <w:rFonts w:cs="Times New Roman"/>
              </w:rPr>
            </w:pPr>
            <w:r>
              <w:rPr>
                <w:rFonts w:hint="eastAsia" w:ascii="宋体" w:hAnsi="宋体" w:cs="宋体"/>
              </w:rPr>
              <w:t xml:space="preserve">% </w:t>
            </w:r>
          </w:p>
        </w:tc>
      </w:tr>
      <w:tr w14:paraId="7D7D5D50">
        <w:tblPrEx>
          <w:tblCellMar>
            <w:top w:w="0" w:type="dxa"/>
            <w:left w:w="108" w:type="dxa"/>
            <w:bottom w:w="0" w:type="dxa"/>
            <w:right w:w="108" w:type="dxa"/>
          </w:tblCellMar>
        </w:tblPrEx>
        <w:trPr>
          <w:trHeight w:val="712"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279FFDF6">
            <w:pPr>
              <w:spacing w:line="360" w:lineRule="auto"/>
              <w:jc w:val="center"/>
            </w:pPr>
            <w:r>
              <w:rPr>
                <w:rFonts w:hint="eastAsia"/>
              </w:rPr>
              <w:t>3</w:t>
            </w:r>
          </w:p>
        </w:tc>
        <w:tc>
          <w:tcPr>
            <w:tcW w:w="3789" w:type="dxa"/>
            <w:tcBorders>
              <w:top w:val="single" w:color="000000" w:sz="4" w:space="0"/>
              <w:bottom w:val="single" w:color="000000" w:sz="4" w:space="0"/>
              <w:right w:val="single" w:color="000000" w:sz="4" w:space="0"/>
            </w:tcBorders>
            <w:vAlign w:val="center"/>
          </w:tcPr>
          <w:p w14:paraId="1AF44D67">
            <w:pPr>
              <w:spacing w:line="240" w:lineRule="exact"/>
              <w:jc w:val="center"/>
              <w:rPr>
                <w:rFonts w:ascii="宋体" w:cs="Times New Roman"/>
              </w:rPr>
            </w:pPr>
            <w:r>
              <w:rPr>
                <w:rFonts w:hint="eastAsia" w:cs="宋体"/>
              </w:rPr>
              <w:t>质量承诺</w:t>
            </w:r>
          </w:p>
        </w:tc>
        <w:tc>
          <w:tcPr>
            <w:tcW w:w="4502" w:type="dxa"/>
            <w:tcBorders>
              <w:top w:val="single" w:color="000000" w:sz="4" w:space="0"/>
              <w:bottom w:val="single" w:color="000000" w:sz="4" w:space="0"/>
              <w:right w:val="single" w:color="000000" w:sz="4" w:space="0"/>
            </w:tcBorders>
            <w:vAlign w:val="center"/>
          </w:tcPr>
          <w:p w14:paraId="0B1588CF">
            <w:pPr>
              <w:tabs>
                <w:tab w:val="left" w:pos="312"/>
              </w:tabs>
              <w:spacing w:line="240" w:lineRule="exact"/>
            </w:pPr>
            <w:r>
              <w:rPr>
                <w:rFonts w:hint="eastAsia" w:cs="宋体"/>
              </w:rPr>
              <w:t>工程设计质量承诺：</w:t>
            </w:r>
          </w:p>
          <w:p w14:paraId="0351427C">
            <w:pPr>
              <w:tabs>
                <w:tab w:val="left" w:pos="312"/>
              </w:tabs>
              <w:spacing w:line="240" w:lineRule="exact"/>
              <w:rPr>
                <w:rFonts w:cs="Times New Roman"/>
              </w:rPr>
            </w:pPr>
            <w:r>
              <w:rPr>
                <w:rFonts w:hint="eastAsia" w:cs="宋体"/>
              </w:rPr>
              <w:t>工程施工质量承诺：</w:t>
            </w:r>
          </w:p>
          <w:p w14:paraId="65A2604F">
            <w:pPr>
              <w:tabs>
                <w:tab w:val="left" w:pos="312"/>
              </w:tabs>
              <w:spacing w:line="240" w:lineRule="exact"/>
              <w:rPr>
                <w:rFonts w:ascii="宋体" w:cs="Times New Roman"/>
              </w:rPr>
            </w:pPr>
            <w:r>
              <w:rPr>
                <w:rFonts w:hint="eastAsia" w:cs="宋体"/>
              </w:rPr>
              <w:t>总承包质量承诺：</w:t>
            </w:r>
          </w:p>
        </w:tc>
      </w:tr>
      <w:tr w14:paraId="41E086B5">
        <w:tblPrEx>
          <w:tblCellMar>
            <w:top w:w="0" w:type="dxa"/>
            <w:left w:w="108" w:type="dxa"/>
            <w:bottom w:w="0" w:type="dxa"/>
            <w:right w:w="108" w:type="dxa"/>
          </w:tblCellMar>
        </w:tblPrEx>
        <w:trPr>
          <w:trHeight w:val="712"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14D0E6B8">
            <w:pPr>
              <w:spacing w:line="360" w:lineRule="auto"/>
              <w:jc w:val="center"/>
            </w:pPr>
            <w:r>
              <w:rPr>
                <w:rFonts w:hint="eastAsia"/>
              </w:rPr>
              <w:t>4</w:t>
            </w:r>
          </w:p>
        </w:tc>
        <w:tc>
          <w:tcPr>
            <w:tcW w:w="3789" w:type="dxa"/>
            <w:tcBorders>
              <w:top w:val="single" w:color="000000" w:sz="4" w:space="0"/>
              <w:bottom w:val="single" w:color="000000" w:sz="4" w:space="0"/>
              <w:right w:val="single" w:color="000000" w:sz="4" w:space="0"/>
            </w:tcBorders>
            <w:vAlign w:val="center"/>
          </w:tcPr>
          <w:p w14:paraId="5C902ECF">
            <w:pPr>
              <w:spacing w:line="240" w:lineRule="exact"/>
              <w:jc w:val="center"/>
              <w:rPr>
                <w:rFonts w:cs="宋体"/>
              </w:rPr>
            </w:pPr>
            <w:r>
              <w:rPr>
                <w:rFonts w:hint="eastAsia" w:cs="宋体"/>
              </w:rPr>
              <w:t>项目负责人</w:t>
            </w:r>
          </w:p>
        </w:tc>
        <w:tc>
          <w:tcPr>
            <w:tcW w:w="4502" w:type="dxa"/>
            <w:tcBorders>
              <w:top w:val="single" w:color="000000" w:sz="4" w:space="0"/>
              <w:bottom w:val="single" w:color="000000" w:sz="4" w:space="0"/>
              <w:right w:val="single" w:color="000000" w:sz="4" w:space="0"/>
            </w:tcBorders>
            <w:vAlign w:val="center"/>
          </w:tcPr>
          <w:p w14:paraId="354D2651">
            <w:pPr>
              <w:tabs>
                <w:tab w:val="left" w:pos="312"/>
              </w:tabs>
              <w:spacing w:line="240" w:lineRule="exact"/>
              <w:rPr>
                <w:rFonts w:cs="宋体"/>
              </w:rPr>
            </w:pPr>
            <w:r>
              <w:rPr>
                <w:rFonts w:hint="eastAsia" w:cs="宋体"/>
              </w:rPr>
              <w:t>总承包项目负责人：</w:t>
            </w:r>
          </w:p>
          <w:p w14:paraId="272E7E9D">
            <w:pPr>
              <w:tabs>
                <w:tab w:val="left" w:pos="312"/>
              </w:tabs>
              <w:spacing w:line="240" w:lineRule="exact"/>
              <w:rPr>
                <w:rFonts w:cs="宋体"/>
              </w:rPr>
            </w:pPr>
            <w:r>
              <w:rPr>
                <w:rFonts w:hint="eastAsia" w:cs="宋体"/>
              </w:rPr>
              <w:t>设计负责人：</w:t>
            </w:r>
          </w:p>
          <w:p w14:paraId="3A9CE505">
            <w:pPr>
              <w:pStyle w:val="18"/>
              <w:ind w:left="420" w:hanging="420"/>
            </w:pPr>
            <w:r>
              <w:rPr>
                <w:rFonts w:hint="eastAsia" w:cs="宋体"/>
              </w:rPr>
              <w:t>施工项目负责人：</w:t>
            </w:r>
          </w:p>
        </w:tc>
      </w:tr>
      <w:tr w14:paraId="0BFCF510">
        <w:tblPrEx>
          <w:tblCellMar>
            <w:top w:w="0" w:type="dxa"/>
            <w:left w:w="108" w:type="dxa"/>
            <w:bottom w:w="0" w:type="dxa"/>
            <w:right w:w="108" w:type="dxa"/>
          </w:tblCellMar>
        </w:tblPrEx>
        <w:trPr>
          <w:trHeight w:val="974" w:hRule="exact"/>
        </w:trPr>
        <w:tc>
          <w:tcPr>
            <w:tcW w:w="1054" w:type="dxa"/>
            <w:tcBorders>
              <w:top w:val="single" w:color="000000" w:sz="4" w:space="0"/>
              <w:left w:val="single" w:color="000000" w:sz="4" w:space="0"/>
              <w:bottom w:val="single" w:color="000000" w:sz="4" w:space="0"/>
              <w:right w:val="single" w:color="000000" w:sz="4" w:space="0"/>
            </w:tcBorders>
            <w:vAlign w:val="center"/>
          </w:tcPr>
          <w:p w14:paraId="5D59964D">
            <w:pPr>
              <w:spacing w:line="360" w:lineRule="auto"/>
              <w:jc w:val="center"/>
            </w:pPr>
            <w:r>
              <w:rPr>
                <w:rFonts w:hint="eastAsia"/>
              </w:rPr>
              <w:t>5</w:t>
            </w:r>
          </w:p>
        </w:tc>
        <w:tc>
          <w:tcPr>
            <w:tcW w:w="3789" w:type="dxa"/>
            <w:tcBorders>
              <w:top w:val="single" w:color="000000" w:sz="4" w:space="0"/>
              <w:bottom w:val="single" w:color="000000" w:sz="4" w:space="0"/>
              <w:right w:val="single" w:color="000000" w:sz="4" w:space="0"/>
            </w:tcBorders>
            <w:vAlign w:val="center"/>
          </w:tcPr>
          <w:p w14:paraId="4E9388B9">
            <w:pPr>
              <w:spacing w:line="240" w:lineRule="exact"/>
              <w:jc w:val="center"/>
              <w:rPr>
                <w:rFonts w:cs="Times New Roman"/>
              </w:rPr>
            </w:pPr>
            <w:r>
              <w:rPr>
                <w:rFonts w:hint="eastAsia" w:cs="宋体"/>
              </w:rPr>
              <w:t>工期承诺</w:t>
            </w:r>
          </w:p>
        </w:tc>
        <w:tc>
          <w:tcPr>
            <w:tcW w:w="4502" w:type="dxa"/>
            <w:tcBorders>
              <w:top w:val="single" w:color="000000" w:sz="4" w:space="0"/>
              <w:bottom w:val="single" w:color="000000" w:sz="4" w:space="0"/>
              <w:right w:val="single" w:color="000000" w:sz="4" w:space="0"/>
            </w:tcBorders>
            <w:vAlign w:val="center"/>
          </w:tcPr>
          <w:p w14:paraId="5B8B7471">
            <w:pPr>
              <w:tabs>
                <w:tab w:val="left" w:pos="312"/>
              </w:tabs>
              <w:spacing w:line="240" w:lineRule="exact"/>
            </w:pPr>
            <w:r>
              <w:rPr>
                <w:rFonts w:hint="eastAsia" w:cs="宋体"/>
                <w:u w:val="single"/>
              </w:rPr>
              <w:t xml:space="preserve">   </w:t>
            </w:r>
            <w:r>
              <w:rPr>
                <w:rFonts w:hint="eastAsia" w:cs="宋体"/>
              </w:rPr>
              <w:t>日历天</w:t>
            </w:r>
          </w:p>
        </w:tc>
      </w:tr>
      <w:tr w14:paraId="46CB8535">
        <w:tblPrEx>
          <w:tblCellMar>
            <w:top w:w="0" w:type="dxa"/>
            <w:left w:w="108" w:type="dxa"/>
            <w:bottom w:w="0" w:type="dxa"/>
            <w:right w:w="108" w:type="dxa"/>
          </w:tblCellMar>
        </w:tblPrEx>
        <w:trPr>
          <w:trHeight w:val="567" w:hRule="exact"/>
        </w:trPr>
        <w:tc>
          <w:tcPr>
            <w:tcW w:w="1054" w:type="dxa"/>
            <w:tcBorders>
              <w:top w:val="single" w:color="000000" w:sz="4" w:space="0"/>
              <w:left w:val="single" w:color="000000" w:sz="4" w:space="0"/>
              <w:bottom w:val="single" w:color="000000" w:sz="4" w:space="0"/>
              <w:right w:val="single" w:color="000000" w:sz="4" w:space="0"/>
            </w:tcBorders>
            <w:vAlign w:val="center"/>
          </w:tcPr>
          <w:p w14:paraId="79A51B75">
            <w:pPr>
              <w:spacing w:line="360" w:lineRule="auto"/>
              <w:jc w:val="center"/>
            </w:pPr>
            <w:r>
              <w:rPr>
                <w:rFonts w:hint="eastAsia"/>
              </w:rPr>
              <w:t>6</w:t>
            </w:r>
          </w:p>
        </w:tc>
        <w:tc>
          <w:tcPr>
            <w:tcW w:w="3789" w:type="dxa"/>
            <w:tcBorders>
              <w:top w:val="single" w:color="000000" w:sz="4" w:space="0"/>
              <w:bottom w:val="single" w:color="000000" w:sz="4" w:space="0"/>
              <w:right w:val="single" w:color="000000" w:sz="4" w:space="0"/>
            </w:tcBorders>
            <w:vAlign w:val="center"/>
          </w:tcPr>
          <w:p w14:paraId="1E3AAF82">
            <w:pPr>
              <w:spacing w:line="240" w:lineRule="exact"/>
              <w:jc w:val="center"/>
              <w:rPr>
                <w:rFonts w:cs="Times New Roman"/>
              </w:rPr>
            </w:pPr>
            <w:r>
              <w:rPr>
                <w:rFonts w:hint="eastAsia" w:cs="宋体"/>
              </w:rPr>
              <w:t>投标保证金（元）</w:t>
            </w:r>
          </w:p>
        </w:tc>
        <w:tc>
          <w:tcPr>
            <w:tcW w:w="4502" w:type="dxa"/>
            <w:tcBorders>
              <w:top w:val="single" w:color="000000" w:sz="4" w:space="0"/>
              <w:bottom w:val="single" w:color="000000" w:sz="4" w:space="0"/>
              <w:right w:val="single" w:color="000000" w:sz="4" w:space="0"/>
            </w:tcBorders>
            <w:vAlign w:val="center"/>
          </w:tcPr>
          <w:p w14:paraId="305AF403">
            <w:pPr>
              <w:spacing w:line="240" w:lineRule="exact"/>
              <w:rPr>
                <w:rFonts w:cs="Times New Roman"/>
              </w:rPr>
            </w:pPr>
            <w:r>
              <w:rPr>
                <w:rFonts w:hint="eastAsia" w:cs="Times New Roman"/>
                <w:u w:val="single"/>
              </w:rPr>
              <w:t xml:space="preserve">      </w:t>
            </w:r>
            <w:r>
              <w:rPr>
                <w:rFonts w:hint="eastAsia" w:cs="Times New Roman"/>
              </w:rPr>
              <w:t>元</w:t>
            </w:r>
          </w:p>
        </w:tc>
      </w:tr>
      <w:tr w14:paraId="0644243E">
        <w:tblPrEx>
          <w:tblCellMar>
            <w:top w:w="0" w:type="dxa"/>
            <w:left w:w="108" w:type="dxa"/>
            <w:bottom w:w="0" w:type="dxa"/>
            <w:right w:w="108" w:type="dxa"/>
          </w:tblCellMar>
        </w:tblPrEx>
        <w:trPr>
          <w:trHeight w:val="567" w:hRule="exact"/>
        </w:trPr>
        <w:tc>
          <w:tcPr>
            <w:tcW w:w="1054" w:type="dxa"/>
            <w:tcBorders>
              <w:top w:val="single" w:color="000000" w:sz="4" w:space="0"/>
              <w:left w:val="single" w:color="000000" w:sz="4" w:space="0"/>
              <w:bottom w:val="single" w:color="000000" w:sz="4" w:space="0"/>
              <w:right w:val="single" w:color="000000" w:sz="4" w:space="0"/>
            </w:tcBorders>
            <w:vAlign w:val="center"/>
          </w:tcPr>
          <w:p w14:paraId="2FF5623B">
            <w:pPr>
              <w:spacing w:line="360" w:lineRule="auto"/>
              <w:jc w:val="center"/>
            </w:pPr>
            <w:r>
              <w:rPr>
                <w:rFonts w:hint="eastAsia"/>
              </w:rPr>
              <w:t>7</w:t>
            </w:r>
          </w:p>
        </w:tc>
        <w:tc>
          <w:tcPr>
            <w:tcW w:w="3789" w:type="dxa"/>
            <w:tcBorders>
              <w:top w:val="single" w:color="000000" w:sz="4" w:space="0"/>
              <w:bottom w:val="single" w:color="000000" w:sz="4" w:space="0"/>
              <w:right w:val="single" w:color="000000" w:sz="4" w:space="0"/>
            </w:tcBorders>
            <w:vAlign w:val="center"/>
          </w:tcPr>
          <w:p w14:paraId="58160699">
            <w:pPr>
              <w:spacing w:line="360" w:lineRule="auto"/>
              <w:jc w:val="center"/>
              <w:rPr>
                <w:rFonts w:cs="Times New Roman"/>
              </w:rPr>
            </w:pPr>
            <w:r>
              <w:rPr>
                <w:rFonts w:hint="eastAsia" w:cs="宋体"/>
              </w:rPr>
              <w:t>说明</w:t>
            </w:r>
          </w:p>
        </w:tc>
        <w:tc>
          <w:tcPr>
            <w:tcW w:w="4502" w:type="dxa"/>
            <w:tcBorders>
              <w:top w:val="single" w:color="000000" w:sz="4" w:space="0"/>
              <w:bottom w:val="single" w:color="000000" w:sz="4" w:space="0"/>
              <w:right w:val="single" w:color="000000" w:sz="4" w:space="0"/>
            </w:tcBorders>
            <w:vAlign w:val="center"/>
          </w:tcPr>
          <w:p w14:paraId="444DDEA1">
            <w:pPr>
              <w:spacing w:line="360" w:lineRule="auto"/>
              <w:rPr>
                <w:rFonts w:cs="Times New Roman"/>
              </w:rPr>
            </w:pPr>
          </w:p>
        </w:tc>
      </w:tr>
      <w:tr w14:paraId="5A210949">
        <w:tblPrEx>
          <w:tblCellMar>
            <w:top w:w="0" w:type="dxa"/>
            <w:left w:w="108" w:type="dxa"/>
            <w:bottom w:w="0" w:type="dxa"/>
            <w:right w:w="108" w:type="dxa"/>
          </w:tblCellMar>
        </w:tblPrEx>
        <w:trPr>
          <w:trHeight w:val="453" w:hRule="exact"/>
        </w:trPr>
        <w:tc>
          <w:tcPr>
            <w:tcW w:w="1054" w:type="dxa"/>
            <w:tcBorders>
              <w:top w:val="single" w:color="000000" w:sz="4" w:space="0"/>
              <w:left w:val="single" w:color="000000" w:sz="4" w:space="0"/>
              <w:bottom w:val="single" w:color="000000" w:sz="4" w:space="0"/>
              <w:right w:val="single" w:color="000000" w:sz="4" w:space="0"/>
            </w:tcBorders>
            <w:vAlign w:val="center"/>
          </w:tcPr>
          <w:p w14:paraId="40BE3B64">
            <w:pPr>
              <w:spacing w:line="360" w:lineRule="auto"/>
              <w:jc w:val="center"/>
              <w:rPr>
                <w:rFonts w:cs="Times New Roman"/>
              </w:rPr>
            </w:pPr>
          </w:p>
        </w:tc>
        <w:tc>
          <w:tcPr>
            <w:tcW w:w="3789" w:type="dxa"/>
            <w:tcBorders>
              <w:top w:val="single" w:color="000000" w:sz="4" w:space="0"/>
              <w:bottom w:val="single" w:color="000000" w:sz="4" w:space="0"/>
              <w:right w:val="single" w:color="000000" w:sz="4" w:space="0"/>
            </w:tcBorders>
            <w:vAlign w:val="center"/>
          </w:tcPr>
          <w:p w14:paraId="2DE4F30D">
            <w:pPr>
              <w:spacing w:line="360" w:lineRule="auto"/>
              <w:jc w:val="center"/>
              <w:rPr>
                <w:rFonts w:cs="Times New Roman"/>
              </w:rPr>
            </w:pPr>
          </w:p>
        </w:tc>
        <w:tc>
          <w:tcPr>
            <w:tcW w:w="4502" w:type="dxa"/>
            <w:tcBorders>
              <w:top w:val="single" w:color="000000" w:sz="4" w:space="0"/>
              <w:bottom w:val="single" w:color="000000" w:sz="4" w:space="0"/>
              <w:right w:val="single" w:color="000000" w:sz="4" w:space="0"/>
            </w:tcBorders>
            <w:vAlign w:val="center"/>
          </w:tcPr>
          <w:p w14:paraId="330BEE3F">
            <w:pPr>
              <w:spacing w:line="360" w:lineRule="auto"/>
              <w:rPr>
                <w:rFonts w:cs="Times New Roman"/>
              </w:rPr>
            </w:pPr>
          </w:p>
        </w:tc>
      </w:tr>
    </w:tbl>
    <w:p w14:paraId="1676F0ED">
      <w:pPr>
        <w:spacing w:line="300" w:lineRule="auto"/>
        <w:rPr>
          <w:rFonts w:ascii="宋体" w:cs="Times New Roman"/>
        </w:rPr>
      </w:pPr>
    </w:p>
    <w:p w14:paraId="11DF58FC">
      <w:pPr>
        <w:spacing w:line="300" w:lineRule="auto"/>
        <w:ind w:firstLine="490"/>
        <w:rPr>
          <w:rFonts w:ascii="宋体" w:cs="Times New Roman"/>
        </w:rPr>
      </w:pPr>
      <w:r>
        <w:rPr>
          <w:rFonts w:hint="eastAsia" w:ascii="宋体" w:hAnsi="宋体" w:cs="宋体"/>
        </w:rPr>
        <w:t>投标人（牵头人单位）：（电子签章）</w:t>
      </w:r>
    </w:p>
    <w:p w14:paraId="4C9F4ADC">
      <w:pPr>
        <w:spacing w:line="300" w:lineRule="auto"/>
        <w:ind w:firstLine="490"/>
        <w:rPr>
          <w:rFonts w:ascii="宋体" w:cs="Times New Roman"/>
        </w:rPr>
      </w:pPr>
    </w:p>
    <w:p w14:paraId="19305237">
      <w:pPr>
        <w:spacing w:line="300" w:lineRule="auto"/>
        <w:ind w:firstLine="490"/>
        <w:rPr>
          <w:rFonts w:ascii="宋体" w:cs="Times New Roman"/>
        </w:rPr>
      </w:pPr>
      <w:r>
        <w:rPr>
          <w:rFonts w:hint="eastAsia" w:ascii="宋体" w:hAnsi="宋体" w:cs="宋体"/>
        </w:rPr>
        <w:t>法定代表人或</w:t>
      </w:r>
      <w:r>
        <w:rPr>
          <w:rFonts w:hint="eastAsia" w:cs="宋体"/>
        </w:rPr>
        <w:t>其委托代理人</w:t>
      </w:r>
      <w:r>
        <w:rPr>
          <w:rFonts w:hint="eastAsia" w:ascii="宋体" w:hAnsi="宋体" w:cs="宋体"/>
        </w:rPr>
        <w:t>：（电子签章）</w:t>
      </w:r>
    </w:p>
    <w:p w14:paraId="7E44B428">
      <w:pPr>
        <w:spacing w:line="300" w:lineRule="auto"/>
        <w:ind w:firstLine="490"/>
        <w:rPr>
          <w:rFonts w:ascii="宋体" w:cs="Times New Roman"/>
        </w:rPr>
      </w:pPr>
    </w:p>
    <w:p w14:paraId="5E227C6D">
      <w:pPr>
        <w:spacing w:line="300" w:lineRule="auto"/>
        <w:ind w:firstLine="490"/>
        <w:rPr>
          <w:rFonts w:hint="eastAsia" w:ascii="宋体" w:hAnsi="宋体" w:cs="宋体"/>
        </w:rPr>
      </w:pPr>
      <w:bookmarkStart w:id="1923" w:name="_Toc45897174"/>
      <w:r>
        <w:rPr>
          <w:rFonts w:hint="eastAsia" w:ascii="宋体" w:hAnsi="宋体" w:cs="宋体"/>
        </w:rPr>
        <w:t>日期：</w:t>
      </w:r>
    </w:p>
    <w:p w14:paraId="544CEFAA">
      <w:pPr>
        <w:pStyle w:val="13"/>
        <w:rPr>
          <w:rFonts w:hint="eastAsia" w:hAnsi="宋体" w:cs="宋体"/>
        </w:rPr>
      </w:pPr>
    </w:p>
    <w:p w14:paraId="475EECF9">
      <w:pPr>
        <w:rPr>
          <w:rFonts w:hint="eastAsia" w:ascii="宋体" w:hAnsi="宋体" w:cs="宋体"/>
        </w:rPr>
      </w:pPr>
    </w:p>
    <w:p w14:paraId="65170D40">
      <w:pPr>
        <w:pStyle w:val="13"/>
        <w:rPr>
          <w:rFonts w:hint="eastAsia" w:hAnsi="宋体" w:cs="宋体"/>
        </w:rPr>
      </w:pPr>
    </w:p>
    <w:p w14:paraId="4972B77A">
      <w:pPr>
        <w:rPr>
          <w:rFonts w:hint="eastAsia" w:ascii="宋体" w:hAnsi="宋体" w:cs="宋体"/>
        </w:rPr>
      </w:pPr>
    </w:p>
    <w:p w14:paraId="338EE477">
      <w:pPr>
        <w:pStyle w:val="13"/>
        <w:rPr>
          <w:rFonts w:hint="eastAsia" w:hAnsi="宋体" w:cs="宋体"/>
        </w:rPr>
      </w:pPr>
    </w:p>
    <w:p w14:paraId="34334D7C">
      <w:pPr>
        <w:rPr>
          <w:rFonts w:hint="eastAsia" w:ascii="宋体" w:hAnsi="宋体" w:cs="宋体"/>
        </w:rPr>
      </w:pPr>
    </w:p>
    <w:p w14:paraId="0A4F44CE">
      <w:pPr>
        <w:pStyle w:val="13"/>
        <w:rPr>
          <w:rFonts w:hint="eastAsia" w:hAnsi="宋体" w:cs="宋体"/>
        </w:rPr>
      </w:pPr>
    </w:p>
    <w:p w14:paraId="12AD9A0B">
      <w:pPr>
        <w:rPr>
          <w:rFonts w:hint="eastAsia" w:ascii="宋体" w:hAnsi="宋体" w:cs="宋体"/>
        </w:rPr>
      </w:pPr>
    </w:p>
    <w:p w14:paraId="35593FE7">
      <w:pPr>
        <w:pStyle w:val="28"/>
        <w:rPr>
          <w:rFonts w:hint="eastAsia"/>
        </w:rPr>
      </w:pPr>
    </w:p>
    <w:p w14:paraId="290844E5">
      <w:pPr>
        <w:pStyle w:val="13"/>
        <w:rPr>
          <w:rFonts w:hint="eastAsia" w:hAnsi="宋体" w:cs="宋体"/>
        </w:rPr>
      </w:pPr>
    </w:p>
    <w:p w14:paraId="45E642DF">
      <w:pPr>
        <w:rPr>
          <w:rFonts w:hint="eastAsia" w:ascii="宋体" w:hAnsi="宋体" w:cs="宋体"/>
        </w:rPr>
      </w:pPr>
    </w:p>
    <w:p w14:paraId="3D1477EB">
      <w:pPr>
        <w:pStyle w:val="6"/>
        <w:ind w:firstLine="480"/>
      </w:pPr>
    </w:p>
    <w:p w14:paraId="5C22826C">
      <w:pPr>
        <w:pStyle w:val="13"/>
        <w:rPr>
          <w:rFonts w:hint="eastAsia" w:hAnsi="宋体" w:cs="宋体"/>
        </w:rPr>
      </w:pPr>
    </w:p>
    <w:p w14:paraId="2E557ED0">
      <w:pPr>
        <w:pStyle w:val="28"/>
        <w:ind w:firstLine="0"/>
        <w:rPr>
          <w:rFonts w:hint="eastAsia"/>
        </w:rPr>
      </w:pPr>
    </w:p>
    <w:p w14:paraId="592CA1F3">
      <w:pPr>
        <w:rPr>
          <w:rFonts w:hint="eastAsia" w:ascii="宋体" w:hAnsi="宋体" w:cs="宋体"/>
          <w:b/>
          <w:bCs/>
          <w:sz w:val="30"/>
          <w:szCs w:val="30"/>
        </w:rPr>
      </w:pPr>
      <w:bookmarkStart w:id="1924" w:name="_Toc14848"/>
      <w:bookmarkEnd w:id="1924"/>
      <w:r>
        <w:rPr>
          <w:rFonts w:hint="eastAsia" w:ascii="宋体" w:hAnsi="宋体" w:cs="宋体"/>
          <w:b/>
          <w:bCs/>
          <w:sz w:val="30"/>
          <w:szCs w:val="30"/>
        </w:rPr>
        <w:br w:type="page"/>
      </w:r>
    </w:p>
    <w:p w14:paraId="0E20220C">
      <w:pPr>
        <w:jc w:val="center"/>
        <w:rPr>
          <w:rFonts w:hint="eastAsia" w:ascii="宋体" w:hAnsi="宋体" w:cs="宋体"/>
          <w:b/>
          <w:bCs/>
          <w:sz w:val="30"/>
          <w:szCs w:val="30"/>
        </w:rPr>
      </w:pPr>
      <w:r>
        <w:rPr>
          <w:rFonts w:hint="eastAsia" w:ascii="宋体" w:hAnsi="宋体" w:cs="宋体"/>
          <w:b/>
          <w:bCs/>
          <w:sz w:val="30"/>
          <w:szCs w:val="30"/>
        </w:rPr>
        <w:t>目录</w:t>
      </w:r>
    </w:p>
    <w:p w14:paraId="0325B664">
      <w:pPr>
        <w:jc w:val="center"/>
        <w:rPr>
          <w:rFonts w:hint="eastAsia" w:ascii="宋体" w:hAnsi="宋体" w:cs="宋体"/>
          <w:b/>
          <w:bCs/>
          <w:sz w:val="30"/>
          <w:szCs w:val="30"/>
        </w:rPr>
      </w:pPr>
      <w:r>
        <w:rPr>
          <w:rFonts w:hint="eastAsia" w:ascii="宋体" w:hAnsi="宋体" w:cs="宋体"/>
          <w:b/>
          <w:bCs/>
          <w:sz w:val="30"/>
          <w:szCs w:val="30"/>
        </w:rPr>
        <w:t>（格式自拟）</w:t>
      </w:r>
    </w:p>
    <w:p w14:paraId="027A49CA">
      <w:pPr>
        <w:rPr>
          <w:rFonts w:hint="eastAsia" w:ascii="宋体" w:hAnsi="宋体" w:cs="宋体"/>
          <w:b/>
          <w:bCs/>
          <w:sz w:val="30"/>
          <w:szCs w:val="30"/>
        </w:rPr>
      </w:pPr>
      <w:r>
        <w:rPr>
          <w:rFonts w:hint="eastAsia" w:ascii="宋体" w:hAnsi="宋体" w:cs="宋体"/>
          <w:b/>
          <w:bCs/>
          <w:sz w:val="30"/>
          <w:szCs w:val="30"/>
        </w:rPr>
        <w:br w:type="page"/>
      </w:r>
    </w:p>
    <w:p w14:paraId="5E4E073B">
      <w:pPr>
        <w:pStyle w:val="49"/>
        <w:snapToGrid w:val="0"/>
        <w:spacing w:before="157" w:beforeLines="50" w:after="314" w:afterLines="100" w:line="360" w:lineRule="auto"/>
        <w:ind w:left="0" w:firstLine="0"/>
        <w:jc w:val="center"/>
        <w:outlineLvl w:val="2"/>
        <w:rPr>
          <w:b/>
          <w:bCs/>
          <w:sz w:val="30"/>
          <w:szCs w:val="30"/>
        </w:rPr>
      </w:pPr>
      <w:r>
        <w:rPr>
          <w:rFonts w:hint="eastAsia" w:ascii="宋体" w:hAnsi="宋体" w:cs="宋体"/>
          <w:b/>
          <w:bCs/>
          <w:sz w:val="30"/>
          <w:szCs w:val="30"/>
        </w:rPr>
        <w:t xml:space="preserve">第一部分 </w:t>
      </w:r>
      <w:r>
        <w:rPr>
          <w:rFonts w:hint="eastAsia"/>
          <w:b/>
          <w:bCs/>
          <w:sz w:val="30"/>
          <w:szCs w:val="30"/>
        </w:rPr>
        <w:t xml:space="preserve"> 投标函部分</w:t>
      </w:r>
    </w:p>
    <w:p w14:paraId="50829627">
      <w:pPr>
        <w:pStyle w:val="49"/>
        <w:snapToGrid w:val="0"/>
        <w:spacing w:line="360" w:lineRule="auto"/>
        <w:ind w:left="0" w:firstLine="0"/>
        <w:outlineLvl w:val="3"/>
        <w:rPr>
          <w:b/>
          <w:bCs/>
          <w:sz w:val="30"/>
          <w:szCs w:val="30"/>
        </w:rPr>
      </w:pPr>
      <w:bookmarkStart w:id="1925" w:name="_Toc8937"/>
      <w:bookmarkEnd w:id="1925"/>
      <w:bookmarkStart w:id="1926" w:name="_Toc28406"/>
      <w:bookmarkEnd w:id="1926"/>
      <w:r>
        <w:rPr>
          <w:rFonts w:hint="eastAsia"/>
          <w:b/>
          <w:bCs/>
          <w:sz w:val="30"/>
          <w:szCs w:val="30"/>
        </w:rPr>
        <w:t>一、投标函及附录</w:t>
      </w:r>
    </w:p>
    <w:p w14:paraId="6A4348BD">
      <w:pPr>
        <w:pStyle w:val="50"/>
        <w:numPr>
          <w:ilvl w:val="2"/>
          <w:numId w:val="9"/>
        </w:numPr>
        <w:snapToGrid w:val="0"/>
        <w:spacing w:line="360" w:lineRule="auto"/>
        <w:ind w:left="1" w:firstLine="0"/>
        <w:jc w:val="center"/>
        <w:outlineLvl w:val="4"/>
        <w:rPr>
          <w:rFonts w:cs="Times New Roman"/>
          <w:b/>
          <w:bCs/>
          <w:sz w:val="28"/>
          <w:szCs w:val="28"/>
        </w:rPr>
      </w:pPr>
      <w:r>
        <w:rPr>
          <w:rFonts w:hint="eastAsia" w:cs="宋体"/>
          <w:b/>
          <w:bCs/>
          <w:sz w:val="28"/>
          <w:szCs w:val="28"/>
        </w:rPr>
        <w:t>投标函</w:t>
      </w:r>
    </w:p>
    <w:p w14:paraId="3A54A429">
      <w:pPr>
        <w:adjustRightInd w:val="0"/>
        <w:snapToGrid w:val="0"/>
        <w:spacing w:line="360" w:lineRule="auto"/>
        <w:ind w:firstLine="420" w:firstLineChars="200"/>
        <w:rPr>
          <w:rFonts w:ascii="宋体" w:cs="Times New Roman"/>
        </w:rPr>
      </w:pPr>
    </w:p>
    <w:p w14:paraId="2CD96538">
      <w:pPr>
        <w:spacing w:line="440" w:lineRule="exact"/>
        <w:rPr>
          <w:rFonts w:cs="Times New Roman"/>
        </w:rPr>
      </w:pPr>
      <w:r>
        <w:rPr>
          <w:rFonts w:hint="eastAsia" w:cs="宋体"/>
        </w:rPr>
        <w:t>（招标人名称）：</w:t>
      </w:r>
    </w:p>
    <w:p w14:paraId="136D613E">
      <w:pPr>
        <w:spacing w:line="440" w:lineRule="exact"/>
        <w:ind w:left="105" w:leftChars="50" w:firstLine="315" w:firstLineChars="150"/>
        <w:rPr>
          <w:rFonts w:ascii="宋体" w:cs="Times New Roman"/>
        </w:rPr>
      </w:pPr>
      <w:r>
        <w:rPr>
          <w:rFonts w:hint="eastAsia"/>
        </w:rPr>
        <w:t>1.</w:t>
      </w:r>
      <w:r>
        <w:rPr>
          <w:rFonts w:hint="eastAsia" w:cs="宋体"/>
        </w:rPr>
        <w:t>我方已仔细研究了</w:t>
      </w:r>
      <w:r>
        <w:rPr>
          <w:rFonts w:hint="eastAsia" w:cs="宋体"/>
          <w:u w:val="single"/>
        </w:rPr>
        <w:t xml:space="preserve">（项目名称） </w:t>
      </w:r>
      <w:r>
        <w:rPr>
          <w:rFonts w:hint="eastAsia" w:cs="宋体"/>
        </w:rPr>
        <w:t>招标文件的全部内容，愿意以</w:t>
      </w:r>
      <w:r>
        <w:rPr>
          <w:rFonts w:hint="eastAsia" w:ascii="宋体" w:hAnsi="宋体" w:cs="宋体"/>
        </w:rPr>
        <w:t>工程设计费投标报价：</w:t>
      </w:r>
      <w:r>
        <w:rPr>
          <w:rFonts w:hint="eastAsia" w:ascii="宋体" w:hAnsi="宋体" w:cs="宋体"/>
          <w:u w:val="single"/>
        </w:rPr>
        <w:t xml:space="preserve">   </w:t>
      </w:r>
      <w:r>
        <w:rPr>
          <w:rFonts w:hint="eastAsia" w:ascii="宋体" w:hAnsi="宋体" w:cs="宋体"/>
        </w:rPr>
        <w:t>元，建安工程费下浮率投标报价</w:t>
      </w:r>
      <w:r>
        <w:rPr>
          <w:rFonts w:hint="eastAsia" w:ascii="宋体" w:hAnsi="宋体" w:cs="宋体"/>
          <w:u w:val="single"/>
        </w:rPr>
        <w:t xml:space="preserve">   </w:t>
      </w:r>
      <w:r>
        <w:rPr>
          <w:rFonts w:ascii="宋体" w:hAnsi="宋体" w:cs="宋体"/>
        </w:rPr>
        <w:t>%</w:t>
      </w:r>
      <w:r>
        <w:rPr>
          <w:rFonts w:hint="eastAsia" w:ascii="宋体" w:hAnsi="宋体" w:cs="宋体"/>
        </w:rPr>
        <w:t>，总工期</w:t>
      </w:r>
      <w:r>
        <w:rPr>
          <w:rFonts w:ascii="宋体" w:hAnsi="宋体" w:cs="宋体"/>
        </w:rPr>
        <w:t>______</w:t>
      </w:r>
      <w:r>
        <w:rPr>
          <w:rFonts w:hint="eastAsia" w:ascii="宋体" w:hAnsi="宋体" w:cs="宋体"/>
        </w:rPr>
        <w:t>日历天，</w:t>
      </w:r>
      <w:r>
        <w:rPr>
          <w:rFonts w:hint="eastAsia" w:cs="宋体"/>
        </w:rPr>
        <w:t>按合同约定进行设计、施工总承包工程，修补工程中的任何缺陷，工程设计质量达到</w:t>
      </w:r>
      <w:r>
        <w:rPr>
          <w:rFonts w:ascii="宋体" w:hAnsi="宋体" w:cs="宋体"/>
        </w:rPr>
        <w:t>______</w:t>
      </w:r>
      <w:r>
        <w:rPr>
          <w:rFonts w:hint="eastAsia" w:ascii="宋体" w:hAnsi="宋体" w:cs="宋体"/>
        </w:rPr>
        <w:t>，</w:t>
      </w:r>
      <w:r>
        <w:rPr>
          <w:rFonts w:hint="eastAsia" w:cs="宋体"/>
        </w:rPr>
        <w:t>工程施工质量达到</w:t>
      </w:r>
      <w:r>
        <w:rPr>
          <w:rFonts w:hint="eastAsia" w:cs="宋体"/>
          <w:u w:val="single"/>
        </w:rPr>
        <w:t xml:space="preserve">    </w:t>
      </w:r>
      <w:r>
        <w:rPr>
          <w:rFonts w:hint="eastAsia" w:cs="宋体"/>
        </w:rPr>
        <w:t>，</w:t>
      </w:r>
      <w:r>
        <w:rPr>
          <w:rFonts w:hint="eastAsia" w:cs="宋体"/>
          <w:bCs/>
        </w:rPr>
        <w:t>总承包质量</w:t>
      </w:r>
      <w:r>
        <w:rPr>
          <w:rFonts w:hint="eastAsia" w:cs="宋体"/>
          <w:bCs/>
          <w:u w:val="single"/>
        </w:rPr>
        <w:t xml:space="preserve">    </w:t>
      </w:r>
      <w:r>
        <w:rPr>
          <w:rFonts w:hint="eastAsia" w:cs="宋体"/>
          <w:bCs/>
        </w:rPr>
        <w:t>。</w:t>
      </w:r>
    </w:p>
    <w:p w14:paraId="19709E49">
      <w:pPr>
        <w:spacing w:line="440" w:lineRule="exact"/>
        <w:ind w:firstLine="420" w:firstLineChars="200"/>
        <w:rPr>
          <w:rFonts w:cs="Times New Roman"/>
        </w:rPr>
      </w:pPr>
      <w:r>
        <w:rPr>
          <w:rFonts w:hint="eastAsia"/>
        </w:rPr>
        <w:t>2.</w:t>
      </w:r>
      <w:r>
        <w:rPr>
          <w:rFonts w:hint="eastAsia" w:cs="宋体"/>
        </w:rPr>
        <w:t>我方承诺在招标文件规定的投标有效期内不修改、撤销投标文件。</w:t>
      </w:r>
    </w:p>
    <w:p w14:paraId="05DD9112">
      <w:pPr>
        <w:spacing w:line="440" w:lineRule="exact"/>
        <w:ind w:firstLine="420" w:firstLineChars="200"/>
        <w:rPr>
          <w:rFonts w:cs="Times New Roman"/>
        </w:rPr>
      </w:pPr>
      <w:r>
        <w:rPr>
          <w:rFonts w:hint="eastAsia"/>
        </w:rPr>
        <w:t>3.</w:t>
      </w:r>
      <w:r>
        <w:rPr>
          <w:rFonts w:hint="eastAsia" w:cs="宋体"/>
        </w:rPr>
        <w:t>随同本投标函提交投标保证金一份，金额为人民币（大写）</w:t>
      </w:r>
      <w:r>
        <w:rPr>
          <w:rFonts w:hint="eastAsia" w:cs="宋体"/>
          <w:u w:val="single"/>
        </w:rPr>
        <w:t xml:space="preserve">   </w:t>
      </w:r>
      <w:r>
        <w:rPr>
          <w:rFonts w:hint="eastAsia" w:cs="宋体"/>
        </w:rPr>
        <w:t>（</w:t>
      </w:r>
      <w:r>
        <w:t>¥</w:t>
      </w:r>
      <w:r>
        <w:rPr>
          <w:rFonts w:hint="eastAsia" w:cs="宋体"/>
        </w:rPr>
        <w:t>）</w:t>
      </w:r>
      <w:r>
        <w:rPr>
          <w:rFonts w:hint="eastAsia" w:cs="宋体"/>
          <w:u w:val="single"/>
        </w:rPr>
        <w:t xml:space="preserve">     </w:t>
      </w:r>
      <w:r>
        <w:rPr>
          <w:rFonts w:hint="eastAsia" w:cs="宋体"/>
        </w:rPr>
        <w:t>。</w:t>
      </w:r>
    </w:p>
    <w:p w14:paraId="68749620">
      <w:pPr>
        <w:spacing w:line="440" w:lineRule="exact"/>
        <w:ind w:firstLine="420" w:firstLineChars="200"/>
        <w:outlineLvl w:val="5"/>
        <w:rPr>
          <w:rFonts w:cs="Times New Roman"/>
        </w:rPr>
      </w:pPr>
      <w:r>
        <w:rPr>
          <w:rFonts w:hint="eastAsia"/>
        </w:rPr>
        <w:t>4.</w:t>
      </w:r>
      <w:r>
        <w:rPr>
          <w:rFonts w:hint="eastAsia" w:cs="宋体"/>
        </w:rPr>
        <w:t>如我方中标：</w:t>
      </w:r>
    </w:p>
    <w:p w14:paraId="6E488FA0">
      <w:pPr>
        <w:spacing w:line="440" w:lineRule="exact"/>
        <w:ind w:firstLine="718" w:firstLineChars="342"/>
        <w:rPr>
          <w:rFonts w:cs="Times New Roman"/>
        </w:rPr>
      </w:pPr>
      <w:r>
        <w:rPr>
          <w:rFonts w:hint="eastAsia" w:cs="宋体"/>
        </w:rPr>
        <w:t>（</w:t>
      </w:r>
      <w:r>
        <w:t>1</w:t>
      </w:r>
      <w:r>
        <w:rPr>
          <w:rFonts w:hint="eastAsia" w:cs="宋体"/>
        </w:rPr>
        <w:t>）我方承诺在收到中标通知书后，在中标通知书规定的期限内与你方签订合同。</w:t>
      </w:r>
    </w:p>
    <w:p w14:paraId="2FB28D69">
      <w:pPr>
        <w:spacing w:line="440" w:lineRule="exact"/>
        <w:ind w:firstLine="718" w:firstLineChars="342"/>
        <w:rPr>
          <w:rFonts w:cs="Times New Roman"/>
        </w:rPr>
      </w:pPr>
      <w:r>
        <w:rPr>
          <w:rFonts w:hint="eastAsia" w:cs="宋体"/>
        </w:rPr>
        <w:t>（</w:t>
      </w:r>
      <w:r>
        <w:t>2</w:t>
      </w:r>
      <w:r>
        <w:rPr>
          <w:rFonts w:hint="eastAsia" w:cs="宋体"/>
        </w:rPr>
        <w:t>）随同本投标函递交的投标函附录属于合同文件的组成部分。</w:t>
      </w:r>
    </w:p>
    <w:p w14:paraId="22E8F4BF">
      <w:pPr>
        <w:spacing w:line="440" w:lineRule="exact"/>
        <w:ind w:firstLine="718" w:firstLineChars="342"/>
        <w:rPr>
          <w:rFonts w:cs="Times New Roman"/>
        </w:rPr>
      </w:pPr>
      <w:r>
        <w:rPr>
          <w:rFonts w:hint="eastAsia" w:cs="宋体"/>
        </w:rPr>
        <w:t>（</w:t>
      </w:r>
      <w:r>
        <w:t>3</w:t>
      </w:r>
      <w:r>
        <w:rPr>
          <w:rFonts w:hint="eastAsia" w:cs="宋体"/>
        </w:rPr>
        <w:t>）我方承诺按照招标文件规定向你方递交履约担保。</w:t>
      </w:r>
    </w:p>
    <w:p w14:paraId="593231D2">
      <w:pPr>
        <w:spacing w:line="440" w:lineRule="exact"/>
        <w:ind w:firstLine="718" w:firstLineChars="342"/>
        <w:rPr>
          <w:rFonts w:cs="Times New Roman"/>
        </w:rPr>
      </w:pPr>
      <w:r>
        <w:rPr>
          <w:rFonts w:hint="eastAsia" w:cs="宋体"/>
        </w:rPr>
        <w:t>（</w:t>
      </w:r>
      <w:r>
        <w:t>4</w:t>
      </w:r>
      <w:r>
        <w:rPr>
          <w:rFonts w:hint="eastAsia" w:cs="宋体"/>
        </w:rPr>
        <w:t>）我方承诺在合同约定的期限内保质保量完成并移交全部合同工程，否则按我方违约承担一切责任。</w:t>
      </w:r>
    </w:p>
    <w:p w14:paraId="09E69374">
      <w:pPr>
        <w:spacing w:line="440" w:lineRule="exact"/>
        <w:ind w:firstLine="420" w:firstLineChars="200"/>
        <w:rPr>
          <w:rFonts w:cs="Times New Roman"/>
        </w:rPr>
      </w:pPr>
      <w:r>
        <w:rPr>
          <w:rFonts w:hint="eastAsia"/>
        </w:rPr>
        <w:t>5.</w:t>
      </w:r>
      <w:r>
        <w:rPr>
          <w:rFonts w:hint="eastAsia" w:cs="宋体"/>
        </w:rPr>
        <w:t>我方在此声明，所递交的投标文件及有关资料内容完整、真实和准确，且不存在第二章“投标人须知”第</w:t>
      </w:r>
      <w:r>
        <w:t>1.4.3</w:t>
      </w:r>
      <w:r>
        <w:rPr>
          <w:rFonts w:hint="eastAsia" w:cs="宋体"/>
        </w:rPr>
        <w:t>项和第</w:t>
      </w:r>
      <w:r>
        <w:t>1.4.4</w:t>
      </w:r>
      <w:r>
        <w:rPr>
          <w:rFonts w:hint="eastAsia" w:cs="宋体"/>
        </w:rPr>
        <w:t>项规定的任何一种情形。</w:t>
      </w:r>
    </w:p>
    <w:p w14:paraId="5737A9AF">
      <w:pPr>
        <w:spacing w:line="440" w:lineRule="exact"/>
        <w:ind w:firstLine="420" w:firstLineChars="200"/>
        <w:rPr>
          <w:rFonts w:cs="Times New Roman"/>
        </w:rPr>
      </w:pPr>
      <w:r>
        <w:rPr>
          <w:rFonts w:hint="eastAsia"/>
        </w:rPr>
        <w:t>6.</w:t>
      </w:r>
      <w:r>
        <w:rPr>
          <w:rFonts w:hint="eastAsia" w:cs="宋体"/>
        </w:rPr>
        <w:t>（其他补充说明）。</w:t>
      </w:r>
    </w:p>
    <w:p w14:paraId="1CE5F3C7">
      <w:pPr>
        <w:spacing w:line="440" w:lineRule="exact"/>
        <w:ind w:firstLine="3675" w:firstLineChars="1750"/>
        <w:rPr>
          <w:rFonts w:cs="宋体"/>
        </w:rPr>
      </w:pPr>
    </w:p>
    <w:p w14:paraId="1CEDC6AD">
      <w:pPr>
        <w:spacing w:line="440" w:lineRule="exact"/>
        <w:ind w:firstLine="3675" w:firstLineChars="1750"/>
        <w:outlineLvl w:val="4"/>
        <w:rPr>
          <w:rFonts w:cs="Times New Roman"/>
        </w:rPr>
      </w:pPr>
      <w:r>
        <w:rPr>
          <w:rFonts w:hint="eastAsia" w:cs="宋体"/>
        </w:rPr>
        <w:t>投标人</w:t>
      </w:r>
      <w:r>
        <w:rPr>
          <w:rFonts w:hint="eastAsia" w:ascii="宋体" w:hAnsi="宋体" w:cs="宋体"/>
        </w:rPr>
        <w:t>（牵头人单位）</w:t>
      </w:r>
      <w:r>
        <w:rPr>
          <w:rFonts w:hint="eastAsia" w:cs="宋体"/>
        </w:rPr>
        <w:t>：</w:t>
      </w:r>
      <w:r>
        <w:rPr>
          <w:rFonts w:hint="eastAsia" w:ascii="宋体" w:hAnsi="宋体" w:cs="宋体"/>
        </w:rPr>
        <w:t>（电子签章）</w:t>
      </w:r>
    </w:p>
    <w:p w14:paraId="6DF423F8">
      <w:pPr>
        <w:spacing w:line="440" w:lineRule="exact"/>
        <w:ind w:firstLine="3675" w:firstLineChars="1750"/>
        <w:rPr>
          <w:rFonts w:cs="Times New Roman"/>
        </w:rPr>
      </w:pPr>
      <w:r>
        <w:rPr>
          <w:rFonts w:hint="eastAsia" w:cs="宋体"/>
        </w:rPr>
        <w:t>法定代表人或其委托代理人：</w:t>
      </w:r>
      <w:r>
        <w:rPr>
          <w:rFonts w:hint="eastAsia" w:ascii="宋体" w:hAnsi="宋体" w:cs="宋体"/>
        </w:rPr>
        <w:t>（电子签章）</w:t>
      </w:r>
    </w:p>
    <w:p w14:paraId="17D550FA">
      <w:pPr>
        <w:spacing w:line="440" w:lineRule="exact"/>
        <w:ind w:firstLine="3675" w:firstLineChars="1750"/>
        <w:rPr>
          <w:rFonts w:cs="Times New Roman"/>
        </w:rPr>
      </w:pPr>
      <w:r>
        <w:rPr>
          <w:rFonts w:hint="eastAsia" w:cs="宋体"/>
        </w:rPr>
        <w:t>地址：</w:t>
      </w:r>
    </w:p>
    <w:p w14:paraId="7B3F514A">
      <w:pPr>
        <w:spacing w:line="440" w:lineRule="exact"/>
        <w:ind w:firstLine="3675" w:firstLineChars="1750"/>
        <w:rPr>
          <w:rFonts w:cs="Times New Roman"/>
        </w:rPr>
      </w:pPr>
      <w:r>
        <w:rPr>
          <w:rFonts w:hint="eastAsia" w:cs="宋体"/>
        </w:rPr>
        <w:t>网址：</w:t>
      </w:r>
    </w:p>
    <w:p w14:paraId="07775AF2">
      <w:pPr>
        <w:spacing w:line="440" w:lineRule="exact"/>
        <w:ind w:firstLine="3675" w:firstLineChars="1750"/>
        <w:rPr>
          <w:rFonts w:cs="Times New Roman"/>
        </w:rPr>
      </w:pPr>
      <w:r>
        <w:rPr>
          <w:rFonts w:hint="eastAsia" w:cs="宋体"/>
        </w:rPr>
        <w:t>电话：</w:t>
      </w:r>
    </w:p>
    <w:p w14:paraId="7A116FDC">
      <w:pPr>
        <w:spacing w:line="440" w:lineRule="exact"/>
        <w:ind w:firstLine="3675" w:firstLineChars="1750"/>
        <w:rPr>
          <w:rFonts w:cs="Times New Roman"/>
        </w:rPr>
      </w:pPr>
      <w:r>
        <w:rPr>
          <w:rFonts w:hint="eastAsia" w:cs="宋体"/>
        </w:rPr>
        <w:t>传真：</w:t>
      </w:r>
    </w:p>
    <w:p w14:paraId="462E6B60">
      <w:pPr>
        <w:spacing w:line="440" w:lineRule="exact"/>
        <w:ind w:firstLine="3675" w:firstLineChars="1750"/>
        <w:rPr>
          <w:rFonts w:cs="Times New Roman"/>
        </w:rPr>
      </w:pPr>
      <w:r>
        <w:rPr>
          <w:rFonts w:hint="eastAsia" w:cs="宋体"/>
        </w:rPr>
        <w:t>邮政编码：</w:t>
      </w:r>
    </w:p>
    <w:p w14:paraId="42A32553">
      <w:pPr>
        <w:spacing w:line="440" w:lineRule="exact"/>
        <w:ind w:firstLine="4725" w:firstLineChars="2250"/>
        <w:rPr>
          <w:rFonts w:cs="Times New Roman"/>
        </w:rPr>
      </w:pPr>
      <w:r>
        <w:rPr>
          <w:rFonts w:hint="eastAsia" w:cs="宋体"/>
        </w:rPr>
        <w:t>年  月  日</w:t>
      </w:r>
    </w:p>
    <w:p w14:paraId="3406868C">
      <w:pPr>
        <w:pStyle w:val="50"/>
        <w:numPr>
          <w:ilvl w:val="2"/>
          <w:numId w:val="9"/>
        </w:numPr>
        <w:snapToGrid w:val="0"/>
        <w:spacing w:after="157" w:afterLines="50" w:line="360" w:lineRule="auto"/>
        <w:ind w:left="1" w:firstLine="0"/>
        <w:jc w:val="center"/>
        <w:outlineLvl w:val="4"/>
        <w:rPr>
          <w:rFonts w:cs="Times New Roman"/>
          <w:b/>
          <w:bCs/>
          <w:sz w:val="28"/>
          <w:szCs w:val="28"/>
        </w:rPr>
      </w:pPr>
      <w:r>
        <w:rPr>
          <w:rFonts w:cs="Times New Roman"/>
        </w:rPr>
        <w:br w:type="page"/>
      </w:r>
      <w:r>
        <w:rPr>
          <w:rFonts w:hint="eastAsia" w:cs="宋体"/>
          <w:b/>
          <w:bCs/>
          <w:sz w:val="28"/>
          <w:szCs w:val="28"/>
        </w:rPr>
        <w:t>投标函附录</w:t>
      </w:r>
    </w:p>
    <w:tbl>
      <w:tblPr>
        <w:tblStyle w:val="25"/>
        <w:tblW w:w="85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593"/>
        <w:gridCol w:w="3350"/>
        <w:gridCol w:w="1895"/>
      </w:tblGrid>
      <w:tr w14:paraId="40A253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tcBorders>
              <w:top w:val="single" w:color="auto" w:sz="12" w:space="0"/>
            </w:tcBorders>
            <w:vAlign w:val="center"/>
          </w:tcPr>
          <w:p w14:paraId="1516D8F0">
            <w:pPr>
              <w:snapToGrid w:val="0"/>
              <w:jc w:val="center"/>
              <w:rPr>
                <w:rFonts w:ascii="宋体" w:cs="Times New Roman"/>
              </w:rPr>
            </w:pPr>
            <w:r>
              <w:rPr>
                <w:rFonts w:hint="eastAsia" w:ascii="宋体" w:hAnsi="宋体" w:cs="宋体"/>
              </w:rPr>
              <w:t>序号</w:t>
            </w:r>
          </w:p>
        </w:tc>
        <w:tc>
          <w:tcPr>
            <w:tcW w:w="2593" w:type="dxa"/>
            <w:tcBorders>
              <w:top w:val="single" w:color="auto" w:sz="12" w:space="0"/>
            </w:tcBorders>
            <w:vAlign w:val="center"/>
          </w:tcPr>
          <w:p w14:paraId="2579380B">
            <w:pPr>
              <w:snapToGrid w:val="0"/>
              <w:jc w:val="center"/>
              <w:rPr>
                <w:rFonts w:ascii="宋体" w:cs="Times New Roman"/>
              </w:rPr>
            </w:pPr>
            <w:r>
              <w:rPr>
                <w:rFonts w:hint="eastAsia" w:ascii="宋体" w:hAnsi="宋体" w:cs="宋体"/>
              </w:rPr>
              <w:t>名  称</w:t>
            </w:r>
          </w:p>
        </w:tc>
        <w:tc>
          <w:tcPr>
            <w:tcW w:w="3350" w:type="dxa"/>
            <w:tcBorders>
              <w:top w:val="single" w:color="auto" w:sz="12" w:space="0"/>
            </w:tcBorders>
            <w:vAlign w:val="center"/>
          </w:tcPr>
          <w:p w14:paraId="066D0018">
            <w:pPr>
              <w:snapToGrid w:val="0"/>
              <w:jc w:val="center"/>
              <w:rPr>
                <w:rFonts w:ascii="宋体" w:cs="Times New Roman"/>
              </w:rPr>
            </w:pPr>
            <w:r>
              <w:rPr>
                <w:rFonts w:hint="eastAsia" w:ascii="宋体" w:hAnsi="宋体" w:cs="宋体"/>
              </w:rPr>
              <w:t>约定内容</w:t>
            </w:r>
          </w:p>
        </w:tc>
        <w:tc>
          <w:tcPr>
            <w:tcW w:w="1895" w:type="dxa"/>
            <w:tcBorders>
              <w:top w:val="single" w:color="auto" w:sz="12" w:space="0"/>
            </w:tcBorders>
            <w:vAlign w:val="center"/>
          </w:tcPr>
          <w:p w14:paraId="29E2DFF1">
            <w:pPr>
              <w:snapToGrid w:val="0"/>
              <w:jc w:val="center"/>
              <w:rPr>
                <w:rFonts w:ascii="宋体" w:cs="Times New Roman"/>
              </w:rPr>
            </w:pPr>
            <w:r>
              <w:rPr>
                <w:rFonts w:hint="eastAsia" w:cs="宋体"/>
              </w:rPr>
              <w:t>备注</w:t>
            </w:r>
          </w:p>
        </w:tc>
      </w:tr>
      <w:tr w14:paraId="6C44A6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760" w:type="dxa"/>
            <w:vAlign w:val="center"/>
          </w:tcPr>
          <w:p w14:paraId="6FA80E3D">
            <w:pPr>
              <w:adjustRightInd w:val="0"/>
              <w:snapToGrid w:val="0"/>
              <w:jc w:val="center"/>
              <w:rPr>
                <w:rFonts w:ascii="宋体" w:cs="Times New Roman"/>
                <w:lang w:val="zh-TW"/>
              </w:rPr>
            </w:pPr>
            <w:r>
              <w:rPr>
                <w:rFonts w:ascii="宋体" w:hAnsi="宋体" w:cs="宋体"/>
                <w:lang w:val="zh-TW"/>
              </w:rPr>
              <w:t>1</w:t>
            </w:r>
          </w:p>
        </w:tc>
        <w:tc>
          <w:tcPr>
            <w:tcW w:w="2593" w:type="dxa"/>
            <w:vAlign w:val="center"/>
          </w:tcPr>
          <w:p w14:paraId="432ADCAC">
            <w:pPr>
              <w:adjustRightInd w:val="0"/>
              <w:snapToGrid w:val="0"/>
              <w:jc w:val="center"/>
              <w:rPr>
                <w:rFonts w:ascii="宋体" w:cs="Times New Roman"/>
              </w:rPr>
            </w:pPr>
            <w:r>
              <w:rPr>
                <w:rFonts w:hint="eastAsia" w:ascii="宋体" w:hAnsi="宋体" w:cs="宋体"/>
              </w:rPr>
              <w:t>总承包项目负责人</w:t>
            </w:r>
          </w:p>
          <w:p w14:paraId="47BE5D73">
            <w:pPr>
              <w:adjustRightInd w:val="0"/>
              <w:snapToGrid w:val="0"/>
              <w:jc w:val="center"/>
              <w:rPr>
                <w:rFonts w:ascii="宋体" w:cs="Times New Roman"/>
              </w:rPr>
            </w:pPr>
            <w:r>
              <w:rPr>
                <w:rFonts w:hint="eastAsia" w:ascii="宋体" w:hAnsi="宋体" w:cs="宋体"/>
              </w:rPr>
              <w:t>设计负责人</w:t>
            </w:r>
          </w:p>
          <w:p w14:paraId="551B38B3">
            <w:pPr>
              <w:adjustRightInd w:val="0"/>
              <w:snapToGrid w:val="0"/>
              <w:jc w:val="center"/>
              <w:rPr>
                <w:rFonts w:ascii="宋体" w:cs="Times New Roman"/>
                <w:lang w:val="zh-TW"/>
              </w:rPr>
            </w:pPr>
            <w:r>
              <w:rPr>
                <w:rFonts w:hint="eastAsia" w:ascii="宋体" w:hAnsi="宋体" w:cs="宋体"/>
                <w:lang w:val="zh-TW"/>
              </w:rPr>
              <w:t>施工负责人</w:t>
            </w:r>
            <w:r>
              <w:rPr>
                <w:rFonts w:hint="eastAsia" w:ascii="宋体" w:hAnsi="宋体" w:cs="宋体"/>
              </w:rPr>
              <w:t>（项目经理）</w:t>
            </w:r>
          </w:p>
        </w:tc>
        <w:tc>
          <w:tcPr>
            <w:tcW w:w="3350" w:type="dxa"/>
            <w:vAlign w:val="center"/>
          </w:tcPr>
          <w:p w14:paraId="07961CEA">
            <w:pPr>
              <w:snapToGrid w:val="0"/>
              <w:jc w:val="center"/>
              <w:rPr>
                <w:rFonts w:ascii="宋体" w:cs="Times New Roman"/>
              </w:rPr>
            </w:pPr>
            <w:r>
              <w:rPr>
                <w:rFonts w:hint="eastAsia" w:ascii="宋体" w:hAnsi="宋体" w:cs="宋体"/>
              </w:rPr>
              <w:t>姓名：</w:t>
            </w:r>
            <w:r>
              <w:rPr>
                <w:rFonts w:ascii="宋体" w:hAnsi="宋体" w:cs="宋体"/>
              </w:rPr>
              <w:t>_______</w:t>
            </w:r>
            <w:r>
              <w:rPr>
                <w:rFonts w:hint="eastAsia" w:ascii="宋体" w:hAnsi="宋体" w:cs="宋体"/>
              </w:rPr>
              <w:t>，证号</w:t>
            </w:r>
            <w:r>
              <w:rPr>
                <w:rFonts w:ascii="宋体" w:hAnsi="宋体" w:cs="宋体"/>
              </w:rPr>
              <w:t>_______</w:t>
            </w:r>
            <w:r>
              <w:rPr>
                <w:rFonts w:hint="eastAsia" w:ascii="宋体" w:hAnsi="宋体" w:cs="宋体"/>
              </w:rPr>
              <w:t>；</w:t>
            </w:r>
          </w:p>
          <w:p w14:paraId="2263384A">
            <w:pPr>
              <w:snapToGrid w:val="0"/>
              <w:jc w:val="center"/>
              <w:rPr>
                <w:rFonts w:ascii="宋体" w:cs="Times New Roman"/>
              </w:rPr>
            </w:pPr>
            <w:r>
              <w:rPr>
                <w:rFonts w:hint="eastAsia" w:ascii="宋体" w:hAnsi="宋体" w:cs="宋体"/>
              </w:rPr>
              <w:t>姓名：</w:t>
            </w:r>
            <w:r>
              <w:rPr>
                <w:rFonts w:ascii="宋体" w:hAnsi="宋体" w:cs="宋体"/>
              </w:rPr>
              <w:t>_______</w:t>
            </w:r>
            <w:r>
              <w:rPr>
                <w:rFonts w:hint="eastAsia" w:ascii="宋体" w:hAnsi="宋体" w:cs="宋体"/>
              </w:rPr>
              <w:t>，证号</w:t>
            </w:r>
            <w:r>
              <w:rPr>
                <w:rFonts w:ascii="宋体" w:hAnsi="宋体" w:cs="宋体"/>
              </w:rPr>
              <w:t>_______</w:t>
            </w:r>
            <w:r>
              <w:rPr>
                <w:rFonts w:hint="eastAsia" w:ascii="宋体" w:hAnsi="宋体" w:cs="宋体"/>
              </w:rPr>
              <w:t>；</w:t>
            </w:r>
          </w:p>
          <w:p w14:paraId="05B94B20">
            <w:pPr>
              <w:snapToGrid w:val="0"/>
              <w:jc w:val="center"/>
              <w:rPr>
                <w:rFonts w:ascii="宋体" w:cs="Times New Roman"/>
              </w:rPr>
            </w:pPr>
            <w:r>
              <w:rPr>
                <w:rFonts w:hint="eastAsia" w:ascii="宋体" w:hAnsi="宋体" w:cs="宋体"/>
              </w:rPr>
              <w:t>姓名：</w:t>
            </w:r>
            <w:r>
              <w:rPr>
                <w:rFonts w:ascii="宋体" w:hAnsi="宋体" w:cs="宋体"/>
              </w:rPr>
              <w:t>_______</w:t>
            </w:r>
            <w:r>
              <w:rPr>
                <w:rFonts w:hint="eastAsia" w:ascii="宋体" w:hAnsi="宋体" w:cs="宋体"/>
              </w:rPr>
              <w:t>，证号</w:t>
            </w:r>
            <w:r>
              <w:rPr>
                <w:rFonts w:ascii="宋体" w:hAnsi="宋体" w:cs="宋体"/>
              </w:rPr>
              <w:t>_______</w:t>
            </w:r>
            <w:r>
              <w:rPr>
                <w:rFonts w:hint="eastAsia" w:ascii="宋体" w:hAnsi="宋体" w:cs="宋体"/>
              </w:rPr>
              <w:t>。</w:t>
            </w:r>
          </w:p>
        </w:tc>
        <w:tc>
          <w:tcPr>
            <w:tcW w:w="1895" w:type="dxa"/>
            <w:vAlign w:val="center"/>
          </w:tcPr>
          <w:p w14:paraId="38A697BD">
            <w:pPr>
              <w:snapToGrid w:val="0"/>
              <w:jc w:val="center"/>
              <w:rPr>
                <w:rFonts w:ascii="宋体" w:cs="Times New Roman"/>
              </w:rPr>
            </w:pPr>
          </w:p>
        </w:tc>
      </w:tr>
      <w:tr w14:paraId="3336DF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68267720">
            <w:pPr>
              <w:snapToGrid w:val="0"/>
              <w:jc w:val="center"/>
              <w:rPr>
                <w:rFonts w:ascii="宋体" w:cs="Times New Roman"/>
              </w:rPr>
            </w:pPr>
            <w:r>
              <w:rPr>
                <w:rFonts w:ascii="宋体" w:hAnsi="宋体" w:cs="宋体"/>
              </w:rPr>
              <w:t>2</w:t>
            </w:r>
          </w:p>
        </w:tc>
        <w:tc>
          <w:tcPr>
            <w:tcW w:w="2593" w:type="dxa"/>
            <w:vAlign w:val="center"/>
          </w:tcPr>
          <w:p w14:paraId="78E91A38">
            <w:pPr>
              <w:snapToGrid w:val="0"/>
              <w:jc w:val="center"/>
              <w:rPr>
                <w:rFonts w:ascii="宋体" w:cs="Times New Roman"/>
              </w:rPr>
            </w:pPr>
            <w:r>
              <w:rPr>
                <w:rFonts w:hint="eastAsia" w:ascii="宋体" w:hAnsi="宋体" w:cs="宋体"/>
              </w:rPr>
              <w:t>工期</w:t>
            </w:r>
          </w:p>
        </w:tc>
        <w:tc>
          <w:tcPr>
            <w:tcW w:w="3350" w:type="dxa"/>
            <w:vAlign w:val="center"/>
          </w:tcPr>
          <w:p w14:paraId="06FD3D77">
            <w:pPr>
              <w:snapToGrid w:val="0"/>
              <w:jc w:val="center"/>
              <w:rPr>
                <w:rFonts w:ascii="宋体" w:cs="Times New Roman"/>
              </w:rPr>
            </w:pPr>
            <w:r>
              <w:rPr>
                <w:rFonts w:hint="eastAsia" w:ascii="宋体" w:hAnsi="宋体" w:cs="宋体"/>
              </w:rPr>
              <w:t>总工期：</w:t>
            </w:r>
          </w:p>
        </w:tc>
        <w:tc>
          <w:tcPr>
            <w:tcW w:w="1895" w:type="dxa"/>
            <w:vAlign w:val="center"/>
          </w:tcPr>
          <w:p w14:paraId="1108443A">
            <w:pPr>
              <w:snapToGrid w:val="0"/>
              <w:ind w:firstLine="718" w:firstLineChars="342"/>
              <w:jc w:val="center"/>
              <w:rPr>
                <w:rFonts w:ascii="宋体" w:cs="Times New Roman"/>
              </w:rPr>
            </w:pPr>
          </w:p>
        </w:tc>
      </w:tr>
      <w:tr w14:paraId="441250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7E0A8CCC">
            <w:pPr>
              <w:snapToGrid w:val="0"/>
              <w:jc w:val="center"/>
              <w:rPr>
                <w:rFonts w:ascii="宋体" w:cs="Times New Roman"/>
              </w:rPr>
            </w:pPr>
            <w:r>
              <w:rPr>
                <w:rFonts w:ascii="宋体" w:hAnsi="宋体" w:cs="宋体"/>
              </w:rPr>
              <w:t>3</w:t>
            </w:r>
          </w:p>
        </w:tc>
        <w:tc>
          <w:tcPr>
            <w:tcW w:w="2593" w:type="dxa"/>
            <w:vAlign w:val="center"/>
          </w:tcPr>
          <w:p w14:paraId="68232B52">
            <w:pPr>
              <w:snapToGrid w:val="0"/>
              <w:jc w:val="center"/>
              <w:rPr>
                <w:rFonts w:ascii="宋体" w:cs="Times New Roman"/>
              </w:rPr>
            </w:pPr>
            <w:r>
              <w:rPr>
                <w:rFonts w:hint="eastAsia" w:ascii="宋体" w:hAnsi="宋体" w:cs="宋体"/>
              </w:rPr>
              <w:t>缺陷责任期</w:t>
            </w:r>
          </w:p>
        </w:tc>
        <w:tc>
          <w:tcPr>
            <w:tcW w:w="3350" w:type="dxa"/>
            <w:vAlign w:val="center"/>
          </w:tcPr>
          <w:p w14:paraId="25C5B73B">
            <w:pPr>
              <w:snapToGrid w:val="0"/>
              <w:jc w:val="center"/>
              <w:rPr>
                <w:rFonts w:ascii="宋体" w:cs="Times New Roman"/>
              </w:rPr>
            </w:pPr>
            <w:r>
              <w:rPr>
                <w:rFonts w:hint="eastAsia" w:ascii="宋体" w:hAnsi="宋体" w:cs="宋体"/>
              </w:rPr>
              <w:t>自竣工验收合格之日起计算，期限为2年</w:t>
            </w:r>
          </w:p>
        </w:tc>
        <w:tc>
          <w:tcPr>
            <w:tcW w:w="1895" w:type="dxa"/>
            <w:vAlign w:val="center"/>
          </w:tcPr>
          <w:p w14:paraId="03C7779D">
            <w:pPr>
              <w:snapToGrid w:val="0"/>
              <w:jc w:val="center"/>
              <w:rPr>
                <w:rFonts w:ascii="宋体" w:cs="Times New Roman"/>
              </w:rPr>
            </w:pPr>
          </w:p>
        </w:tc>
      </w:tr>
      <w:tr w14:paraId="15B292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3320022B">
            <w:pPr>
              <w:snapToGrid w:val="0"/>
              <w:jc w:val="center"/>
              <w:rPr>
                <w:rFonts w:ascii="宋体" w:cs="Times New Roman"/>
              </w:rPr>
            </w:pPr>
            <w:r>
              <w:rPr>
                <w:rFonts w:ascii="宋体" w:hAnsi="宋体" w:cs="宋体"/>
              </w:rPr>
              <w:t>4</w:t>
            </w:r>
          </w:p>
        </w:tc>
        <w:tc>
          <w:tcPr>
            <w:tcW w:w="2593" w:type="dxa"/>
            <w:vAlign w:val="center"/>
          </w:tcPr>
          <w:p w14:paraId="5602FA3B">
            <w:pPr>
              <w:snapToGrid w:val="0"/>
              <w:jc w:val="center"/>
              <w:rPr>
                <w:rFonts w:ascii="宋体" w:cs="Times New Roman"/>
              </w:rPr>
            </w:pPr>
            <w:r>
              <w:rPr>
                <w:rFonts w:hint="eastAsia" w:ascii="宋体" w:hAnsi="宋体" w:cs="宋体"/>
                <w:lang w:val="zh-TW" w:eastAsia="zh-TW"/>
              </w:rPr>
              <w:t>承包人履约担保金额</w:t>
            </w:r>
          </w:p>
        </w:tc>
        <w:tc>
          <w:tcPr>
            <w:tcW w:w="3350" w:type="dxa"/>
            <w:vAlign w:val="center"/>
          </w:tcPr>
          <w:p w14:paraId="645D3E4D">
            <w:pPr>
              <w:snapToGrid w:val="0"/>
              <w:jc w:val="left"/>
              <w:rPr>
                <w:rFonts w:ascii="宋体" w:cs="Times New Roman"/>
              </w:rPr>
            </w:pPr>
            <w:r>
              <w:rPr>
                <w:rFonts w:hint="eastAsia" w:cs="宋体"/>
              </w:rPr>
              <w:t>按招标文件相关规定执行</w:t>
            </w:r>
          </w:p>
        </w:tc>
        <w:tc>
          <w:tcPr>
            <w:tcW w:w="1895" w:type="dxa"/>
            <w:vAlign w:val="center"/>
          </w:tcPr>
          <w:p w14:paraId="2E10DE21">
            <w:pPr>
              <w:snapToGrid w:val="0"/>
              <w:jc w:val="center"/>
              <w:rPr>
                <w:rFonts w:ascii="宋体" w:cs="Times New Roman"/>
              </w:rPr>
            </w:pPr>
          </w:p>
        </w:tc>
      </w:tr>
      <w:tr w14:paraId="0B8245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69780C67">
            <w:pPr>
              <w:snapToGrid w:val="0"/>
              <w:jc w:val="center"/>
              <w:rPr>
                <w:rFonts w:ascii="宋体" w:cs="Times New Roman"/>
              </w:rPr>
            </w:pPr>
            <w:r>
              <w:rPr>
                <w:rFonts w:hint="eastAsia" w:ascii="宋体" w:hAnsi="宋体" w:cs="宋体"/>
              </w:rPr>
              <w:t>5</w:t>
            </w:r>
          </w:p>
        </w:tc>
        <w:tc>
          <w:tcPr>
            <w:tcW w:w="2593" w:type="dxa"/>
            <w:vAlign w:val="center"/>
          </w:tcPr>
          <w:p w14:paraId="74D2F723">
            <w:pPr>
              <w:snapToGrid w:val="0"/>
              <w:jc w:val="center"/>
              <w:rPr>
                <w:rFonts w:ascii="宋体" w:cs="Times New Roman"/>
              </w:rPr>
            </w:pPr>
            <w:r>
              <w:rPr>
                <w:rFonts w:hint="eastAsia" w:ascii="宋体" w:hAnsi="宋体" w:cs="宋体"/>
                <w:lang w:val="zh-TW" w:eastAsia="zh-TW"/>
              </w:rPr>
              <w:t>质量标准</w:t>
            </w:r>
          </w:p>
        </w:tc>
        <w:tc>
          <w:tcPr>
            <w:tcW w:w="3350" w:type="dxa"/>
            <w:vAlign w:val="center"/>
          </w:tcPr>
          <w:p w14:paraId="6096E5D1">
            <w:pPr>
              <w:snapToGrid w:val="0"/>
              <w:jc w:val="center"/>
              <w:rPr>
                <w:rFonts w:cs="Times New Roman"/>
              </w:rPr>
            </w:pPr>
            <w:r>
              <w:rPr>
                <w:rFonts w:hint="eastAsia" w:cs="宋体"/>
              </w:rPr>
              <w:t>工程设计质量标准：</w:t>
            </w:r>
          </w:p>
          <w:p w14:paraId="53098C8B">
            <w:pPr>
              <w:snapToGrid w:val="0"/>
              <w:jc w:val="center"/>
              <w:rPr>
                <w:rFonts w:cs="Times New Roman"/>
              </w:rPr>
            </w:pPr>
            <w:r>
              <w:rPr>
                <w:rFonts w:hint="eastAsia" w:cs="宋体"/>
              </w:rPr>
              <w:t>工程施工质量标准：</w:t>
            </w:r>
          </w:p>
          <w:p w14:paraId="7B24B73E">
            <w:pPr>
              <w:snapToGrid w:val="0"/>
              <w:jc w:val="center"/>
              <w:rPr>
                <w:rFonts w:ascii="宋体" w:cs="Times New Roman"/>
              </w:rPr>
            </w:pPr>
            <w:r>
              <w:rPr>
                <w:rFonts w:hint="eastAsia" w:cs="宋体"/>
              </w:rPr>
              <w:t>总承包质量标准：</w:t>
            </w:r>
          </w:p>
        </w:tc>
        <w:tc>
          <w:tcPr>
            <w:tcW w:w="1895" w:type="dxa"/>
            <w:vAlign w:val="center"/>
          </w:tcPr>
          <w:p w14:paraId="512171E0">
            <w:pPr>
              <w:snapToGrid w:val="0"/>
              <w:jc w:val="center"/>
              <w:rPr>
                <w:rFonts w:ascii="宋体" w:cs="Times New Roman"/>
              </w:rPr>
            </w:pPr>
          </w:p>
        </w:tc>
      </w:tr>
      <w:tr w14:paraId="46CA81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60" w:type="dxa"/>
            <w:vAlign w:val="center"/>
          </w:tcPr>
          <w:p w14:paraId="2889B3D2">
            <w:pPr>
              <w:snapToGrid w:val="0"/>
              <w:jc w:val="center"/>
              <w:rPr>
                <w:rFonts w:ascii="宋体" w:cs="Times New Roman"/>
              </w:rPr>
            </w:pPr>
            <w:r>
              <w:rPr>
                <w:rFonts w:hint="eastAsia" w:ascii="宋体" w:hAnsi="宋体" w:cs="宋体"/>
              </w:rPr>
              <w:t>6</w:t>
            </w:r>
          </w:p>
        </w:tc>
        <w:tc>
          <w:tcPr>
            <w:tcW w:w="2593" w:type="dxa"/>
            <w:vAlign w:val="center"/>
          </w:tcPr>
          <w:p w14:paraId="0D48CDA3">
            <w:pPr>
              <w:snapToGrid w:val="0"/>
              <w:jc w:val="center"/>
              <w:rPr>
                <w:rFonts w:ascii="宋体" w:cs="Times New Roman"/>
              </w:rPr>
            </w:pPr>
            <w:r>
              <w:rPr>
                <w:rFonts w:hint="eastAsia" w:ascii="宋体" w:hAnsi="宋体" w:cs="宋体"/>
              </w:rPr>
              <w:t>提前交工的奖金</w:t>
            </w:r>
          </w:p>
        </w:tc>
        <w:tc>
          <w:tcPr>
            <w:tcW w:w="3350" w:type="dxa"/>
            <w:vAlign w:val="center"/>
          </w:tcPr>
          <w:p w14:paraId="4F80E855">
            <w:pPr>
              <w:snapToGrid w:val="0"/>
              <w:jc w:val="center"/>
              <w:rPr>
                <w:rFonts w:ascii="宋体" w:cs="Times New Roman"/>
              </w:rPr>
            </w:pPr>
            <w:r>
              <w:rPr>
                <w:rFonts w:hint="eastAsia" w:ascii="宋体" w:hAnsi="宋体" w:cs="宋体"/>
              </w:rPr>
              <w:t>无</w:t>
            </w:r>
          </w:p>
        </w:tc>
        <w:tc>
          <w:tcPr>
            <w:tcW w:w="1895" w:type="dxa"/>
            <w:vAlign w:val="center"/>
          </w:tcPr>
          <w:p w14:paraId="4B45291B">
            <w:pPr>
              <w:snapToGrid w:val="0"/>
              <w:jc w:val="center"/>
              <w:rPr>
                <w:rFonts w:ascii="宋体" w:cs="Times New Roman"/>
              </w:rPr>
            </w:pPr>
          </w:p>
        </w:tc>
      </w:tr>
      <w:tr w14:paraId="442483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60" w:type="dxa"/>
            <w:vAlign w:val="center"/>
          </w:tcPr>
          <w:p w14:paraId="69EB47DD">
            <w:pPr>
              <w:snapToGrid w:val="0"/>
              <w:jc w:val="center"/>
              <w:rPr>
                <w:rFonts w:ascii="宋体" w:cs="Times New Roman"/>
              </w:rPr>
            </w:pPr>
            <w:r>
              <w:rPr>
                <w:rFonts w:hint="eastAsia" w:ascii="宋体" w:hAnsi="宋体" w:cs="宋体"/>
              </w:rPr>
              <w:t>7</w:t>
            </w:r>
          </w:p>
        </w:tc>
        <w:tc>
          <w:tcPr>
            <w:tcW w:w="2593" w:type="dxa"/>
            <w:vAlign w:val="center"/>
          </w:tcPr>
          <w:p w14:paraId="487B2D9F">
            <w:pPr>
              <w:snapToGrid w:val="0"/>
              <w:jc w:val="center"/>
              <w:rPr>
                <w:rFonts w:ascii="宋体" w:cs="Times New Roman"/>
              </w:rPr>
            </w:pPr>
            <w:r>
              <w:rPr>
                <w:rFonts w:hint="eastAsia" w:ascii="宋体" w:hAnsi="宋体" w:cs="宋体"/>
              </w:rPr>
              <w:t>开工预付款金额</w:t>
            </w:r>
          </w:p>
        </w:tc>
        <w:tc>
          <w:tcPr>
            <w:tcW w:w="3350" w:type="dxa"/>
            <w:vAlign w:val="center"/>
          </w:tcPr>
          <w:p w14:paraId="56F0F56B">
            <w:pPr>
              <w:snapToGrid w:val="0"/>
              <w:jc w:val="center"/>
              <w:rPr>
                <w:rFonts w:ascii="宋体" w:cs="Times New Roman"/>
              </w:rPr>
            </w:pPr>
            <w:r>
              <w:rPr>
                <w:rFonts w:hint="eastAsia" w:ascii="宋体" w:hAnsi="宋体" w:cs="宋体"/>
              </w:rPr>
              <w:t>无</w:t>
            </w:r>
          </w:p>
        </w:tc>
        <w:tc>
          <w:tcPr>
            <w:tcW w:w="1895" w:type="dxa"/>
            <w:vAlign w:val="center"/>
          </w:tcPr>
          <w:p w14:paraId="25C42E7A">
            <w:pPr>
              <w:snapToGrid w:val="0"/>
              <w:jc w:val="center"/>
              <w:rPr>
                <w:rFonts w:ascii="宋体" w:cs="Times New Roman"/>
              </w:rPr>
            </w:pPr>
          </w:p>
        </w:tc>
      </w:tr>
      <w:tr w14:paraId="12DEED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601DD0E5">
            <w:pPr>
              <w:snapToGrid w:val="0"/>
              <w:jc w:val="center"/>
              <w:rPr>
                <w:rFonts w:ascii="宋体" w:cs="Times New Roman"/>
              </w:rPr>
            </w:pPr>
            <w:r>
              <w:rPr>
                <w:rFonts w:hint="eastAsia" w:ascii="宋体" w:hAnsi="宋体" w:cs="宋体"/>
              </w:rPr>
              <w:t>8</w:t>
            </w:r>
          </w:p>
        </w:tc>
        <w:tc>
          <w:tcPr>
            <w:tcW w:w="2593" w:type="dxa"/>
            <w:vAlign w:val="center"/>
          </w:tcPr>
          <w:p w14:paraId="5163C2E6">
            <w:pPr>
              <w:snapToGrid w:val="0"/>
              <w:jc w:val="center"/>
              <w:rPr>
                <w:rFonts w:ascii="宋体" w:cs="Times New Roman"/>
              </w:rPr>
            </w:pPr>
            <w:r>
              <w:rPr>
                <w:rFonts w:hint="eastAsia" w:ascii="宋体" w:hAnsi="宋体" w:cs="宋体"/>
              </w:rPr>
              <w:t>逾期交工违约金（包含设计工期和施工工期）</w:t>
            </w:r>
          </w:p>
        </w:tc>
        <w:tc>
          <w:tcPr>
            <w:tcW w:w="3350" w:type="dxa"/>
            <w:vAlign w:val="center"/>
          </w:tcPr>
          <w:p w14:paraId="505F2B82">
            <w:pPr>
              <w:snapToGrid w:val="0"/>
              <w:jc w:val="center"/>
              <w:rPr>
                <w:rFonts w:ascii="宋体" w:cs="Times New Roman"/>
              </w:rPr>
            </w:pPr>
            <w:r>
              <w:rPr>
                <w:rFonts w:ascii="宋体" w:hAnsi="宋体" w:cs="宋体"/>
              </w:rPr>
              <w:t>10000</w:t>
            </w:r>
            <w:r>
              <w:rPr>
                <w:rFonts w:hint="eastAsia" w:ascii="宋体" w:hAnsi="宋体" w:cs="宋体"/>
              </w:rPr>
              <w:t>＋违约天数×</w:t>
            </w:r>
            <w:r>
              <w:rPr>
                <w:rFonts w:ascii="宋体" w:hAnsi="宋体" w:cs="宋体"/>
              </w:rPr>
              <w:t>500</w:t>
            </w:r>
            <w:r>
              <w:rPr>
                <w:rFonts w:hint="eastAsia" w:ascii="宋体" w:hAnsi="宋体" w:cs="宋体"/>
              </w:rPr>
              <w:t>元</w:t>
            </w:r>
            <w:r>
              <w:rPr>
                <w:rFonts w:ascii="宋体" w:hAnsi="宋体" w:cs="宋体"/>
              </w:rPr>
              <w:t>/</w:t>
            </w:r>
            <w:r>
              <w:rPr>
                <w:rFonts w:hint="eastAsia" w:ascii="宋体" w:hAnsi="宋体" w:cs="宋体"/>
              </w:rPr>
              <w:t>天</w:t>
            </w:r>
          </w:p>
        </w:tc>
        <w:tc>
          <w:tcPr>
            <w:tcW w:w="1895" w:type="dxa"/>
            <w:vAlign w:val="center"/>
          </w:tcPr>
          <w:p w14:paraId="0BF4F3F3">
            <w:pPr>
              <w:snapToGrid w:val="0"/>
              <w:jc w:val="center"/>
              <w:rPr>
                <w:rFonts w:ascii="宋体" w:cs="Times New Roman"/>
              </w:rPr>
            </w:pPr>
          </w:p>
        </w:tc>
      </w:tr>
      <w:tr w14:paraId="216CEA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35B0FEB7">
            <w:pPr>
              <w:snapToGrid w:val="0"/>
              <w:jc w:val="center"/>
              <w:rPr>
                <w:rFonts w:ascii="宋体" w:cs="Times New Roman"/>
              </w:rPr>
            </w:pPr>
            <w:r>
              <w:rPr>
                <w:rFonts w:hint="eastAsia" w:ascii="宋体" w:hAnsi="宋体" w:cs="宋体"/>
              </w:rPr>
              <w:t>9</w:t>
            </w:r>
          </w:p>
        </w:tc>
        <w:tc>
          <w:tcPr>
            <w:tcW w:w="2593" w:type="dxa"/>
            <w:vAlign w:val="center"/>
          </w:tcPr>
          <w:p w14:paraId="76F9BD30">
            <w:pPr>
              <w:snapToGrid w:val="0"/>
              <w:jc w:val="center"/>
              <w:rPr>
                <w:rFonts w:ascii="宋体" w:cs="Times New Roman"/>
              </w:rPr>
            </w:pPr>
            <w:r>
              <w:rPr>
                <w:rFonts w:hint="eastAsia" w:ascii="宋体" w:hAnsi="宋体" w:cs="宋体"/>
              </w:rPr>
              <w:t>质量保证金金额</w:t>
            </w:r>
          </w:p>
        </w:tc>
        <w:tc>
          <w:tcPr>
            <w:tcW w:w="3350" w:type="dxa"/>
            <w:vAlign w:val="center"/>
          </w:tcPr>
          <w:p w14:paraId="763BF160">
            <w:pPr>
              <w:snapToGrid w:val="0"/>
              <w:jc w:val="center"/>
              <w:rPr>
                <w:rFonts w:ascii="宋体" w:cs="Times New Roman"/>
              </w:rPr>
            </w:pPr>
            <w:r>
              <w:rPr>
                <w:rFonts w:hint="eastAsia" w:ascii="宋体" w:hAnsi="宋体" w:cs="宋体"/>
              </w:rPr>
              <w:t>工程价款结算总额的2%，形式为现金，且质量保证金不计付利息</w:t>
            </w:r>
          </w:p>
        </w:tc>
        <w:tc>
          <w:tcPr>
            <w:tcW w:w="1895" w:type="dxa"/>
            <w:vAlign w:val="center"/>
          </w:tcPr>
          <w:p w14:paraId="1E16D75D">
            <w:pPr>
              <w:snapToGrid w:val="0"/>
              <w:jc w:val="center"/>
              <w:rPr>
                <w:rFonts w:ascii="宋体" w:cs="Times New Roman"/>
              </w:rPr>
            </w:pPr>
          </w:p>
        </w:tc>
      </w:tr>
      <w:tr w14:paraId="6B72DC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0" w:type="dxa"/>
            <w:vAlign w:val="center"/>
          </w:tcPr>
          <w:p w14:paraId="17A4E896">
            <w:pPr>
              <w:snapToGrid w:val="0"/>
              <w:jc w:val="center"/>
              <w:rPr>
                <w:rFonts w:ascii="宋体" w:cs="Times New Roman"/>
              </w:rPr>
            </w:pPr>
            <w:r>
              <w:rPr>
                <w:rFonts w:ascii="宋体" w:hAnsi="宋体" w:cs="宋体"/>
              </w:rPr>
              <w:t>1</w:t>
            </w:r>
            <w:r>
              <w:rPr>
                <w:rFonts w:hint="eastAsia" w:ascii="宋体" w:hAnsi="宋体" w:cs="宋体"/>
              </w:rPr>
              <w:t>0</w:t>
            </w:r>
          </w:p>
        </w:tc>
        <w:tc>
          <w:tcPr>
            <w:tcW w:w="2593" w:type="dxa"/>
            <w:vAlign w:val="center"/>
          </w:tcPr>
          <w:p w14:paraId="4CB34E22">
            <w:pPr>
              <w:snapToGrid w:val="0"/>
              <w:jc w:val="center"/>
              <w:rPr>
                <w:rFonts w:ascii="宋体" w:cs="Times New Roman"/>
              </w:rPr>
            </w:pPr>
            <w:r>
              <w:rPr>
                <w:rFonts w:hint="eastAsia" w:ascii="宋体" w:hAnsi="宋体" w:cs="宋体"/>
              </w:rPr>
              <w:t>保修期</w:t>
            </w:r>
          </w:p>
        </w:tc>
        <w:tc>
          <w:tcPr>
            <w:tcW w:w="3350" w:type="dxa"/>
            <w:vAlign w:val="center"/>
          </w:tcPr>
          <w:p w14:paraId="07B42570">
            <w:pPr>
              <w:snapToGrid w:val="0"/>
              <w:jc w:val="center"/>
              <w:rPr>
                <w:rFonts w:ascii="宋体" w:cs="Times New Roman"/>
              </w:rPr>
            </w:pPr>
            <w:r>
              <w:rPr>
                <w:rFonts w:hint="eastAsia" w:ascii="宋体" w:hAnsi="宋体" w:cs="宋体"/>
              </w:rPr>
              <w:t>按国家规定执行</w:t>
            </w:r>
          </w:p>
        </w:tc>
        <w:tc>
          <w:tcPr>
            <w:tcW w:w="1895" w:type="dxa"/>
            <w:vAlign w:val="center"/>
          </w:tcPr>
          <w:p w14:paraId="723AF236">
            <w:pPr>
              <w:snapToGrid w:val="0"/>
              <w:jc w:val="center"/>
              <w:rPr>
                <w:rFonts w:ascii="宋体" w:cs="Times New Roman"/>
              </w:rPr>
            </w:pPr>
          </w:p>
        </w:tc>
      </w:tr>
      <w:tr w14:paraId="274719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60" w:type="dxa"/>
            <w:vAlign w:val="center"/>
          </w:tcPr>
          <w:p w14:paraId="0922516E">
            <w:pPr>
              <w:snapToGrid w:val="0"/>
              <w:jc w:val="center"/>
              <w:rPr>
                <w:rFonts w:ascii="宋体" w:cs="Times New Roman"/>
              </w:rPr>
            </w:pPr>
            <w:r>
              <w:rPr>
                <w:rFonts w:hint="eastAsia" w:ascii="宋体" w:hAnsi="宋体" w:cs="宋体"/>
              </w:rPr>
              <w:t xml:space="preserve"> </w:t>
            </w:r>
          </w:p>
        </w:tc>
        <w:tc>
          <w:tcPr>
            <w:tcW w:w="2593" w:type="dxa"/>
            <w:vAlign w:val="center"/>
          </w:tcPr>
          <w:p w14:paraId="06529E21">
            <w:pPr>
              <w:snapToGrid w:val="0"/>
              <w:jc w:val="center"/>
              <w:rPr>
                <w:rFonts w:ascii="宋体" w:cs="Times New Roman"/>
              </w:rPr>
            </w:pPr>
            <w:r>
              <w:rPr>
                <w:rFonts w:hint="eastAsia" w:cs="宋体"/>
              </w:rPr>
              <w:t xml:space="preserve"> </w:t>
            </w:r>
          </w:p>
        </w:tc>
        <w:tc>
          <w:tcPr>
            <w:tcW w:w="3350" w:type="dxa"/>
            <w:vAlign w:val="center"/>
          </w:tcPr>
          <w:p w14:paraId="4294C764">
            <w:pPr>
              <w:snapToGrid w:val="0"/>
              <w:jc w:val="center"/>
              <w:rPr>
                <w:rFonts w:ascii="宋体" w:cs="Times New Roman"/>
              </w:rPr>
            </w:pPr>
            <w:r>
              <w:rPr>
                <w:rFonts w:hint="eastAsia"/>
              </w:rPr>
              <w:t xml:space="preserve"> </w:t>
            </w:r>
          </w:p>
        </w:tc>
        <w:tc>
          <w:tcPr>
            <w:tcW w:w="1895" w:type="dxa"/>
            <w:vAlign w:val="center"/>
          </w:tcPr>
          <w:p w14:paraId="1ED210A0">
            <w:pPr>
              <w:snapToGrid w:val="0"/>
              <w:jc w:val="center"/>
              <w:rPr>
                <w:rFonts w:ascii="宋体" w:cs="Times New Roman"/>
              </w:rPr>
            </w:pPr>
          </w:p>
        </w:tc>
      </w:tr>
      <w:tr w14:paraId="35DC29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60" w:type="dxa"/>
            <w:vAlign w:val="center"/>
          </w:tcPr>
          <w:p w14:paraId="15FEC3B2">
            <w:pPr>
              <w:snapToGrid w:val="0"/>
              <w:jc w:val="center"/>
              <w:rPr>
                <w:rFonts w:ascii="宋体" w:cs="Times New Roman"/>
              </w:rPr>
            </w:pPr>
            <w:r>
              <w:rPr>
                <w:rFonts w:hint="eastAsia" w:ascii="宋体" w:hAnsi="宋体" w:cs="宋体"/>
              </w:rPr>
              <w:t xml:space="preserve"> </w:t>
            </w:r>
          </w:p>
        </w:tc>
        <w:tc>
          <w:tcPr>
            <w:tcW w:w="2593" w:type="dxa"/>
            <w:vAlign w:val="center"/>
          </w:tcPr>
          <w:p w14:paraId="6BEEFF30">
            <w:pPr>
              <w:snapToGrid w:val="0"/>
              <w:jc w:val="center"/>
              <w:rPr>
                <w:rFonts w:cs="Times New Roman"/>
              </w:rPr>
            </w:pPr>
          </w:p>
        </w:tc>
        <w:tc>
          <w:tcPr>
            <w:tcW w:w="3350" w:type="dxa"/>
            <w:vAlign w:val="center"/>
          </w:tcPr>
          <w:p w14:paraId="14878CA4">
            <w:pPr>
              <w:snapToGrid w:val="0"/>
              <w:jc w:val="center"/>
              <w:rPr>
                <w:rFonts w:cs="Times New Roman"/>
              </w:rPr>
            </w:pPr>
          </w:p>
        </w:tc>
        <w:tc>
          <w:tcPr>
            <w:tcW w:w="1895" w:type="dxa"/>
            <w:vAlign w:val="center"/>
          </w:tcPr>
          <w:p w14:paraId="378D22FF">
            <w:pPr>
              <w:snapToGrid w:val="0"/>
              <w:jc w:val="center"/>
              <w:rPr>
                <w:rFonts w:ascii="宋体" w:cs="Times New Roman"/>
              </w:rPr>
            </w:pPr>
          </w:p>
        </w:tc>
      </w:tr>
      <w:tr w14:paraId="0B290D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60" w:type="dxa"/>
            <w:vAlign w:val="center"/>
          </w:tcPr>
          <w:p w14:paraId="14F8F352">
            <w:pPr>
              <w:snapToGrid w:val="0"/>
              <w:jc w:val="center"/>
              <w:rPr>
                <w:rFonts w:ascii="宋体" w:cs="Times New Roman"/>
              </w:rPr>
            </w:pPr>
            <w:r>
              <w:rPr>
                <w:rFonts w:hint="eastAsia" w:ascii="宋体" w:hAnsi="宋体" w:cs="宋体"/>
              </w:rPr>
              <w:t xml:space="preserve"> </w:t>
            </w:r>
          </w:p>
        </w:tc>
        <w:tc>
          <w:tcPr>
            <w:tcW w:w="2593" w:type="dxa"/>
            <w:vAlign w:val="center"/>
          </w:tcPr>
          <w:p w14:paraId="4CBB6830">
            <w:pPr>
              <w:snapToGrid w:val="0"/>
              <w:jc w:val="center"/>
              <w:rPr>
                <w:rFonts w:cs="Times New Roman"/>
              </w:rPr>
            </w:pPr>
            <w:r>
              <w:rPr>
                <w:rFonts w:hint="eastAsia" w:cs="宋体"/>
              </w:rPr>
              <w:t xml:space="preserve"> </w:t>
            </w:r>
          </w:p>
        </w:tc>
        <w:tc>
          <w:tcPr>
            <w:tcW w:w="3350" w:type="dxa"/>
            <w:vAlign w:val="center"/>
          </w:tcPr>
          <w:p w14:paraId="33398DF4">
            <w:pPr>
              <w:snapToGrid w:val="0"/>
              <w:jc w:val="center"/>
              <w:rPr>
                <w:rFonts w:cs="Times New Roman"/>
              </w:rPr>
            </w:pPr>
            <w:r>
              <w:rPr>
                <w:rFonts w:hint="eastAsia" w:cs="宋体"/>
              </w:rPr>
              <w:t xml:space="preserve"> </w:t>
            </w:r>
          </w:p>
        </w:tc>
        <w:tc>
          <w:tcPr>
            <w:tcW w:w="1895" w:type="dxa"/>
            <w:vAlign w:val="center"/>
          </w:tcPr>
          <w:p w14:paraId="232E67D4">
            <w:pPr>
              <w:snapToGrid w:val="0"/>
              <w:jc w:val="center"/>
              <w:rPr>
                <w:rFonts w:ascii="宋体" w:cs="Times New Roman"/>
              </w:rPr>
            </w:pPr>
          </w:p>
        </w:tc>
      </w:tr>
      <w:tr w14:paraId="4E6BF7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760" w:type="dxa"/>
            <w:tcBorders>
              <w:bottom w:val="single" w:color="auto" w:sz="12" w:space="0"/>
            </w:tcBorders>
            <w:vAlign w:val="center"/>
          </w:tcPr>
          <w:p w14:paraId="520B4214">
            <w:pPr>
              <w:snapToGrid w:val="0"/>
              <w:jc w:val="center"/>
              <w:rPr>
                <w:rFonts w:ascii="宋体" w:cs="Times New Roman"/>
              </w:rPr>
            </w:pPr>
          </w:p>
        </w:tc>
        <w:tc>
          <w:tcPr>
            <w:tcW w:w="2593" w:type="dxa"/>
            <w:tcBorders>
              <w:bottom w:val="single" w:color="auto" w:sz="12" w:space="0"/>
            </w:tcBorders>
            <w:vAlign w:val="center"/>
          </w:tcPr>
          <w:p w14:paraId="2B535699">
            <w:pPr>
              <w:snapToGrid w:val="0"/>
              <w:jc w:val="center"/>
              <w:rPr>
                <w:rFonts w:cs="Times New Roman"/>
              </w:rPr>
            </w:pPr>
          </w:p>
        </w:tc>
        <w:tc>
          <w:tcPr>
            <w:tcW w:w="3350" w:type="dxa"/>
            <w:tcBorders>
              <w:bottom w:val="single" w:color="auto" w:sz="12" w:space="0"/>
            </w:tcBorders>
            <w:vAlign w:val="center"/>
          </w:tcPr>
          <w:p w14:paraId="57889B7C">
            <w:pPr>
              <w:snapToGrid w:val="0"/>
              <w:jc w:val="center"/>
              <w:rPr>
                <w:rFonts w:cs="Times New Roman"/>
              </w:rPr>
            </w:pPr>
          </w:p>
        </w:tc>
        <w:tc>
          <w:tcPr>
            <w:tcW w:w="1895" w:type="dxa"/>
            <w:tcBorders>
              <w:bottom w:val="single" w:color="auto" w:sz="12" w:space="0"/>
            </w:tcBorders>
            <w:vAlign w:val="center"/>
          </w:tcPr>
          <w:p w14:paraId="2DD01288">
            <w:pPr>
              <w:snapToGrid w:val="0"/>
              <w:jc w:val="center"/>
              <w:rPr>
                <w:rFonts w:ascii="宋体" w:cs="Times New Roman"/>
              </w:rPr>
            </w:pPr>
          </w:p>
        </w:tc>
      </w:tr>
    </w:tbl>
    <w:p w14:paraId="25BDF076">
      <w:pPr>
        <w:adjustRightInd w:val="0"/>
        <w:snapToGrid w:val="0"/>
        <w:spacing w:line="360" w:lineRule="auto"/>
        <w:ind w:firstLine="420" w:firstLineChars="200"/>
        <w:rPr>
          <w:rFonts w:ascii="宋体" w:cs="Times New Roman"/>
        </w:rPr>
      </w:pPr>
    </w:p>
    <w:p w14:paraId="4ADBDA63">
      <w:pPr>
        <w:adjustRightInd w:val="0"/>
        <w:snapToGrid w:val="0"/>
        <w:spacing w:line="360" w:lineRule="auto"/>
        <w:ind w:firstLine="420" w:firstLineChars="200"/>
        <w:jc w:val="center"/>
        <w:outlineLvl w:val="3"/>
        <w:rPr>
          <w:rFonts w:ascii="宋体" w:cs="Times New Roman"/>
        </w:rPr>
      </w:pPr>
      <w:r>
        <w:rPr>
          <w:rFonts w:hint="eastAsia" w:ascii="宋体" w:hAnsi="宋体" w:cs="宋体"/>
        </w:rPr>
        <w:t xml:space="preserve">       投标人（牵头人单位）：</w:t>
      </w:r>
      <w:r>
        <w:rPr>
          <w:rFonts w:ascii="宋体" w:hAnsi="宋体" w:cs="宋体"/>
        </w:rPr>
        <w:t>___________</w:t>
      </w:r>
      <w:r>
        <w:rPr>
          <w:rFonts w:hint="eastAsia" w:ascii="宋体" w:hAnsi="宋体" w:cs="宋体"/>
        </w:rPr>
        <w:t>（电子签章）</w:t>
      </w:r>
    </w:p>
    <w:p w14:paraId="08599086">
      <w:pPr>
        <w:spacing w:line="480" w:lineRule="exact"/>
        <w:ind w:firstLine="2940" w:firstLineChars="1400"/>
        <w:jc w:val="left"/>
        <w:rPr>
          <w:rFonts w:ascii="宋体" w:cs="Times New Roman"/>
        </w:rPr>
      </w:pPr>
      <w:r>
        <w:rPr>
          <w:rFonts w:hint="eastAsia" w:ascii="宋体" w:hAnsi="宋体" w:cs="宋体"/>
        </w:rPr>
        <w:t>法定代表人</w:t>
      </w:r>
      <w:r>
        <w:rPr>
          <w:rFonts w:hint="eastAsia" w:cs="宋体"/>
        </w:rPr>
        <w:t>或其委托代理人</w:t>
      </w:r>
      <w:r>
        <w:rPr>
          <w:rFonts w:hint="eastAsia" w:ascii="宋体" w:hAnsi="宋体" w:cs="宋体"/>
        </w:rPr>
        <w:t>：</w:t>
      </w:r>
      <w:r>
        <w:rPr>
          <w:rFonts w:ascii="宋体" w:hAnsi="宋体" w:cs="宋体"/>
        </w:rPr>
        <w:t>_________</w:t>
      </w:r>
      <w:r>
        <w:rPr>
          <w:rFonts w:hint="eastAsia" w:ascii="宋体" w:hAnsi="宋体" w:cs="宋体"/>
        </w:rPr>
        <w:t>（电子签章）</w:t>
      </w:r>
    </w:p>
    <w:p w14:paraId="5C19A35A">
      <w:pPr>
        <w:adjustRightInd w:val="0"/>
        <w:snapToGrid w:val="0"/>
        <w:spacing w:line="360" w:lineRule="auto"/>
        <w:ind w:firstLine="420" w:firstLineChars="200"/>
        <w:rPr>
          <w:rFonts w:ascii="宋体" w:cs="Times New Roman"/>
        </w:rPr>
      </w:pPr>
    </w:p>
    <w:p w14:paraId="71503E04">
      <w:pPr>
        <w:adjustRightInd w:val="0"/>
        <w:snapToGrid w:val="0"/>
        <w:spacing w:line="360" w:lineRule="auto"/>
        <w:ind w:firstLine="420" w:firstLineChars="200"/>
        <w:jc w:val="right"/>
        <w:rPr>
          <w:rFonts w:ascii="宋体" w:cs="Times New Roman"/>
        </w:rPr>
      </w:pPr>
      <w:r>
        <w:rPr>
          <w:rFonts w:ascii="宋体" w:hAnsi="宋体" w:cs="宋体"/>
        </w:rPr>
        <w:t>_____</w:t>
      </w:r>
      <w:r>
        <w:rPr>
          <w:rFonts w:hint="eastAsia" w:ascii="宋体" w:hAnsi="宋体" w:cs="宋体"/>
        </w:rPr>
        <w:t>年</w:t>
      </w:r>
      <w:r>
        <w:rPr>
          <w:rFonts w:ascii="宋体" w:hAnsi="宋体" w:cs="宋体"/>
        </w:rPr>
        <w:t>___</w:t>
      </w:r>
      <w:r>
        <w:rPr>
          <w:rFonts w:hint="eastAsia" w:ascii="宋体" w:hAnsi="宋体" w:cs="宋体"/>
        </w:rPr>
        <w:t>月</w:t>
      </w:r>
      <w:r>
        <w:rPr>
          <w:rFonts w:ascii="宋体" w:hAnsi="宋体" w:cs="宋体"/>
        </w:rPr>
        <w:t>___</w:t>
      </w:r>
      <w:r>
        <w:rPr>
          <w:rFonts w:hint="eastAsia" w:ascii="宋体" w:hAnsi="宋体" w:cs="宋体"/>
        </w:rPr>
        <w:t>日</w:t>
      </w:r>
    </w:p>
    <w:p w14:paraId="347FB53C">
      <w:pPr>
        <w:pStyle w:val="22"/>
        <w:spacing w:line="380" w:lineRule="exact"/>
        <w:rPr>
          <w:rFonts w:hint="eastAsia"/>
        </w:rPr>
      </w:pPr>
      <w:r>
        <w:rPr>
          <w:rFonts w:hint="eastAsia"/>
        </w:rPr>
        <w:t>备注：投标人在响应招标文件中规定的实质性要求和条件的基础上，可以作出其他有利于招标人的承诺。此类承诺可在本表中予以补充填写。</w:t>
      </w:r>
    </w:p>
    <w:p w14:paraId="26E22792">
      <w:pPr>
        <w:pStyle w:val="22"/>
        <w:spacing w:line="380" w:lineRule="exact"/>
        <w:rPr>
          <w:rFonts w:hint="eastAsia"/>
        </w:rPr>
      </w:pPr>
    </w:p>
    <w:p w14:paraId="6AB287AF">
      <w:pPr>
        <w:pStyle w:val="22"/>
        <w:spacing w:line="380" w:lineRule="exact"/>
        <w:rPr>
          <w:rFonts w:hint="eastAsia"/>
        </w:rPr>
      </w:pPr>
    </w:p>
    <w:p w14:paraId="52359CBE">
      <w:pPr>
        <w:adjustRightInd w:val="0"/>
        <w:snapToGrid w:val="0"/>
        <w:spacing w:line="360" w:lineRule="auto"/>
        <w:jc w:val="center"/>
        <w:outlineLvl w:val="3"/>
        <w:rPr>
          <w:rFonts w:ascii="宋体" w:cs="Times New Roman"/>
        </w:rPr>
      </w:pPr>
      <w:bookmarkStart w:id="1927" w:name="_Toc5373"/>
      <w:bookmarkEnd w:id="1927"/>
      <w:bookmarkStart w:id="1928" w:name="_Toc5010"/>
      <w:bookmarkEnd w:id="1928"/>
      <w:r>
        <w:rPr>
          <w:rFonts w:hint="eastAsia" w:ascii="宋体" w:hAnsi="宋体" w:cs="宋体"/>
          <w:b/>
          <w:bCs/>
          <w:sz w:val="28"/>
          <w:szCs w:val="28"/>
        </w:rPr>
        <w:t>二、法定代表人身份证明</w:t>
      </w:r>
    </w:p>
    <w:p w14:paraId="65E6DAD1">
      <w:pPr>
        <w:adjustRightInd w:val="0"/>
        <w:snapToGrid w:val="0"/>
        <w:spacing w:line="360" w:lineRule="auto"/>
        <w:ind w:firstLine="420" w:firstLineChars="200"/>
        <w:rPr>
          <w:rFonts w:ascii="宋体" w:cs="Times New Roman"/>
        </w:rPr>
      </w:pPr>
    </w:p>
    <w:p w14:paraId="48AF03D9">
      <w:pPr>
        <w:spacing w:line="500" w:lineRule="exact"/>
        <w:jc w:val="left"/>
        <w:rPr>
          <w:rFonts w:hint="eastAsia" w:ascii="黑体" w:hAnsi="宋体" w:eastAsia="黑体" w:cs="Times New Roman"/>
        </w:rPr>
      </w:pPr>
      <w:r>
        <w:rPr>
          <w:rFonts w:hint="eastAsia" w:ascii="黑体" w:hAnsi="宋体" w:eastAsia="黑体" w:cs="黑体"/>
        </w:rPr>
        <w:t>投标人：</w:t>
      </w:r>
      <w:r>
        <w:rPr>
          <w:rFonts w:ascii="宋体" w:hAnsi="宋体" w:cs="宋体"/>
        </w:rPr>
        <w:t>_________________________________________________________</w:t>
      </w:r>
    </w:p>
    <w:p w14:paraId="5C05B1BF">
      <w:pPr>
        <w:spacing w:line="500" w:lineRule="exact"/>
        <w:jc w:val="left"/>
        <w:rPr>
          <w:rFonts w:hint="eastAsia" w:ascii="黑体" w:hAnsi="宋体" w:eastAsia="黑体" w:cs="Times New Roman"/>
        </w:rPr>
      </w:pPr>
      <w:r>
        <w:rPr>
          <w:rFonts w:hint="eastAsia" w:ascii="黑体" w:hAnsi="宋体" w:eastAsia="黑体" w:cs="黑体"/>
        </w:rPr>
        <w:t>单位性质：</w:t>
      </w:r>
      <w:r>
        <w:rPr>
          <w:rFonts w:ascii="宋体" w:hAnsi="宋体" w:cs="宋体"/>
        </w:rPr>
        <w:t>_________________________________________________________</w:t>
      </w:r>
    </w:p>
    <w:p w14:paraId="1356FEE7">
      <w:pPr>
        <w:spacing w:line="500" w:lineRule="exact"/>
        <w:jc w:val="left"/>
        <w:rPr>
          <w:rFonts w:hint="eastAsia" w:ascii="黑体" w:hAnsi="宋体" w:eastAsia="黑体" w:cs="Times New Roman"/>
        </w:rPr>
      </w:pPr>
      <w:r>
        <w:rPr>
          <w:rFonts w:hint="eastAsia" w:ascii="黑体" w:hAnsi="宋体" w:eastAsia="黑体" w:cs="黑体"/>
        </w:rPr>
        <w:t>地址：</w:t>
      </w:r>
      <w:r>
        <w:rPr>
          <w:rFonts w:ascii="宋体" w:hAnsi="宋体" w:cs="宋体"/>
        </w:rPr>
        <w:t>_________________________________________________________</w:t>
      </w:r>
    </w:p>
    <w:p w14:paraId="58CD27D0">
      <w:pPr>
        <w:spacing w:line="500" w:lineRule="exact"/>
        <w:jc w:val="left"/>
        <w:rPr>
          <w:rFonts w:hint="eastAsia" w:ascii="黑体" w:hAnsi="宋体" w:eastAsia="黑体" w:cs="Times New Roman"/>
        </w:rPr>
      </w:pPr>
      <w:r>
        <w:rPr>
          <w:rFonts w:hint="eastAsia" w:ascii="黑体" w:hAnsi="宋体" w:eastAsia="黑体" w:cs="黑体"/>
        </w:rPr>
        <w:t>成立时间：</w:t>
      </w:r>
      <w:r>
        <w:rPr>
          <w:rFonts w:ascii="宋体" w:hAnsi="宋体" w:cs="宋体"/>
        </w:rPr>
        <w:t>____________</w:t>
      </w:r>
      <w:r>
        <w:rPr>
          <w:rFonts w:hint="eastAsia" w:ascii="黑体" w:hAnsi="宋体" w:eastAsia="黑体" w:cs="黑体"/>
        </w:rPr>
        <w:t>年</w:t>
      </w:r>
      <w:r>
        <w:rPr>
          <w:rFonts w:ascii="宋体" w:hAnsi="宋体" w:cs="宋体"/>
        </w:rPr>
        <w:t>____________</w:t>
      </w:r>
      <w:r>
        <w:rPr>
          <w:rFonts w:hint="eastAsia" w:ascii="黑体" w:hAnsi="宋体" w:eastAsia="黑体" w:cs="黑体"/>
        </w:rPr>
        <w:t>月</w:t>
      </w:r>
      <w:r>
        <w:rPr>
          <w:rFonts w:ascii="宋体" w:hAnsi="宋体" w:cs="宋体"/>
        </w:rPr>
        <w:t>_______________</w:t>
      </w:r>
      <w:r>
        <w:rPr>
          <w:rFonts w:hint="eastAsia" w:ascii="黑体" w:hAnsi="宋体" w:eastAsia="黑体" w:cs="黑体"/>
        </w:rPr>
        <w:t>日</w:t>
      </w:r>
    </w:p>
    <w:p w14:paraId="3CC5AE57">
      <w:pPr>
        <w:spacing w:line="500" w:lineRule="exact"/>
        <w:jc w:val="left"/>
        <w:rPr>
          <w:rFonts w:hint="eastAsia" w:ascii="黑体" w:hAnsi="宋体" w:eastAsia="黑体" w:cs="Times New Roman"/>
        </w:rPr>
      </w:pPr>
      <w:r>
        <w:rPr>
          <w:rFonts w:hint="eastAsia" w:ascii="黑体" w:hAnsi="宋体" w:eastAsia="黑体" w:cs="黑体"/>
        </w:rPr>
        <w:t>经营期限：</w:t>
      </w:r>
      <w:r>
        <w:rPr>
          <w:rFonts w:ascii="宋体" w:hAnsi="宋体" w:cs="宋体"/>
        </w:rPr>
        <w:t>_________________________________________________________</w:t>
      </w:r>
    </w:p>
    <w:p w14:paraId="72A38D4B">
      <w:pPr>
        <w:spacing w:line="500" w:lineRule="exact"/>
        <w:jc w:val="left"/>
        <w:rPr>
          <w:rFonts w:hint="eastAsia" w:ascii="黑体" w:hAnsi="宋体" w:eastAsia="黑体" w:cs="Times New Roman"/>
        </w:rPr>
      </w:pPr>
      <w:r>
        <w:rPr>
          <w:rFonts w:hint="eastAsia" w:ascii="黑体" w:hAnsi="宋体" w:eastAsia="黑体" w:cs="黑体"/>
        </w:rPr>
        <w:t>姓名：</w:t>
      </w:r>
      <w:r>
        <w:rPr>
          <w:rFonts w:ascii="宋体" w:hAnsi="宋体" w:cs="宋体"/>
        </w:rPr>
        <w:t xml:space="preserve">____________________________   </w:t>
      </w:r>
      <w:r>
        <w:rPr>
          <w:rFonts w:hint="eastAsia" w:ascii="黑体" w:hAnsi="宋体" w:eastAsia="黑体" w:cs="黑体"/>
        </w:rPr>
        <w:t>性别：</w:t>
      </w:r>
      <w:r>
        <w:rPr>
          <w:rFonts w:ascii="宋体" w:hAnsi="宋体" w:cs="宋体"/>
        </w:rPr>
        <w:t>__________________</w:t>
      </w:r>
    </w:p>
    <w:p w14:paraId="68ED35EE">
      <w:pPr>
        <w:spacing w:line="500" w:lineRule="exact"/>
        <w:jc w:val="left"/>
        <w:rPr>
          <w:rFonts w:hint="eastAsia" w:ascii="黑体" w:hAnsi="宋体" w:eastAsia="黑体" w:cs="Times New Roman"/>
        </w:rPr>
      </w:pPr>
      <w:r>
        <w:rPr>
          <w:rFonts w:hint="eastAsia" w:ascii="黑体" w:hAnsi="宋体" w:eastAsia="黑体" w:cs="黑体"/>
        </w:rPr>
        <w:t>年龄：</w:t>
      </w:r>
      <w:r>
        <w:rPr>
          <w:rFonts w:ascii="宋体" w:hAnsi="宋体" w:cs="宋体"/>
        </w:rPr>
        <w:t xml:space="preserve">____________________________   </w:t>
      </w:r>
      <w:r>
        <w:rPr>
          <w:rFonts w:hint="eastAsia" w:ascii="黑体" w:hAnsi="宋体" w:eastAsia="黑体" w:cs="黑体"/>
        </w:rPr>
        <w:t>职务：</w:t>
      </w:r>
      <w:r>
        <w:rPr>
          <w:rFonts w:ascii="宋体" w:hAnsi="宋体" w:cs="宋体"/>
        </w:rPr>
        <w:t>__________________</w:t>
      </w:r>
    </w:p>
    <w:p w14:paraId="5311CEDD">
      <w:pPr>
        <w:spacing w:line="500" w:lineRule="exact"/>
        <w:jc w:val="left"/>
        <w:rPr>
          <w:rFonts w:ascii="宋体" w:cs="Times New Roman"/>
        </w:rPr>
      </w:pPr>
      <w:r>
        <w:rPr>
          <w:rFonts w:hint="eastAsia" w:ascii="宋体" w:hAnsi="宋体" w:cs="宋体"/>
        </w:rPr>
        <w:t>系</w:t>
      </w:r>
      <w:r>
        <w:rPr>
          <w:rFonts w:ascii="宋体" w:hAnsi="宋体" w:cs="宋体"/>
        </w:rPr>
        <w:t>__________________________________________</w:t>
      </w:r>
      <w:r>
        <w:rPr>
          <w:rFonts w:hint="eastAsia" w:ascii="宋体" w:hAnsi="宋体" w:cs="宋体"/>
        </w:rPr>
        <w:t>（投标人名称）的法定代表人。</w:t>
      </w:r>
    </w:p>
    <w:p w14:paraId="4B052B84">
      <w:pPr>
        <w:spacing w:line="500" w:lineRule="exact"/>
        <w:jc w:val="left"/>
        <w:rPr>
          <w:rFonts w:ascii="宋体" w:cs="Times New Roman"/>
        </w:rPr>
      </w:pPr>
      <w:r>
        <w:rPr>
          <w:rFonts w:hint="eastAsia" w:ascii="宋体" w:hAnsi="宋体" w:cs="宋体"/>
        </w:rPr>
        <w:t>特此证明。</w:t>
      </w:r>
    </w:p>
    <w:p w14:paraId="07B5078B">
      <w:pPr>
        <w:spacing w:line="500" w:lineRule="exact"/>
        <w:jc w:val="left"/>
        <w:rPr>
          <w:rFonts w:ascii="宋体" w:cs="Times New Roman"/>
        </w:rPr>
      </w:pPr>
    </w:p>
    <w:p w14:paraId="1D3C86DA">
      <w:pPr>
        <w:spacing w:line="500" w:lineRule="exact"/>
        <w:jc w:val="left"/>
        <w:rPr>
          <w:rFonts w:ascii="宋体" w:cs="Times New Roman"/>
        </w:rPr>
      </w:pPr>
    </w:p>
    <w:p w14:paraId="50B519B9">
      <w:pPr>
        <w:spacing w:line="500" w:lineRule="exact"/>
        <w:ind w:right="420"/>
        <w:rPr>
          <w:rFonts w:ascii="宋体" w:cs="Times New Roman"/>
        </w:rPr>
      </w:pPr>
      <w:r>
        <w:rPr>
          <w:rFonts w:hint="eastAsia" w:ascii="宋体" w:hAnsi="宋体" w:cs="宋体"/>
        </w:rPr>
        <w:t>注：附法定代表人身份证扫描件（正反面）。</w:t>
      </w:r>
    </w:p>
    <w:p w14:paraId="252B816D">
      <w:pPr>
        <w:adjustRightInd w:val="0"/>
        <w:snapToGrid w:val="0"/>
        <w:spacing w:line="360" w:lineRule="auto"/>
        <w:ind w:firstLine="420" w:firstLineChars="200"/>
        <w:rPr>
          <w:rFonts w:ascii="宋体" w:cs="Times New Roman"/>
        </w:rPr>
      </w:pPr>
    </w:p>
    <w:p w14:paraId="05729289">
      <w:pPr>
        <w:adjustRightInd w:val="0"/>
        <w:snapToGrid w:val="0"/>
        <w:spacing w:line="360" w:lineRule="auto"/>
        <w:jc w:val="left"/>
        <w:outlineLvl w:val="4"/>
        <w:rPr>
          <w:rFonts w:ascii="宋体" w:cs="Times New Roman"/>
        </w:rPr>
      </w:pPr>
      <w:r>
        <w:rPr>
          <w:rFonts w:hint="eastAsia" w:ascii="宋体" w:hAnsi="宋体" w:cs="宋体"/>
        </w:rPr>
        <w:t>（以联合体形式参加投标的，由联合体牵头方提供）</w:t>
      </w:r>
    </w:p>
    <w:p w14:paraId="08AF81DE">
      <w:pPr>
        <w:adjustRightInd w:val="0"/>
        <w:snapToGrid w:val="0"/>
        <w:spacing w:line="360" w:lineRule="auto"/>
        <w:ind w:firstLine="420" w:firstLineChars="200"/>
        <w:rPr>
          <w:rFonts w:ascii="宋体" w:cs="Times New Roman"/>
        </w:rPr>
      </w:pPr>
    </w:p>
    <w:p w14:paraId="15209ABB">
      <w:pPr>
        <w:adjustRightInd w:val="0"/>
        <w:snapToGrid w:val="0"/>
        <w:spacing w:line="360" w:lineRule="auto"/>
        <w:ind w:firstLine="420" w:firstLineChars="200"/>
        <w:jc w:val="right"/>
        <w:rPr>
          <w:rFonts w:ascii="宋体" w:cs="Times New Roman"/>
        </w:rPr>
      </w:pPr>
      <w:r>
        <w:rPr>
          <w:rFonts w:hint="eastAsia" w:ascii="宋体" w:hAnsi="宋体" w:cs="宋体"/>
        </w:rPr>
        <w:t>投标人（牵头人单位）：</w:t>
      </w:r>
      <w:r>
        <w:rPr>
          <w:rFonts w:ascii="宋体" w:hAnsi="宋体" w:cs="宋体"/>
        </w:rPr>
        <w:t>_______________</w:t>
      </w:r>
      <w:r>
        <w:rPr>
          <w:rFonts w:hint="eastAsia" w:ascii="宋体" w:hAnsi="宋体" w:cs="宋体"/>
        </w:rPr>
        <w:t>（电子签章）</w:t>
      </w:r>
    </w:p>
    <w:p w14:paraId="4E3123A5">
      <w:pPr>
        <w:adjustRightInd w:val="0"/>
        <w:snapToGrid w:val="0"/>
        <w:spacing w:line="360" w:lineRule="auto"/>
        <w:ind w:firstLine="420" w:firstLineChars="200"/>
        <w:jc w:val="right"/>
        <w:rPr>
          <w:rFonts w:ascii="宋体" w:cs="Times New Roman"/>
        </w:rPr>
      </w:pPr>
    </w:p>
    <w:p w14:paraId="436CA425">
      <w:pPr>
        <w:adjustRightInd w:val="0"/>
        <w:snapToGrid w:val="0"/>
        <w:spacing w:line="360" w:lineRule="auto"/>
        <w:ind w:firstLine="420" w:firstLineChars="200"/>
        <w:jc w:val="right"/>
        <w:rPr>
          <w:rFonts w:ascii="宋体" w:cs="Times New Roman"/>
        </w:rPr>
      </w:pPr>
      <w:r>
        <w:rPr>
          <w:rFonts w:ascii="宋体" w:hAnsi="宋体" w:cs="宋体"/>
        </w:rPr>
        <w:t>______</w:t>
      </w:r>
      <w:r>
        <w:rPr>
          <w:rFonts w:hint="eastAsia" w:ascii="宋体" w:hAnsi="宋体" w:cs="宋体"/>
        </w:rPr>
        <w:t>年</w:t>
      </w:r>
      <w:r>
        <w:rPr>
          <w:rFonts w:ascii="宋体" w:hAnsi="宋体" w:cs="宋体"/>
        </w:rPr>
        <w:t>___</w:t>
      </w:r>
      <w:r>
        <w:rPr>
          <w:rFonts w:hint="eastAsia" w:ascii="宋体" w:hAnsi="宋体" w:cs="宋体"/>
        </w:rPr>
        <w:t>月</w:t>
      </w:r>
      <w:r>
        <w:rPr>
          <w:rFonts w:ascii="宋体" w:hAnsi="宋体" w:cs="宋体"/>
        </w:rPr>
        <w:t>____</w:t>
      </w:r>
      <w:r>
        <w:rPr>
          <w:rFonts w:hint="eastAsia" w:ascii="宋体" w:hAnsi="宋体" w:cs="宋体"/>
        </w:rPr>
        <w:t>日</w:t>
      </w:r>
    </w:p>
    <w:p w14:paraId="334D8A56">
      <w:pPr>
        <w:adjustRightInd w:val="0"/>
        <w:snapToGrid w:val="0"/>
        <w:spacing w:line="360" w:lineRule="auto"/>
        <w:ind w:firstLine="420" w:firstLineChars="200"/>
        <w:rPr>
          <w:rFonts w:ascii="宋体" w:cs="Times New Roman"/>
        </w:rPr>
      </w:pPr>
    </w:p>
    <w:p w14:paraId="2C993A66">
      <w:pPr>
        <w:pStyle w:val="49"/>
        <w:snapToGrid w:val="0"/>
        <w:spacing w:before="157" w:beforeLines="50" w:after="314" w:afterLines="100" w:line="360" w:lineRule="auto"/>
        <w:ind w:left="0" w:firstLine="0"/>
        <w:rPr>
          <w:rFonts w:eastAsia="黑体" w:cs="Times New Roman"/>
          <w:sz w:val="20"/>
          <w:szCs w:val="20"/>
        </w:rPr>
      </w:pPr>
    </w:p>
    <w:p w14:paraId="623F5735">
      <w:pPr>
        <w:pStyle w:val="49"/>
        <w:snapToGrid w:val="0"/>
        <w:spacing w:before="157" w:beforeLines="50" w:after="314" w:afterLines="100" w:line="360" w:lineRule="auto"/>
        <w:ind w:left="0" w:firstLine="0"/>
        <w:rPr>
          <w:rFonts w:cs="Times New Roman"/>
          <w:b/>
          <w:bCs/>
          <w:sz w:val="28"/>
          <w:szCs w:val="28"/>
        </w:rPr>
      </w:pPr>
    </w:p>
    <w:p w14:paraId="1D99F469">
      <w:pPr>
        <w:pStyle w:val="49"/>
        <w:snapToGrid w:val="0"/>
        <w:spacing w:before="157" w:beforeLines="50" w:after="314" w:afterLines="100" w:line="360" w:lineRule="auto"/>
        <w:ind w:left="0" w:firstLine="0"/>
        <w:rPr>
          <w:rFonts w:cs="Times New Roman"/>
          <w:b/>
          <w:bCs/>
          <w:sz w:val="28"/>
          <w:szCs w:val="28"/>
        </w:rPr>
      </w:pPr>
    </w:p>
    <w:p w14:paraId="2BC4481B">
      <w:pPr>
        <w:pStyle w:val="49"/>
        <w:snapToGrid w:val="0"/>
        <w:spacing w:before="157" w:beforeLines="50" w:after="314" w:afterLines="100" w:line="360" w:lineRule="auto"/>
        <w:ind w:left="0" w:firstLine="0"/>
        <w:rPr>
          <w:rFonts w:cs="Times New Roman"/>
          <w:b/>
          <w:bCs/>
          <w:sz w:val="28"/>
          <w:szCs w:val="28"/>
        </w:rPr>
      </w:pPr>
    </w:p>
    <w:p w14:paraId="45FC8D20">
      <w:pPr>
        <w:pStyle w:val="49"/>
        <w:snapToGrid w:val="0"/>
        <w:spacing w:before="157" w:beforeLines="50" w:after="314" w:afterLines="100" w:line="360" w:lineRule="auto"/>
        <w:ind w:left="0" w:firstLine="0"/>
        <w:rPr>
          <w:rFonts w:cs="Times New Roman"/>
          <w:b/>
          <w:bCs/>
          <w:sz w:val="28"/>
          <w:szCs w:val="28"/>
        </w:rPr>
      </w:pPr>
    </w:p>
    <w:p w14:paraId="638CBB71">
      <w:pPr>
        <w:adjustRightInd w:val="0"/>
        <w:snapToGrid w:val="0"/>
        <w:spacing w:line="360" w:lineRule="auto"/>
        <w:jc w:val="center"/>
        <w:rPr>
          <w:rFonts w:ascii="宋体" w:cs="Times New Roman"/>
          <w:b/>
          <w:bCs/>
          <w:sz w:val="28"/>
          <w:szCs w:val="28"/>
        </w:rPr>
      </w:pPr>
      <w:bookmarkStart w:id="1929" w:name="_Toc11841_WPSOffice_Level2"/>
      <w:bookmarkStart w:id="1930" w:name="_Toc25682_WPSOffice_Level2"/>
    </w:p>
    <w:bookmarkEnd w:id="1929"/>
    <w:bookmarkEnd w:id="1930"/>
    <w:p w14:paraId="2208E9CB">
      <w:pPr>
        <w:adjustRightInd w:val="0"/>
        <w:snapToGrid w:val="0"/>
        <w:spacing w:line="360" w:lineRule="auto"/>
        <w:jc w:val="center"/>
        <w:outlineLvl w:val="3"/>
        <w:rPr>
          <w:rFonts w:ascii="宋体" w:cs="Times New Roman"/>
          <w:b/>
          <w:bCs/>
          <w:sz w:val="28"/>
          <w:szCs w:val="28"/>
        </w:rPr>
      </w:pPr>
      <w:bookmarkStart w:id="1931" w:name="_Toc14762"/>
      <w:bookmarkEnd w:id="1931"/>
      <w:bookmarkStart w:id="1932" w:name="_Toc7366"/>
      <w:bookmarkEnd w:id="1932"/>
      <w:r>
        <w:rPr>
          <w:rFonts w:hint="eastAsia" w:ascii="宋体" w:hAnsi="宋体" w:cs="宋体"/>
          <w:b/>
          <w:bCs/>
          <w:sz w:val="28"/>
          <w:szCs w:val="28"/>
        </w:rPr>
        <w:t>三、授权委托书</w:t>
      </w:r>
    </w:p>
    <w:p w14:paraId="0EC467CA">
      <w:pPr>
        <w:adjustRightInd w:val="0"/>
        <w:snapToGrid w:val="0"/>
        <w:spacing w:line="360" w:lineRule="auto"/>
        <w:ind w:firstLine="420" w:firstLineChars="200"/>
        <w:rPr>
          <w:rFonts w:ascii="宋体" w:cs="Times New Roman"/>
        </w:rPr>
      </w:pPr>
    </w:p>
    <w:p w14:paraId="1651E882">
      <w:pPr>
        <w:adjustRightInd w:val="0"/>
        <w:snapToGrid w:val="0"/>
        <w:spacing w:line="360" w:lineRule="auto"/>
        <w:ind w:firstLine="420" w:firstLineChars="200"/>
        <w:rPr>
          <w:rFonts w:ascii="宋体" w:cs="Times New Roman"/>
        </w:rPr>
      </w:pPr>
      <w:r>
        <w:rPr>
          <w:rFonts w:hint="eastAsia" w:ascii="宋体" w:hAnsi="宋体" w:cs="宋体"/>
        </w:rPr>
        <w:t>本人</w:t>
      </w:r>
      <w:r>
        <w:rPr>
          <w:rFonts w:ascii="宋体" w:hAnsi="宋体" w:cs="宋体"/>
        </w:rPr>
        <w:t>________</w:t>
      </w:r>
      <w:r>
        <w:rPr>
          <w:rFonts w:hint="eastAsia" w:ascii="宋体" w:hAnsi="宋体" w:cs="宋体"/>
        </w:rPr>
        <w:t>（姓名）系</w:t>
      </w:r>
      <w:r>
        <w:rPr>
          <w:rFonts w:ascii="宋体" w:hAnsi="宋体" w:cs="宋体"/>
        </w:rPr>
        <w:t>__________________</w:t>
      </w:r>
      <w:r>
        <w:rPr>
          <w:rFonts w:hint="eastAsia" w:ascii="宋体" w:hAnsi="宋体" w:cs="宋体"/>
        </w:rPr>
        <w:t>（投标人名称）的法定代表人，现委托</w:t>
      </w:r>
      <w:r>
        <w:rPr>
          <w:rFonts w:ascii="宋体" w:hAnsi="宋体" w:cs="宋体"/>
        </w:rPr>
        <w:t>________</w:t>
      </w:r>
      <w:r>
        <w:rPr>
          <w:rFonts w:hint="eastAsia" w:ascii="宋体" w:hAnsi="宋体" w:cs="宋体"/>
        </w:rPr>
        <w:t>（姓名）为我方代理人。代理人根据授权，以我方名义签署、澄清、说明、补正、递交、撤回、修改</w:t>
      </w:r>
      <w:r>
        <w:rPr>
          <w:rFonts w:ascii="宋体" w:hAnsi="宋体" w:cs="宋体"/>
        </w:rPr>
        <w:t>__________________________</w:t>
      </w:r>
      <w:r>
        <w:rPr>
          <w:rFonts w:hint="eastAsia" w:ascii="宋体" w:hAnsi="宋体" w:cs="宋体"/>
        </w:rPr>
        <w:t>（项目名称） 的投标文件、签订合同和处理有关事宜，其法律后果由我方承担。</w:t>
      </w:r>
    </w:p>
    <w:p w14:paraId="7EFFA53F">
      <w:pPr>
        <w:adjustRightInd w:val="0"/>
        <w:snapToGrid w:val="0"/>
        <w:spacing w:line="360" w:lineRule="auto"/>
        <w:ind w:firstLine="420" w:firstLineChars="200"/>
        <w:rPr>
          <w:rFonts w:ascii="宋体" w:cs="Times New Roman"/>
        </w:rPr>
      </w:pPr>
      <w:r>
        <w:rPr>
          <w:rFonts w:hint="eastAsia" w:ascii="宋体" w:hAnsi="宋体" w:cs="宋体"/>
        </w:rPr>
        <w:t>委托期限：</w:t>
      </w:r>
      <w:r>
        <w:rPr>
          <w:rFonts w:ascii="宋体" w:hAnsi="宋体" w:cs="宋体"/>
        </w:rPr>
        <w:t>________</w:t>
      </w:r>
      <w:r>
        <w:rPr>
          <w:rFonts w:hint="eastAsia" w:ascii="宋体" w:hAnsi="宋体" w:cs="宋体"/>
        </w:rPr>
        <w:t>。</w:t>
      </w:r>
    </w:p>
    <w:p w14:paraId="0D7FC0B2">
      <w:pPr>
        <w:adjustRightInd w:val="0"/>
        <w:snapToGrid w:val="0"/>
        <w:spacing w:line="360" w:lineRule="auto"/>
        <w:ind w:firstLine="420" w:firstLineChars="200"/>
        <w:rPr>
          <w:rFonts w:ascii="宋体" w:cs="Times New Roman"/>
        </w:rPr>
      </w:pPr>
      <w:r>
        <w:rPr>
          <w:rFonts w:hint="eastAsia" w:ascii="宋体" w:hAnsi="宋体" w:cs="宋体"/>
        </w:rPr>
        <w:t>代理人无转委托权。</w:t>
      </w:r>
    </w:p>
    <w:p w14:paraId="0B2164D9">
      <w:pPr>
        <w:adjustRightInd w:val="0"/>
        <w:snapToGrid w:val="0"/>
        <w:spacing w:line="360" w:lineRule="auto"/>
        <w:ind w:firstLine="420" w:firstLineChars="200"/>
        <w:rPr>
          <w:rFonts w:ascii="宋体" w:cs="Times New Roman"/>
        </w:rPr>
      </w:pPr>
    </w:p>
    <w:p w14:paraId="04E3E2E5">
      <w:pPr>
        <w:adjustRightInd w:val="0"/>
        <w:snapToGrid w:val="0"/>
        <w:spacing w:line="360" w:lineRule="auto"/>
        <w:ind w:firstLine="420" w:firstLineChars="200"/>
        <w:outlineLvl w:val="4"/>
        <w:rPr>
          <w:rFonts w:ascii="宋体" w:cs="Times New Roman"/>
        </w:rPr>
      </w:pPr>
      <w:r>
        <w:rPr>
          <w:rFonts w:hint="eastAsia" w:ascii="宋体" w:hAnsi="宋体" w:cs="宋体"/>
        </w:rPr>
        <w:t>附：</w:t>
      </w:r>
      <w:r>
        <w:rPr>
          <w:rFonts w:hint="eastAsia" w:cs="宋体"/>
        </w:rPr>
        <w:t>委托代理人身份证扫描件（正反面）</w:t>
      </w:r>
    </w:p>
    <w:p w14:paraId="2BCBDD67">
      <w:pPr>
        <w:adjustRightInd w:val="0"/>
        <w:snapToGrid w:val="0"/>
        <w:spacing w:line="360" w:lineRule="auto"/>
        <w:ind w:firstLine="420" w:firstLineChars="200"/>
        <w:rPr>
          <w:rFonts w:ascii="宋体" w:cs="Times New Roman"/>
        </w:rPr>
      </w:pPr>
    </w:p>
    <w:p w14:paraId="2272455C">
      <w:pPr>
        <w:adjustRightInd w:val="0"/>
        <w:snapToGrid w:val="0"/>
        <w:spacing w:line="360" w:lineRule="auto"/>
        <w:ind w:firstLine="420" w:firstLineChars="200"/>
        <w:rPr>
          <w:rFonts w:ascii="宋体" w:cs="Times New Roman"/>
        </w:rPr>
      </w:pPr>
    </w:p>
    <w:p w14:paraId="26AED2CF">
      <w:pPr>
        <w:adjustRightInd w:val="0"/>
        <w:snapToGrid w:val="0"/>
        <w:spacing w:line="360" w:lineRule="auto"/>
        <w:ind w:firstLine="420" w:firstLineChars="200"/>
        <w:jc w:val="right"/>
        <w:rPr>
          <w:rFonts w:ascii="宋体" w:cs="Times New Roman"/>
        </w:rPr>
      </w:pPr>
      <w:r>
        <w:rPr>
          <w:rFonts w:hint="eastAsia" w:ascii="宋体" w:hAnsi="宋体" w:cs="宋体"/>
        </w:rPr>
        <w:t>投标人（牵头人单位）：</w:t>
      </w:r>
      <w:r>
        <w:rPr>
          <w:rFonts w:ascii="宋体" w:hAnsi="宋体" w:cs="宋体"/>
        </w:rPr>
        <w:t>______________</w:t>
      </w:r>
      <w:r>
        <w:rPr>
          <w:rFonts w:hint="eastAsia" w:ascii="宋体" w:hAnsi="宋体" w:cs="宋体"/>
        </w:rPr>
        <w:t>（电子签章）</w:t>
      </w:r>
    </w:p>
    <w:p w14:paraId="6FF4C654">
      <w:pPr>
        <w:adjustRightInd w:val="0"/>
        <w:snapToGrid w:val="0"/>
        <w:spacing w:line="360" w:lineRule="auto"/>
        <w:ind w:firstLine="420" w:firstLineChars="200"/>
        <w:jc w:val="right"/>
        <w:rPr>
          <w:rFonts w:ascii="宋体" w:cs="Times New Roman"/>
        </w:rPr>
      </w:pPr>
      <w:r>
        <w:rPr>
          <w:rFonts w:hint="eastAsia" w:ascii="宋体" w:hAnsi="宋体" w:cs="宋体"/>
        </w:rPr>
        <w:t>法定代表人：</w:t>
      </w:r>
      <w:r>
        <w:rPr>
          <w:rFonts w:ascii="宋体" w:hAnsi="宋体" w:cs="宋体"/>
        </w:rPr>
        <w:t>________________________</w:t>
      </w:r>
      <w:r>
        <w:rPr>
          <w:rFonts w:hint="eastAsia" w:ascii="宋体" w:hAnsi="宋体" w:cs="宋体"/>
        </w:rPr>
        <w:t>（电子签章）</w:t>
      </w:r>
    </w:p>
    <w:p w14:paraId="791F74D9">
      <w:pPr>
        <w:adjustRightInd w:val="0"/>
        <w:snapToGrid w:val="0"/>
        <w:spacing w:line="360" w:lineRule="auto"/>
        <w:ind w:firstLine="420" w:firstLineChars="200"/>
        <w:jc w:val="right"/>
        <w:rPr>
          <w:rFonts w:ascii="宋体" w:cs="Times New Roman"/>
        </w:rPr>
      </w:pPr>
    </w:p>
    <w:p w14:paraId="70B3A256">
      <w:pPr>
        <w:adjustRightInd w:val="0"/>
        <w:snapToGrid w:val="0"/>
        <w:spacing w:line="360" w:lineRule="auto"/>
        <w:ind w:firstLine="420" w:firstLineChars="200"/>
        <w:jc w:val="right"/>
        <w:rPr>
          <w:rFonts w:ascii="宋体" w:cs="Times New Roman"/>
        </w:rPr>
      </w:pPr>
      <w:r>
        <w:rPr>
          <w:rFonts w:hint="eastAsia" w:ascii="宋体" w:hAnsi="宋体" w:cs="宋体"/>
        </w:rPr>
        <w:t>身份证号码：</w:t>
      </w:r>
      <w:r>
        <w:rPr>
          <w:rFonts w:ascii="宋体" w:hAnsi="宋体" w:cs="宋体"/>
        </w:rPr>
        <w:t>____________________________________</w:t>
      </w:r>
    </w:p>
    <w:p w14:paraId="1CC14230">
      <w:pPr>
        <w:adjustRightInd w:val="0"/>
        <w:snapToGrid w:val="0"/>
        <w:spacing w:line="360" w:lineRule="auto"/>
        <w:ind w:firstLine="420" w:firstLineChars="200"/>
        <w:jc w:val="right"/>
        <w:rPr>
          <w:rFonts w:ascii="宋体" w:cs="Times New Roman"/>
        </w:rPr>
      </w:pPr>
    </w:p>
    <w:p w14:paraId="34ECEA0F">
      <w:pPr>
        <w:adjustRightInd w:val="0"/>
        <w:snapToGrid w:val="0"/>
        <w:spacing w:line="360" w:lineRule="auto"/>
        <w:ind w:firstLine="420" w:firstLineChars="200"/>
        <w:jc w:val="right"/>
        <w:rPr>
          <w:rFonts w:ascii="宋体" w:cs="Times New Roman"/>
        </w:rPr>
      </w:pPr>
      <w:r>
        <w:rPr>
          <w:rFonts w:hint="eastAsia" w:ascii="宋体" w:hAnsi="宋体" w:cs="宋体"/>
        </w:rPr>
        <w:t>委托代理人：</w:t>
      </w:r>
      <w:r>
        <w:rPr>
          <w:rFonts w:ascii="宋体" w:hAnsi="宋体" w:cs="宋体"/>
        </w:rPr>
        <w:t>____________________________________</w:t>
      </w:r>
    </w:p>
    <w:p w14:paraId="1CC4A512">
      <w:pPr>
        <w:adjustRightInd w:val="0"/>
        <w:snapToGrid w:val="0"/>
        <w:spacing w:line="360" w:lineRule="auto"/>
        <w:ind w:firstLine="420" w:firstLineChars="200"/>
        <w:jc w:val="right"/>
        <w:rPr>
          <w:rFonts w:ascii="宋体" w:cs="Times New Roman"/>
        </w:rPr>
      </w:pPr>
    </w:p>
    <w:p w14:paraId="6CC822E6">
      <w:pPr>
        <w:adjustRightInd w:val="0"/>
        <w:snapToGrid w:val="0"/>
        <w:spacing w:line="360" w:lineRule="auto"/>
        <w:ind w:firstLine="420" w:firstLineChars="200"/>
        <w:jc w:val="right"/>
        <w:rPr>
          <w:rFonts w:ascii="宋体" w:cs="Times New Roman"/>
        </w:rPr>
      </w:pPr>
      <w:r>
        <w:rPr>
          <w:rFonts w:hint="eastAsia" w:ascii="宋体" w:hAnsi="宋体" w:cs="宋体"/>
        </w:rPr>
        <w:t>身份证号码：</w:t>
      </w:r>
      <w:r>
        <w:rPr>
          <w:rFonts w:ascii="宋体" w:hAnsi="宋体" w:cs="宋体"/>
        </w:rPr>
        <w:t>____________________________________</w:t>
      </w:r>
    </w:p>
    <w:p w14:paraId="360F2D3D">
      <w:pPr>
        <w:adjustRightInd w:val="0"/>
        <w:snapToGrid w:val="0"/>
        <w:spacing w:line="360" w:lineRule="auto"/>
        <w:ind w:firstLine="420" w:firstLineChars="200"/>
        <w:jc w:val="right"/>
        <w:rPr>
          <w:rFonts w:ascii="宋体" w:cs="Times New Roman"/>
        </w:rPr>
      </w:pPr>
    </w:p>
    <w:p w14:paraId="4B1291AC">
      <w:pPr>
        <w:adjustRightInd w:val="0"/>
        <w:snapToGrid w:val="0"/>
        <w:spacing w:line="360" w:lineRule="auto"/>
        <w:ind w:firstLine="420" w:firstLineChars="200"/>
        <w:jc w:val="right"/>
        <w:rPr>
          <w:rFonts w:ascii="宋体" w:cs="Times New Roman"/>
        </w:rPr>
      </w:pPr>
      <w:r>
        <w:rPr>
          <w:rFonts w:ascii="宋体" w:hAnsi="宋体" w:cs="宋体"/>
        </w:rPr>
        <w:t>_________</w:t>
      </w:r>
      <w:r>
        <w:rPr>
          <w:rFonts w:hint="eastAsia" w:ascii="宋体" w:hAnsi="宋体" w:cs="宋体"/>
        </w:rPr>
        <w:t>年</w:t>
      </w:r>
      <w:r>
        <w:rPr>
          <w:rFonts w:ascii="宋体" w:hAnsi="宋体" w:cs="宋体"/>
        </w:rPr>
        <w:t>_______</w:t>
      </w:r>
      <w:r>
        <w:rPr>
          <w:rFonts w:hint="eastAsia" w:ascii="宋体" w:hAnsi="宋体" w:cs="宋体"/>
        </w:rPr>
        <w:t>月</w:t>
      </w:r>
      <w:r>
        <w:rPr>
          <w:rFonts w:ascii="宋体" w:hAnsi="宋体" w:cs="宋体"/>
        </w:rPr>
        <w:t>_______</w:t>
      </w:r>
      <w:r>
        <w:rPr>
          <w:rFonts w:hint="eastAsia" w:ascii="宋体" w:hAnsi="宋体" w:cs="宋体"/>
        </w:rPr>
        <w:t>日</w:t>
      </w:r>
    </w:p>
    <w:p w14:paraId="415A1374">
      <w:pPr>
        <w:adjustRightInd w:val="0"/>
        <w:snapToGrid w:val="0"/>
        <w:spacing w:line="360" w:lineRule="auto"/>
        <w:ind w:firstLine="420" w:firstLineChars="200"/>
        <w:jc w:val="right"/>
        <w:rPr>
          <w:rFonts w:ascii="宋体" w:cs="Times New Roman"/>
        </w:rPr>
      </w:pPr>
    </w:p>
    <w:p w14:paraId="1C5CA838">
      <w:pPr>
        <w:adjustRightInd w:val="0"/>
        <w:snapToGrid w:val="0"/>
        <w:spacing w:line="360" w:lineRule="auto"/>
        <w:ind w:firstLine="420" w:firstLineChars="200"/>
        <w:rPr>
          <w:rFonts w:ascii="宋体" w:cs="Times New Roman"/>
        </w:rPr>
      </w:pPr>
    </w:p>
    <w:p w14:paraId="11ECC8E5">
      <w:pPr>
        <w:pStyle w:val="49"/>
        <w:numPr>
          <w:ilvl w:val="1"/>
          <w:numId w:val="0"/>
        </w:numPr>
        <w:snapToGrid w:val="0"/>
        <w:spacing w:before="157" w:beforeLines="50" w:after="314" w:afterLines="100" w:line="360" w:lineRule="auto"/>
        <w:rPr>
          <w:rFonts w:cs="Times New Roman"/>
          <w:b/>
          <w:bCs/>
          <w:sz w:val="28"/>
          <w:szCs w:val="28"/>
        </w:rPr>
      </w:pPr>
      <w:r>
        <w:rPr>
          <w:rFonts w:hint="eastAsia" w:ascii="宋体" w:hAnsi="宋体" w:cs="宋体"/>
          <w:b/>
          <w:bCs/>
        </w:rPr>
        <w:t>注</w:t>
      </w:r>
      <w:r>
        <w:rPr>
          <w:rFonts w:hint="eastAsia" w:cs="宋体"/>
          <w:b/>
          <w:bCs/>
          <w:sz w:val="28"/>
          <w:szCs w:val="28"/>
        </w:rPr>
        <w:t>：</w:t>
      </w:r>
      <w:r>
        <w:rPr>
          <w:rFonts w:hint="eastAsia" w:ascii="宋体" w:hAnsi="宋体" w:cs="宋体"/>
          <w:b/>
          <w:bCs/>
        </w:rPr>
        <w:t>以联合体形式参加投标的，由联合体牵头单位授权委托人提供。</w:t>
      </w:r>
    </w:p>
    <w:p w14:paraId="1175CD3B">
      <w:pPr>
        <w:pStyle w:val="50"/>
        <w:snapToGrid w:val="0"/>
        <w:spacing w:after="157" w:afterLines="50" w:line="360" w:lineRule="auto"/>
        <w:ind w:left="0" w:firstLine="0"/>
        <w:rPr>
          <w:rFonts w:cs="Times New Roman"/>
          <w:b/>
          <w:bCs/>
          <w:sz w:val="28"/>
          <w:szCs w:val="28"/>
        </w:rPr>
      </w:pPr>
      <w:r>
        <w:rPr>
          <w:rFonts w:eastAsia="黑体" w:cs="Times New Roman"/>
          <w:sz w:val="20"/>
          <w:szCs w:val="20"/>
        </w:rPr>
        <w:br w:type="page"/>
      </w:r>
    </w:p>
    <w:p w14:paraId="60EB069D">
      <w:pPr>
        <w:adjustRightInd w:val="0"/>
        <w:snapToGrid w:val="0"/>
        <w:spacing w:line="360" w:lineRule="auto"/>
        <w:jc w:val="center"/>
        <w:outlineLvl w:val="3"/>
        <w:rPr>
          <w:rFonts w:ascii="宋体" w:cs="Times New Roman"/>
          <w:b/>
          <w:bCs/>
          <w:sz w:val="28"/>
          <w:szCs w:val="28"/>
        </w:rPr>
      </w:pPr>
      <w:bookmarkStart w:id="1933" w:name="_Toc23307"/>
      <w:bookmarkEnd w:id="1933"/>
      <w:bookmarkStart w:id="1934" w:name="_Toc32269"/>
      <w:bookmarkEnd w:id="1934"/>
      <w:r>
        <w:rPr>
          <w:rFonts w:hint="eastAsia" w:ascii="宋体" w:hAnsi="宋体" w:cs="宋体"/>
          <w:b/>
          <w:bCs/>
          <w:sz w:val="28"/>
          <w:szCs w:val="28"/>
        </w:rPr>
        <w:t>四、</w:t>
      </w:r>
      <w:r>
        <w:rPr>
          <w:rFonts w:ascii="宋体" w:hAnsi="宋体" w:cs="宋体"/>
          <w:b/>
          <w:bCs/>
          <w:sz w:val="28"/>
          <w:szCs w:val="28"/>
        </w:rPr>
        <w:fldChar w:fldCharType="begin"/>
      </w:r>
      <w:r>
        <w:rPr>
          <w:rFonts w:ascii="宋体" w:hAnsi="宋体" w:cs="宋体"/>
          <w:b/>
          <w:bCs/>
          <w:sz w:val="28"/>
          <w:szCs w:val="28"/>
        </w:rPr>
        <w:instrText xml:space="preserve"> AUTOTEXT  </w:instrText>
      </w:r>
      <w:r>
        <w:rPr>
          <w:rFonts w:hint="eastAsia" w:ascii="宋体" w:hAnsi="宋体" w:cs="宋体"/>
          <w:b/>
          <w:bCs/>
          <w:sz w:val="28"/>
          <w:szCs w:val="28"/>
        </w:rPr>
        <w:instrText xml:space="preserve">其他要求</w:instrText>
      </w:r>
      <w:r>
        <w:rPr>
          <w:rFonts w:ascii="宋体" w:hAnsi="宋体" w:cs="宋体"/>
          <w:b/>
          <w:bCs/>
          <w:sz w:val="28"/>
          <w:szCs w:val="28"/>
        </w:rPr>
        <w:instrText xml:space="preserve"> \* MERGEFORMAT </w:instrText>
      </w:r>
      <w:r>
        <w:rPr>
          <w:rFonts w:hint="eastAsia" w:ascii="宋体" w:hAnsi="宋体" w:cs="宋体"/>
          <w:b/>
          <w:bCs/>
          <w:sz w:val="28"/>
          <w:szCs w:val="28"/>
        </w:rPr>
        <w:fldChar w:fldCharType="separate"/>
      </w:r>
      <w:r>
        <w:rPr>
          <w:rFonts w:ascii="宋体" w:hAnsi="宋体" w:cs="宋体"/>
          <w:b/>
          <w:bCs/>
          <w:sz w:val="28"/>
          <w:szCs w:val="28"/>
        </w:rPr>
        <w:fldChar w:fldCharType="end"/>
      </w:r>
      <w:r>
        <w:rPr>
          <w:rFonts w:hint="eastAsia" w:ascii="宋体" w:hAnsi="宋体" w:cs="宋体"/>
          <w:b/>
          <w:bCs/>
          <w:sz w:val="28"/>
          <w:szCs w:val="28"/>
        </w:rPr>
        <w:t>投标保证金缴纳凭证</w:t>
      </w:r>
    </w:p>
    <w:p w14:paraId="38CF837D">
      <w:pPr>
        <w:adjustRightInd w:val="0"/>
        <w:snapToGrid w:val="0"/>
        <w:spacing w:line="360" w:lineRule="auto"/>
        <w:rPr>
          <w:rStyle w:val="48"/>
          <w:rFonts w:ascii="宋体" w:hAnsi="Times New Roman" w:cs="Times New Roman"/>
          <w:sz w:val="28"/>
          <w:szCs w:val="28"/>
        </w:rPr>
      </w:pPr>
    </w:p>
    <w:p w14:paraId="22911BC8">
      <w:pPr>
        <w:wordWrap w:val="0"/>
        <w:ind w:firstLine="480" w:firstLineChars="200"/>
        <w:rPr>
          <w:rFonts w:hint="eastAsia" w:ascii="宋体" w:hAnsi="宋体" w:cs="宋体"/>
          <w:sz w:val="24"/>
          <w:szCs w:val="24"/>
        </w:rPr>
      </w:pPr>
      <w:r>
        <w:rPr>
          <w:rFonts w:hint="eastAsia" w:ascii="宋体" w:hAnsi="宋体" w:cs="宋体"/>
          <w:sz w:val="24"/>
          <w:szCs w:val="24"/>
        </w:rPr>
        <w:t>投标人应根据自身所采用的投标保证金缴纳形式提供相应资料。</w:t>
      </w:r>
    </w:p>
    <w:p w14:paraId="34FC79DE">
      <w:pPr>
        <w:wordWrap w:val="0"/>
        <w:ind w:firstLine="480" w:firstLineChars="200"/>
        <w:rPr>
          <w:rFonts w:hint="eastAsia" w:ascii="宋体" w:hAnsi="宋体" w:cs="宋体"/>
          <w:sz w:val="24"/>
          <w:szCs w:val="24"/>
        </w:rPr>
      </w:pPr>
    </w:p>
    <w:p w14:paraId="7D041232">
      <w:pPr>
        <w:wordWrap w:val="0"/>
        <w:spacing w:line="460" w:lineRule="exact"/>
        <w:ind w:firstLine="480" w:firstLineChars="200"/>
        <w:rPr>
          <w:rFonts w:hint="eastAsia" w:ascii="宋体" w:hAnsi="宋体" w:cs="宋体"/>
          <w:sz w:val="24"/>
          <w:szCs w:val="24"/>
        </w:rPr>
      </w:pPr>
      <w:bookmarkStart w:id="1935" w:name="_Toc2390"/>
      <w:r>
        <w:rPr>
          <w:rFonts w:hint="eastAsia"/>
          <w:sz w:val="24"/>
          <w:szCs w:val="24"/>
        </w:rPr>
        <w:t>（一）</w:t>
      </w:r>
      <w:r>
        <w:rPr>
          <w:rFonts w:hint="eastAsia" w:ascii="宋体" w:hAnsi="宋体" w:cs="宋体"/>
          <w:sz w:val="24"/>
          <w:szCs w:val="24"/>
        </w:rPr>
        <w:t>采用</w:t>
      </w:r>
      <w:r>
        <w:rPr>
          <w:rFonts w:hint="eastAsia" w:ascii="宋体" w:hAnsi="宋体" w:cs="宋体"/>
          <w:b/>
          <w:bCs/>
          <w:sz w:val="24"/>
          <w:szCs w:val="24"/>
        </w:rPr>
        <w:t>“免于收取情况”</w:t>
      </w:r>
      <w:r>
        <w:rPr>
          <w:rFonts w:hint="eastAsia" w:ascii="宋体" w:hAnsi="宋体" w:cs="宋体"/>
          <w:sz w:val="24"/>
          <w:szCs w:val="24"/>
        </w:rPr>
        <w:t>方式的，附如下资料：</w:t>
      </w:r>
      <w:bookmarkEnd w:id="1935"/>
    </w:p>
    <w:p w14:paraId="04D41EBA">
      <w:pPr>
        <w:pStyle w:val="6"/>
        <w:wordWrap w:val="0"/>
        <w:spacing w:line="460" w:lineRule="exact"/>
        <w:ind w:firstLine="960" w:firstLineChars="400"/>
        <w:rPr>
          <w:rFonts w:hint="eastAsia" w:ascii="宋体" w:hAnsi="宋体" w:cs="宋体"/>
        </w:rPr>
      </w:pPr>
      <w:r>
        <w:rPr>
          <w:rFonts w:hint="eastAsia" w:ascii="宋体" w:hAnsi="宋体" w:cs="宋体"/>
        </w:rPr>
        <w:t>与交易服务系统所上传文件一致的“无失信记录”扫描件。</w:t>
      </w:r>
    </w:p>
    <w:p w14:paraId="4AAAE823">
      <w:pPr>
        <w:wordWrap w:val="0"/>
        <w:spacing w:line="460" w:lineRule="exact"/>
        <w:rPr>
          <w:rFonts w:hint="eastAsia" w:ascii="宋体" w:hAnsi="宋体" w:cs="宋体"/>
          <w:sz w:val="24"/>
          <w:szCs w:val="24"/>
        </w:rPr>
      </w:pPr>
    </w:p>
    <w:p w14:paraId="11B71DF1">
      <w:pPr>
        <w:wordWrap w:val="0"/>
        <w:spacing w:line="460" w:lineRule="exact"/>
        <w:ind w:firstLine="480" w:firstLineChars="200"/>
        <w:rPr>
          <w:rFonts w:hint="eastAsia" w:ascii="宋体" w:hAnsi="宋体" w:cs="宋体"/>
          <w:sz w:val="24"/>
          <w:szCs w:val="24"/>
        </w:rPr>
      </w:pPr>
      <w:bookmarkStart w:id="1936" w:name="_Toc27821"/>
      <w:r>
        <w:rPr>
          <w:rFonts w:hint="eastAsia" w:ascii="宋体" w:hAnsi="宋体" w:cs="宋体"/>
          <w:sz w:val="24"/>
          <w:szCs w:val="24"/>
        </w:rPr>
        <w:t>（二）采用</w:t>
      </w:r>
      <w:r>
        <w:rPr>
          <w:rFonts w:hint="eastAsia" w:ascii="宋体" w:hAnsi="宋体" w:cs="宋体"/>
          <w:b/>
          <w:bCs/>
          <w:sz w:val="24"/>
          <w:szCs w:val="24"/>
        </w:rPr>
        <w:t>“银行转账”</w:t>
      </w:r>
      <w:r>
        <w:rPr>
          <w:rFonts w:hint="eastAsia" w:ascii="宋体" w:hAnsi="宋体" w:cs="宋体"/>
          <w:sz w:val="24"/>
          <w:szCs w:val="24"/>
        </w:rPr>
        <w:t>方式缴纳投标保证金的，附如下资料：</w:t>
      </w:r>
      <w:bookmarkEnd w:id="1936"/>
    </w:p>
    <w:p w14:paraId="771F72B6">
      <w:pPr>
        <w:pStyle w:val="6"/>
        <w:wordWrap w:val="0"/>
        <w:spacing w:line="460" w:lineRule="exact"/>
        <w:ind w:firstLine="960" w:firstLineChars="400"/>
        <w:rPr>
          <w:rFonts w:hint="eastAsia" w:ascii="宋体" w:hAnsi="宋体" w:cs="宋体"/>
        </w:rPr>
      </w:pPr>
      <w:r>
        <w:rPr>
          <w:rFonts w:hint="eastAsia" w:ascii="宋体" w:hAnsi="宋体" w:cs="宋体"/>
        </w:rPr>
        <w:t>1.交易服务系统中所打印的保证金缴纳回执扫描件。</w:t>
      </w:r>
    </w:p>
    <w:p w14:paraId="29B6B102">
      <w:pPr>
        <w:pStyle w:val="6"/>
        <w:wordWrap w:val="0"/>
        <w:spacing w:line="460" w:lineRule="exact"/>
        <w:ind w:firstLine="960" w:firstLineChars="400"/>
        <w:rPr>
          <w:rFonts w:hint="eastAsia" w:ascii="宋体" w:hAnsi="宋体" w:cs="宋体"/>
        </w:rPr>
      </w:pPr>
      <w:r>
        <w:rPr>
          <w:rFonts w:hint="eastAsia" w:ascii="宋体" w:hAnsi="宋体" w:cs="宋体"/>
        </w:rPr>
        <w:t>2.银行付款回单扫描件。</w:t>
      </w:r>
    </w:p>
    <w:p w14:paraId="08DEAFDB">
      <w:pPr>
        <w:wordWrap w:val="0"/>
        <w:spacing w:line="460" w:lineRule="exact"/>
        <w:ind w:firstLine="480" w:firstLineChars="200"/>
        <w:rPr>
          <w:rFonts w:hint="eastAsia" w:ascii="宋体" w:hAnsi="宋体" w:cs="宋体"/>
          <w:sz w:val="24"/>
          <w:szCs w:val="24"/>
        </w:rPr>
      </w:pPr>
    </w:p>
    <w:p w14:paraId="647906FF">
      <w:pPr>
        <w:wordWrap w:val="0"/>
        <w:spacing w:line="460" w:lineRule="exact"/>
        <w:ind w:firstLine="480" w:firstLineChars="200"/>
        <w:rPr>
          <w:rFonts w:hint="eastAsia" w:ascii="宋体" w:hAnsi="宋体" w:cs="宋体"/>
          <w:sz w:val="24"/>
          <w:szCs w:val="24"/>
        </w:rPr>
      </w:pPr>
      <w:bookmarkStart w:id="1937" w:name="_Toc11678"/>
      <w:r>
        <w:rPr>
          <w:rFonts w:hint="eastAsia"/>
          <w:sz w:val="24"/>
          <w:szCs w:val="24"/>
        </w:rPr>
        <w:t>（三）</w:t>
      </w:r>
      <w:r>
        <w:rPr>
          <w:rFonts w:hint="eastAsia" w:ascii="宋体" w:hAnsi="宋体" w:cs="宋体"/>
          <w:sz w:val="24"/>
          <w:szCs w:val="24"/>
        </w:rPr>
        <w:t>采用</w:t>
      </w:r>
      <w:r>
        <w:rPr>
          <w:rFonts w:hint="eastAsia" w:ascii="宋体" w:hAnsi="宋体" w:cs="宋体"/>
          <w:b/>
          <w:bCs/>
          <w:sz w:val="24"/>
          <w:szCs w:val="24"/>
        </w:rPr>
        <w:t>“保险保函”</w:t>
      </w:r>
      <w:r>
        <w:rPr>
          <w:rFonts w:hint="eastAsia" w:ascii="宋体" w:hAnsi="宋体" w:cs="宋体"/>
          <w:sz w:val="24"/>
          <w:szCs w:val="24"/>
        </w:rPr>
        <w:t>方式缴纳投标保证金的，附如下资料：</w:t>
      </w:r>
      <w:bookmarkEnd w:id="1937"/>
    </w:p>
    <w:p w14:paraId="7EB7D634">
      <w:pPr>
        <w:pStyle w:val="6"/>
        <w:wordWrap w:val="0"/>
        <w:spacing w:line="460" w:lineRule="exact"/>
        <w:ind w:firstLine="960" w:firstLineChars="400"/>
        <w:rPr>
          <w:rFonts w:hint="eastAsia" w:ascii="宋体" w:hAnsi="宋体" w:cs="宋体"/>
        </w:rPr>
      </w:pPr>
      <w:r>
        <w:rPr>
          <w:rFonts w:hint="eastAsia" w:ascii="宋体" w:hAnsi="宋体" w:cs="宋体"/>
        </w:rPr>
        <w:t>1.若投标人选择按系统指引从云南省公共资源交易电子保函服务系统购买电子保险保函的，附购买成功后所下载的保单扫描件。</w:t>
      </w:r>
    </w:p>
    <w:p w14:paraId="0CDBC205">
      <w:pPr>
        <w:adjustRightInd w:val="0"/>
        <w:snapToGrid w:val="0"/>
        <w:spacing w:line="360" w:lineRule="auto"/>
        <w:ind w:firstLine="480" w:firstLineChars="200"/>
        <w:rPr>
          <w:rFonts w:ascii="宋体" w:cs="Times New Roman"/>
          <w:sz w:val="22"/>
          <w:szCs w:val="22"/>
        </w:rPr>
      </w:pPr>
      <w:r>
        <w:rPr>
          <w:rFonts w:hint="eastAsia" w:ascii="宋体" w:hAnsi="宋体" w:cs="宋体"/>
          <w:sz w:val="24"/>
          <w:szCs w:val="24"/>
        </w:rPr>
        <w:t>2.若投标人从基本账户开户银行办理取得纸质保函的，附保函原件扫描件。</w:t>
      </w:r>
    </w:p>
    <w:p w14:paraId="3924B55C">
      <w:pPr>
        <w:adjustRightInd w:val="0"/>
        <w:snapToGrid w:val="0"/>
        <w:spacing w:line="360" w:lineRule="auto"/>
        <w:jc w:val="left"/>
        <w:rPr>
          <w:rFonts w:ascii="宋体" w:cs="Times New Roman"/>
          <w:b/>
          <w:bCs/>
        </w:rPr>
      </w:pPr>
      <w:bookmarkStart w:id="1938" w:name="_Toc28530_WPSOffice_Level2"/>
      <w:bookmarkStart w:id="1939" w:name="_Toc2149_WPSOffice_Level2"/>
    </w:p>
    <w:p w14:paraId="56EE1ECB">
      <w:pPr>
        <w:adjustRightInd w:val="0"/>
        <w:snapToGrid w:val="0"/>
        <w:spacing w:line="360" w:lineRule="auto"/>
        <w:jc w:val="left"/>
        <w:rPr>
          <w:rFonts w:ascii="宋体" w:cs="Times New Roman"/>
          <w:b/>
          <w:bCs/>
        </w:rPr>
      </w:pPr>
    </w:p>
    <w:p w14:paraId="0B06D6A3">
      <w:pPr>
        <w:adjustRightInd w:val="0"/>
        <w:snapToGrid w:val="0"/>
        <w:spacing w:line="360" w:lineRule="auto"/>
        <w:jc w:val="left"/>
        <w:rPr>
          <w:rFonts w:ascii="宋体" w:cs="Times New Roman"/>
          <w:b/>
          <w:bCs/>
        </w:rPr>
      </w:pPr>
      <w:r>
        <w:rPr>
          <w:rFonts w:hint="eastAsia" w:ascii="宋体" w:cs="Times New Roman"/>
          <w:b/>
          <w:bCs/>
        </w:rPr>
        <w:t>注：以联合体形式参加投标的，由联合体牵头单位提供。</w:t>
      </w:r>
    </w:p>
    <w:p w14:paraId="2AAA71A7">
      <w:pPr>
        <w:adjustRightInd w:val="0"/>
        <w:snapToGrid w:val="0"/>
        <w:spacing w:line="360" w:lineRule="auto"/>
        <w:jc w:val="center"/>
        <w:rPr>
          <w:rFonts w:ascii="宋体" w:cs="Times New Roman"/>
          <w:b/>
          <w:bCs/>
          <w:sz w:val="28"/>
          <w:szCs w:val="28"/>
        </w:rPr>
      </w:pPr>
    </w:p>
    <w:p w14:paraId="76201741">
      <w:pPr>
        <w:adjustRightInd w:val="0"/>
        <w:snapToGrid w:val="0"/>
        <w:spacing w:line="360" w:lineRule="auto"/>
        <w:jc w:val="center"/>
        <w:rPr>
          <w:rFonts w:ascii="宋体" w:cs="Times New Roman"/>
          <w:b/>
          <w:bCs/>
          <w:sz w:val="28"/>
          <w:szCs w:val="28"/>
        </w:rPr>
      </w:pPr>
    </w:p>
    <w:p w14:paraId="4D6B6883">
      <w:pPr>
        <w:pStyle w:val="29"/>
        <w:rPr>
          <w:rFonts w:cs="Times New Roman"/>
          <w:b/>
          <w:bCs/>
          <w:color w:val="auto"/>
          <w:sz w:val="28"/>
          <w:szCs w:val="28"/>
        </w:rPr>
      </w:pPr>
    </w:p>
    <w:p w14:paraId="280A8772">
      <w:pPr>
        <w:pStyle w:val="29"/>
        <w:rPr>
          <w:rFonts w:cs="Times New Roman"/>
          <w:b/>
          <w:bCs/>
          <w:color w:val="auto"/>
          <w:sz w:val="28"/>
          <w:szCs w:val="28"/>
        </w:rPr>
      </w:pPr>
    </w:p>
    <w:p w14:paraId="26907562">
      <w:pPr>
        <w:pStyle w:val="29"/>
        <w:rPr>
          <w:rFonts w:cs="Times New Roman"/>
          <w:b/>
          <w:bCs/>
          <w:color w:val="auto"/>
          <w:sz w:val="28"/>
          <w:szCs w:val="28"/>
        </w:rPr>
      </w:pPr>
    </w:p>
    <w:p w14:paraId="1419C163">
      <w:pPr>
        <w:pStyle w:val="29"/>
        <w:rPr>
          <w:rFonts w:cs="Times New Roman"/>
          <w:b/>
          <w:bCs/>
          <w:color w:val="auto"/>
          <w:sz w:val="28"/>
          <w:szCs w:val="28"/>
        </w:rPr>
      </w:pPr>
    </w:p>
    <w:p w14:paraId="404E6B46">
      <w:pPr>
        <w:pStyle w:val="29"/>
        <w:rPr>
          <w:rFonts w:cs="Times New Roman"/>
          <w:b/>
          <w:bCs/>
          <w:color w:val="auto"/>
          <w:sz w:val="28"/>
          <w:szCs w:val="28"/>
        </w:rPr>
      </w:pPr>
    </w:p>
    <w:p w14:paraId="1547BE44">
      <w:pPr>
        <w:pStyle w:val="29"/>
        <w:rPr>
          <w:rFonts w:cs="Times New Roman"/>
          <w:b/>
          <w:bCs/>
          <w:color w:val="auto"/>
          <w:sz w:val="28"/>
          <w:szCs w:val="28"/>
        </w:rPr>
      </w:pPr>
    </w:p>
    <w:p w14:paraId="550E1045">
      <w:pPr>
        <w:pStyle w:val="29"/>
        <w:rPr>
          <w:rFonts w:cs="Times New Roman"/>
          <w:b/>
          <w:bCs/>
          <w:color w:val="auto"/>
          <w:sz w:val="28"/>
          <w:szCs w:val="28"/>
        </w:rPr>
      </w:pPr>
    </w:p>
    <w:bookmarkEnd w:id="1938"/>
    <w:bookmarkEnd w:id="1939"/>
    <w:p w14:paraId="7F3487C2">
      <w:pPr>
        <w:rPr>
          <w:rFonts w:hint="eastAsia" w:ascii="宋体" w:hAnsi="宋体" w:cs="宋体"/>
          <w:b/>
          <w:bCs/>
          <w:sz w:val="28"/>
          <w:szCs w:val="28"/>
        </w:rPr>
      </w:pPr>
      <w:bookmarkStart w:id="1940" w:name="_Toc30789"/>
      <w:bookmarkEnd w:id="1940"/>
      <w:bookmarkStart w:id="1941" w:name="_Toc3484"/>
      <w:bookmarkEnd w:id="1941"/>
      <w:r>
        <w:rPr>
          <w:rFonts w:hint="eastAsia" w:ascii="宋体" w:hAnsi="宋体" w:cs="宋体"/>
          <w:b/>
          <w:bCs/>
          <w:sz w:val="28"/>
          <w:szCs w:val="28"/>
        </w:rPr>
        <w:br w:type="page"/>
      </w:r>
    </w:p>
    <w:p w14:paraId="490B585A">
      <w:pPr>
        <w:adjustRightInd w:val="0"/>
        <w:snapToGrid w:val="0"/>
        <w:spacing w:line="360" w:lineRule="auto"/>
        <w:jc w:val="center"/>
        <w:outlineLvl w:val="3"/>
        <w:rPr>
          <w:rFonts w:ascii="宋体" w:cs="Times New Roman"/>
          <w:b/>
          <w:bCs/>
          <w:sz w:val="28"/>
          <w:szCs w:val="28"/>
        </w:rPr>
      </w:pPr>
      <w:r>
        <w:rPr>
          <w:rFonts w:hint="eastAsia" w:ascii="宋体" w:hAnsi="宋体" w:cs="宋体"/>
          <w:b/>
          <w:bCs/>
          <w:sz w:val="28"/>
          <w:szCs w:val="28"/>
        </w:rPr>
        <w:t>五、联合体协议书</w:t>
      </w:r>
    </w:p>
    <w:p w14:paraId="53E22B10">
      <w:pPr>
        <w:adjustRightInd w:val="0"/>
        <w:snapToGrid w:val="0"/>
        <w:spacing w:line="360" w:lineRule="auto"/>
        <w:ind w:firstLine="420" w:firstLineChars="200"/>
        <w:rPr>
          <w:rFonts w:ascii="宋体" w:cs="Times New Roman"/>
        </w:rPr>
      </w:pPr>
    </w:p>
    <w:p w14:paraId="5E4B1FCC">
      <w:pPr>
        <w:adjustRightInd w:val="0"/>
        <w:snapToGrid w:val="0"/>
        <w:spacing w:line="360" w:lineRule="auto"/>
        <w:ind w:firstLine="420" w:firstLineChars="200"/>
        <w:rPr>
          <w:rFonts w:ascii="宋体" w:cs="Times New Roman"/>
        </w:rPr>
      </w:pPr>
      <w:r>
        <w:rPr>
          <w:rFonts w:ascii="宋体" w:hAnsi="宋体" w:cs="宋体"/>
        </w:rPr>
        <w:t>_________________________</w:t>
      </w:r>
      <w:r>
        <w:rPr>
          <w:rFonts w:hint="eastAsia" w:ascii="宋体" w:hAnsi="宋体" w:cs="宋体"/>
        </w:rPr>
        <w:t>（所有成员单位名称）自愿组成</w:t>
      </w:r>
      <w:r>
        <w:rPr>
          <w:rFonts w:ascii="宋体" w:hAnsi="宋体" w:cs="宋体"/>
        </w:rPr>
        <w:t>___________</w:t>
      </w:r>
      <w:r>
        <w:rPr>
          <w:rFonts w:hint="eastAsia" w:ascii="宋体" w:hAnsi="宋体" w:cs="宋体"/>
        </w:rPr>
        <w:t>（合体名称）联合体，共同参加</w:t>
      </w:r>
      <w:r>
        <w:rPr>
          <w:rFonts w:ascii="宋体" w:hAnsi="宋体" w:cs="宋体"/>
        </w:rPr>
        <w:t>__________________________</w:t>
      </w:r>
      <w:r>
        <w:rPr>
          <w:rFonts w:hint="eastAsia" w:ascii="宋体" w:hAnsi="宋体" w:cs="宋体"/>
        </w:rPr>
        <w:t>（项目名称）招标的投标。现就联合体投标事宜订立如下协议。</w:t>
      </w:r>
    </w:p>
    <w:p w14:paraId="5A48F71B">
      <w:pPr>
        <w:adjustRightInd w:val="0"/>
        <w:snapToGrid w:val="0"/>
        <w:spacing w:line="360" w:lineRule="auto"/>
        <w:ind w:firstLine="420" w:firstLineChars="200"/>
        <w:rPr>
          <w:rFonts w:ascii="宋体" w:cs="Times New Roman"/>
        </w:rPr>
      </w:pPr>
      <w:r>
        <w:rPr>
          <w:rFonts w:hint="eastAsia" w:ascii="宋体" w:hAnsi="宋体" w:cs="宋体"/>
        </w:rPr>
        <w:t>1.</w:t>
      </w:r>
      <w:r>
        <w:rPr>
          <w:rFonts w:ascii="宋体" w:hAnsi="宋体" w:cs="宋体"/>
        </w:rPr>
        <w:t>_____________________</w:t>
      </w:r>
      <w:r>
        <w:rPr>
          <w:rFonts w:hint="eastAsia" w:ascii="宋体" w:hAnsi="宋体" w:cs="宋体"/>
        </w:rPr>
        <w:t>（某成员单位名称）为联合体名称牵头人。</w:t>
      </w:r>
    </w:p>
    <w:p w14:paraId="5776CD05">
      <w:pPr>
        <w:adjustRightInd w:val="0"/>
        <w:snapToGrid w:val="0"/>
        <w:spacing w:line="360" w:lineRule="auto"/>
        <w:ind w:firstLine="420" w:firstLineChars="200"/>
        <w:rPr>
          <w:rFonts w:ascii="宋体" w:cs="Times New Roman"/>
        </w:rPr>
      </w:pPr>
      <w:r>
        <w:rPr>
          <w:rFonts w:hint="eastAsia" w:ascii="宋体" w:hAnsi="宋体" w:cs="宋体"/>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65B3EC68">
      <w:pPr>
        <w:adjustRightInd w:val="0"/>
        <w:snapToGrid w:val="0"/>
        <w:spacing w:line="360" w:lineRule="auto"/>
        <w:ind w:firstLine="420" w:firstLineChars="200"/>
        <w:rPr>
          <w:rFonts w:ascii="宋体" w:cs="Times New Roman"/>
        </w:rPr>
      </w:pPr>
      <w:r>
        <w:rPr>
          <w:rFonts w:hint="eastAsia" w:ascii="宋体" w:hAnsi="宋体" w:cs="宋体"/>
        </w:rPr>
        <w:t>3.联合体将严格按照招标文件的各项要求，递交投标文件，履行合同，并对外承担连带责任。</w:t>
      </w:r>
    </w:p>
    <w:p w14:paraId="0C8AD81A">
      <w:pPr>
        <w:adjustRightInd w:val="0"/>
        <w:snapToGrid w:val="0"/>
        <w:spacing w:line="360" w:lineRule="auto"/>
        <w:ind w:firstLine="420" w:firstLineChars="200"/>
        <w:outlineLvl w:val="4"/>
        <w:rPr>
          <w:rFonts w:ascii="宋体" w:cs="Times New Roman"/>
        </w:rPr>
      </w:pPr>
      <w:r>
        <w:rPr>
          <w:rFonts w:hint="eastAsia" w:ascii="宋体" w:hAnsi="宋体" w:cs="宋体"/>
        </w:rPr>
        <w:t>4.联合体各成员单位内部的职责分工如下：</w:t>
      </w:r>
    </w:p>
    <w:p w14:paraId="6D3674E1">
      <w:pPr>
        <w:adjustRightInd w:val="0"/>
        <w:snapToGrid w:val="0"/>
        <w:spacing w:line="360" w:lineRule="auto"/>
        <w:ind w:firstLine="420" w:firstLineChars="200"/>
        <w:rPr>
          <w:rFonts w:ascii="宋体" w:cs="Times New Roman"/>
        </w:rPr>
      </w:pPr>
      <w:r>
        <w:rPr>
          <w:rFonts w:ascii="宋体" w:hAnsi="宋体" w:cs="宋体"/>
        </w:rPr>
        <w:t>___________________________________________________________________________________________________________________________________</w:t>
      </w:r>
    </w:p>
    <w:p w14:paraId="2F4268F8">
      <w:pPr>
        <w:adjustRightInd w:val="0"/>
        <w:snapToGrid w:val="0"/>
        <w:spacing w:line="360" w:lineRule="auto"/>
        <w:ind w:firstLine="420" w:firstLineChars="200"/>
        <w:rPr>
          <w:rFonts w:ascii="宋体" w:cs="Times New Roman"/>
        </w:rPr>
      </w:pPr>
      <w:r>
        <w:rPr>
          <w:rFonts w:hint="eastAsia" w:ascii="宋体" w:hAnsi="宋体" w:cs="宋体"/>
        </w:rPr>
        <w:t>5.本协议书自签署之日起生效，合同履行完毕后自动失效。</w:t>
      </w:r>
    </w:p>
    <w:p w14:paraId="624C8B45">
      <w:pPr>
        <w:adjustRightInd w:val="0"/>
        <w:snapToGrid w:val="0"/>
        <w:spacing w:line="360" w:lineRule="auto"/>
        <w:ind w:firstLine="420" w:firstLineChars="200"/>
        <w:rPr>
          <w:rFonts w:ascii="宋体" w:cs="Times New Roman"/>
        </w:rPr>
      </w:pPr>
      <w:r>
        <w:rPr>
          <w:rFonts w:hint="eastAsia" w:ascii="宋体" w:hAnsi="宋体" w:cs="宋体"/>
        </w:rPr>
        <w:t>6.本协议书一式</w:t>
      </w:r>
      <w:r>
        <w:rPr>
          <w:rFonts w:ascii="宋体" w:hAnsi="宋体" w:cs="宋体"/>
        </w:rPr>
        <w:t>_____</w:t>
      </w:r>
      <w:r>
        <w:rPr>
          <w:rFonts w:hint="eastAsia" w:ascii="宋体" w:hAnsi="宋体" w:cs="宋体"/>
        </w:rPr>
        <w:t>份，联合体成员和招标人各执一份。</w:t>
      </w:r>
    </w:p>
    <w:p w14:paraId="7B47131A">
      <w:pPr>
        <w:adjustRightInd w:val="0"/>
        <w:snapToGrid w:val="0"/>
        <w:spacing w:line="360" w:lineRule="auto"/>
        <w:ind w:firstLine="420" w:firstLineChars="200"/>
        <w:rPr>
          <w:rFonts w:ascii="宋体" w:cs="Times New Roman"/>
        </w:rPr>
      </w:pPr>
    </w:p>
    <w:p w14:paraId="07493801">
      <w:pPr>
        <w:adjustRightInd w:val="0"/>
        <w:snapToGrid w:val="0"/>
        <w:spacing w:line="360" w:lineRule="auto"/>
        <w:ind w:firstLine="420" w:firstLineChars="200"/>
        <w:rPr>
          <w:rFonts w:ascii="宋体" w:cs="Times New Roman"/>
        </w:rPr>
      </w:pPr>
      <w:r>
        <w:rPr>
          <w:rFonts w:hint="eastAsia" w:ascii="宋体" w:hAnsi="宋体" w:cs="宋体"/>
        </w:rPr>
        <w:t>注：本协议书由委托代理人签字的，应附法定代表人签字的授权委托书。</w:t>
      </w:r>
    </w:p>
    <w:p w14:paraId="3B1902B9">
      <w:pPr>
        <w:adjustRightInd w:val="0"/>
        <w:snapToGrid w:val="0"/>
        <w:spacing w:line="360" w:lineRule="auto"/>
        <w:ind w:firstLine="420" w:firstLineChars="200"/>
        <w:rPr>
          <w:rFonts w:ascii="宋体" w:cs="Times New Roman"/>
        </w:rPr>
      </w:pPr>
    </w:p>
    <w:p w14:paraId="395D54C3">
      <w:pPr>
        <w:adjustRightInd w:val="0"/>
        <w:snapToGrid w:val="0"/>
        <w:spacing w:line="360" w:lineRule="auto"/>
        <w:ind w:firstLine="420" w:firstLineChars="200"/>
        <w:jc w:val="right"/>
        <w:rPr>
          <w:rFonts w:ascii="宋体" w:cs="Times New Roman"/>
        </w:rPr>
      </w:pPr>
      <w:r>
        <w:rPr>
          <w:rFonts w:hint="eastAsia" w:ascii="宋体" w:hAnsi="宋体" w:cs="宋体"/>
        </w:rPr>
        <w:t>牵头人名称：</w:t>
      </w:r>
      <w:r>
        <w:rPr>
          <w:rFonts w:ascii="宋体" w:hAnsi="宋体" w:cs="宋体"/>
        </w:rPr>
        <w:t>_________________________________</w:t>
      </w:r>
      <w:r>
        <w:rPr>
          <w:rFonts w:hint="eastAsia" w:ascii="宋体" w:hAnsi="宋体" w:cs="宋体"/>
        </w:rPr>
        <w:t>（单位盖章）</w:t>
      </w:r>
    </w:p>
    <w:p w14:paraId="2A097A9F">
      <w:pPr>
        <w:adjustRightInd w:val="0"/>
        <w:snapToGrid w:val="0"/>
        <w:spacing w:line="360" w:lineRule="auto"/>
        <w:ind w:firstLine="420" w:firstLineChars="200"/>
        <w:jc w:val="right"/>
        <w:outlineLvl w:val="2"/>
        <w:rPr>
          <w:rFonts w:ascii="宋体" w:cs="Times New Roman"/>
        </w:rPr>
      </w:pPr>
      <w:r>
        <w:rPr>
          <w:rFonts w:hint="eastAsia" w:ascii="宋体" w:hAnsi="宋体" w:cs="宋体"/>
        </w:rPr>
        <w:t>法定代表人或其委托代理人：</w:t>
      </w:r>
      <w:r>
        <w:rPr>
          <w:rFonts w:ascii="宋体" w:hAnsi="宋体" w:cs="宋体"/>
        </w:rPr>
        <w:t>_______________________</w:t>
      </w:r>
      <w:r>
        <w:rPr>
          <w:rFonts w:hint="eastAsia" w:ascii="宋体" w:hAnsi="宋体" w:cs="宋体"/>
        </w:rPr>
        <w:t>（签字）</w:t>
      </w:r>
    </w:p>
    <w:p w14:paraId="297FC176">
      <w:pPr>
        <w:adjustRightInd w:val="0"/>
        <w:snapToGrid w:val="0"/>
        <w:spacing w:line="360" w:lineRule="auto"/>
        <w:ind w:firstLine="420" w:firstLineChars="200"/>
        <w:jc w:val="right"/>
        <w:rPr>
          <w:rFonts w:ascii="宋体" w:cs="Times New Roman"/>
        </w:rPr>
      </w:pPr>
    </w:p>
    <w:p w14:paraId="3D68C344">
      <w:pPr>
        <w:adjustRightInd w:val="0"/>
        <w:snapToGrid w:val="0"/>
        <w:spacing w:line="360" w:lineRule="auto"/>
        <w:ind w:firstLine="420" w:firstLineChars="200"/>
        <w:jc w:val="right"/>
        <w:rPr>
          <w:rFonts w:hint="eastAsia" w:ascii="宋体" w:hAnsi="宋体" w:cs="宋体"/>
        </w:rPr>
      </w:pPr>
      <w:r>
        <w:rPr>
          <w:rFonts w:hint="eastAsia" w:ascii="宋体" w:hAnsi="宋体" w:cs="宋体"/>
        </w:rPr>
        <w:t xml:space="preserve">  联合体成员名称：___________________________（单位盖章）</w:t>
      </w:r>
    </w:p>
    <w:p w14:paraId="10FEB121">
      <w:pPr>
        <w:adjustRightInd w:val="0"/>
        <w:snapToGrid w:val="0"/>
        <w:spacing w:line="360" w:lineRule="auto"/>
        <w:ind w:firstLine="420" w:firstLineChars="200"/>
        <w:jc w:val="right"/>
        <w:rPr>
          <w:rFonts w:hint="eastAsia" w:ascii="宋体" w:hAnsi="宋体" w:cs="宋体"/>
        </w:rPr>
      </w:pPr>
      <w:r>
        <w:rPr>
          <w:rFonts w:hint="eastAsia" w:ascii="宋体" w:hAnsi="宋体" w:cs="宋体"/>
        </w:rPr>
        <w:t>法定代表人或其委托代理人：_______________________（签字）</w:t>
      </w:r>
    </w:p>
    <w:p w14:paraId="347D30C4">
      <w:pPr>
        <w:adjustRightInd w:val="0"/>
        <w:snapToGrid w:val="0"/>
        <w:spacing w:line="360" w:lineRule="auto"/>
        <w:ind w:firstLine="420" w:firstLineChars="200"/>
        <w:jc w:val="right"/>
        <w:rPr>
          <w:rFonts w:hint="eastAsia" w:ascii="宋体" w:hAnsi="宋体" w:cs="宋体"/>
        </w:rPr>
      </w:pPr>
    </w:p>
    <w:p w14:paraId="7ECB94EA">
      <w:pPr>
        <w:adjustRightInd w:val="0"/>
        <w:snapToGrid w:val="0"/>
        <w:spacing w:line="360" w:lineRule="auto"/>
        <w:ind w:firstLine="420" w:firstLineChars="200"/>
        <w:jc w:val="right"/>
        <w:rPr>
          <w:rFonts w:ascii="宋体" w:cs="Times New Roman"/>
        </w:rPr>
      </w:pPr>
    </w:p>
    <w:p w14:paraId="7A1E5ACB">
      <w:pPr>
        <w:adjustRightInd w:val="0"/>
        <w:snapToGrid w:val="0"/>
        <w:spacing w:line="360" w:lineRule="auto"/>
        <w:ind w:firstLine="420" w:firstLineChars="200"/>
        <w:jc w:val="right"/>
        <w:rPr>
          <w:rFonts w:ascii="宋体" w:cs="Times New Roman"/>
        </w:rPr>
      </w:pPr>
    </w:p>
    <w:p w14:paraId="3FA9D453">
      <w:pPr>
        <w:adjustRightInd w:val="0"/>
        <w:snapToGrid w:val="0"/>
        <w:spacing w:line="360" w:lineRule="auto"/>
        <w:rPr>
          <w:rFonts w:ascii="宋体" w:cs="Times New Roman"/>
        </w:rPr>
      </w:pPr>
      <w:r>
        <w:rPr>
          <w:rFonts w:hint="eastAsia" w:ascii="宋体" w:hAnsi="宋体" w:cs="宋体"/>
          <w:b/>
          <w:bCs/>
        </w:rPr>
        <w:t>注：如为联合体投标的需附此协议书原件扫描件，由双方签字盖章后确认无误扫描上传</w:t>
      </w:r>
    </w:p>
    <w:p w14:paraId="4A924D18">
      <w:pPr>
        <w:adjustRightInd w:val="0"/>
        <w:snapToGrid w:val="0"/>
        <w:spacing w:line="360" w:lineRule="auto"/>
        <w:ind w:firstLine="5880" w:firstLineChars="2800"/>
        <w:rPr>
          <w:rFonts w:hint="eastAsia" w:ascii="宋体" w:hAnsi="宋体" w:cs="宋体"/>
        </w:rPr>
      </w:pPr>
      <w:r>
        <w:rPr>
          <w:rFonts w:ascii="宋体" w:hAnsi="宋体" w:cs="宋体"/>
        </w:rPr>
        <w:t>_____</w:t>
      </w:r>
      <w:r>
        <w:rPr>
          <w:rFonts w:hint="eastAsia" w:ascii="宋体" w:hAnsi="宋体" w:cs="宋体"/>
        </w:rPr>
        <w:t>年</w:t>
      </w:r>
      <w:r>
        <w:rPr>
          <w:rFonts w:ascii="宋体" w:hAnsi="宋体" w:cs="宋体"/>
        </w:rPr>
        <w:t>___</w:t>
      </w:r>
      <w:r>
        <w:rPr>
          <w:rFonts w:hint="eastAsia" w:ascii="宋体" w:hAnsi="宋体" w:cs="宋体"/>
        </w:rPr>
        <w:t>月</w:t>
      </w:r>
      <w:r>
        <w:rPr>
          <w:rFonts w:ascii="宋体" w:hAnsi="宋体" w:cs="宋体"/>
        </w:rPr>
        <w:t>____</w:t>
      </w:r>
      <w:r>
        <w:rPr>
          <w:rFonts w:hint="eastAsia" w:ascii="宋体" w:hAnsi="宋体" w:cs="宋体"/>
        </w:rPr>
        <w:t>日</w:t>
      </w:r>
    </w:p>
    <w:p w14:paraId="79AF8296">
      <w:pPr>
        <w:pStyle w:val="13"/>
        <w:rPr>
          <w:rFonts w:hint="eastAsia" w:hAnsi="宋体" w:cs="宋体"/>
        </w:rPr>
      </w:pPr>
    </w:p>
    <w:p w14:paraId="05331A26">
      <w:pPr>
        <w:rPr>
          <w:rFonts w:hint="eastAsia" w:ascii="宋体" w:hAnsi="宋体" w:cs="宋体"/>
        </w:rPr>
      </w:pPr>
    </w:p>
    <w:p w14:paraId="61A14F6A">
      <w:pPr>
        <w:pStyle w:val="13"/>
      </w:pPr>
    </w:p>
    <w:bookmarkEnd w:id="1923"/>
    <w:p w14:paraId="0629E11A">
      <w:pPr>
        <w:pStyle w:val="4"/>
        <w:snapToGrid w:val="0"/>
        <w:spacing w:before="0" w:after="0" w:line="360" w:lineRule="auto"/>
        <w:ind w:firstLine="148"/>
        <w:jc w:val="center"/>
        <w:rPr>
          <w:rFonts w:hint="eastAsia" w:hAnsi="黑体" w:cs="Times New Roman"/>
          <w:b/>
          <w:bCs/>
          <w:sz w:val="32"/>
          <w:szCs w:val="32"/>
        </w:rPr>
      </w:pPr>
      <w:bookmarkStart w:id="1942" w:name="_Toc22439"/>
      <w:bookmarkEnd w:id="1942"/>
      <w:r>
        <w:rPr>
          <w:rFonts w:hint="eastAsia" w:ascii="宋体" w:eastAsia="宋体" w:cs="宋体"/>
          <w:b/>
          <w:bCs/>
          <w:sz w:val="30"/>
          <w:szCs w:val="30"/>
        </w:rPr>
        <w:t>第二部分  资格审查部分</w:t>
      </w:r>
    </w:p>
    <w:p w14:paraId="3771601F">
      <w:pPr>
        <w:pStyle w:val="4"/>
        <w:snapToGrid w:val="0"/>
        <w:spacing w:before="0" w:after="0" w:line="360" w:lineRule="auto"/>
        <w:ind w:firstLine="0" w:firstLineChars="0"/>
        <w:jc w:val="center"/>
        <w:rPr>
          <w:rFonts w:hint="eastAsia"/>
          <w:sz w:val="32"/>
          <w:szCs w:val="32"/>
        </w:rPr>
      </w:pPr>
      <w:bookmarkStart w:id="1943" w:name="_Toc5840"/>
      <w:bookmarkEnd w:id="1943"/>
      <w:r>
        <w:rPr>
          <w:rFonts w:hint="eastAsia"/>
          <w:sz w:val="32"/>
          <w:szCs w:val="32"/>
        </w:rPr>
        <w:t>一、投标人基本情况</w:t>
      </w:r>
    </w:p>
    <w:p w14:paraId="1D3F1437">
      <w:pPr>
        <w:pStyle w:val="4"/>
        <w:snapToGrid w:val="0"/>
        <w:spacing w:before="0" w:after="0" w:line="360" w:lineRule="auto"/>
        <w:ind w:firstLine="0" w:firstLineChars="0"/>
        <w:jc w:val="center"/>
        <w:rPr>
          <w:rFonts w:hint="eastAsia"/>
        </w:rPr>
      </w:pPr>
      <w:r>
        <w:rPr>
          <w:rFonts w:hint="eastAsia"/>
        </w:rPr>
        <w:t>（一）投标人信息汇总表</w:t>
      </w:r>
    </w:p>
    <w:tbl>
      <w:tblPr>
        <w:tblStyle w:val="25"/>
        <w:tblW w:w="94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370"/>
        <w:gridCol w:w="3551"/>
        <w:gridCol w:w="1775"/>
        <w:gridCol w:w="1776"/>
      </w:tblGrid>
      <w:tr w14:paraId="65FE7F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9472" w:type="dxa"/>
            <w:gridSpan w:val="4"/>
            <w:tcBorders>
              <w:top w:val="single" w:color="auto" w:sz="12" w:space="0"/>
            </w:tcBorders>
            <w:vAlign w:val="center"/>
          </w:tcPr>
          <w:p w14:paraId="5F4C82B3">
            <w:pPr>
              <w:topLinePunct/>
              <w:adjustRightInd w:val="0"/>
              <w:snapToGrid w:val="0"/>
              <w:jc w:val="center"/>
              <w:rPr>
                <w:rFonts w:hint="eastAsia" w:ascii="宋体" w:hAnsi="宋体" w:cs="宋体"/>
              </w:rPr>
            </w:pPr>
            <w:r>
              <w:rPr>
                <w:rFonts w:hint="eastAsia" w:ascii="宋体" w:hAnsi="宋体" w:cs="宋体"/>
              </w:rPr>
              <w:t>联合体牵头人信息</w:t>
            </w:r>
          </w:p>
        </w:tc>
      </w:tr>
      <w:tr w14:paraId="474BBE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tcBorders>
              <w:top w:val="single" w:color="auto" w:sz="12" w:space="0"/>
            </w:tcBorders>
            <w:vAlign w:val="center"/>
          </w:tcPr>
          <w:p w14:paraId="49065030">
            <w:pPr>
              <w:topLinePunct/>
              <w:adjustRightInd w:val="0"/>
              <w:snapToGrid w:val="0"/>
              <w:jc w:val="center"/>
              <w:rPr>
                <w:rFonts w:hint="eastAsia" w:ascii="宋体" w:hAnsi="宋体" w:cs="宋体"/>
              </w:rPr>
            </w:pPr>
            <w:r>
              <w:rPr>
                <w:rFonts w:hint="eastAsia" w:ascii="宋体" w:hAnsi="宋体" w:cs="宋体"/>
              </w:rPr>
              <w:t>联合体牵头人名称</w:t>
            </w:r>
          </w:p>
        </w:tc>
        <w:tc>
          <w:tcPr>
            <w:tcW w:w="3551" w:type="dxa"/>
            <w:tcBorders>
              <w:top w:val="single" w:color="auto" w:sz="12" w:space="0"/>
            </w:tcBorders>
            <w:vAlign w:val="center"/>
          </w:tcPr>
          <w:p w14:paraId="650FA394">
            <w:pPr>
              <w:topLinePunct/>
              <w:adjustRightInd w:val="0"/>
              <w:snapToGrid w:val="0"/>
              <w:jc w:val="center"/>
              <w:rPr>
                <w:rFonts w:hint="eastAsia" w:ascii="宋体" w:hAnsi="宋体" w:cs="宋体"/>
              </w:rPr>
            </w:pPr>
          </w:p>
        </w:tc>
        <w:tc>
          <w:tcPr>
            <w:tcW w:w="1775" w:type="dxa"/>
            <w:tcBorders>
              <w:top w:val="single" w:color="auto" w:sz="12" w:space="0"/>
            </w:tcBorders>
            <w:vAlign w:val="center"/>
          </w:tcPr>
          <w:p w14:paraId="46EFFC75">
            <w:pPr>
              <w:topLinePunct/>
              <w:adjustRightInd w:val="0"/>
              <w:snapToGrid w:val="0"/>
              <w:jc w:val="center"/>
              <w:rPr>
                <w:rFonts w:hint="eastAsia" w:ascii="宋体" w:hAnsi="宋体" w:cs="宋体"/>
              </w:rPr>
            </w:pPr>
            <w:r>
              <w:rPr>
                <w:rFonts w:hint="eastAsia" w:ascii="宋体" w:hAnsi="宋体" w:cs="宋体"/>
              </w:rPr>
              <w:t>统一社会信用代码</w:t>
            </w:r>
          </w:p>
        </w:tc>
        <w:tc>
          <w:tcPr>
            <w:tcW w:w="1776" w:type="dxa"/>
            <w:tcBorders>
              <w:top w:val="single" w:color="auto" w:sz="12" w:space="0"/>
            </w:tcBorders>
            <w:vAlign w:val="center"/>
          </w:tcPr>
          <w:p w14:paraId="16DE1596">
            <w:pPr>
              <w:topLinePunct/>
              <w:adjustRightInd w:val="0"/>
              <w:snapToGrid w:val="0"/>
              <w:jc w:val="center"/>
              <w:rPr>
                <w:rFonts w:hint="eastAsia" w:ascii="宋体" w:hAnsi="宋体" w:cs="宋体"/>
              </w:rPr>
            </w:pPr>
          </w:p>
        </w:tc>
      </w:tr>
      <w:tr w14:paraId="564617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tcBorders>
              <w:top w:val="single" w:color="auto" w:sz="12" w:space="0"/>
            </w:tcBorders>
            <w:vAlign w:val="center"/>
          </w:tcPr>
          <w:p w14:paraId="570E39D7">
            <w:pPr>
              <w:topLinePunct/>
              <w:adjustRightInd w:val="0"/>
              <w:snapToGrid w:val="0"/>
              <w:jc w:val="center"/>
              <w:rPr>
                <w:rFonts w:hint="eastAsia" w:ascii="宋体" w:hAnsi="宋体" w:cs="宋体"/>
              </w:rPr>
            </w:pPr>
            <w:r>
              <w:rPr>
                <w:rFonts w:hint="eastAsia" w:ascii="宋体" w:hAnsi="宋体" w:cs="宋体"/>
              </w:rPr>
              <w:t>企业类型</w:t>
            </w:r>
          </w:p>
        </w:tc>
        <w:tc>
          <w:tcPr>
            <w:tcW w:w="3551" w:type="dxa"/>
            <w:tcBorders>
              <w:top w:val="single" w:color="auto" w:sz="12" w:space="0"/>
            </w:tcBorders>
            <w:vAlign w:val="center"/>
          </w:tcPr>
          <w:p w14:paraId="1113B94B">
            <w:pPr>
              <w:topLinePunct/>
              <w:adjustRightInd w:val="0"/>
              <w:snapToGrid w:val="0"/>
              <w:jc w:val="center"/>
              <w:rPr>
                <w:rFonts w:hint="eastAsia" w:ascii="宋体" w:hAnsi="宋体" w:cs="宋体"/>
              </w:rPr>
            </w:pPr>
          </w:p>
        </w:tc>
        <w:tc>
          <w:tcPr>
            <w:tcW w:w="1775" w:type="dxa"/>
            <w:tcBorders>
              <w:top w:val="single" w:color="auto" w:sz="12" w:space="0"/>
            </w:tcBorders>
            <w:vAlign w:val="center"/>
          </w:tcPr>
          <w:p w14:paraId="08B0BA2A">
            <w:pPr>
              <w:topLinePunct/>
              <w:adjustRightInd w:val="0"/>
              <w:snapToGrid w:val="0"/>
              <w:jc w:val="center"/>
              <w:rPr>
                <w:rFonts w:hint="eastAsia" w:ascii="宋体" w:hAnsi="宋体" w:cs="宋体"/>
              </w:rPr>
            </w:pPr>
            <w:r>
              <w:rPr>
                <w:rFonts w:hint="eastAsia" w:ascii="宋体" w:hAnsi="宋体" w:cs="宋体"/>
              </w:rPr>
              <w:t>企业资质等级</w:t>
            </w:r>
          </w:p>
        </w:tc>
        <w:tc>
          <w:tcPr>
            <w:tcW w:w="1776" w:type="dxa"/>
            <w:tcBorders>
              <w:top w:val="single" w:color="auto" w:sz="12" w:space="0"/>
            </w:tcBorders>
            <w:vAlign w:val="center"/>
          </w:tcPr>
          <w:p w14:paraId="78117689">
            <w:pPr>
              <w:topLinePunct/>
              <w:adjustRightInd w:val="0"/>
              <w:snapToGrid w:val="0"/>
              <w:jc w:val="center"/>
              <w:rPr>
                <w:rFonts w:hint="eastAsia" w:ascii="宋体" w:hAnsi="宋体" w:cs="宋体"/>
              </w:rPr>
            </w:pPr>
          </w:p>
        </w:tc>
      </w:tr>
      <w:tr w14:paraId="74EAC4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tcBorders>
              <w:top w:val="single" w:color="auto" w:sz="12" w:space="0"/>
            </w:tcBorders>
            <w:vAlign w:val="center"/>
          </w:tcPr>
          <w:p w14:paraId="19EA4564">
            <w:pPr>
              <w:topLinePunct/>
              <w:adjustRightInd w:val="0"/>
              <w:snapToGrid w:val="0"/>
              <w:jc w:val="center"/>
              <w:rPr>
                <w:rFonts w:hint="eastAsia" w:ascii="宋体" w:hAnsi="宋体" w:cs="宋体"/>
              </w:rPr>
            </w:pPr>
            <w:r>
              <w:rPr>
                <w:rFonts w:hint="eastAsia" w:ascii="宋体" w:hAnsi="宋体" w:cs="宋体"/>
              </w:rPr>
              <w:t>成立时间</w:t>
            </w:r>
          </w:p>
        </w:tc>
        <w:tc>
          <w:tcPr>
            <w:tcW w:w="7102" w:type="dxa"/>
            <w:gridSpan w:val="3"/>
            <w:tcBorders>
              <w:top w:val="single" w:color="auto" w:sz="12" w:space="0"/>
            </w:tcBorders>
            <w:vAlign w:val="center"/>
          </w:tcPr>
          <w:p w14:paraId="5467E868">
            <w:pPr>
              <w:topLinePunct/>
              <w:adjustRightInd w:val="0"/>
              <w:snapToGrid w:val="0"/>
              <w:jc w:val="center"/>
              <w:rPr>
                <w:rFonts w:hint="eastAsia" w:ascii="宋体" w:hAnsi="宋体" w:cs="宋体"/>
              </w:rPr>
            </w:pPr>
          </w:p>
        </w:tc>
      </w:tr>
      <w:tr w14:paraId="03DCAD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tcBorders>
              <w:top w:val="single" w:color="auto" w:sz="12" w:space="0"/>
            </w:tcBorders>
            <w:vAlign w:val="center"/>
          </w:tcPr>
          <w:p w14:paraId="06F3F0D9">
            <w:pPr>
              <w:topLinePunct/>
              <w:adjustRightInd w:val="0"/>
              <w:snapToGrid w:val="0"/>
              <w:jc w:val="center"/>
              <w:rPr>
                <w:rFonts w:hint="eastAsia" w:ascii="宋体" w:hAnsi="宋体" w:cs="宋体"/>
              </w:rPr>
            </w:pPr>
            <w:r>
              <w:rPr>
                <w:rFonts w:hint="eastAsia" w:ascii="宋体" w:hAnsi="宋体" w:cs="宋体"/>
              </w:rPr>
              <w:t>法定代表人</w:t>
            </w:r>
          </w:p>
        </w:tc>
        <w:tc>
          <w:tcPr>
            <w:tcW w:w="3551" w:type="dxa"/>
            <w:tcBorders>
              <w:top w:val="single" w:color="auto" w:sz="12" w:space="0"/>
            </w:tcBorders>
            <w:vAlign w:val="center"/>
          </w:tcPr>
          <w:p w14:paraId="4AB5A986">
            <w:pPr>
              <w:topLinePunct/>
              <w:adjustRightInd w:val="0"/>
              <w:snapToGrid w:val="0"/>
              <w:jc w:val="center"/>
              <w:rPr>
                <w:rFonts w:hint="eastAsia" w:ascii="宋体" w:hAnsi="宋体" w:cs="宋体"/>
              </w:rPr>
            </w:pPr>
          </w:p>
        </w:tc>
        <w:tc>
          <w:tcPr>
            <w:tcW w:w="1775" w:type="dxa"/>
            <w:tcBorders>
              <w:top w:val="single" w:color="auto" w:sz="12" w:space="0"/>
            </w:tcBorders>
            <w:vAlign w:val="center"/>
          </w:tcPr>
          <w:p w14:paraId="227A35E2">
            <w:pPr>
              <w:topLinePunct/>
              <w:adjustRightInd w:val="0"/>
              <w:snapToGrid w:val="0"/>
              <w:jc w:val="center"/>
              <w:rPr>
                <w:rFonts w:hint="eastAsia" w:ascii="宋体" w:hAnsi="宋体" w:cs="宋体"/>
              </w:rPr>
            </w:pPr>
            <w:r>
              <w:rPr>
                <w:rFonts w:hint="eastAsia" w:ascii="宋体" w:hAnsi="宋体" w:cs="宋体"/>
              </w:rPr>
              <w:t>安全生产许可证编号</w:t>
            </w:r>
          </w:p>
        </w:tc>
        <w:tc>
          <w:tcPr>
            <w:tcW w:w="1776" w:type="dxa"/>
            <w:tcBorders>
              <w:top w:val="single" w:color="auto" w:sz="12" w:space="0"/>
            </w:tcBorders>
            <w:vAlign w:val="center"/>
          </w:tcPr>
          <w:p w14:paraId="7988B4D9">
            <w:pPr>
              <w:topLinePunct/>
              <w:adjustRightInd w:val="0"/>
              <w:snapToGrid w:val="0"/>
              <w:jc w:val="center"/>
              <w:rPr>
                <w:rFonts w:hint="eastAsia" w:ascii="宋体" w:hAnsi="宋体" w:cs="宋体"/>
              </w:rPr>
            </w:pPr>
          </w:p>
        </w:tc>
      </w:tr>
      <w:tr w14:paraId="4BB14B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tcBorders>
              <w:top w:val="single" w:color="auto" w:sz="12" w:space="0"/>
            </w:tcBorders>
            <w:vAlign w:val="center"/>
          </w:tcPr>
          <w:p w14:paraId="5507E3F4">
            <w:pPr>
              <w:topLinePunct/>
              <w:adjustRightInd w:val="0"/>
              <w:snapToGrid w:val="0"/>
              <w:jc w:val="center"/>
              <w:rPr>
                <w:rFonts w:hint="eastAsia" w:ascii="宋体" w:hAnsi="宋体" w:cs="宋体"/>
              </w:rPr>
            </w:pPr>
            <w:r>
              <w:rPr>
                <w:rFonts w:hint="eastAsia" w:ascii="宋体" w:hAnsi="宋体" w:cs="宋体"/>
                <w:lang w:val="zh-CN"/>
              </w:rPr>
              <w:t>总承包负责人</w:t>
            </w:r>
          </w:p>
        </w:tc>
        <w:tc>
          <w:tcPr>
            <w:tcW w:w="3551" w:type="dxa"/>
            <w:tcBorders>
              <w:top w:val="single" w:color="auto" w:sz="12" w:space="0"/>
            </w:tcBorders>
            <w:vAlign w:val="center"/>
          </w:tcPr>
          <w:p w14:paraId="6EFB5DD4">
            <w:pPr>
              <w:topLinePunct/>
              <w:adjustRightInd w:val="0"/>
              <w:snapToGrid w:val="0"/>
              <w:jc w:val="center"/>
              <w:rPr>
                <w:rFonts w:hint="eastAsia" w:ascii="宋体" w:hAnsi="宋体" w:cs="宋体"/>
              </w:rPr>
            </w:pPr>
          </w:p>
        </w:tc>
        <w:tc>
          <w:tcPr>
            <w:tcW w:w="1775" w:type="dxa"/>
            <w:tcBorders>
              <w:top w:val="single" w:color="auto" w:sz="12" w:space="0"/>
            </w:tcBorders>
            <w:vAlign w:val="center"/>
          </w:tcPr>
          <w:p w14:paraId="55EC68D8">
            <w:pPr>
              <w:topLinePunct/>
              <w:adjustRightInd w:val="0"/>
              <w:snapToGrid w:val="0"/>
              <w:jc w:val="center"/>
              <w:rPr>
                <w:rFonts w:hint="eastAsia" w:ascii="宋体" w:hAnsi="宋体" w:cs="宋体"/>
              </w:rPr>
            </w:pPr>
            <w:r>
              <w:rPr>
                <w:rFonts w:hint="eastAsia" w:ascii="宋体" w:hAnsi="宋体" w:cs="宋体"/>
                <w:lang w:val="zh-CN"/>
              </w:rPr>
              <w:t>总承包负责人</w:t>
            </w:r>
            <w:r>
              <w:rPr>
                <w:rFonts w:hint="eastAsia" w:ascii="宋体" w:hAnsi="宋体" w:cs="宋体"/>
              </w:rPr>
              <w:t>身份证号码</w:t>
            </w:r>
          </w:p>
        </w:tc>
        <w:tc>
          <w:tcPr>
            <w:tcW w:w="1776" w:type="dxa"/>
            <w:tcBorders>
              <w:top w:val="single" w:color="auto" w:sz="12" w:space="0"/>
            </w:tcBorders>
            <w:vAlign w:val="center"/>
          </w:tcPr>
          <w:p w14:paraId="584658A2">
            <w:pPr>
              <w:topLinePunct/>
              <w:adjustRightInd w:val="0"/>
              <w:snapToGrid w:val="0"/>
              <w:jc w:val="center"/>
              <w:rPr>
                <w:rFonts w:hint="eastAsia" w:ascii="宋体" w:hAnsi="宋体" w:cs="宋体"/>
              </w:rPr>
            </w:pPr>
          </w:p>
        </w:tc>
      </w:tr>
      <w:tr w14:paraId="0D685A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tcBorders>
              <w:top w:val="single" w:color="auto" w:sz="12" w:space="0"/>
            </w:tcBorders>
            <w:vAlign w:val="center"/>
          </w:tcPr>
          <w:p w14:paraId="7CBE4B61">
            <w:pPr>
              <w:topLinePunct/>
              <w:adjustRightInd w:val="0"/>
              <w:snapToGrid w:val="0"/>
              <w:jc w:val="center"/>
              <w:rPr>
                <w:rFonts w:hint="eastAsia" w:ascii="宋体" w:hAnsi="宋体" w:cs="宋体"/>
              </w:rPr>
            </w:pPr>
            <w:r>
              <w:rPr>
                <w:rFonts w:hint="eastAsia" w:ascii="宋体" w:hAnsi="宋体" w:cs="宋体"/>
                <w:lang w:val="zh-CN"/>
              </w:rPr>
              <w:t>总承包负责人</w:t>
            </w:r>
            <w:r>
              <w:rPr>
                <w:rFonts w:hint="eastAsia" w:ascii="宋体" w:hAnsi="宋体" w:cs="宋体"/>
              </w:rPr>
              <w:t>执业资格</w:t>
            </w:r>
          </w:p>
        </w:tc>
        <w:tc>
          <w:tcPr>
            <w:tcW w:w="3551" w:type="dxa"/>
            <w:tcBorders>
              <w:top w:val="single" w:color="auto" w:sz="12" w:space="0"/>
            </w:tcBorders>
            <w:vAlign w:val="center"/>
          </w:tcPr>
          <w:p w14:paraId="61EC5A45">
            <w:pPr>
              <w:topLinePunct/>
              <w:adjustRightInd w:val="0"/>
              <w:snapToGrid w:val="0"/>
              <w:jc w:val="center"/>
              <w:rPr>
                <w:rFonts w:hint="eastAsia" w:ascii="宋体" w:hAnsi="宋体" w:cs="宋体"/>
              </w:rPr>
            </w:pPr>
          </w:p>
        </w:tc>
        <w:tc>
          <w:tcPr>
            <w:tcW w:w="1775" w:type="dxa"/>
            <w:tcBorders>
              <w:top w:val="single" w:color="auto" w:sz="12" w:space="0"/>
            </w:tcBorders>
            <w:vAlign w:val="center"/>
          </w:tcPr>
          <w:p w14:paraId="4F7146DA">
            <w:pPr>
              <w:topLinePunct/>
              <w:adjustRightInd w:val="0"/>
              <w:snapToGrid w:val="0"/>
              <w:jc w:val="center"/>
              <w:rPr>
                <w:rFonts w:hint="eastAsia" w:ascii="宋体" w:hAnsi="宋体" w:cs="宋体"/>
              </w:rPr>
            </w:pPr>
            <w:r>
              <w:rPr>
                <w:rFonts w:hint="eastAsia" w:ascii="宋体" w:hAnsi="宋体" w:cs="宋体"/>
                <w:lang w:val="zh-CN"/>
              </w:rPr>
              <w:t>总承包负责人建造师</w:t>
            </w:r>
            <w:r>
              <w:rPr>
                <w:rFonts w:hint="eastAsia" w:ascii="宋体" w:hAnsi="宋体" w:cs="宋体"/>
              </w:rPr>
              <w:t>注册编号</w:t>
            </w:r>
          </w:p>
        </w:tc>
        <w:tc>
          <w:tcPr>
            <w:tcW w:w="1776" w:type="dxa"/>
            <w:tcBorders>
              <w:top w:val="single" w:color="auto" w:sz="12" w:space="0"/>
            </w:tcBorders>
            <w:vAlign w:val="center"/>
          </w:tcPr>
          <w:p w14:paraId="36AA43A0">
            <w:pPr>
              <w:topLinePunct/>
              <w:adjustRightInd w:val="0"/>
              <w:snapToGrid w:val="0"/>
              <w:jc w:val="center"/>
              <w:rPr>
                <w:rFonts w:hint="eastAsia" w:ascii="宋体" w:hAnsi="宋体" w:cs="宋体"/>
              </w:rPr>
            </w:pPr>
          </w:p>
        </w:tc>
      </w:tr>
      <w:tr w14:paraId="22896F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tcBorders>
              <w:top w:val="single" w:color="auto" w:sz="12" w:space="0"/>
            </w:tcBorders>
            <w:vAlign w:val="center"/>
          </w:tcPr>
          <w:p w14:paraId="08BADC66">
            <w:pPr>
              <w:topLinePunct/>
              <w:adjustRightInd w:val="0"/>
              <w:snapToGrid w:val="0"/>
              <w:jc w:val="center"/>
              <w:rPr>
                <w:rFonts w:hint="eastAsia" w:ascii="宋体" w:hAnsi="宋体" w:cs="宋体"/>
              </w:rPr>
            </w:pPr>
            <w:r>
              <w:rPr>
                <w:rFonts w:hint="eastAsia" w:ascii="宋体" w:hAnsi="宋体" w:cs="宋体"/>
                <w:lang w:val="zh-CN"/>
              </w:rPr>
              <w:t>施工负责人（项目经理）</w:t>
            </w:r>
          </w:p>
        </w:tc>
        <w:tc>
          <w:tcPr>
            <w:tcW w:w="3551" w:type="dxa"/>
            <w:tcBorders>
              <w:top w:val="single" w:color="auto" w:sz="12" w:space="0"/>
            </w:tcBorders>
            <w:vAlign w:val="center"/>
          </w:tcPr>
          <w:p w14:paraId="65120431">
            <w:pPr>
              <w:topLinePunct/>
              <w:adjustRightInd w:val="0"/>
              <w:snapToGrid w:val="0"/>
              <w:jc w:val="center"/>
              <w:rPr>
                <w:rFonts w:hint="eastAsia" w:ascii="宋体" w:hAnsi="宋体" w:cs="宋体"/>
              </w:rPr>
            </w:pPr>
          </w:p>
        </w:tc>
        <w:tc>
          <w:tcPr>
            <w:tcW w:w="1775" w:type="dxa"/>
            <w:tcBorders>
              <w:top w:val="single" w:color="auto" w:sz="12" w:space="0"/>
            </w:tcBorders>
            <w:vAlign w:val="center"/>
          </w:tcPr>
          <w:p w14:paraId="03EC3F71">
            <w:pPr>
              <w:topLinePunct/>
              <w:adjustRightInd w:val="0"/>
              <w:snapToGrid w:val="0"/>
              <w:jc w:val="center"/>
              <w:rPr>
                <w:rFonts w:hint="eastAsia" w:ascii="宋体" w:hAnsi="宋体" w:cs="宋体"/>
              </w:rPr>
            </w:pPr>
            <w:r>
              <w:rPr>
                <w:rFonts w:hint="eastAsia" w:ascii="宋体" w:hAnsi="宋体" w:cs="宋体"/>
                <w:lang w:val="zh-CN"/>
              </w:rPr>
              <w:t>施工负责人（项目经理）</w:t>
            </w:r>
            <w:r>
              <w:rPr>
                <w:rFonts w:hint="eastAsia" w:ascii="宋体" w:hAnsi="宋体" w:cs="宋体"/>
              </w:rPr>
              <w:t>身份证号码</w:t>
            </w:r>
          </w:p>
        </w:tc>
        <w:tc>
          <w:tcPr>
            <w:tcW w:w="1776" w:type="dxa"/>
            <w:tcBorders>
              <w:top w:val="single" w:color="auto" w:sz="12" w:space="0"/>
            </w:tcBorders>
            <w:vAlign w:val="center"/>
          </w:tcPr>
          <w:p w14:paraId="21D849B1">
            <w:pPr>
              <w:topLinePunct/>
              <w:adjustRightInd w:val="0"/>
              <w:snapToGrid w:val="0"/>
              <w:jc w:val="center"/>
              <w:rPr>
                <w:rFonts w:hint="eastAsia" w:ascii="宋体" w:hAnsi="宋体" w:cs="宋体"/>
              </w:rPr>
            </w:pPr>
          </w:p>
        </w:tc>
      </w:tr>
      <w:tr w14:paraId="098E88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tcBorders>
              <w:top w:val="single" w:color="auto" w:sz="12" w:space="0"/>
            </w:tcBorders>
            <w:vAlign w:val="center"/>
          </w:tcPr>
          <w:p w14:paraId="0FE2BD07">
            <w:pPr>
              <w:topLinePunct/>
              <w:adjustRightInd w:val="0"/>
              <w:snapToGrid w:val="0"/>
              <w:jc w:val="center"/>
              <w:rPr>
                <w:rFonts w:hint="eastAsia" w:ascii="宋体" w:hAnsi="宋体" w:cs="宋体"/>
              </w:rPr>
            </w:pPr>
            <w:r>
              <w:rPr>
                <w:rFonts w:hint="eastAsia" w:ascii="宋体" w:hAnsi="宋体" w:cs="宋体"/>
                <w:lang w:val="zh-CN"/>
              </w:rPr>
              <w:t>施工负责人（项目经理）</w:t>
            </w:r>
            <w:r>
              <w:rPr>
                <w:rFonts w:hint="eastAsia" w:ascii="宋体" w:hAnsi="宋体" w:cs="宋体"/>
              </w:rPr>
              <w:t>执业资格</w:t>
            </w:r>
          </w:p>
        </w:tc>
        <w:tc>
          <w:tcPr>
            <w:tcW w:w="3551" w:type="dxa"/>
            <w:tcBorders>
              <w:top w:val="single" w:color="auto" w:sz="12" w:space="0"/>
            </w:tcBorders>
            <w:vAlign w:val="center"/>
          </w:tcPr>
          <w:p w14:paraId="59BE7085">
            <w:pPr>
              <w:topLinePunct/>
              <w:adjustRightInd w:val="0"/>
              <w:snapToGrid w:val="0"/>
              <w:jc w:val="center"/>
              <w:rPr>
                <w:rFonts w:hint="eastAsia" w:ascii="宋体" w:hAnsi="宋体" w:cs="宋体"/>
              </w:rPr>
            </w:pPr>
          </w:p>
        </w:tc>
        <w:tc>
          <w:tcPr>
            <w:tcW w:w="1775" w:type="dxa"/>
            <w:tcBorders>
              <w:top w:val="single" w:color="auto" w:sz="12" w:space="0"/>
            </w:tcBorders>
            <w:vAlign w:val="center"/>
          </w:tcPr>
          <w:p w14:paraId="7263FF58">
            <w:pPr>
              <w:topLinePunct/>
              <w:adjustRightInd w:val="0"/>
              <w:snapToGrid w:val="0"/>
              <w:jc w:val="center"/>
              <w:rPr>
                <w:rFonts w:hint="eastAsia" w:ascii="宋体" w:hAnsi="宋体" w:cs="宋体"/>
              </w:rPr>
            </w:pPr>
            <w:r>
              <w:rPr>
                <w:rFonts w:hint="eastAsia" w:ascii="宋体" w:hAnsi="宋体" w:cs="宋体"/>
                <w:lang w:val="zh-CN"/>
              </w:rPr>
              <w:t>施工负责人（项目经理）建造师</w:t>
            </w:r>
            <w:r>
              <w:rPr>
                <w:rFonts w:hint="eastAsia" w:ascii="宋体" w:hAnsi="宋体" w:cs="宋体"/>
              </w:rPr>
              <w:t>注册编号</w:t>
            </w:r>
          </w:p>
        </w:tc>
        <w:tc>
          <w:tcPr>
            <w:tcW w:w="1776" w:type="dxa"/>
            <w:tcBorders>
              <w:top w:val="single" w:color="auto" w:sz="12" w:space="0"/>
            </w:tcBorders>
            <w:vAlign w:val="center"/>
          </w:tcPr>
          <w:p w14:paraId="58956BB0">
            <w:pPr>
              <w:topLinePunct/>
              <w:adjustRightInd w:val="0"/>
              <w:snapToGrid w:val="0"/>
              <w:jc w:val="center"/>
              <w:rPr>
                <w:rFonts w:hint="eastAsia" w:ascii="宋体" w:hAnsi="宋体" w:cs="宋体"/>
              </w:rPr>
            </w:pPr>
          </w:p>
        </w:tc>
      </w:tr>
      <w:tr w14:paraId="06E9D0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tcBorders>
              <w:top w:val="single" w:color="auto" w:sz="12" w:space="0"/>
            </w:tcBorders>
            <w:vAlign w:val="center"/>
          </w:tcPr>
          <w:p w14:paraId="4474EF30">
            <w:pPr>
              <w:topLinePunct/>
              <w:adjustRightInd w:val="0"/>
              <w:snapToGrid w:val="0"/>
              <w:jc w:val="center"/>
              <w:rPr>
                <w:rFonts w:hint="eastAsia" w:ascii="宋体" w:hAnsi="宋体" w:cs="宋体"/>
              </w:rPr>
            </w:pPr>
            <w:r>
              <w:rPr>
                <w:rFonts w:hint="eastAsia" w:ascii="宋体" w:hAnsi="宋体" w:cs="宋体"/>
              </w:rPr>
              <w:t>联系人</w:t>
            </w:r>
          </w:p>
        </w:tc>
        <w:tc>
          <w:tcPr>
            <w:tcW w:w="3551" w:type="dxa"/>
            <w:tcBorders>
              <w:top w:val="single" w:color="auto" w:sz="12" w:space="0"/>
            </w:tcBorders>
            <w:vAlign w:val="center"/>
          </w:tcPr>
          <w:p w14:paraId="03308EDC">
            <w:pPr>
              <w:topLinePunct/>
              <w:adjustRightInd w:val="0"/>
              <w:snapToGrid w:val="0"/>
              <w:jc w:val="center"/>
              <w:rPr>
                <w:rFonts w:hint="eastAsia" w:ascii="宋体" w:hAnsi="宋体" w:cs="宋体"/>
              </w:rPr>
            </w:pPr>
          </w:p>
        </w:tc>
        <w:tc>
          <w:tcPr>
            <w:tcW w:w="1775" w:type="dxa"/>
            <w:tcBorders>
              <w:top w:val="single" w:color="auto" w:sz="12" w:space="0"/>
            </w:tcBorders>
            <w:vAlign w:val="center"/>
          </w:tcPr>
          <w:p w14:paraId="3CE58D92">
            <w:pPr>
              <w:topLinePunct/>
              <w:adjustRightInd w:val="0"/>
              <w:snapToGrid w:val="0"/>
              <w:jc w:val="center"/>
              <w:rPr>
                <w:rFonts w:hint="eastAsia" w:ascii="宋体" w:hAnsi="宋体" w:cs="宋体"/>
              </w:rPr>
            </w:pPr>
            <w:r>
              <w:rPr>
                <w:rFonts w:hint="eastAsia" w:ascii="宋体" w:hAnsi="宋体" w:cs="宋体"/>
              </w:rPr>
              <w:t>联系电话</w:t>
            </w:r>
          </w:p>
        </w:tc>
        <w:tc>
          <w:tcPr>
            <w:tcW w:w="1776" w:type="dxa"/>
            <w:tcBorders>
              <w:top w:val="single" w:color="auto" w:sz="12" w:space="0"/>
            </w:tcBorders>
            <w:vAlign w:val="center"/>
          </w:tcPr>
          <w:p w14:paraId="06214BCA">
            <w:pPr>
              <w:topLinePunct/>
              <w:adjustRightInd w:val="0"/>
              <w:snapToGrid w:val="0"/>
              <w:jc w:val="center"/>
              <w:rPr>
                <w:rFonts w:hint="eastAsia" w:ascii="宋体" w:hAnsi="宋体" w:cs="宋体"/>
              </w:rPr>
            </w:pPr>
          </w:p>
        </w:tc>
      </w:tr>
      <w:tr w14:paraId="6D1C28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tcBorders>
              <w:top w:val="single" w:color="auto" w:sz="12" w:space="0"/>
            </w:tcBorders>
            <w:vAlign w:val="center"/>
          </w:tcPr>
          <w:p w14:paraId="142C2FE8">
            <w:pPr>
              <w:topLinePunct/>
              <w:adjustRightInd w:val="0"/>
              <w:snapToGrid w:val="0"/>
              <w:jc w:val="center"/>
              <w:rPr>
                <w:rFonts w:hint="eastAsia" w:ascii="宋体" w:hAnsi="宋体" w:cs="宋体"/>
              </w:rPr>
            </w:pPr>
            <w:r>
              <w:rPr>
                <w:rFonts w:hint="eastAsia" w:ascii="宋体" w:hAnsi="宋体" w:cs="宋体"/>
              </w:rPr>
              <w:t>投标保证金（万元）</w:t>
            </w:r>
          </w:p>
        </w:tc>
        <w:tc>
          <w:tcPr>
            <w:tcW w:w="3551" w:type="dxa"/>
            <w:tcBorders>
              <w:top w:val="single" w:color="auto" w:sz="12" w:space="0"/>
            </w:tcBorders>
            <w:vAlign w:val="center"/>
          </w:tcPr>
          <w:p w14:paraId="72108DBA">
            <w:pPr>
              <w:topLinePunct/>
              <w:adjustRightInd w:val="0"/>
              <w:snapToGrid w:val="0"/>
              <w:jc w:val="center"/>
              <w:rPr>
                <w:rFonts w:hint="eastAsia" w:ascii="宋体" w:hAnsi="宋体" w:cs="宋体"/>
              </w:rPr>
            </w:pPr>
          </w:p>
        </w:tc>
        <w:tc>
          <w:tcPr>
            <w:tcW w:w="1775" w:type="dxa"/>
            <w:tcBorders>
              <w:top w:val="single" w:color="auto" w:sz="12" w:space="0"/>
            </w:tcBorders>
            <w:vAlign w:val="center"/>
          </w:tcPr>
          <w:p w14:paraId="1B31C5BB">
            <w:pPr>
              <w:topLinePunct/>
              <w:adjustRightInd w:val="0"/>
              <w:snapToGrid w:val="0"/>
              <w:jc w:val="center"/>
              <w:rPr>
                <w:rFonts w:hint="eastAsia" w:ascii="宋体" w:hAnsi="宋体" w:cs="宋体"/>
              </w:rPr>
            </w:pPr>
            <w:r>
              <w:rPr>
                <w:rFonts w:hint="eastAsia" w:ascii="宋体" w:hAnsi="宋体" w:cs="宋体"/>
              </w:rPr>
              <w:t>保证金递交方式</w:t>
            </w:r>
          </w:p>
        </w:tc>
        <w:tc>
          <w:tcPr>
            <w:tcW w:w="1776" w:type="dxa"/>
            <w:tcBorders>
              <w:top w:val="single" w:color="auto" w:sz="12" w:space="0"/>
            </w:tcBorders>
            <w:vAlign w:val="center"/>
          </w:tcPr>
          <w:p w14:paraId="291C040A">
            <w:pPr>
              <w:topLinePunct/>
              <w:adjustRightInd w:val="0"/>
              <w:snapToGrid w:val="0"/>
              <w:jc w:val="center"/>
              <w:rPr>
                <w:rFonts w:hint="eastAsia" w:ascii="宋体" w:hAnsi="宋体" w:cs="宋体"/>
              </w:rPr>
            </w:pPr>
          </w:p>
        </w:tc>
      </w:tr>
      <w:tr w14:paraId="6DCE5F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9472" w:type="dxa"/>
            <w:gridSpan w:val="4"/>
            <w:tcBorders>
              <w:top w:val="single" w:color="auto" w:sz="12" w:space="0"/>
            </w:tcBorders>
            <w:vAlign w:val="center"/>
          </w:tcPr>
          <w:p w14:paraId="10E717AC">
            <w:pPr>
              <w:topLinePunct/>
              <w:adjustRightInd w:val="0"/>
              <w:snapToGrid w:val="0"/>
              <w:jc w:val="center"/>
              <w:rPr>
                <w:rFonts w:hint="eastAsia" w:ascii="宋体" w:hAnsi="宋体" w:cs="宋体"/>
              </w:rPr>
            </w:pPr>
            <w:r>
              <w:rPr>
                <w:rFonts w:hint="eastAsia" w:ascii="宋体" w:hAnsi="宋体" w:cs="宋体"/>
              </w:rPr>
              <w:t>联合体成员信息</w:t>
            </w:r>
          </w:p>
        </w:tc>
      </w:tr>
      <w:tr w14:paraId="074FE3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tcBorders>
              <w:top w:val="single" w:color="auto" w:sz="12" w:space="0"/>
            </w:tcBorders>
            <w:vAlign w:val="center"/>
          </w:tcPr>
          <w:p w14:paraId="4DBBCB18">
            <w:pPr>
              <w:topLinePunct/>
              <w:adjustRightInd w:val="0"/>
              <w:snapToGrid w:val="0"/>
              <w:jc w:val="center"/>
              <w:rPr>
                <w:rFonts w:hint="eastAsia" w:ascii="宋体" w:hAnsi="宋体" w:cs="宋体"/>
              </w:rPr>
            </w:pPr>
            <w:r>
              <w:rPr>
                <w:rFonts w:hint="eastAsia" w:ascii="宋体" w:hAnsi="宋体" w:cs="宋体"/>
              </w:rPr>
              <w:t>联合体成员人名称</w:t>
            </w:r>
          </w:p>
        </w:tc>
        <w:tc>
          <w:tcPr>
            <w:tcW w:w="3551" w:type="dxa"/>
            <w:tcBorders>
              <w:top w:val="single" w:color="auto" w:sz="12" w:space="0"/>
            </w:tcBorders>
            <w:vAlign w:val="center"/>
          </w:tcPr>
          <w:p w14:paraId="7F337B4A">
            <w:pPr>
              <w:topLinePunct/>
              <w:adjustRightInd w:val="0"/>
              <w:snapToGrid w:val="0"/>
              <w:jc w:val="center"/>
              <w:rPr>
                <w:rFonts w:hint="eastAsia" w:ascii="宋体" w:hAnsi="宋体" w:cs="宋体"/>
              </w:rPr>
            </w:pPr>
          </w:p>
        </w:tc>
        <w:tc>
          <w:tcPr>
            <w:tcW w:w="1775" w:type="dxa"/>
            <w:tcBorders>
              <w:top w:val="single" w:color="auto" w:sz="12" w:space="0"/>
            </w:tcBorders>
            <w:vAlign w:val="center"/>
          </w:tcPr>
          <w:p w14:paraId="3BBF6C0C">
            <w:pPr>
              <w:topLinePunct/>
              <w:adjustRightInd w:val="0"/>
              <w:snapToGrid w:val="0"/>
              <w:jc w:val="center"/>
              <w:rPr>
                <w:rFonts w:hint="eastAsia" w:ascii="宋体" w:hAnsi="宋体" w:cs="宋体"/>
              </w:rPr>
            </w:pPr>
            <w:r>
              <w:rPr>
                <w:rFonts w:hint="eastAsia" w:ascii="宋体" w:hAnsi="宋体" w:cs="宋体"/>
              </w:rPr>
              <w:t>统一社会信用代码</w:t>
            </w:r>
          </w:p>
        </w:tc>
        <w:tc>
          <w:tcPr>
            <w:tcW w:w="1776" w:type="dxa"/>
            <w:tcBorders>
              <w:top w:val="single" w:color="auto" w:sz="12" w:space="0"/>
            </w:tcBorders>
            <w:vAlign w:val="center"/>
          </w:tcPr>
          <w:p w14:paraId="67E3F343">
            <w:pPr>
              <w:topLinePunct/>
              <w:adjustRightInd w:val="0"/>
              <w:snapToGrid w:val="0"/>
              <w:jc w:val="center"/>
              <w:rPr>
                <w:rFonts w:hint="eastAsia" w:ascii="宋体" w:hAnsi="宋体" w:cs="宋体"/>
              </w:rPr>
            </w:pPr>
          </w:p>
        </w:tc>
      </w:tr>
      <w:tr w14:paraId="0DCA7D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tcBorders>
              <w:top w:val="single" w:color="auto" w:sz="12" w:space="0"/>
            </w:tcBorders>
            <w:vAlign w:val="center"/>
          </w:tcPr>
          <w:p w14:paraId="79B9B7BD">
            <w:pPr>
              <w:topLinePunct/>
              <w:adjustRightInd w:val="0"/>
              <w:snapToGrid w:val="0"/>
              <w:jc w:val="center"/>
              <w:rPr>
                <w:rFonts w:hint="eastAsia" w:ascii="宋体" w:hAnsi="宋体" w:cs="宋体"/>
              </w:rPr>
            </w:pPr>
            <w:r>
              <w:rPr>
                <w:rFonts w:hint="eastAsia" w:ascii="宋体" w:hAnsi="宋体" w:cs="宋体"/>
              </w:rPr>
              <w:t>企业类型</w:t>
            </w:r>
          </w:p>
        </w:tc>
        <w:tc>
          <w:tcPr>
            <w:tcW w:w="3551" w:type="dxa"/>
            <w:tcBorders>
              <w:top w:val="single" w:color="auto" w:sz="12" w:space="0"/>
            </w:tcBorders>
            <w:vAlign w:val="center"/>
          </w:tcPr>
          <w:p w14:paraId="48000945">
            <w:pPr>
              <w:topLinePunct/>
              <w:adjustRightInd w:val="0"/>
              <w:snapToGrid w:val="0"/>
              <w:jc w:val="center"/>
              <w:rPr>
                <w:rFonts w:hint="eastAsia" w:ascii="宋体" w:hAnsi="宋体" w:cs="宋体"/>
              </w:rPr>
            </w:pPr>
          </w:p>
        </w:tc>
        <w:tc>
          <w:tcPr>
            <w:tcW w:w="1775" w:type="dxa"/>
            <w:tcBorders>
              <w:top w:val="single" w:color="auto" w:sz="12" w:space="0"/>
            </w:tcBorders>
            <w:vAlign w:val="center"/>
          </w:tcPr>
          <w:p w14:paraId="10EFC141">
            <w:pPr>
              <w:topLinePunct/>
              <w:adjustRightInd w:val="0"/>
              <w:snapToGrid w:val="0"/>
              <w:jc w:val="center"/>
              <w:rPr>
                <w:rFonts w:hint="eastAsia" w:ascii="宋体" w:hAnsi="宋体" w:cs="宋体"/>
              </w:rPr>
            </w:pPr>
            <w:r>
              <w:rPr>
                <w:rFonts w:hint="eastAsia" w:ascii="宋体" w:hAnsi="宋体" w:cs="宋体"/>
              </w:rPr>
              <w:t>企业资质等级</w:t>
            </w:r>
          </w:p>
        </w:tc>
        <w:tc>
          <w:tcPr>
            <w:tcW w:w="1776" w:type="dxa"/>
            <w:tcBorders>
              <w:top w:val="single" w:color="auto" w:sz="12" w:space="0"/>
            </w:tcBorders>
            <w:vAlign w:val="center"/>
          </w:tcPr>
          <w:p w14:paraId="2D6F1E88">
            <w:pPr>
              <w:topLinePunct/>
              <w:adjustRightInd w:val="0"/>
              <w:snapToGrid w:val="0"/>
              <w:jc w:val="center"/>
              <w:rPr>
                <w:rFonts w:hint="eastAsia" w:ascii="宋体" w:hAnsi="宋体" w:cs="宋体"/>
              </w:rPr>
            </w:pPr>
          </w:p>
        </w:tc>
      </w:tr>
      <w:tr w14:paraId="13B202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tcBorders>
              <w:top w:val="single" w:color="auto" w:sz="12" w:space="0"/>
            </w:tcBorders>
            <w:vAlign w:val="center"/>
          </w:tcPr>
          <w:p w14:paraId="675EC6B0">
            <w:pPr>
              <w:topLinePunct/>
              <w:adjustRightInd w:val="0"/>
              <w:snapToGrid w:val="0"/>
              <w:jc w:val="center"/>
              <w:rPr>
                <w:rFonts w:hint="eastAsia" w:ascii="宋体" w:hAnsi="宋体" w:cs="宋体"/>
              </w:rPr>
            </w:pPr>
            <w:r>
              <w:rPr>
                <w:rFonts w:hint="eastAsia" w:ascii="宋体" w:hAnsi="宋体" w:cs="宋体"/>
              </w:rPr>
              <w:t>法定代表人</w:t>
            </w:r>
          </w:p>
        </w:tc>
        <w:tc>
          <w:tcPr>
            <w:tcW w:w="7102" w:type="dxa"/>
            <w:gridSpan w:val="3"/>
            <w:tcBorders>
              <w:top w:val="single" w:color="auto" w:sz="12" w:space="0"/>
            </w:tcBorders>
            <w:vAlign w:val="center"/>
          </w:tcPr>
          <w:p w14:paraId="1D1EBC2A">
            <w:pPr>
              <w:topLinePunct/>
              <w:adjustRightInd w:val="0"/>
              <w:snapToGrid w:val="0"/>
              <w:jc w:val="center"/>
              <w:rPr>
                <w:rFonts w:hint="eastAsia" w:ascii="宋体" w:hAnsi="宋体" w:cs="宋体"/>
              </w:rPr>
            </w:pPr>
          </w:p>
        </w:tc>
      </w:tr>
      <w:tr w14:paraId="653F11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tcBorders>
              <w:top w:val="single" w:color="auto" w:sz="12" w:space="0"/>
            </w:tcBorders>
            <w:vAlign w:val="center"/>
          </w:tcPr>
          <w:p w14:paraId="39A8BC2D">
            <w:pPr>
              <w:topLinePunct/>
              <w:adjustRightInd w:val="0"/>
              <w:snapToGrid w:val="0"/>
              <w:jc w:val="center"/>
              <w:rPr>
                <w:rFonts w:hint="eastAsia" w:ascii="宋体" w:hAnsi="宋体" w:cs="宋体"/>
              </w:rPr>
            </w:pPr>
            <w:r>
              <w:rPr>
                <w:rFonts w:hint="eastAsia" w:ascii="宋体" w:hAnsi="宋体" w:cs="宋体"/>
              </w:rPr>
              <w:t>设计负责人</w:t>
            </w:r>
          </w:p>
        </w:tc>
        <w:tc>
          <w:tcPr>
            <w:tcW w:w="3551" w:type="dxa"/>
            <w:tcBorders>
              <w:top w:val="single" w:color="auto" w:sz="12" w:space="0"/>
            </w:tcBorders>
            <w:vAlign w:val="center"/>
          </w:tcPr>
          <w:p w14:paraId="0B5A9D08">
            <w:pPr>
              <w:topLinePunct/>
              <w:adjustRightInd w:val="0"/>
              <w:snapToGrid w:val="0"/>
              <w:jc w:val="center"/>
              <w:rPr>
                <w:rFonts w:hint="eastAsia" w:ascii="宋体" w:hAnsi="宋体" w:cs="宋体"/>
              </w:rPr>
            </w:pPr>
          </w:p>
        </w:tc>
        <w:tc>
          <w:tcPr>
            <w:tcW w:w="1775" w:type="dxa"/>
            <w:tcBorders>
              <w:top w:val="single" w:color="auto" w:sz="12" w:space="0"/>
            </w:tcBorders>
            <w:vAlign w:val="center"/>
          </w:tcPr>
          <w:p w14:paraId="628107BE">
            <w:pPr>
              <w:topLinePunct/>
              <w:adjustRightInd w:val="0"/>
              <w:snapToGrid w:val="0"/>
              <w:jc w:val="center"/>
              <w:rPr>
                <w:rFonts w:hint="eastAsia" w:ascii="宋体" w:hAnsi="宋体" w:cs="宋体"/>
              </w:rPr>
            </w:pPr>
            <w:r>
              <w:rPr>
                <w:rFonts w:hint="eastAsia" w:ascii="宋体" w:hAnsi="宋体" w:cs="宋体"/>
              </w:rPr>
              <w:t>设计负责人身份证号码</w:t>
            </w:r>
          </w:p>
        </w:tc>
        <w:tc>
          <w:tcPr>
            <w:tcW w:w="1776" w:type="dxa"/>
            <w:tcBorders>
              <w:top w:val="single" w:color="auto" w:sz="12" w:space="0"/>
            </w:tcBorders>
            <w:vAlign w:val="center"/>
          </w:tcPr>
          <w:p w14:paraId="21EC6F0A">
            <w:pPr>
              <w:topLinePunct/>
              <w:adjustRightInd w:val="0"/>
              <w:snapToGrid w:val="0"/>
              <w:jc w:val="center"/>
              <w:rPr>
                <w:rFonts w:hint="eastAsia" w:ascii="宋体" w:hAnsi="宋体" w:cs="宋体"/>
              </w:rPr>
            </w:pPr>
          </w:p>
        </w:tc>
      </w:tr>
      <w:tr w14:paraId="4BF1B5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tcBorders>
              <w:top w:val="single" w:color="auto" w:sz="12" w:space="0"/>
            </w:tcBorders>
            <w:vAlign w:val="center"/>
          </w:tcPr>
          <w:p w14:paraId="51F3B45A">
            <w:pPr>
              <w:topLinePunct/>
              <w:adjustRightInd w:val="0"/>
              <w:snapToGrid w:val="0"/>
              <w:jc w:val="center"/>
              <w:rPr>
                <w:rFonts w:hint="eastAsia" w:ascii="宋体" w:hAnsi="宋体" w:cs="宋体"/>
              </w:rPr>
            </w:pPr>
            <w:r>
              <w:rPr>
                <w:rFonts w:hint="eastAsia" w:ascii="宋体" w:hAnsi="宋体" w:cs="宋体"/>
              </w:rPr>
              <w:t>设计负责人执业资格</w:t>
            </w:r>
          </w:p>
        </w:tc>
        <w:tc>
          <w:tcPr>
            <w:tcW w:w="3551" w:type="dxa"/>
            <w:tcBorders>
              <w:top w:val="single" w:color="auto" w:sz="12" w:space="0"/>
            </w:tcBorders>
            <w:vAlign w:val="center"/>
          </w:tcPr>
          <w:p w14:paraId="7ABD6766">
            <w:pPr>
              <w:topLinePunct/>
              <w:adjustRightInd w:val="0"/>
              <w:snapToGrid w:val="0"/>
              <w:jc w:val="center"/>
              <w:rPr>
                <w:rFonts w:hint="eastAsia" w:ascii="宋体" w:hAnsi="宋体" w:cs="宋体"/>
              </w:rPr>
            </w:pPr>
          </w:p>
        </w:tc>
        <w:tc>
          <w:tcPr>
            <w:tcW w:w="1775" w:type="dxa"/>
            <w:tcBorders>
              <w:top w:val="single" w:color="auto" w:sz="12" w:space="0"/>
            </w:tcBorders>
            <w:vAlign w:val="center"/>
          </w:tcPr>
          <w:p w14:paraId="02FFB8E3">
            <w:pPr>
              <w:topLinePunct/>
              <w:adjustRightInd w:val="0"/>
              <w:snapToGrid w:val="0"/>
              <w:jc w:val="center"/>
              <w:rPr>
                <w:rFonts w:hint="eastAsia" w:ascii="宋体" w:hAnsi="宋体" w:cs="宋体"/>
              </w:rPr>
            </w:pPr>
            <w:r>
              <w:rPr>
                <w:rFonts w:hint="eastAsia" w:ascii="宋体" w:hAnsi="宋体" w:cs="宋体"/>
              </w:rPr>
              <w:t>设计负责人建筑师注册编号</w:t>
            </w:r>
          </w:p>
        </w:tc>
        <w:tc>
          <w:tcPr>
            <w:tcW w:w="1776" w:type="dxa"/>
            <w:tcBorders>
              <w:top w:val="single" w:color="auto" w:sz="12" w:space="0"/>
            </w:tcBorders>
            <w:vAlign w:val="center"/>
          </w:tcPr>
          <w:p w14:paraId="44CF14B4">
            <w:pPr>
              <w:topLinePunct/>
              <w:adjustRightInd w:val="0"/>
              <w:snapToGrid w:val="0"/>
              <w:jc w:val="center"/>
              <w:rPr>
                <w:rFonts w:hint="eastAsia" w:ascii="宋体" w:hAnsi="宋体" w:cs="宋体"/>
              </w:rPr>
            </w:pPr>
          </w:p>
        </w:tc>
      </w:tr>
      <w:tr w14:paraId="1086F2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tcBorders>
              <w:top w:val="single" w:color="auto" w:sz="12" w:space="0"/>
              <w:bottom w:val="single" w:color="auto" w:sz="12" w:space="0"/>
            </w:tcBorders>
            <w:vAlign w:val="center"/>
          </w:tcPr>
          <w:p w14:paraId="23F8E736">
            <w:pPr>
              <w:topLinePunct/>
              <w:adjustRightInd w:val="0"/>
              <w:snapToGrid w:val="0"/>
              <w:jc w:val="center"/>
              <w:rPr>
                <w:rFonts w:hint="eastAsia" w:ascii="宋体" w:hAnsi="宋体" w:cs="宋体"/>
              </w:rPr>
            </w:pPr>
            <w:r>
              <w:rPr>
                <w:rFonts w:hint="eastAsia" w:ascii="宋体" w:hAnsi="宋体" w:cs="宋体"/>
              </w:rPr>
              <w:t>联系人</w:t>
            </w:r>
          </w:p>
        </w:tc>
        <w:tc>
          <w:tcPr>
            <w:tcW w:w="3551" w:type="dxa"/>
            <w:tcBorders>
              <w:top w:val="single" w:color="auto" w:sz="12" w:space="0"/>
              <w:bottom w:val="single" w:color="auto" w:sz="12" w:space="0"/>
            </w:tcBorders>
            <w:vAlign w:val="center"/>
          </w:tcPr>
          <w:p w14:paraId="57B60692">
            <w:pPr>
              <w:topLinePunct/>
              <w:adjustRightInd w:val="0"/>
              <w:snapToGrid w:val="0"/>
              <w:jc w:val="center"/>
              <w:rPr>
                <w:rFonts w:hint="eastAsia" w:ascii="宋体" w:hAnsi="宋体" w:cs="宋体"/>
              </w:rPr>
            </w:pPr>
          </w:p>
        </w:tc>
        <w:tc>
          <w:tcPr>
            <w:tcW w:w="1775" w:type="dxa"/>
            <w:tcBorders>
              <w:top w:val="single" w:color="auto" w:sz="12" w:space="0"/>
              <w:bottom w:val="single" w:color="auto" w:sz="12" w:space="0"/>
            </w:tcBorders>
            <w:vAlign w:val="center"/>
          </w:tcPr>
          <w:p w14:paraId="5D016FAF">
            <w:pPr>
              <w:topLinePunct/>
              <w:adjustRightInd w:val="0"/>
              <w:snapToGrid w:val="0"/>
              <w:jc w:val="center"/>
              <w:rPr>
                <w:rFonts w:hint="eastAsia" w:ascii="宋体" w:hAnsi="宋体" w:cs="宋体"/>
              </w:rPr>
            </w:pPr>
            <w:r>
              <w:rPr>
                <w:rFonts w:hint="eastAsia" w:ascii="宋体" w:hAnsi="宋体" w:cs="宋体"/>
              </w:rPr>
              <w:t>联系电话</w:t>
            </w:r>
          </w:p>
        </w:tc>
        <w:tc>
          <w:tcPr>
            <w:tcW w:w="1776" w:type="dxa"/>
            <w:tcBorders>
              <w:top w:val="single" w:color="auto" w:sz="12" w:space="0"/>
              <w:bottom w:val="single" w:color="auto" w:sz="12" w:space="0"/>
            </w:tcBorders>
            <w:vAlign w:val="center"/>
          </w:tcPr>
          <w:p w14:paraId="744A6920">
            <w:pPr>
              <w:topLinePunct/>
              <w:adjustRightInd w:val="0"/>
              <w:snapToGrid w:val="0"/>
              <w:jc w:val="center"/>
              <w:rPr>
                <w:rFonts w:hint="eastAsia" w:ascii="宋体" w:hAnsi="宋体" w:cs="宋体"/>
              </w:rPr>
            </w:pPr>
          </w:p>
        </w:tc>
      </w:tr>
      <w:tr w14:paraId="3D7584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tcBorders>
              <w:top w:val="single" w:color="auto" w:sz="12" w:space="0"/>
            </w:tcBorders>
            <w:vAlign w:val="center"/>
          </w:tcPr>
          <w:p w14:paraId="48C6EDEC">
            <w:pPr>
              <w:topLinePunct/>
              <w:adjustRightInd w:val="0"/>
              <w:snapToGrid w:val="0"/>
              <w:jc w:val="center"/>
              <w:rPr>
                <w:rFonts w:hint="eastAsia" w:ascii="宋体" w:hAnsi="宋体" w:cs="宋体"/>
              </w:rPr>
            </w:pPr>
            <w:r>
              <w:rPr>
                <w:rFonts w:hint="eastAsia" w:ascii="宋体" w:hAnsi="宋体" w:cs="宋体"/>
              </w:rPr>
              <w:t>企业成立时间</w:t>
            </w:r>
          </w:p>
        </w:tc>
        <w:tc>
          <w:tcPr>
            <w:tcW w:w="7102" w:type="dxa"/>
            <w:gridSpan w:val="3"/>
            <w:tcBorders>
              <w:top w:val="single" w:color="auto" w:sz="12" w:space="0"/>
            </w:tcBorders>
            <w:vAlign w:val="center"/>
          </w:tcPr>
          <w:p w14:paraId="7E778FD2">
            <w:pPr>
              <w:topLinePunct/>
              <w:adjustRightInd w:val="0"/>
              <w:snapToGrid w:val="0"/>
              <w:jc w:val="center"/>
              <w:rPr>
                <w:rFonts w:hint="eastAsia" w:ascii="宋体" w:hAnsi="宋体" w:cs="宋体"/>
              </w:rPr>
            </w:pPr>
          </w:p>
        </w:tc>
      </w:tr>
    </w:tbl>
    <w:p w14:paraId="0DD4BC57">
      <w:pPr>
        <w:pStyle w:val="4"/>
        <w:ind w:firstLine="0" w:firstLineChars="0"/>
        <w:jc w:val="center"/>
        <w:rPr>
          <w:rFonts w:hint="eastAsia"/>
        </w:rPr>
      </w:pPr>
      <w:r>
        <w:rPr>
          <w:rFonts w:hint="eastAsia"/>
        </w:rPr>
        <w:t>（二）投标人基本情况表</w:t>
      </w:r>
    </w:p>
    <w:tbl>
      <w:tblPr>
        <w:tblStyle w:val="25"/>
        <w:tblW w:w="94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370"/>
        <w:gridCol w:w="1183"/>
        <w:gridCol w:w="592"/>
        <w:gridCol w:w="592"/>
        <w:gridCol w:w="1184"/>
        <w:gridCol w:w="769"/>
        <w:gridCol w:w="414"/>
        <w:gridCol w:w="592"/>
        <w:gridCol w:w="592"/>
        <w:gridCol w:w="1184"/>
      </w:tblGrid>
      <w:tr w14:paraId="26925C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tcBorders>
              <w:top w:val="single" w:color="auto" w:sz="12" w:space="0"/>
            </w:tcBorders>
            <w:vAlign w:val="center"/>
          </w:tcPr>
          <w:p w14:paraId="093F9F6C">
            <w:pPr>
              <w:topLinePunct/>
              <w:adjustRightInd w:val="0"/>
              <w:snapToGrid w:val="0"/>
              <w:jc w:val="center"/>
              <w:rPr>
                <w:rFonts w:ascii="宋体" w:cs="Times New Roman"/>
              </w:rPr>
            </w:pPr>
            <w:r>
              <w:rPr>
                <w:rFonts w:hint="eastAsia" w:ascii="宋体" w:hAnsi="宋体" w:cs="宋体"/>
              </w:rPr>
              <w:t>投标人名称</w:t>
            </w:r>
          </w:p>
        </w:tc>
        <w:tc>
          <w:tcPr>
            <w:tcW w:w="7102" w:type="dxa"/>
            <w:gridSpan w:val="9"/>
            <w:tcBorders>
              <w:top w:val="single" w:color="auto" w:sz="12" w:space="0"/>
            </w:tcBorders>
            <w:vAlign w:val="center"/>
          </w:tcPr>
          <w:p w14:paraId="0826D85F">
            <w:pPr>
              <w:topLinePunct/>
              <w:adjustRightInd w:val="0"/>
              <w:snapToGrid w:val="0"/>
              <w:jc w:val="center"/>
              <w:rPr>
                <w:rFonts w:ascii="宋体" w:cs="Times New Roman"/>
              </w:rPr>
            </w:pPr>
          </w:p>
        </w:tc>
      </w:tr>
      <w:tr w14:paraId="59C71A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2370" w:type="dxa"/>
            <w:vAlign w:val="center"/>
          </w:tcPr>
          <w:p w14:paraId="7FE1458C">
            <w:pPr>
              <w:topLinePunct/>
              <w:adjustRightInd w:val="0"/>
              <w:snapToGrid w:val="0"/>
              <w:jc w:val="center"/>
              <w:rPr>
                <w:rFonts w:ascii="宋体" w:cs="Times New Roman"/>
              </w:rPr>
            </w:pPr>
            <w:r>
              <w:rPr>
                <w:rFonts w:hint="eastAsia" w:ascii="宋体" w:hAnsi="宋体" w:cs="宋体"/>
              </w:rPr>
              <w:t>注册地址</w:t>
            </w:r>
          </w:p>
        </w:tc>
        <w:tc>
          <w:tcPr>
            <w:tcW w:w="3551" w:type="dxa"/>
            <w:gridSpan w:val="4"/>
            <w:vAlign w:val="center"/>
          </w:tcPr>
          <w:p w14:paraId="168356E4">
            <w:pPr>
              <w:topLinePunct/>
              <w:adjustRightInd w:val="0"/>
              <w:snapToGrid w:val="0"/>
              <w:jc w:val="center"/>
              <w:rPr>
                <w:rFonts w:ascii="宋体" w:cs="Times New Roman"/>
              </w:rPr>
            </w:pPr>
          </w:p>
        </w:tc>
        <w:tc>
          <w:tcPr>
            <w:tcW w:w="1775" w:type="dxa"/>
            <w:gridSpan w:val="3"/>
            <w:vAlign w:val="center"/>
          </w:tcPr>
          <w:p w14:paraId="55F80449">
            <w:pPr>
              <w:topLinePunct/>
              <w:adjustRightInd w:val="0"/>
              <w:snapToGrid w:val="0"/>
              <w:jc w:val="center"/>
              <w:rPr>
                <w:rFonts w:ascii="宋体" w:cs="Times New Roman"/>
              </w:rPr>
            </w:pPr>
            <w:r>
              <w:rPr>
                <w:rFonts w:hint="eastAsia" w:ascii="宋体" w:hAnsi="宋体" w:cs="宋体"/>
              </w:rPr>
              <w:t>邮政编码</w:t>
            </w:r>
          </w:p>
        </w:tc>
        <w:tc>
          <w:tcPr>
            <w:tcW w:w="1776" w:type="dxa"/>
            <w:gridSpan w:val="2"/>
            <w:vAlign w:val="center"/>
          </w:tcPr>
          <w:p w14:paraId="78D0293A">
            <w:pPr>
              <w:topLinePunct/>
              <w:adjustRightInd w:val="0"/>
              <w:snapToGrid w:val="0"/>
              <w:jc w:val="center"/>
              <w:rPr>
                <w:rFonts w:ascii="宋体" w:cs="Times New Roman"/>
              </w:rPr>
            </w:pPr>
          </w:p>
        </w:tc>
      </w:tr>
      <w:tr w14:paraId="096FF9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2370" w:type="dxa"/>
            <w:vMerge w:val="restart"/>
            <w:vAlign w:val="center"/>
          </w:tcPr>
          <w:p w14:paraId="7077B715">
            <w:pPr>
              <w:topLinePunct/>
              <w:adjustRightInd w:val="0"/>
              <w:snapToGrid w:val="0"/>
              <w:jc w:val="center"/>
              <w:rPr>
                <w:rFonts w:ascii="宋体" w:cs="Times New Roman"/>
              </w:rPr>
            </w:pPr>
            <w:r>
              <w:rPr>
                <w:rFonts w:hint="eastAsia" w:ascii="宋体" w:hAnsi="宋体" w:cs="宋体"/>
              </w:rPr>
              <w:t>联系方式</w:t>
            </w:r>
          </w:p>
        </w:tc>
        <w:tc>
          <w:tcPr>
            <w:tcW w:w="1775" w:type="dxa"/>
            <w:gridSpan w:val="2"/>
            <w:vAlign w:val="center"/>
          </w:tcPr>
          <w:p w14:paraId="1937A646">
            <w:pPr>
              <w:topLinePunct/>
              <w:adjustRightInd w:val="0"/>
              <w:snapToGrid w:val="0"/>
              <w:jc w:val="center"/>
              <w:rPr>
                <w:rFonts w:ascii="宋体" w:cs="Times New Roman"/>
              </w:rPr>
            </w:pPr>
            <w:r>
              <w:rPr>
                <w:rFonts w:hint="eastAsia" w:ascii="宋体" w:hAnsi="宋体" w:cs="宋体"/>
              </w:rPr>
              <w:t>联系人</w:t>
            </w:r>
          </w:p>
        </w:tc>
        <w:tc>
          <w:tcPr>
            <w:tcW w:w="1776" w:type="dxa"/>
            <w:gridSpan w:val="2"/>
            <w:vAlign w:val="center"/>
          </w:tcPr>
          <w:p w14:paraId="592913AB">
            <w:pPr>
              <w:topLinePunct/>
              <w:adjustRightInd w:val="0"/>
              <w:snapToGrid w:val="0"/>
              <w:jc w:val="center"/>
              <w:rPr>
                <w:rFonts w:ascii="宋体" w:cs="Times New Roman"/>
              </w:rPr>
            </w:pPr>
          </w:p>
        </w:tc>
        <w:tc>
          <w:tcPr>
            <w:tcW w:w="1775" w:type="dxa"/>
            <w:gridSpan w:val="3"/>
            <w:vAlign w:val="center"/>
          </w:tcPr>
          <w:p w14:paraId="07F653D0">
            <w:pPr>
              <w:topLinePunct/>
              <w:adjustRightInd w:val="0"/>
              <w:snapToGrid w:val="0"/>
              <w:jc w:val="center"/>
              <w:rPr>
                <w:rFonts w:ascii="宋体" w:cs="Times New Roman"/>
              </w:rPr>
            </w:pPr>
            <w:r>
              <w:rPr>
                <w:rFonts w:hint="eastAsia" w:ascii="宋体" w:hAnsi="宋体" w:cs="宋体"/>
              </w:rPr>
              <w:t>电话</w:t>
            </w:r>
          </w:p>
        </w:tc>
        <w:tc>
          <w:tcPr>
            <w:tcW w:w="1776" w:type="dxa"/>
            <w:gridSpan w:val="2"/>
            <w:vAlign w:val="center"/>
          </w:tcPr>
          <w:p w14:paraId="4A3F7871">
            <w:pPr>
              <w:topLinePunct/>
              <w:adjustRightInd w:val="0"/>
              <w:snapToGrid w:val="0"/>
              <w:jc w:val="center"/>
              <w:rPr>
                <w:rFonts w:ascii="宋体" w:cs="Times New Roman"/>
              </w:rPr>
            </w:pPr>
          </w:p>
        </w:tc>
      </w:tr>
      <w:tr w14:paraId="3D5980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70" w:type="dxa"/>
            <w:vMerge w:val="continue"/>
            <w:vAlign w:val="center"/>
          </w:tcPr>
          <w:p w14:paraId="6B6D6AC9">
            <w:pPr>
              <w:topLinePunct/>
              <w:adjustRightInd w:val="0"/>
              <w:snapToGrid w:val="0"/>
              <w:jc w:val="center"/>
              <w:rPr>
                <w:rFonts w:ascii="宋体" w:cs="Times New Roman"/>
              </w:rPr>
            </w:pPr>
          </w:p>
        </w:tc>
        <w:tc>
          <w:tcPr>
            <w:tcW w:w="1775" w:type="dxa"/>
            <w:gridSpan w:val="2"/>
            <w:vAlign w:val="center"/>
          </w:tcPr>
          <w:p w14:paraId="07A86326">
            <w:pPr>
              <w:topLinePunct/>
              <w:adjustRightInd w:val="0"/>
              <w:snapToGrid w:val="0"/>
              <w:jc w:val="center"/>
              <w:rPr>
                <w:rFonts w:ascii="宋体" w:cs="Times New Roman"/>
              </w:rPr>
            </w:pPr>
            <w:r>
              <w:rPr>
                <w:rFonts w:hint="eastAsia" w:ascii="宋体" w:hAnsi="宋体" w:cs="宋体"/>
              </w:rPr>
              <w:t>传真</w:t>
            </w:r>
          </w:p>
        </w:tc>
        <w:tc>
          <w:tcPr>
            <w:tcW w:w="1776" w:type="dxa"/>
            <w:gridSpan w:val="2"/>
            <w:vAlign w:val="center"/>
          </w:tcPr>
          <w:p w14:paraId="4EFE885A">
            <w:pPr>
              <w:topLinePunct/>
              <w:adjustRightInd w:val="0"/>
              <w:snapToGrid w:val="0"/>
              <w:jc w:val="center"/>
              <w:rPr>
                <w:rFonts w:ascii="宋体" w:cs="Times New Roman"/>
              </w:rPr>
            </w:pPr>
          </w:p>
        </w:tc>
        <w:tc>
          <w:tcPr>
            <w:tcW w:w="1775" w:type="dxa"/>
            <w:gridSpan w:val="3"/>
            <w:vAlign w:val="center"/>
          </w:tcPr>
          <w:p w14:paraId="719748DC">
            <w:pPr>
              <w:topLinePunct/>
              <w:adjustRightInd w:val="0"/>
              <w:snapToGrid w:val="0"/>
              <w:jc w:val="center"/>
              <w:rPr>
                <w:rFonts w:ascii="宋体" w:cs="Times New Roman"/>
              </w:rPr>
            </w:pPr>
            <w:r>
              <w:rPr>
                <w:rFonts w:hint="eastAsia" w:ascii="宋体" w:hAnsi="宋体" w:cs="宋体"/>
              </w:rPr>
              <w:t>网址</w:t>
            </w:r>
          </w:p>
        </w:tc>
        <w:tc>
          <w:tcPr>
            <w:tcW w:w="1776" w:type="dxa"/>
            <w:gridSpan w:val="2"/>
            <w:vAlign w:val="center"/>
          </w:tcPr>
          <w:p w14:paraId="2A6FA95D">
            <w:pPr>
              <w:topLinePunct/>
              <w:adjustRightInd w:val="0"/>
              <w:snapToGrid w:val="0"/>
              <w:jc w:val="center"/>
              <w:rPr>
                <w:rFonts w:ascii="宋体" w:cs="Times New Roman"/>
              </w:rPr>
            </w:pPr>
          </w:p>
        </w:tc>
      </w:tr>
      <w:tr w14:paraId="6061B7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2370" w:type="dxa"/>
            <w:vAlign w:val="center"/>
          </w:tcPr>
          <w:p w14:paraId="5744DEFA">
            <w:pPr>
              <w:topLinePunct/>
              <w:adjustRightInd w:val="0"/>
              <w:snapToGrid w:val="0"/>
              <w:jc w:val="center"/>
              <w:rPr>
                <w:rFonts w:ascii="宋体" w:cs="Times New Roman"/>
              </w:rPr>
            </w:pPr>
            <w:r>
              <w:rPr>
                <w:rFonts w:hint="eastAsia" w:ascii="宋体" w:hAnsi="宋体" w:cs="宋体"/>
              </w:rPr>
              <w:t>组织结构</w:t>
            </w:r>
          </w:p>
        </w:tc>
        <w:tc>
          <w:tcPr>
            <w:tcW w:w="7102" w:type="dxa"/>
            <w:gridSpan w:val="9"/>
            <w:vAlign w:val="center"/>
          </w:tcPr>
          <w:p w14:paraId="02E63565">
            <w:pPr>
              <w:topLinePunct/>
              <w:adjustRightInd w:val="0"/>
              <w:snapToGrid w:val="0"/>
              <w:jc w:val="center"/>
              <w:rPr>
                <w:rFonts w:ascii="宋体" w:cs="Times New Roman"/>
              </w:rPr>
            </w:pPr>
          </w:p>
        </w:tc>
      </w:tr>
      <w:tr w14:paraId="363AE7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2370" w:type="dxa"/>
            <w:vAlign w:val="center"/>
          </w:tcPr>
          <w:p w14:paraId="1A02A6D9">
            <w:pPr>
              <w:topLinePunct/>
              <w:adjustRightInd w:val="0"/>
              <w:snapToGrid w:val="0"/>
              <w:jc w:val="center"/>
              <w:rPr>
                <w:rFonts w:ascii="宋体" w:cs="Times New Roman"/>
              </w:rPr>
            </w:pPr>
            <w:r>
              <w:rPr>
                <w:rFonts w:hint="eastAsia" w:ascii="宋体" w:hAnsi="宋体" w:cs="宋体"/>
              </w:rPr>
              <w:t>法定代表人</w:t>
            </w:r>
          </w:p>
        </w:tc>
        <w:tc>
          <w:tcPr>
            <w:tcW w:w="1183" w:type="dxa"/>
            <w:vAlign w:val="center"/>
          </w:tcPr>
          <w:p w14:paraId="58FCBB89">
            <w:pPr>
              <w:topLinePunct/>
              <w:adjustRightInd w:val="0"/>
              <w:snapToGrid w:val="0"/>
              <w:jc w:val="center"/>
              <w:rPr>
                <w:rFonts w:ascii="宋体" w:cs="Times New Roman"/>
              </w:rPr>
            </w:pPr>
            <w:r>
              <w:rPr>
                <w:rFonts w:hint="eastAsia" w:ascii="宋体" w:hAnsi="宋体" w:cs="宋体"/>
              </w:rPr>
              <w:t>姓名</w:t>
            </w:r>
          </w:p>
        </w:tc>
        <w:tc>
          <w:tcPr>
            <w:tcW w:w="1184" w:type="dxa"/>
            <w:gridSpan w:val="2"/>
            <w:vAlign w:val="center"/>
          </w:tcPr>
          <w:p w14:paraId="07664FA9">
            <w:pPr>
              <w:topLinePunct/>
              <w:adjustRightInd w:val="0"/>
              <w:snapToGrid w:val="0"/>
              <w:jc w:val="center"/>
              <w:rPr>
                <w:rFonts w:ascii="宋体" w:cs="Times New Roman"/>
              </w:rPr>
            </w:pPr>
          </w:p>
        </w:tc>
        <w:tc>
          <w:tcPr>
            <w:tcW w:w="1184" w:type="dxa"/>
            <w:vAlign w:val="center"/>
          </w:tcPr>
          <w:p w14:paraId="10D35214">
            <w:pPr>
              <w:topLinePunct/>
              <w:adjustRightInd w:val="0"/>
              <w:snapToGrid w:val="0"/>
              <w:jc w:val="center"/>
              <w:rPr>
                <w:rFonts w:ascii="宋体" w:cs="Times New Roman"/>
              </w:rPr>
            </w:pPr>
            <w:r>
              <w:rPr>
                <w:rFonts w:hint="eastAsia" w:ascii="宋体" w:hAnsi="宋体" w:cs="宋体"/>
              </w:rPr>
              <w:t>技术职称</w:t>
            </w:r>
          </w:p>
        </w:tc>
        <w:tc>
          <w:tcPr>
            <w:tcW w:w="1183" w:type="dxa"/>
            <w:gridSpan w:val="2"/>
            <w:vAlign w:val="center"/>
          </w:tcPr>
          <w:p w14:paraId="29F0A27C">
            <w:pPr>
              <w:topLinePunct/>
              <w:adjustRightInd w:val="0"/>
              <w:snapToGrid w:val="0"/>
              <w:jc w:val="center"/>
              <w:rPr>
                <w:rFonts w:ascii="宋体" w:cs="Times New Roman"/>
              </w:rPr>
            </w:pPr>
          </w:p>
        </w:tc>
        <w:tc>
          <w:tcPr>
            <w:tcW w:w="1184" w:type="dxa"/>
            <w:gridSpan w:val="2"/>
            <w:vAlign w:val="center"/>
          </w:tcPr>
          <w:p w14:paraId="2E75ACF3">
            <w:pPr>
              <w:topLinePunct/>
              <w:adjustRightInd w:val="0"/>
              <w:snapToGrid w:val="0"/>
              <w:jc w:val="center"/>
              <w:rPr>
                <w:rFonts w:ascii="宋体" w:cs="Times New Roman"/>
              </w:rPr>
            </w:pPr>
            <w:r>
              <w:rPr>
                <w:rFonts w:hint="eastAsia" w:ascii="宋体" w:hAnsi="宋体" w:cs="宋体"/>
              </w:rPr>
              <w:t>电话</w:t>
            </w:r>
          </w:p>
        </w:tc>
        <w:tc>
          <w:tcPr>
            <w:tcW w:w="1184" w:type="dxa"/>
            <w:vAlign w:val="center"/>
          </w:tcPr>
          <w:p w14:paraId="6259831A">
            <w:pPr>
              <w:topLinePunct/>
              <w:adjustRightInd w:val="0"/>
              <w:snapToGrid w:val="0"/>
              <w:jc w:val="center"/>
              <w:rPr>
                <w:rFonts w:ascii="宋体" w:cs="Times New Roman"/>
              </w:rPr>
            </w:pPr>
          </w:p>
        </w:tc>
      </w:tr>
      <w:tr w14:paraId="76D0AA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370" w:type="dxa"/>
            <w:vAlign w:val="center"/>
          </w:tcPr>
          <w:p w14:paraId="3A600685">
            <w:pPr>
              <w:topLinePunct/>
              <w:adjustRightInd w:val="0"/>
              <w:snapToGrid w:val="0"/>
              <w:jc w:val="center"/>
              <w:rPr>
                <w:rFonts w:ascii="宋体" w:cs="Times New Roman"/>
              </w:rPr>
            </w:pPr>
            <w:r>
              <w:rPr>
                <w:rFonts w:hint="eastAsia" w:ascii="宋体" w:hAnsi="宋体" w:cs="宋体"/>
              </w:rPr>
              <w:t>技术负责人</w:t>
            </w:r>
          </w:p>
        </w:tc>
        <w:tc>
          <w:tcPr>
            <w:tcW w:w="1183" w:type="dxa"/>
            <w:vAlign w:val="center"/>
          </w:tcPr>
          <w:p w14:paraId="19B9229D">
            <w:pPr>
              <w:topLinePunct/>
              <w:adjustRightInd w:val="0"/>
              <w:snapToGrid w:val="0"/>
              <w:jc w:val="center"/>
              <w:rPr>
                <w:rFonts w:ascii="宋体" w:cs="Times New Roman"/>
              </w:rPr>
            </w:pPr>
            <w:r>
              <w:rPr>
                <w:rFonts w:hint="eastAsia" w:ascii="宋体" w:hAnsi="宋体" w:cs="宋体"/>
              </w:rPr>
              <w:t>姓名</w:t>
            </w:r>
          </w:p>
        </w:tc>
        <w:tc>
          <w:tcPr>
            <w:tcW w:w="1184" w:type="dxa"/>
            <w:gridSpan w:val="2"/>
            <w:vAlign w:val="center"/>
          </w:tcPr>
          <w:p w14:paraId="11AC4F2D">
            <w:pPr>
              <w:topLinePunct/>
              <w:adjustRightInd w:val="0"/>
              <w:snapToGrid w:val="0"/>
              <w:jc w:val="center"/>
              <w:rPr>
                <w:rFonts w:ascii="宋体" w:cs="Times New Roman"/>
              </w:rPr>
            </w:pPr>
          </w:p>
        </w:tc>
        <w:tc>
          <w:tcPr>
            <w:tcW w:w="1184" w:type="dxa"/>
            <w:vAlign w:val="center"/>
          </w:tcPr>
          <w:p w14:paraId="223C3352">
            <w:pPr>
              <w:topLinePunct/>
              <w:adjustRightInd w:val="0"/>
              <w:snapToGrid w:val="0"/>
              <w:jc w:val="center"/>
              <w:rPr>
                <w:rFonts w:ascii="宋体" w:cs="Times New Roman"/>
              </w:rPr>
            </w:pPr>
            <w:r>
              <w:rPr>
                <w:rFonts w:hint="eastAsia" w:ascii="宋体" w:hAnsi="宋体" w:cs="宋体"/>
              </w:rPr>
              <w:t>技术职称</w:t>
            </w:r>
          </w:p>
        </w:tc>
        <w:tc>
          <w:tcPr>
            <w:tcW w:w="1183" w:type="dxa"/>
            <w:gridSpan w:val="2"/>
            <w:vAlign w:val="center"/>
          </w:tcPr>
          <w:p w14:paraId="05EB00D7">
            <w:pPr>
              <w:topLinePunct/>
              <w:adjustRightInd w:val="0"/>
              <w:snapToGrid w:val="0"/>
              <w:jc w:val="center"/>
              <w:rPr>
                <w:rFonts w:ascii="宋体" w:cs="Times New Roman"/>
              </w:rPr>
            </w:pPr>
          </w:p>
        </w:tc>
        <w:tc>
          <w:tcPr>
            <w:tcW w:w="1184" w:type="dxa"/>
            <w:gridSpan w:val="2"/>
            <w:vAlign w:val="center"/>
          </w:tcPr>
          <w:p w14:paraId="1D15E0C1">
            <w:pPr>
              <w:topLinePunct/>
              <w:adjustRightInd w:val="0"/>
              <w:snapToGrid w:val="0"/>
              <w:jc w:val="center"/>
              <w:rPr>
                <w:rFonts w:ascii="宋体" w:cs="Times New Roman"/>
              </w:rPr>
            </w:pPr>
            <w:r>
              <w:rPr>
                <w:rFonts w:hint="eastAsia" w:ascii="宋体" w:hAnsi="宋体" w:cs="宋体"/>
              </w:rPr>
              <w:t>电话</w:t>
            </w:r>
          </w:p>
        </w:tc>
        <w:tc>
          <w:tcPr>
            <w:tcW w:w="1184" w:type="dxa"/>
            <w:vAlign w:val="center"/>
          </w:tcPr>
          <w:p w14:paraId="6124AC39">
            <w:pPr>
              <w:topLinePunct/>
              <w:adjustRightInd w:val="0"/>
              <w:snapToGrid w:val="0"/>
              <w:jc w:val="center"/>
              <w:rPr>
                <w:rFonts w:ascii="宋体" w:cs="Times New Roman"/>
              </w:rPr>
            </w:pPr>
          </w:p>
        </w:tc>
      </w:tr>
      <w:tr w14:paraId="2D4D23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370" w:type="dxa"/>
            <w:vAlign w:val="center"/>
          </w:tcPr>
          <w:p w14:paraId="362E0DBC">
            <w:pPr>
              <w:topLinePunct/>
              <w:adjustRightInd w:val="0"/>
              <w:snapToGrid w:val="0"/>
              <w:jc w:val="center"/>
              <w:rPr>
                <w:rFonts w:ascii="宋体" w:cs="Times New Roman"/>
              </w:rPr>
            </w:pPr>
            <w:r>
              <w:rPr>
                <w:rFonts w:hint="eastAsia" w:ascii="宋体" w:hAnsi="宋体" w:cs="宋体"/>
              </w:rPr>
              <w:t>成立时间</w:t>
            </w:r>
          </w:p>
        </w:tc>
        <w:tc>
          <w:tcPr>
            <w:tcW w:w="3551" w:type="dxa"/>
            <w:gridSpan w:val="4"/>
            <w:vAlign w:val="center"/>
          </w:tcPr>
          <w:p w14:paraId="7E60F433">
            <w:pPr>
              <w:topLinePunct/>
              <w:adjustRightInd w:val="0"/>
              <w:snapToGrid w:val="0"/>
              <w:jc w:val="center"/>
              <w:rPr>
                <w:rFonts w:ascii="宋体" w:cs="Times New Roman"/>
              </w:rPr>
            </w:pPr>
          </w:p>
        </w:tc>
        <w:tc>
          <w:tcPr>
            <w:tcW w:w="3551" w:type="dxa"/>
            <w:gridSpan w:val="5"/>
            <w:vAlign w:val="center"/>
          </w:tcPr>
          <w:p w14:paraId="550E3A86">
            <w:pPr>
              <w:topLinePunct/>
              <w:adjustRightInd w:val="0"/>
              <w:snapToGrid w:val="0"/>
              <w:ind w:firstLine="105" w:firstLineChars="50"/>
              <w:jc w:val="center"/>
              <w:rPr>
                <w:rFonts w:ascii="宋体" w:cs="Times New Roman"/>
              </w:rPr>
            </w:pPr>
            <w:r>
              <w:rPr>
                <w:rFonts w:hint="eastAsia" w:ascii="宋体" w:hAnsi="宋体" w:cs="宋体"/>
              </w:rPr>
              <w:t>员工总人数：</w:t>
            </w:r>
            <w:r>
              <w:rPr>
                <w:rFonts w:ascii="宋体" w:hAnsi="宋体" w:cs="宋体"/>
              </w:rPr>
              <w:t>______________</w:t>
            </w:r>
          </w:p>
        </w:tc>
      </w:tr>
      <w:tr w14:paraId="6F2964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70" w:type="dxa"/>
            <w:vAlign w:val="center"/>
          </w:tcPr>
          <w:p w14:paraId="6F0DB6F7">
            <w:pPr>
              <w:topLinePunct/>
              <w:adjustRightInd w:val="0"/>
              <w:snapToGrid w:val="0"/>
              <w:jc w:val="center"/>
              <w:rPr>
                <w:rFonts w:ascii="宋体" w:cs="Times New Roman"/>
              </w:rPr>
            </w:pPr>
            <w:r>
              <w:rPr>
                <w:rFonts w:hint="eastAsia" w:ascii="宋体" w:hAnsi="宋体" w:cs="宋体"/>
              </w:rPr>
              <w:t>企业资质等级</w:t>
            </w:r>
          </w:p>
        </w:tc>
        <w:tc>
          <w:tcPr>
            <w:tcW w:w="3551" w:type="dxa"/>
            <w:gridSpan w:val="4"/>
            <w:vAlign w:val="center"/>
          </w:tcPr>
          <w:p w14:paraId="45F8F97E">
            <w:pPr>
              <w:topLinePunct/>
              <w:adjustRightInd w:val="0"/>
              <w:snapToGrid w:val="0"/>
              <w:jc w:val="center"/>
              <w:rPr>
                <w:rFonts w:ascii="宋体" w:cs="Times New Roman"/>
              </w:rPr>
            </w:pPr>
          </w:p>
        </w:tc>
        <w:tc>
          <w:tcPr>
            <w:tcW w:w="769" w:type="dxa"/>
            <w:vMerge w:val="restart"/>
            <w:vAlign w:val="center"/>
          </w:tcPr>
          <w:p w14:paraId="4E92EA69">
            <w:pPr>
              <w:topLinePunct/>
              <w:adjustRightInd w:val="0"/>
              <w:snapToGrid w:val="0"/>
              <w:jc w:val="center"/>
              <w:rPr>
                <w:rFonts w:ascii="宋体" w:cs="Times New Roman"/>
              </w:rPr>
            </w:pPr>
            <w:r>
              <w:rPr>
                <w:rFonts w:hint="eastAsia" w:ascii="宋体" w:hAnsi="宋体" w:cs="宋体"/>
              </w:rPr>
              <w:t>其</w:t>
            </w:r>
          </w:p>
          <w:p w14:paraId="1EB1ECCA">
            <w:pPr>
              <w:topLinePunct/>
              <w:adjustRightInd w:val="0"/>
              <w:snapToGrid w:val="0"/>
              <w:jc w:val="center"/>
              <w:rPr>
                <w:rFonts w:ascii="宋体" w:cs="Times New Roman"/>
              </w:rPr>
            </w:pPr>
          </w:p>
          <w:p w14:paraId="79109343">
            <w:pPr>
              <w:topLinePunct/>
              <w:adjustRightInd w:val="0"/>
              <w:snapToGrid w:val="0"/>
              <w:jc w:val="center"/>
              <w:rPr>
                <w:rFonts w:ascii="宋体" w:cs="Times New Roman"/>
              </w:rPr>
            </w:pPr>
            <w:r>
              <w:rPr>
                <w:rFonts w:hint="eastAsia" w:ascii="宋体" w:hAnsi="宋体" w:cs="宋体"/>
              </w:rPr>
              <w:t>中</w:t>
            </w:r>
          </w:p>
        </w:tc>
        <w:tc>
          <w:tcPr>
            <w:tcW w:w="1598" w:type="dxa"/>
            <w:gridSpan w:val="3"/>
            <w:vAlign w:val="center"/>
          </w:tcPr>
          <w:p w14:paraId="6F9B582E">
            <w:pPr>
              <w:topLinePunct/>
              <w:adjustRightInd w:val="0"/>
              <w:snapToGrid w:val="0"/>
              <w:jc w:val="center"/>
              <w:rPr>
                <w:rFonts w:ascii="宋体" w:cs="Times New Roman"/>
              </w:rPr>
            </w:pPr>
            <w:r>
              <w:rPr>
                <w:rFonts w:hint="eastAsia" w:ascii="宋体" w:hAnsi="宋体" w:cs="宋体"/>
              </w:rPr>
              <w:t>项目</w:t>
            </w:r>
            <w:r>
              <w:rPr>
                <w:rFonts w:hint="eastAsia" w:ascii="宋体" w:cs="宋体"/>
              </w:rPr>
              <w:t>负责人</w:t>
            </w:r>
          </w:p>
        </w:tc>
        <w:tc>
          <w:tcPr>
            <w:tcW w:w="1184" w:type="dxa"/>
            <w:vAlign w:val="center"/>
          </w:tcPr>
          <w:p w14:paraId="4CDDC84D">
            <w:pPr>
              <w:topLinePunct/>
              <w:adjustRightInd w:val="0"/>
              <w:snapToGrid w:val="0"/>
              <w:jc w:val="center"/>
              <w:rPr>
                <w:rFonts w:ascii="宋体" w:cs="Times New Roman"/>
              </w:rPr>
            </w:pPr>
          </w:p>
        </w:tc>
      </w:tr>
      <w:tr w14:paraId="5CDDB3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96" w:hRule="atLeast"/>
          <w:jc w:val="center"/>
        </w:trPr>
        <w:tc>
          <w:tcPr>
            <w:tcW w:w="2370" w:type="dxa"/>
            <w:vAlign w:val="center"/>
          </w:tcPr>
          <w:p w14:paraId="5B367EF4">
            <w:pPr>
              <w:topLinePunct/>
              <w:adjustRightInd w:val="0"/>
              <w:snapToGrid w:val="0"/>
              <w:jc w:val="center"/>
              <w:rPr>
                <w:rFonts w:ascii="宋体" w:cs="Times New Roman"/>
              </w:rPr>
            </w:pPr>
            <w:r>
              <w:rPr>
                <w:rFonts w:hint="eastAsia" w:ascii="宋体" w:hAnsi="宋体" w:cs="宋体"/>
              </w:rPr>
              <w:t>统一社会信用代码</w:t>
            </w:r>
          </w:p>
        </w:tc>
        <w:tc>
          <w:tcPr>
            <w:tcW w:w="3551" w:type="dxa"/>
            <w:gridSpan w:val="4"/>
            <w:vAlign w:val="center"/>
          </w:tcPr>
          <w:p w14:paraId="346A47AB">
            <w:pPr>
              <w:topLinePunct/>
              <w:adjustRightInd w:val="0"/>
              <w:snapToGrid w:val="0"/>
              <w:jc w:val="center"/>
              <w:rPr>
                <w:rFonts w:ascii="宋体" w:cs="Times New Roman"/>
              </w:rPr>
            </w:pPr>
          </w:p>
        </w:tc>
        <w:tc>
          <w:tcPr>
            <w:tcW w:w="769" w:type="dxa"/>
            <w:vMerge w:val="continue"/>
            <w:vAlign w:val="center"/>
          </w:tcPr>
          <w:p w14:paraId="1C08E09F">
            <w:pPr>
              <w:topLinePunct/>
              <w:adjustRightInd w:val="0"/>
              <w:snapToGrid w:val="0"/>
              <w:jc w:val="center"/>
              <w:rPr>
                <w:rFonts w:ascii="宋体" w:cs="Times New Roman"/>
              </w:rPr>
            </w:pPr>
          </w:p>
        </w:tc>
        <w:tc>
          <w:tcPr>
            <w:tcW w:w="1598" w:type="dxa"/>
            <w:gridSpan w:val="3"/>
            <w:vAlign w:val="center"/>
          </w:tcPr>
          <w:p w14:paraId="20829C60">
            <w:pPr>
              <w:topLinePunct/>
              <w:adjustRightInd w:val="0"/>
              <w:snapToGrid w:val="0"/>
              <w:jc w:val="center"/>
              <w:rPr>
                <w:rFonts w:ascii="宋体" w:cs="Times New Roman"/>
              </w:rPr>
            </w:pPr>
            <w:r>
              <w:rPr>
                <w:rFonts w:hint="eastAsia" w:ascii="宋体" w:hAnsi="宋体" w:cs="宋体"/>
              </w:rPr>
              <w:t>高级职称人员</w:t>
            </w:r>
          </w:p>
        </w:tc>
        <w:tc>
          <w:tcPr>
            <w:tcW w:w="1184" w:type="dxa"/>
            <w:vAlign w:val="center"/>
          </w:tcPr>
          <w:p w14:paraId="31D74A9C">
            <w:pPr>
              <w:topLinePunct/>
              <w:adjustRightInd w:val="0"/>
              <w:snapToGrid w:val="0"/>
              <w:jc w:val="center"/>
              <w:rPr>
                <w:rFonts w:ascii="宋体" w:cs="Times New Roman"/>
              </w:rPr>
            </w:pPr>
          </w:p>
        </w:tc>
      </w:tr>
      <w:tr w14:paraId="77C93C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37" w:hRule="atLeast"/>
          <w:jc w:val="center"/>
        </w:trPr>
        <w:tc>
          <w:tcPr>
            <w:tcW w:w="2370" w:type="dxa"/>
            <w:vAlign w:val="center"/>
          </w:tcPr>
          <w:p w14:paraId="64BD3B9E">
            <w:pPr>
              <w:topLinePunct/>
              <w:adjustRightInd w:val="0"/>
              <w:snapToGrid w:val="0"/>
              <w:jc w:val="center"/>
              <w:rPr>
                <w:rFonts w:ascii="宋体" w:cs="Times New Roman"/>
              </w:rPr>
            </w:pPr>
            <w:r>
              <w:rPr>
                <w:rFonts w:hint="eastAsia" w:ascii="宋体" w:hAnsi="宋体" w:cs="宋体"/>
              </w:rPr>
              <w:t>注册资金</w:t>
            </w:r>
          </w:p>
        </w:tc>
        <w:tc>
          <w:tcPr>
            <w:tcW w:w="3551" w:type="dxa"/>
            <w:gridSpan w:val="4"/>
            <w:vAlign w:val="center"/>
          </w:tcPr>
          <w:p w14:paraId="45194625">
            <w:pPr>
              <w:topLinePunct/>
              <w:adjustRightInd w:val="0"/>
              <w:snapToGrid w:val="0"/>
              <w:jc w:val="center"/>
              <w:rPr>
                <w:rFonts w:ascii="宋体" w:cs="Times New Roman"/>
              </w:rPr>
            </w:pPr>
          </w:p>
        </w:tc>
        <w:tc>
          <w:tcPr>
            <w:tcW w:w="769" w:type="dxa"/>
            <w:vMerge w:val="continue"/>
            <w:vAlign w:val="center"/>
          </w:tcPr>
          <w:p w14:paraId="7C68956D">
            <w:pPr>
              <w:topLinePunct/>
              <w:adjustRightInd w:val="0"/>
              <w:snapToGrid w:val="0"/>
              <w:jc w:val="center"/>
              <w:rPr>
                <w:rFonts w:ascii="宋体" w:cs="Times New Roman"/>
              </w:rPr>
            </w:pPr>
          </w:p>
        </w:tc>
        <w:tc>
          <w:tcPr>
            <w:tcW w:w="1598" w:type="dxa"/>
            <w:gridSpan w:val="3"/>
            <w:vAlign w:val="center"/>
          </w:tcPr>
          <w:p w14:paraId="11B4876B">
            <w:pPr>
              <w:topLinePunct/>
              <w:adjustRightInd w:val="0"/>
              <w:snapToGrid w:val="0"/>
              <w:jc w:val="center"/>
              <w:rPr>
                <w:rFonts w:ascii="宋体" w:cs="Times New Roman"/>
              </w:rPr>
            </w:pPr>
            <w:r>
              <w:rPr>
                <w:rFonts w:hint="eastAsia" w:ascii="宋体" w:hAnsi="宋体" w:cs="宋体"/>
              </w:rPr>
              <w:t>中级职称人员</w:t>
            </w:r>
          </w:p>
        </w:tc>
        <w:tc>
          <w:tcPr>
            <w:tcW w:w="1184" w:type="dxa"/>
            <w:vAlign w:val="center"/>
          </w:tcPr>
          <w:p w14:paraId="1FCEF4DF">
            <w:pPr>
              <w:topLinePunct/>
              <w:adjustRightInd w:val="0"/>
              <w:snapToGrid w:val="0"/>
              <w:jc w:val="center"/>
              <w:rPr>
                <w:rFonts w:ascii="宋体" w:cs="Times New Roman"/>
              </w:rPr>
            </w:pPr>
          </w:p>
        </w:tc>
      </w:tr>
      <w:tr w14:paraId="1AFD46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09" w:hRule="atLeast"/>
          <w:jc w:val="center"/>
        </w:trPr>
        <w:tc>
          <w:tcPr>
            <w:tcW w:w="2370" w:type="dxa"/>
            <w:vAlign w:val="center"/>
          </w:tcPr>
          <w:p w14:paraId="4632D202">
            <w:pPr>
              <w:topLinePunct/>
              <w:adjustRightInd w:val="0"/>
              <w:snapToGrid w:val="0"/>
              <w:jc w:val="center"/>
              <w:rPr>
                <w:rFonts w:ascii="宋体" w:cs="Times New Roman"/>
              </w:rPr>
            </w:pPr>
            <w:r>
              <w:rPr>
                <w:rFonts w:hint="eastAsia" w:ascii="宋体" w:hAnsi="宋体" w:cs="宋体"/>
              </w:rPr>
              <w:t>开户银行</w:t>
            </w:r>
          </w:p>
        </w:tc>
        <w:tc>
          <w:tcPr>
            <w:tcW w:w="3551" w:type="dxa"/>
            <w:gridSpan w:val="4"/>
            <w:vAlign w:val="center"/>
          </w:tcPr>
          <w:p w14:paraId="33F483B5">
            <w:pPr>
              <w:topLinePunct/>
              <w:adjustRightInd w:val="0"/>
              <w:snapToGrid w:val="0"/>
              <w:jc w:val="center"/>
              <w:rPr>
                <w:rFonts w:ascii="宋体" w:cs="Times New Roman"/>
              </w:rPr>
            </w:pPr>
          </w:p>
        </w:tc>
        <w:tc>
          <w:tcPr>
            <w:tcW w:w="769" w:type="dxa"/>
            <w:vMerge w:val="continue"/>
            <w:vAlign w:val="center"/>
          </w:tcPr>
          <w:p w14:paraId="16B2F76A">
            <w:pPr>
              <w:topLinePunct/>
              <w:adjustRightInd w:val="0"/>
              <w:snapToGrid w:val="0"/>
              <w:jc w:val="center"/>
              <w:rPr>
                <w:rFonts w:ascii="宋体" w:cs="Times New Roman"/>
              </w:rPr>
            </w:pPr>
          </w:p>
        </w:tc>
        <w:tc>
          <w:tcPr>
            <w:tcW w:w="1598" w:type="dxa"/>
            <w:gridSpan w:val="3"/>
            <w:vAlign w:val="center"/>
          </w:tcPr>
          <w:p w14:paraId="59B30567">
            <w:pPr>
              <w:topLinePunct/>
              <w:adjustRightInd w:val="0"/>
              <w:snapToGrid w:val="0"/>
              <w:jc w:val="center"/>
              <w:rPr>
                <w:rFonts w:ascii="宋体" w:cs="Times New Roman"/>
              </w:rPr>
            </w:pPr>
            <w:r>
              <w:rPr>
                <w:rFonts w:hint="eastAsia" w:ascii="宋体" w:hAnsi="宋体" w:cs="宋体"/>
              </w:rPr>
              <w:t>初级职称人员</w:t>
            </w:r>
          </w:p>
        </w:tc>
        <w:tc>
          <w:tcPr>
            <w:tcW w:w="1184" w:type="dxa"/>
            <w:vAlign w:val="center"/>
          </w:tcPr>
          <w:p w14:paraId="427EF23E">
            <w:pPr>
              <w:topLinePunct/>
              <w:adjustRightInd w:val="0"/>
              <w:snapToGrid w:val="0"/>
              <w:jc w:val="center"/>
              <w:rPr>
                <w:rFonts w:ascii="宋体" w:cs="Times New Roman"/>
              </w:rPr>
            </w:pPr>
          </w:p>
        </w:tc>
      </w:tr>
      <w:tr w14:paraId="051155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2370" w:type="dxa"/>
            <w:vAlign w:val="center"/>
          </w:tcPr>
          <w:p w14:paraId="2CEE0FB3">
            <w:pPr>
              <w:topLinePunct/>
              <w:adjustRightInd w:val="0"/>
              <w:snapToGrid w:val="0"/>
              <w:jc w:val="center"/>
              <w:rPr>
                <w:rFonts w:ascii="宋体" w:cs="Times New Roman"/>
              </w:rPr>
            </w:pPr>
            <w:r>
              <w:rPr>
                <w:rFonts w:hint="eastAsia" w:ascii="宋体" w:hAnsi="宋体" w:cs="宋体"/>
              </w:rPr>
              <w:t>账号</w:t>
            </w:r>
          </w:p>
        </w:tc>
        <w:tc>
          <w:tcPr>
            <w:tcW w:w="3551" w:type="dxa"/>
            <w:gridSpan w:val="4"/>
            <w:vAlign w:val="center"/>
          </w:tcPr>
          <w:p w14:paraId="127C4E38">
            <w:pPr>
              <w:topLinePunct/>
              <w:adjustRightInd w:val="0"/>
              <w:snapToGrid w:val="0"/>
              <w:jc w:val="center"/>
              <w:rPr>
                <w:rFonts w:ascii="宋体" w:cs="Times New Roman"/>
              </w:rPr>
            </w:pPr>
          </w:p>
        </w:tc>
        <w:tc>
          <w:tcPr>
            <w:tcW w:w="769" w:type="dxa"/>
            <w:vMerge w:val="continue"/>
            <w:vAlign w:val="center"/>
          </w:tcPr>
          <w:p w14:paraId="5AB8D408">
            <w:pPr>
              <w:topLinePunct/>
              <w:adjustRightInd w:val="0"/>
              <w:snapToGrid w:val="0"/>
              <w:jc w:val="center"/>
              <w:rPr>
                <w:rFonts w:ascii="宋体" w:cs="Times New Roman"/>
              </w:rPr>
            </w:pPr>
          </w:p>
        </w:tc>
        <w:tc>
          <w:tcPr>
            <w:tcW w:w="1598" w:type="dxa"/>
            <w:gridSpan w:val="3"/>
            <w:vAlign w:val="center"/>
          </w:tcPr>
          <w:p w14:paraId="1441FB6E">
            <w:pPr>
              <w:topLinePunct/>
              <w:adjustRightInd w:val="0"/>
              <w:snapToGrid w:val="0"/>
              <w:jc w:val="center"/>
              <w:rPr>
                <w:rFonts w:ascii="宋体" w:cs="Times New Roman"/>
              </w:rPr>
            </w:pPr>
            <w:r>
              <w:rPr>
                <w:rFonts w:hint="eastAsia" w:ascii="宋体" w:hAnsi="宋体" w:cs="宋体"/>
              </w:rPr>
              <w:t>技工</w:t>
            </w:r>
          </w:p>
        </w:tc>
        <w:tc>
          <w:tcPr>
            <w:tcW w:w="1184" w:type="dxa"/>
            <w:vAlign w:val="center"/>
          </w:tcPr>
          <w:p w14:paraId="5D4599BB">
            <w:pPr>
              <w:topLinePunct/>
              <w:adjustRightInd w:val="0"/>
              <w:snapToGrid w:val="0"/>
              <w:jc w:val="center"/>
              <w:rPr>
                <w:rFonts w:ascii="宋体" w:cs="Times New Roman"/>
              </w:rPr>
            </w:pPr>
          </w:p>
        </w:tc>
      </w:tr>
      <w:tr w14:paraId="5636EE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370" w:type="dxa"/>
            <w:vAlign w:val="center"/>
          </w:tcPr>
          <w:p w14:paraId="097AA223">
            <w:pPr>
              <w:topLinePunct/>
              <w:adjustRightInd w:val="0"/>
              <w:snapToGrid w:val="0"/>
              <w:ind w:firstLine="210" w:firstLineChars="100"/>
              <w:jc w:val="center"/>
              <w:rPr>
                <w:rFonts w:ascii="宋体" w:cs="Times New Roman"/>
              </w:rPr>
            </w:pPr>
            <w:r>
              <w:rPr>
                <w:rFonts w:hint="eastAsia" w:ascii="宋体" w:hAnsi="宋体" w:cs="宋体"/>
              </w:rPr>
              <w:t>经营范围</w:t>
            </w:r>
          </w:p>
        </w:tc>
        <w:tc>
          <w:tcPr>
            <w:tcW w:w="7102" w:type="dxa"/>
            <w:gridSpan w:val="9"/>
            <w:vAlign w:val="center"/>
          </w:tcPr>
          <w:p w14:paraId="0B2D2BB6">
            <w:pPr>
              <w:topLinePunct/>
              <w:adjustRightInd w:val="0"/>
              <w:snapToGrid w:val="0"/>
              <w:jc w:val="center"/>
              <w:rPr>
                <w:rFonts w:ascii="宋体" w:cs="Times New Roman"/>
              </w:rPr>
            </w:pPr>
          </w:p>
        </w:tc>
      </w:tr>
      <w:tr w14:paraId="4EBF46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2370" w:type="dxa"/>
            <w:tcBorders>
              <w:bottom w:val="single" w:color="auto" w:sz="12" w:space="0"/>
            </w:tcBorders>
            <w:vAlign w:val="center"/>
          </w:tcPr>
          <w:p w14:paraId="4F68D8E3">
            <w:pPr>
              <w:topLinePunct/>
              <w:adjustRightInd w:val="0"/>
              <w:snapToGrid w:val="0"/>
              <w:jc w:val="center"/>
              <w:rPr>
                <w:rFonts w:ascii="宋体" w:cs="Times New Roman"/>
              </w:rPr>
            </w:pPr>
            <w:r>
              <w:rPr>
                <w:rFonts w:hint="eastAsia" w:ascii="宋体" w:hAnsi="宋体" w:cs="宋体"/>
              </w:rPr>
              <w:t>备注</w:t>
            </w:r>
          </w:p>
        </w:tc>
        <w:tc>
          <w:tcPr>
            <w:tcW w:w="7102" w:type="dxa"/>
            <w:gridSpan w:val="9"/>
            <w:tcBorders>
              <w:bottom w:val="single" w:color="auto" w:sz="12" w:space="0"/>
            </w:tcBorders>
            <w:vAlign w:val="center"/>
          </w:tcPr>
          <w:p w14:paraId="18BA161C">
            <w:pPr>
              <w:topLinePunct/>
              <w:adjustRightInd w:val="0"/>
              <w:snapToGrid w:val="0"/>
              <w:jc w:val="center"/>
              <w:rPr>
                <w:rFonts w:ascii="宋体" w:cs="Times New Roman"/>
              </w:rPr>
            </w:pPr>
          </w:p>
        </w:tc>
      </w:tr>
    </w:tbl>
    <w:p w14:paraId="3C3BF858">
      <w:pPr>
        <w:pStyle w:val="51"/>
        <w:adjustRightInd w:val="0"/>
        <w:snapToGrid w:val="0"/>
        <w:spacing w:before="157" w:beforeLines="50" w:line="360" w:lineRule="auto"/>
        <w:rPr>
          <w:rFonts w:hint="eastAsia" w:ascii="宋体" w:hAnsi="宋体" w:eastAsia="宋体" w:cs="Times New Roman"/>
          <w:color w:val="auto"/>
        </w:rPr>
      </w:pPr>
      <w:r>
        <w:rPr>
          <w:rFonts w:hint="eastAsia" w:ascii="宋体" w:hAnsi="宋体" w:eastAsia="宋体" w:cs="宋体"/>
          <w:color w:val="auto"/>
          <w:lang w:val="zh-TW"/>
        </w:rPr>
        <w:t>备注：</w:t>
      </w:r>
      <w:r>
        <w:rPr>
          <w:rFonts w:ascii="宋体" w:hAnsi="宋体" w:eastAsia="宋体" w:cs="宋体"/>
          <w:color w:val="auto"/>
        </w:rPr>
        <w:t>1</w:t>
      </w:r>
      <w:r>
        <w:rPr>
          <w:rFonts w:hint="eastAsia" w:ascii="宋体" w:hAnsi="宋体" w:eastAsia="宋体" w:cs="宋体"/>
          <w:color w:val="auto"/>
        </w:rPr>
        <w:t>.本表后须附投标人营业执照副本原件扫描件（如为联合体则各成员均须提供）、资质证书副本原件扫描件（如为联合体则各成员均须提供），安全生产许可证副本原件扫描件（如为联合体则由施工单位提供）；</w:t>
      </w:r>
    </w:p>
    <w:p w14:paraId="498B2D46">
      <w:pPr>
        <w:pStyle w:val="51"/>
        <w:numPr>
          <w:ilvl w:val="0"/>
          <w:numId w:val="10"/>
        </w:numPr>
        <w:adjustRightInd w:val="0"/>
        <w:snapToGrid w:val="0"/>
        <w:spacing w:line="360" w:lineRule="auto"/>
        <w:rPr>
          <w:rFonts w:hint="eastAsia" w:ascii="宋体" w:hAnsi="宋体" w:eastAsia="宋体" w:cs="宋体"/>
          <w:color w:val="auto"/>
        </w:rPr>
      </w:pPr>
      <w:bookmarkStart w:id="1944" w:name="_Toc45897175"/>
      <w:bookmarkStart w:id="1945" w:name="_Toc15268_WPSOffice_Level2"/>
      <w:bookmarkStart w:id="1946" w:name="_Toc16377_WPSOffice_Level2"/>
      <w:r>
        <w:rPr>
          <w:rFonts w:hint="eastAsia" w:ascii="宋体" w:hAnsi="宋体" w:eastAsia="宋体" w:cs="宋体"/>
          <w:color w:val="auto"/>
        </w:rPr>
        <w:t>如为联合体投标，联合体各成员须分别填写和附相关资料原件扫描件；</w:t>
      </w:r>
    </w:p>
    <w:p w14:paraId="0EE9A225">
      <w:pPr>
        <w:pStyle w:val="51"/>
        <w:adjustRightInd w:val="0"/>
        <w:snapToGrid w:val="0"/>
        <w:spacing w:line="360" w:lineRule="auto"/>
        <w:rPr>
          <w:rFonts w:hint="eastAsia" w:ascii="宋体" w:hAnsi="宋体" w:eastAsia="宋体" w:cs="宋体"/>
          <w:color w:val="auto"/>
        </w:rPr>
      </w:pPr>
    </w:p>
    <w:bookmarkEnd w:id="1944"/>
    <w:bookmarkEnd w:id="1945"/>
    <w:bookmarkEnd w:id="1946"/>
    <w:p w14:paraId="3F8DC9A1">
      <w:bookmarkStart w:id="1947" w:name="_Toc31716"/>
      <w:bookmarkEnd w:id="1947"/>
      <w:r>
        <w:rPr>
          <w:rFonts w:hint="eastAsia"/>
        </w:rPr>
        <w:br w:type="page"/>
      </w:r>
    </w:p>
    <w:p w14:paraId="03D1B81A">
      <w:pPr>
        <w:pStyle w:val="4"/>
        <w:ind w:firstLine="0" w:firstLineChars="0"/>
        <w:jc w:val="center"/>
        <w:rPr>
          <w:rFonts w:hint="eastAsia"/>
        </w:rPr>
      </w:pPr>
      <w:r>
        <w:rPr>
          <w:rFonts w:hint="eastAsia"/>
        </w:rPr>
        <w:t>（三）主要人员简历表</w:t>
      </w:r>
    </w:p>
    <w:p w14:paraId="36EEEA5A">
      <w:pPr>
        <w:pStyle w:val="28"/>
        <w:rPr>
          <w:rFonts w:hint="eastAsia"/>
        </w:rPr>
      </w:pPr>
      <w:r>
        <w:t>“主要人员简历表”中的项目负责人指项目工程总承包项目负责人</w:t>
      </w:r>
      <w:r>
        <w:rPr>
          <w:rFonts w:hint="eastAsia"/>
        </w:rPr>
        <w:t>、</w:t>
      </w:r>
      <w:r>
        <w:t>设计项目负责人、施工项目负责人。</w:t>
      </w:r>
    </w:p>
    <w:tbl>
      <w:tblPr>
        <w:tblStyle w:val="2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357"/>
        <w:gridCol w:w="722"/>
        <w:gridCol w:w="927"/>
        <w:gridCol w:w="1065"/>
        <w:gridCol w:w="706"/>
        <w:gridCol w:w="1261"/>
        <w:gridCol w:w="163"/>
        <w:gridCol w:w="2134"/>
      </w:tblGrid>
      <w:tr w14:paraId="3AB41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7" w:type="dxa"/>
            <w:vAlign w:val="center"/>
          </w:tcPr>
          <w:p w14:paraId="4271BA86">
            <w:pPr>
              <w:spacing w:line="440" w:lineRule="exact"/>
              <w:jc w:val="center"/>
              <w:rPr>
                <w:rFonts w:ascii="宋体" w:cs="Times New Roman"/>
              </w:rPr>
            </w:pPr>
            <w:r>
              <w:rPr>
                <w:rFonts w:hint="eastAsia" w:ascii="宋体" w:hAnsi="宋体" w:cs="宋体"/>
              </w:rPr>
              <w:t>姓名</w:t>
            </w:r>
          </w:p>
        </w:tc>
        <w:tc>
          <w:tcPr>
            <w:tcW w:w="1079" w:type="dxa"/>
            <w:gridSpan w:val="2"/>
            <w:vAlign w:val="center"/>
          </w:tcPr>
          <w:p w14:paraId="2B54E244">
            <w:pPr>
              <w:spacing w:line="440" w:lineRule="exact"/>
              <w:jc w:val="center"/>
              <w:rPr>
                <w:rFonts w:ascii="宋体" w:cs="Times New Roman"/>
              </w:rPr>
            </w:pPr>
          </w:p>
        </w:tc>
        <w:tc>
          <w:tcPr>
            <w:tcW w:w="927" w:type="dxa"/>
            <w:vAlign w:val="center"/>
          </w:tcPr>
          <w:p w14:paraId="14446831">
            <w:pPr>
              <w:spacing w:line="440" w:lineRule="exact"/>
              <w:jc w:val="center"/>
              <w:rPr>
                <w:rFonts w:ascii="宋体" w:cs="Times New Roman"/>
              </w:rPr>
            </w:pPr>
            <w:r>
              <w:rPr>
                <w:rFonts w:hint="eastAsia" w:ascii="宋体" w:hAnsi="宋体" w:cs="宋体"/>
              </w:rPr>
              <w:t>年龄</w:t>
            </w:r>
          </w:p>
        </w:tc>
        <w:tc>
          <w:tcPr>
            <w:tcW w:w="1065" w:type="dxa"/>
            <w:vAlign w:val="center"/>
          </w:tcPr>
          <w:p w14:paraId="13A7BEA8">
            <w:pPr>
              <w:spacing w:line="440" w:lineRule="exact"/>
              <w:jc w:val="center"/>
              <w:rPr>
                <w:rFonts w:ascii="宋体" w:cs="Times New Roman"/>
              </w:rPr>
            </w:pPr>
          </w:p>
        </w:tc>
        <w:tc>
          <w:tcPr>
            <w:tcW w:w="2130" w:type="dxa"/>
            <w:gridSpan w:val="3"/>
            <w:vAlign w:val="center"/>
          </w:tcPr>
          <w:p w14:paraId="79178546">
            <w:pPr>
              <w:spacing w:line="440" w:lineRule="exact"/>
              <w:jc w:val="center"/>
              <w:rPr>
                <w:rFonts w:ascii="宋体" w:cs="Times New Roman"/>
              </w:rPr>
            </w:pPr>
            <w:r>
              <w:rPr>
                <w:rFonts w:hint="eastAsia" w:ascii="宋体" w:hAnsi="宋体" w:cs="宋体"/>
              </w:rPr>
              <w:t>学历</w:t>
            </w:r>
          </w:p>
        </w:tc>
        <w:tc>
          <w:tcPr>
            <w:tcW w:w="2134" w:type="dxa"/>
            <w:vAlign w:val="center"/>
          </w:tcPr>
          <w:p w14:paraId="02A7A79E">
            <w:pPr>
              <w:spacing w:line="440" w:lineRule="exact"/>
              <w:jc w:val="center"/>
              <w:rPr>
                <w:rFonts w:ascii="宋体" w:cs="Times New Roman"/>
              </w:rPr>
            </w:pPr>
          </w:p>
        </w:tc>
      </w:tr>
      <w:tr w14:paraId="5C270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7" w:type="dxa"/>
            <w:vAlign w:val="center"/>
          </w:tcPr>
          <w:p w14:paraId="66C6DC89">
            <w:pPr>
              <w:spacing w:line="440" w:lineRule="exact"/>
              <w:jc w:val="center"/>
              <w:rPr>
                <w:rFonts w:ascii="宋体" w:cs="Times New Roman"/>
              </w:rPr>
            </w:pPr>
            <w:r>
              <w:rPr>
                <w:rFonts w:hint="eastAsia" w:ascii="宋体" w:hAnsi="宋体" w:cs="宋体"/>
              </w:rPr>
              <w:t>职称</w:t>
            </w:r>
          </w:p>
        </w:tc>
        <w:tc>
          <w:tcPr>
            <w:tcW w:w="1079" w:type="dxa"/>
            <w:gridSpan w:val="2"/>
            <w:vAlign w:val="center"/>
          </w:tcPr>
          <w:p w14:paraId="6A85B4C3">
            <w:pPr>
              <w:spacing w:line="440" w:lineRule="exact"/>
              <w:jc w:val="center"/>
              <w:rPr>
                <w:rFonts w:ascii="宋体" w:cs="Times New Roman"/>
              </w:rPr>
            </w:pPr>
          </w:p>
        </w:tc>
        <w:tc>
          <w:tcPr>
            <w:tcW w:w="927" w:type="dxa"/>
            <w:vAlign w:val="center"/>
          </w:tcPr>
          <w:p w14:paraId="2ADD0580">
            <w:pPr>
              <w:spacing w:line="440" w:lineRule="exact"/>
              <w:jc w:val="center"/>
              <w:rPr>
                <w:rFonts w:ascii="宋体" w:cs="Times New Roman"/>
              </w:rPr>
            </w:pPr>
            <w:r>
              <w:rPr>
                <w:rFonts w:hint="eastAsia" w:ascii="宋体" w:hAnsi="宋体" w:cs="宋体"/>
              </w:rPr>
              <w:t>职务</w:t>
            </w:r>
          </w:p>
        </w:tc>
        <w:tc>
          <w:tcPr>
            <w:tcW w:w="1065" w:type="dxa"/>
            <w:vAlign w:val="center"/>
          </w:tcPr>
          <w:p w14:paraId="4F9C1080">
            <w:pPr>
              <w:spacing w:line="440" w:lineRule="exact"/>
              <w:jc w:val="center"/>
              <w:rPr>
                <w:rFonts w:ascii="宋体" w:cs="Times New Roman"/>
              </w:rPr>
            </w:pPr>
          </w:p>
        </w:tc>
        <w:tc>
          <w:tcPr>
            <w:tcW w:w="2130" w:type="dxa"/>
            <w:gridSpan w:val="3"/>
            <w:vAlign w:val="center"/>
          </w:tcPr>
          <w:p w14:paraId="2E5C4F29">
            <w:pPr>
              <w:spacing w:line="440" w:lineRule="exact"/>
              <w:jc w:val="center"/>
              <w:rPr>
                <w:rFonts w:ascii="宋体" w:cs="Times New Roman"/>
              </w:rPr>
            </w:pPr>
            <w:r>
              <w:rPr>
                <w:rFonts w:hint="eastAsia" w:ascii="宋体" w:hAnsi="宋体" w:cs="宋体"/>
              </w:rPr>
              <w:t>拟在本合同担任职务</w:t>
            </w:r>
          </w:p>
        </w:tc>
        <w:tc>
          <w:tcPr>
            <w:tcW w:w="2134" w:type="dxa"/>
            <w:vAlign w:val="center"/>
          </w:tcPr>
          <w:p w14:paraId="1912BA68">
            <w:pPr>
              <w:spacing w:line="440" w:lineRule="exact"/>
              <w:jc w:val="center"/>
              <w:rPr>
                <w:rFonts w:ascii="宋体" w:cs="Times New Roman"/>
              </w:rPr>
            </w:pPr>
          </w:p>
        </w:tc>
      </w:tr>
      <w:tr w14:paraId="64841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7" w:type="dxa"/>
            <w:vAlign w:val="center"/>
          </w:tcPr>
          <w:p w14:paraId="265F9C4B">
            <w:pPr>
              <w:spacing w:line="440" w:lineRule="exact"/>
              <w:jc w:val="center"/>
              <w:rPr>
                <w:rFonts w:ascii="宋体" w:cs="Times New Roman"/>
              </w:rPr>
            </w:pPr>
            <w:r>
              <w:rPr>
                <w:rFonts w:hint="eastAsia" w:ascii="宋体" w:hAnsi="宋体" w:cs="宋体"/>
              </w:rPr>
              <w:t>毕业学校</w:t>
            </w:r>
          </w:p>
        </w:tc>
        <w:tc>
          <w:tcPr>
            <w:tcW w:w="7335" w:type="dxa"/>
            <w:gridSpan w:val="8"/>
          </w:tcPr>
          <w:p w14:paraId="7BFB597E">
            <w:pPr>
              <w:spacing w:line="440" w:lineRule="exact"/>
              <w:ind w:firstLine="945" w:firstLineChars="450"/>
              <w:rPr>
                <w:rFonts w:ascii="宋体" w:cs="Times New Roman"/>
              </w:rPr>
            </w:pPr>
            <w:r>
              <w:rPr>
                <w:rFonts w:hint="eastAsia" w:ascii="宋体" w:hAnsi="宋体" w:cs="宋体"/>
              </w:rPr>
              <w:t>年毕业于学校专业</w:t>
            </w:r>
          </w:p>
        </w:tc>
      </w:tr>
      <w:tr w14:paraId="2812D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vAlign w:val="center"/>
          </w:tcPr>
          <w:p w14:paraId="11F9EC5F">
            <w:pPr>
              <w:spacing w:line="440" w:lineRule="exact"/>
              <w:rPr>
                <w:rFonts w:ascii="宋体" w:cs="Times New Roman"/>
              </w:rPr>
            </w:pPr>
            <w:r>
              <w:rPr>
                <w:rFonts w:hint="eastAsia" w:ascii="宋体" w:hAnsi="宋体" w:cs="宋体"/>
              </w:rPr>
              <w:t>主要工作经历</w:t>
            </w:r>
          </w:p>
        </w:tc>
      </w:tr>
      <w:tr w14:paraId="1664E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4" w:type="dxa"/>
            <w:gridSpan w:val="2"/>
            <w:vAlign w:val="center"/>
          </w:tcPr>
          <w:p w14:paraId="7251C3D1">
            <w:pPr>
              <w:spacing w:line="440" w:lineRule="exact"/>
              <w:rPr>
                <w:rFonts w:ascii="宋体" w:cs="Times New Roman"/>
              </w:rPr>
            </w:pPr>
            <w:r>
              <w:rPr>
                <w:rFonts w:hint="eastAsia" w:ascii="宋体" w:hAnsi="宋体" w:cs="宋体"/>
              </w:rPr>
              <w:t>时间</w:t>
            </w:r>
          </w:p>
        </w:tc>
        <w:tc>
          <w:tcPr>
            <w:tcW w:w="3420" w:type="dxa"/>
            <w:gridSpan w:val="4"/>
            <w:vAlign w:val="center"/>
          </w:tcPr>
          <w:p w14:paraId="5D048251">
            <w:pPr>
              <w:spacing w:line="440" w:lineRule="exact"/>
              <w:rPr>
                <w:rFonts w:ascii="宋体" w:cs="Times New Roman"/>
              </w:rPr>
            </w:pPr>
            <w:r>
              <w:rPr>
                <w:rFonts w:hint="eastAsia" w:ascii="宋体" w:hAnsi="宋体" w:cs="宋体"/>
              </w:rPr>
              <w:t>参加过的类似项目</w:t>
            </w:r>
          </w:p>
        </w:tc>
        <w:tc>
          <w:tcPr>
            <w:tcW w:w="1261" w:type="dxa"/>
            <w:vAlign w:val="center"/>
          </w:tcPr>
          <w:p w14:paraId="3317964A">
            <w:pPr>
              <w:spacing w:line="440" w:lineRule="exact"/>
              <w:rPr>
                <w:rFonts w:ascii="宋体" w:cs="Times New Roman"/>
              </w:rPr>
            </w:pPr>
            <w:r>
              <w:rPr>
                <w:rFonts w:hint="eastAsia" w:ascii="宋体" w:hAnsi="宋体" w:cs="宋体"/>
              </w:rPr>
              <w:t>担任职务</w:t>
            </w:r>
          </w:p>
        </w:tc>
        <w:tc>
          <w:tcPr>
            <w:tcW w:w="2297" w:type="dxa"/>
            <w:gridSpan w:val="2"/>
            <w:vAlign w:val="center"/>
          </w:tcPr>
          <w:p w14:paraId="74EE55D9">
            <w:pPr>
              <w:spacing w:line="440" w:lineRule="exact"/>
              <w:rPr>
                <w:rFonts w:ascii="宋体" w:cs="Times New Roman"/>
              </w:rPr>
            </w:pPr>
            <w:r>
              <w:rPr>
                <w:rFonts w:hint="eastAsia" w:ascii="宋体" w:hAnsi="宋体" w:cs="宋体"/>
              </w:rPr>
              <w:t>发包人及联系电话</w:t>
            </w:r>
          </w:p>
        </w:tc>
      </w:tr>
      <w:tr w14:paraId="54039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tcPr>
          <w:p w14:paraId="031B54C8">
            <w:pPr>
              <w:spacing w:line="440" w:lineRule="exact"/>
              <w:rPr>
                <w:rFonts w:eastAsia="黑体" w:cs="Times New Roman"/>
              </w:rPr>
            </w:pPr>
          </w:p>
        </w:tc>
        <w:tc>
          <w:tcPr>
            <w:tcW w:w="3420" w:type="dxa"/>
            <w:gridSpan w:val="4"/>
          </w:tcPr>
          <w:p w14:paraId="558085F1">
            <w:pPr>
              <w:spacing w:line="440" w:lineRule="exact"/>
              <w:rPr>
                <w:rFonts w:eastAsia="黑体" w:cs="Times New Roman"/>
              </w:rPr>
            </w:pPr>
          </w:p>
        </w:tc>
        <w:tc>
          <w:tcPr>
            <w:tcW w:w="1261" w:type="dxa"/>
          </w:tcPr>
          <w:p w14:paraId="667861C4">
            <w:pPr>
              <w:spacing w:line="440" w:lineRule="exact"/>
              <w:rPr>
                <w:rFonts w:eastAsia="黑体" w:cs="Times New Roman"/>
              </w:rPr>
            </w:pPr>
          </w:p>
        </w:tc>
        <w:tc>
          <w:tcPr>
            <w:tcW w:w="2297" w:type="dxa"/>
            <w:gridSpan w:val="2"/>
          </w:tcPr>
          <w:p w14:paraId="1C557A3A">
            <w:pPr>
              <w:spacing w:line="440" w:lineRule="exact"/>
              <w:rPr>
                <w:rFonts w:eastAsia="黑体" w:cs="Times New Roman"/>
              </w:rPr>
            </w:pPr>
          </w:p>
        </w:tc>
      </w:tr>
      <w:tr w14:paraId="61782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tcPr>
          <w:p w14:paraId="14E9884C">
            <w:pPr>
              <w:spacing w:line="440" w:lineRule="exact"/>
              <w:rPr>
                <w:rFonts w:eastAsia="黑体" w:cs="Times New Roman"/>
              </w:rPr>
            </w:pPr>
          </w:p>
        </w:tc>
        <w:tc>
          <w:tcPr>
            <w:tcW w:w="3420" w:type="dxa"/>
            <w:gridSpan w:val="4"/>
          </w:tcPr>
          <w:p w14:paraId="71E47248">
            <w:pPr>
              <w:spacing w:line="440" w:lineRule="exact"/>
              <w:rPr>
                <w:rFonts w:eastAsia="黑体" w:cs="Times New Roman"/>
              </w:rPr>
            </w:pPr>
          </w:p>
        </w:tc>
        <w:tc>
          <w:tcPr>
            <w:tcW w:w="1261" w:type="dxa"/>
          </w:tcPr>
          <w:p w14:paraId="4A40D521">
            <w:pPr>
              <w:spacing w:line="440" w:lineRule="exact"/>
              <w:rPr>
                <w:rFonts w:eastAsia="黑体" w:cs="Times New Roman"/>
              </w:rPr>
            </w:pPr>
          </w:p>
        </w:tc>
        <w:tc>
          <w:tcPr>
            <w:tcW w:w="2297" w:type="dxa"/>
            <w:gridSpan w:val="2"/>
          </w:tcPr>
          <w:p w14:paraId="47A055CF">
            <w:pPr>
              <w:spacing w:line="440" w:lineRule="exact"/>
              <w:rPr>
                <w:rFonts w:eastAsia="黑体" w:cs="Times New Roman"/>
              </w:rPr>
            </w:pPr>
          </w:p>
        </w:tc>
      </w:tr>
      <w:tr w14:paraId="48015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tcPr>
          <w:p w14:paraId="07CB8665">
            <w:pPr>
              <w:spacing w:line="440" w:lineRule="exact"/>
              <w:rPr>
                <w:rFonts w:eastAsia="黑体" w:cs="Times New Roman"/>
              </w:rPr>
            </w:pPr>
          </w:p>
        </w:tc>
        <w:tc>
          <w:tcPr>
            <w:tcW w:w="3420" w:type="dxa"/>
            <w:gridSpan w:val="4"/>
          </w:tcPr>
          <w:p w14:paraId="776030B6">
            <w:pPr>
              <w:spacing w:line="440" w:lineRule="exact"/>
              <w:rPr>
                <w:rFonts w:eastAsia="黑体" w:cs="Times New Roman"/>
              </w:rPr>
            </w:pPr>
          </w:p>
        </w:tc>
        <w:tc>
          <w:tcPr>
            <w:tcW w:w="1261" w:type="dxa"/>
          </w:tcPr>
          <w:p w14:paraId="4F401EFE">
            <w:pPr>
              <w:spacing w:line="440" w:lineRule="exact"/>
              <w:rPr>
                <w:rFonts w:eastAsia="黑体" w:cs="Times New Roman"/>
              </w:rPr>
            </w:pPr>
          </w:p>
        </w:tc>
        <w:tc>
          <w:tcPr>
            <w:tcW w:w="2297" w:type="dxa"/>
            <w:gridSpan w:val="2"/>
          </w:tcPr>
          <w:p w14:paraId="0696D56D">
            <w:pPr>
              <w:spacing w:line="440" w:lineRule="exact"/>
              <w:rPr>
                <w:rFonts w:eastAsia="黑体" w:cs="Times New Roman"/>
              </w:rPr>
            </w:pPr>
          </w:p>
        </w:tc>
      </w:tr>
      <w:tr w14:paraId="18DA9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0E5B2FBA">
            <w:pPr>
              <w:spacing w:line="440" w:lineRule="exact"/>
              <w:rPr>
                <w:rFonts w:eastAsia="黑体" w:cs="Times New Roman"/>
              </w:rPr>
            </w:pPr>
          </w:p>
        </w:tc>
        <w:tc>
          <w:tcPr>
            <w:tcW w:w="3420" w:type="dxa"/>
            <w:gridSpan w:val="4"/>
            <w:vAlign w:val="center"/>
          </w:tcPr>
          <w:p w14:paraId="7ED27DCD">
            <w:pPr>
              <w:spacing w:line="440" w:lineRule="exact"/>
              <w:rPr>
                <w:rFonts w:eastAsia="黑体" w:cs="Times New Roman"/>
              </w:rPr>
            </w:pPr>
          </w:p>
        </w:tc>
        <w:tc>
          <w:tcPr>
            <w:tcW w:w="1261" w:type="dxa"/>
            <w:vAlign w:val="center"/>
          </w:tcPr>
          <w:p w14:paraId="42389EC2">
            <w:pPr>
              <w:pStyle w:val="4"/>
              <w:rPr>
                <w:rFonts w:hint="eastAsia"/>
              </w:rPr>
            </w:pPr>
          </w:p>
        </w:tc>
        <w:tc>
          <w:tcPr>
            <w:tcW w:w="2297" w:type="dxa"/>
            <w:gridSpan w:val="2"/>
            <w:vAlign w:val="center"/>
          </w:tcPr>
          <w:p w14:paraId="77BC02BF">
            <w:pPr>
              <w:spacing w:line="440" w:lineRule="exact"/>
              <w:rPr>
                <w:rFonts w:eastAsia="黑体" w:cs="Times New Roman"/>
              </w:rPr>
            </w:pPr>
          </w:p>
        </w:tc>
      </w:tr>
      <w:tr w14:paraId="04D5E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37DC175A">
            <w:pPr>
              <w:spacing w:line="440" w:lineRule="exact"/>
              <w:rPr>
                <w:rFonts w:eastAsia="黑体" w:cs="Times New Roman"/>
              </w:rPr>
            </w:pPr>
          </w:p>
        </w:tc>
        <w:tc>
          <w:tcPr>
            <w:tcW w:w="3420" w:type="dxa"/>
            <w:gridSpan w:val="4"/>
            <w:vAlign w:val="center"/>
          </w:tcPr>
          <w:p w14:paraId="687F0D9E">
            <w:pPr>
              <w:spacing w:line="440" w:lineRule="exact"/>
              <w:rPr>
                <w:rFonts w:eastAsia="黑体" w:cs="Times New Roman"/>
              </w:rPr>
            </w:pPr>
          </w:p>
        </w:tc>
        <w:tc>
          <w:tcPr>
            <w:tcW w:w="1261" w:type="dxa"/>
            <w:vAlign w:val="center"/>
          </w:tcPr>
          <w:p w14:paraId="7A381F46">
            <w:pPr>
              <w:spacing w:line="440" w:lineRule="exact"/>
              <w:rPr>
                <w:rFonts w:eastAsia="黑体" w:cs="Times New Roman"/>
              </w:rPr>
            </w:pPr>
          </w:p>
        </w:tc>
        <w:tc>
          <w:tcPr>
            <w:tcW w:w="2297" w:type="dxa"/>
            <w:gridSpan w:val="2"/>
            <w:vAlign w:val="center"/>
          </w:tcPr>
          <w:p w14:paraId="4CB53569">
            <w:pPr>
              <w:spacing w:line="440" w:lineRule="exact"/>
              <w:rPr>
                <w:rFonts w:eastAsia="黑体" w:cs="Times New Roman"/>
              </w:rPr>
            </w:pPr>
          </w:p>
        </w:tc>
      </w:tr>
      <w:tr w14:paraId="69433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14DC20DD">
            <w:pPr>
              <w:spacing w:line="440" w:lineRule="exact"/>
              <w:rPr>
                <w:rFonts w:eastAsia="黑体" w:cs="Times New Roman"/>
              </w:rPr>
            </w:pPr>
          </w:p>
        </w:tc>
        <w:tc>
          <w:tcPr>
            <w:tcW w:w="3420" w:type="dxa"/>
            <w:gridSpan w:val="4"/>
            <w:vAlign w:val="center"/>
          </w:tcPr>
          <w:p w14:paraId="733F4439">
            <w:pPr>
              <w:spacing w:line="440" w:lineRule="exact"/>
              <w:rPr>
                <w:rFonts w:eastAsia="黑体" w:cs="Times New Roman"/>
              </w:rPr>
            </w:pPr>
          </w:p>
        </w:tc>
        <w:tc>
          <w:tcPr>
            <w:tcW w:w="1261" w:type="dxa"/>
            <w:vAlign w:val="center"/>
          </w:tcPr>
          <w:p w14:paraId="614BA20A">
            <w:pPr>
              <w:spacing w:line="440" w:lineRule="exact"/>
              <w:rPr>
                <w:rFonts w:eastAsia="黑体" w:cs="Times New Roman"/>
              </w:rPr>
            </w:pPr>
          </w:p>
        </w:tc>
        <w:tc>
          <w:tcPr>
            <w:tcW w:w="2297" w:type="dxa"/>
            <w:gridSpan w:val="2"/>
            <w:vAlign w:val="center"/>
          </w:tcPr>
          <w:p w14:paraId="1102BBD1">
            <w:pPr>
              <w:spacing w:line="440" w:lineRule="exact"/>
              <w:rPr>
                <w:rFonts w:eastAsia="黑体" w:cs="Times New Roman"/>
              </w:rPr>
            </w:pPr>
          </w:p>
        </w:tc>
      </w:tr>
      <w:tr w14:paraId="2EC68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6FC52E9B">
            <w:pPr>
              <w:spacing w:line="440" w:lineRule="exact"/>
              <w:rPr>
                <w:rFonts w:eastAsia="黑体" w:cs="Times New Roman"/>
              </w:rPr>
            </w:pPr>
          </w:p>
        </w:tc>
        <w:tc>
          <w:tcPr>
            <w:tcW w:w="3420" w:type="dxa"/>
            <w:gridSpan w:val="4"/>
            <w:vAlign w:val="center"/>
          </w:tcPr>
          <w:p w14:paraId="62369626">
            <w:pPr>
              <w:spacing w:line="440" w:lineRule="exact"/>
              <w:rPr>
                <w:rFonts w:eastAsia="黑体" w:cs="Times New Roman"/>
              </w:rPr>
            </w:pPr>
          </w:p>
        </w:tc>
        <w:tc>
          <w:tcPr>
            <w:tcW w:w="1261" w:type="dxa"/>
            <w:vAlign w:val="center"/>
          </w:tcPr>
          <w:p w14:paraId="322FE089">
            <w:pPr>
              <w:spacing w:line="440" w:lineRule="exact"/>
              <w:rPr>
                <w:rFonts w:eastAsia="黑体" w:cs="Times New Roman"/>
              </w:rPr>
            </w:pPr>
          </w:p>
        </w:tc>
        <w:tc>
          <w:tcPr>
            <w:tcW w:w="2297" w:type="dxa"/>
            <w:gridSpan w:val="2"/>
            <w:vAlign w:val="center"/>
          </w:tcPr>
          <w:p w14:paraId="440F56FA">
            <w:pPr>
              <w:spacing w:line="440" w:lineRule="exact"/>
              <w:rPr>
                <w:rFonts w:eastAsia="黑体" w:cs="Times New Roman"/>
              </w:rPr>
            </w:pPr>
          </w:p>
        </w:tc>
      </w:tr>
      <w:tr w14:paraId="3B725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6EF53B6A">
            <w:pPr>
              <w:spacing w:line="440" w:lineRule="exact"/>
              <w:rPr>
                <w:rFonts w:eastAsia="黑体" w:cs="Times New Roman"/>
              </w:rPr>
            </w:pPr>
          </w:p>
        </w:tc>
        <w:tc>
          <w:tcPr>
            <w:tcW w:w="3420" w:type="dxa"/>
            <w:gridSpan w:val="4"/>
            <w:vAlign w:val="center"/>
          </w:tcPr>
          <w:p w14:paraId="7C60FCD0">
            <w:pPr>
              <w:spacing w:line="440" w:lineRule="exact"/>
              <w:rPr>
                <w:rFonts w:eastAsia="黑体" w:cs="Times New Roman"/>
              </w:rPr>
            </w:pPr>
          </w:p>
        </w:tc>
        <w:tc>
          <w:tcPr>
            <w:tcW w:w="1261" w:type="dxa"/>
            <w:vAlign w:val="center"/>
          </w:tcPr>
          <w:p w14:paraId="20D334C1">
            <w:pPr>
              <w:spacing w:line="440" w:lineRule="exact"/>
              <w:rPr>
                <w:rFonts w:eastAsia="黑体" w:cs="Times New Roman"/>
              </w:rPr>
            </w:pPr>
          </w:p>
        </w:tc>
        <w:tc>
          <w:tcPr>
            <w:tcW w:w="2297" w:type="dxa"/>
            <w:gridSpan w:val="2"/>
            <w:vAlign w:val="center"/>
          </w:tcPr>
          <w:p w14:paraId="172E7346">
            <w:pPr>
              <w:spacing w:line="440" w:lineRule="exact"/>
              <w:rPr>
                <w:rFonts w:eastAsia="黑体" w:cs="Times New Roman"/>
              </w:rPr>
            </w:pPr>
          </w:p>
        </w:tc>
      </w:tr>
      <w:tr w14:paraId="0CA7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2265B901">
            <w:pPr>
              <w:spacing w:line="440" w:lineRule="exact"/>
              <w:rPr>
                <w:rFonts w:eastAsia="黑体" w:cs="Times New Roman"/>
              </w:rPr>
            </w:pPr>
          </w:p>
        </w:tc>
        <w:tc>
          <w:tcPr>
            <w:tcW w:w="3420" w:type="dxa"/>
            <w:gridSpan w:val="4"/>
            <w:vAlign w:val="center"/>
          </w:tcPr>
          <w:p w14:paraId="39E7A603">
            <w:pPr>
              <w:spacing w:line="440" w:lineRule="exact"/>
              <w:rPr>
                <w:rFonts w:eastAsia="黑体" w:cs="Times New Roman"/>
              </w:rPr>
            </w:pPr>
          </w:p>
        </w:tc>
        <w:tc>
          <w:tcPr>
            <w:tcW w:w="1261" w:type="dxa"/>
            <w:vAlign w:val="center"/>
          </w:tcPr>
          <w:p w14:paraId="03534D2A">
            <w:pPr>
              <w:spacing w:line="440" w:lineRule="exact"/>
              <w:rPr>
                <w:rFonts w:eastAsia="黑体" w:cs="Times New Roman"/>
              </w:rPr>
            </w:pPr>
          </w:p>
        </w:tc>
        <w:tc>
          <w:tcPr>
            <w:tcW w:w="2297" w:type="dxa"/>
            <w:gridSpan w:val="2"/>
            <w:vAlign w:val="center"/>
          </w:tcPr>
          <w:p w14:paraId="0BF65A30">
            <w:pPr>
              <w:spacing w:line="440" w:lineRule="exact"/>
              <w:rPr>
                <w:rFonts w:eastAsia="黑体" w:cs="Times New Roman"/>
              </w:rPr>
            </w:pPr>
          </w:p>
        </w:tc>
      </w:tr>
    </w:tbl>
    <w:p w14:paraId="4FFAD3ED">
      <w:pPr>
        <w:pStyle w:val="50"/>
        <w:snapToGrid w:val="0"/>
        <w:spacing w:line="360" w:lineRule="auto"/>
        <w:ind w:left="0" w:firstLine="0"/>
      </w:pPr>
      <w:r>
        <w:rPr>
          <w:rFonts w:hint="eastAsia" w:cs="宋体"/>
          <w:b/>
          <w:bCs/>
        </w:rPr>
        <w:t>备注</w:t>
      </w:r>
      <w:r>
        <w:rPr>
          <w:rFonts w:hint="eastAsia" w:cs="宋体"/>
        </w:rPr>
        <w:t>：</w:t>
      </w:r>
      <w:r>
        <w:t>1、</w:t>
      </w:r>
      <w:r>
        <w:rPr>
          <w:rFonts w:hint="eastAsia"/>
        </w:rPr>
        <w:t>工程总承包项目负责人、设计项目负责人、施工项目负责人分别填写</w:t>
      </w:r>
      <w:r>
        <w:t>。</w:t>
      </w:r>
    </w:p>
    <w:p w14:paraId="7833ED69">
      <w:pPr>
        <w:pStyle w:val="50"/>
        <w:snapToGrid w:val="0"/>
        <w:spacing w:line="360" w:lineRule="auto"/>
        <w:ind w:left="0" w:firstLine="630" w:firstLineChars="300"/>
      </w:pPr>
      <w:r>
        <w:rPr>
          <w:rFonts w:hint="eastAsia"/>
        </w:rPr>
        <w:t>2.</w:t>
      </w:r>
      <w:r>
        <w:t>若工程总承包项目负责人和施工项目负责人为同一人的，不需重复填写。</w:t>
      </w:r>
    </w:p>
    <w:p w14:paraId="0FDDDC7A">
      <w:pPr>
        <w:pStyle w:val="50"/>
        <w:snapToGrid w:val="0"/>
        <w:spacing w:line="360" w:lineRule="auto"/>
        <w:ind w:left="0" w:firstLine="630" w:firstLineChars="300"/>
      </w:pPr>
      <w:r>
        <w:rPr>
          <w:rFonts w:hint="eastAsia"/>
        </w:rPr>
        <w:t>3.</w:t>
      </w:r>
      <w:r>
        <w:t>本表中工程总承包项目负责人、施工项目负责人应附注册建造师证、安全生产考核合格证（B证）、身份证、社保证明等原件扫描件；</w:t>
      </w:r>
      <w:r>
        <w:rPr>
          <w:rFonts w:hint="eastAsia"/>
        </w:rPr>
        <w:t>设计项目负责人应附注册证、身份证、社保证明等原件扫描件</w:t>
      </w:r>
      <w:r>
        <w:t>。</w:t>
      </w:r>
    </w:p>
    <w:p w14:paraId="3C88352A">
      <w:pPr>
        <w:pStyle w:val="50"/>
        <w:snapToGrid w:val="0"/>
        <w:spacing w:before="157" w:beforeLines="50" w:line="360" w:lineRule="auto"/>
        <w:ind w:left="0" w:firstLine="630" w:firstLineChars="300"/>
        <w:rPr>
          <w:rFonts w:cs="Times New Roman"/>
        </w:rPr>
      </w:pPr>
    </w:p>
    <w:p w14:paraId="5EA5636B">
      <w:pPr>
        <w:pStyle w:val="50"/>
        <w:snapToGrid w:val="0"/>
        <w:spacing w:after="157" w:afterLines="50" w:line="360" w:lineRule="auto"/>
        <w:ind w:left="0" w:firstLine="0"/>
        <w:rPr>
          <w:rFonts w:cs="Times New Roman"/>
          <w:b/>
          <w:bCs/>
          <w:sz w:val="28"/>
          <w:szCs w:val="28"/>
        </w:rPr>
      </w:pPr>
    </w:p>
    <w:p w14:paraId="07C91E29">
      <w:pPr>
        <w:pStyle w:val="50"/>
        <w:snapToGrid w:val="0"/>
        <w:spacing w:after="157" w:afterLines="50" w:line="360" w:lineRule="auto"/>
        <w:ind w:left="0" w:firstLine="0"/>
        <w:rPr>
          <w:rFonts w:cs="Times New Roman"/>
          <w:b/>
          <w:bCs/>
          <w:sz w:val="28"/>
          <w:szCs w:val="28"/>
        </w:rPr>
      </w:pPr>
    </w:p>
    <w:p w14:paraId="51C46E45">
      <w:pPr>
        <w:pStyle w:val="46"/>
        <w:adjustRightInd w:val="0"/>
        <w:snapToGrid w:val="0"/>
        <w:spacing w:after="200" w:line="360" w:lineRule="auto"/>
        <w:jc w:val="center"/>
        <w:outlineLvl w:val="5"/>
        <w:rPr>
          <w:rStyle w:val="48"/>
          <w:rFonts w:ascii="宋体" w:cs="Times New Roman"/>
          <w:b/>
          <w:bCs/>
          <w:kern w:val="2"/>
          <w:sz w:val="32"/>
          <w:szCs w:val="32"/>
        </w:rPr>
      </w:pPr>
      <w:r>
        <w:rPr>
          <w:rStyle w:val="48"/>
          <w:rFonts w:hint="eastAsia" w:ascii="宋体" w:hAnsi="宋体" w:cs="宋体"/>
          <w:b/>
          <w:bCs/>
          <w:kern w:val="2"/>
          <w:sz w:val="28"/>
          <w:szCs w:val="28"/>
        </w:rPr>
        <w:t>附：承诺书</w:t>
      </w:r>
    </w:p>
    <w:p w14:paraId="3DFEF801">
      <w:pPr>
        <w:pStyle w:val="52"/>
        <w:adjustRightInd w:val="0"/>
        <w:snapToGrid w:val="0"/>
        <w:spacing w:after="200" w:line="360" w:lineRule="auto"/>
        <w:jc w:val="both"/>
        <w:rPr>
          <w:rStyle w:val="48"/>
          <w:rFonts w:ascii="宋体" w:cs="Times New Roman"/>
          <w:kern w:val="2"/>
          <w:sz w:val="21"/>
          <w:szCs w:val="21"/>
        </w:rPr>
      </w:pPr>
      <w:r>
        <w:rPr>
          <w:rStyle w:val="48"/>
          <w:rFonts w:hint="eastAsia" w:ascii="宋体" w:hAnsi="宋体" w:cs="宋体"/>
          <w:kern w:val="2"/>
          <w:sz w:val="21"/>
          <w:szCs w:val="21"/>
          <w:u w:val="single"/>
        </w:rPr>
        <w:t>（招标人名称）</w:t>
      </w:r>
      <w:r>
        <w:rPr>
          <w:rStyle w:val="48"/>
          <w:rFonts w:hint="eastAsia" w:ascii="宋体" w:hAnsi="宋体" w:cs="宋体"/>
          <w:kern w:val="2"/>
          <w:sz w:val="21"/>
          <w:szCs w:val="21"/>
        </w:rPr>
        <w:t>：</w:t>
      </w:r>
    </w:p>
    <w:p w14:paraId="4B776ADD">
      <w:pPr>
        <w:spacing w:line="440" w:lineRule="exact"/>
        <w:ind w:firstLine="420" w:firstLineChars="200"/>
        <w:jc w:val="left"/>
        <w:rPr>
          <w:rFonts w:ascii="宋体" w:cs="Times New Roman"/>
        </w:rPr>
      </w:pPr>
      <w:r>
        <w:rPr>
          <w:rStyle w:val="48"/>
          <w:rFonts w:hint="eastAsia" w:ascii="宋体" w:hAnsi="宋体" w:cs="宋体"/>
        </w:rPr>
        <w:t>我方在此声明，我方拟派往</w:t>
      </w:r>
      <w:r>
        <w:rPr>
          <w:rStyle w:val="48"/>
          <w:rFonts w:hint="eastAsia" w:ascii="宋体" w:hAnsi="宋体" w:cs="宋体"/>
          <w:u w:val="single"/>
        </w:rPr>
        <w:t xml:space="preserve">（项目名称）  </w:t>
      </w:r>
      <w:r>
        <w:rPr>
          <w:rStyle w:val="48"/>
          <w:rFonts w:hint="eastAsia" w:ascii="宋体" w:hAnsi="宋体" w:cs="宋体"/>
        </w:rPr>
        <w:t xml:space="preserve"> 招标</w:t>
      </w:r>
      <w:r>
        <w:rPr>
          <w:rFonts w:hint="eastAsia" w:ascii="宋体" w:hAnsi="宋体" w:cs="宋体"/>
        </w:rPr>
        <w:t>（以下简称“本工程”）的项目负责人</w:t>
      </w:r>
      <w:r>
        <w:rPr>
          <w:rFonts w:hint="eastAsia" w:ascii="宋体" w:hAnsi="宋体" w:cs="宋体"/>
          <w:u w:val="single"/>
        </w:rPr>
        <w:t>施工负责人（项目经理）  姓名</w:t>
      </w:r>
      <w:r>
        <w:rPr>
          <w:rFonts w:hint="eastAsia" w:ascii="宋体" w:hAnsi="宋体" w:cs="宋体"/>
        </w:rPr>
        <w:t>现阶段没有担任任何在建建设工程项目的项目负责人。</w:t>
      </w:r>
    </w:p>
    <w:p w14:paraId="065EB89A">
      <w:pPr>
        <w:spacing w:line="440" w:lineRule="exact"/>
        <w:ind w:firstLine="420" w:firstLineChars="200"/>
        <w:jc w:val="left"/>
        <w:rPr>
          <w:rFonts w:ascii="宋体" w:cs="Times New Roman"/>
        </w:rPr>
      </w:pPr>
      <w:r>
        <w:rPr>
          <w:rFonts w:hint="eastAsia" w:ascii="宋体" w:hAnsi="宋体" w:cs="宋体"/>
        </w:rPr>
        <w:t>我方保证上述信息的真实和准确，并愿意承担因我方就此弄虚作假所引起的一切法律后果。</w:t>
      </w:r>
    </w:p>
    <w:p w14:paraId="5F53FE8F">
      <w:pPr>
        <w:pStyle w:val="52"/>
        <w:adjustRightInd w:val="0"/>
        <w:snapToGrid w:val="0"/>
        <w:spacing w:after="200" w:line="360" w:lineRule="auto"/>
        <w:ind w:firstLine="420" w:firstLineChars="200"/>
        <w:jc w:val="both"/>
        <w:rPr>
          <w:rStyle w:val="48"/>
          <w:rFonts w:ascii="宋体" w:cs="Times New Roman"/>
          <w:kern w:val="2"/>
          <w:sz w:val="21"/>
          <w:szCs w:val="21"/>
        </w:rPr>
      </w:pPr>
    </w:p>
    <w:p w14:paraId="43A30075">
      <w:pPr>
        <w:pStyle w:val="53"/>
        <w:adjustRightInd w:val="0"/>
        <w:snapToGrid w:val="0"/>
        <w:spacing w:after="200" w:line="360" w:lineRule="auto"/>
        <w:ind w:firstLine="420" w:firstLineChars="200"/>
        <w:rPr>
          <w:rFonts w:ascii="宋体" w:cs="Times New Roman"/>
          <w:sz w:val="21"/>
          <w:szCs w:val="21"/>
        </w:rPr>
      </w:pPr>
      <w:r>
        <w:rPr>
          <w:rStyle w:val="48"/>
          <w:rFonts w:hint="eastAsia" w:ascii="宋体" w:hAnsi="宋体" w:cs="宋体"/>
          <w:sz w:val="21"/>
          <w:szCs w:val="21"/>
        </w:rPr>
        <w:t>特此承诺</w:t>
      </w:r>
    </w:p>
    <w:p w14:paraId="137A041D">
      <w:pPr>
        <w:spacing w:line="440" w:lineRule="exact"/>
        <w:ind w:firstLine="420" w:firstLineChars="200"/>
        <w:rPr>
          <w:rFonts w:ascii="宋体" w:cs="Times New Roman"/>
        </w:rPr>
      </w:pPr>
    </w:p>
    <w:p w14:paraId="076227A6">
      <w:pPr>
        <w:spacing w:line="440" w:lineRule="exact"/>
        <w:ind w:firstLine="420" w:firstLineChars="200"/>
        <w:rPr>
          <w:rFonts w:ascii="宋体" w:cs="Times New Roman"/>
        </w:rPr>
      </w:pPr>
    </w:p>
    <w:p w14:paraId="0FA0A9A0">
      <w:pPr>
        <w:spacing w:line="440" w:lineRule="exact"/>
        <w:ind w:firstLine="420" w:firstLineChars="200"/>
        <w:rPr>
          <w:rFonts w:ascii="宋体" w:cs="Times New Roman"/>
        </w:rPr>
      </w:pPr>
    </w:p>
    <w:p w14:paraId="62F60162">
      <w:pPr>
        <w:pStyle w:val="53"/>
        <w:adjustRightInd w:val="0"/>
        <w:snapToGrid w:val="0"/>
        <w:spacing w:after="200" w:line="360" w:lineRule="auto"/>
        <w:ind w:firstLine="2100" w:firstLineChars="1000"/>
        <w:rPr>
          <w:rStyle w:val="48"/>
          <w:rFonts w:ascii="宋体" w:hAnsi="Times New Roman" w:cs="Times New Roman"/>
          <w:sz w:val="21"/>
          <w:szCs w:val="21"/>
        </w:rPr>
      </w:pPr>
      <w:r>
        <w:rPr>
          <w:rStyle w:val="48"/>
          <w:rFonts w:hint="eastAsia" w:ascii="宋体" w:hAnsi="宋体" w:cs="宋体"/>
          <w:sz w:val="21"/>
          <w:szCs w:val="21"/>
        </w:rPr>
        <w:t>投标人（牵头单位）：（电子签章）</w:t>
      </w:r>
    </w:p>
    <w:p w14:paraId="046CAD55">
      <w:pPr>
        <w:pStyle w:val="53"/>
        <w:adjustRightInd w:val="0"/>
        <w:snapToGrid w:val="0"/>
        <w:spacing w:after="200" w:line="360" w:lineRule="auto"/>
        <w:ind w:firstLine="2100" w:firstLineChars="1000"/>
        <w:rPr>
          <w:rStyle w:val="48"/>
          <w:rFonts w:ascii="宋体" w:hAnsi="Times New Roman" w:cs="Times New Roman"/>
          <w:sz w:val="21"/>
          <w:szCs w:val="21"/>
        </w:rPr>
      </w:pPr>
      <w:r>
        <w:rPr>
          <w:rStyle w:val="48"/>
          <w:rFonts w:hint="eastAsia" w:ascii="宋体" w:hAnsi="宋体" w:cs="宋体"/>
          <w:sz w:val="21"/>
          <w:szCs w:val="21"/>
        </w:rPr>
        <w:t>法定代表人（电子签章）：</w:t>
      </w:r>
    </w:p>
    <w:p w14:paraId="421DD2D6">
      <w:pPr>
        <w:pStyle w:val="46"/>
        <w:spacing w:after="200" w:line="276" w:lineRule="auto"/>
        <w:ind w:firstLine="3614" w:firstLineChars="1721"/>
        <w:rPr>
          <w:rStyle w:val="48"/>
          <w:rFonts w:ascii="宋体" w:cs="Times New Roman"/>
          <w:sz w:val="21"/>
          <w:szCs w:val="21"/>
          <w:u w:val="single"/>
        </w:rPr>
      </w:pPr>
      <w:r>
        <w:rPr>
          <w:rStyle w:val="48"/>
          <w:rFonts w:hint="eastAsia" w:ascii="宋体" w:hAnsi="宋体" w:cs="宋体"/>
          <w:sz w:val="21"/>
          <w:szCs w:val="21"/>
        </w:rPr>
        <w:t>年  月  日</w:t>
      </w:r>
    </w:p>
    <w:p w14:paraId="6352B626">
      <w:pPr>
        <w:pStyle w:val="50"/>
        <w:snapToGrid w:val="0"/>
        <w:spacing w:after="157" w:afterLines="50" w:line="360" w:lineRule="auto"/>
        <w:ind w:left="0" w:firstLine="0"/>
        <w:rPr>
          <w:rFonts w:cs="Times New Roman"/>
          <w:b/>
          <w:bCs/>
          <w:sz w:val="28"/>
          <w:szCs w:val="28"/>
        </w:rPr>
      </w:pPr>
    </w:p>
    <w:p w14:paraId="3A854AD4">
      <w:pPr>
        <w:pStyle w:val="50"/>
        <w:snapToGrid w:val="0"/>
        <w:spacing w:after="157" w:afterLines="50" w:line="360" w:lineRule="auto"/>
        <w:ind w:left="0" w:firstLine="0"/>
        <w:rPr>
          <w:rFonts w:cs="Times New Roman"/>
          <w:b/>
          <w:bCs/>
          <w:sz w:val="28"/>
          <w:szCs w:val="28"/>
        </w:rPr>
      </w:pPr>
    </w:p>
    <w:p w14:paraId="0C6A816F">
      <w:pPr>
        <w:pStyle w:val="50"/>
        <w:snapToGrid w:val="0"/>
        <w:spacing w:after="157" w:afterLines="50" w:line="360" w:lineRule="auto"/>
        <w:ind w:left="0" w:firstLine="0"/>
        <w:rPr>
          <w:rFonts w:cs="Times New Roman"/>
          <w:b/>
          <w:bCs/>
          <w:sz w:val="28"/>
          <w:szCs w:val="28"/>
        </w:rPr>
      </w:pPr>
    </w:p>
    <w:p w14:paraId="36CF21FE">
      <w:pPr>
        <w:pStyle w:val="50"/>
        <w:snapToGrid w:val="0"/>
        <w:spacing w:after="157" w:afterLines="50" w:line="360" w:lineRule="auto"/>
        <w:ind w:left="0" w:firstLine="0"/>
        <w:rPr>
          <w:rFonts w:cs="Times New Roman"/>
          <w:b/>
          <w:bCs/>
          <w:sz w:val="28"/>
          <w:szCs w:val="28"/>
        </w:rPr>
      </w:pPr>
    </w:p>
    <w:p w14:paraId="02A1FF14">
      <w:pPr>
        <w:pStyle w:val="50"/>
        <w:snapToGrid w:val="0"/>
        <w:spacing w:after="157" w:afterLines="50" w:line="360" w:lineRule="auto"/>
        <w:ind w:left="0" w:firstLine="0"/>
        <w:rPr>
          <w:rFonts w:cs="Times New Roman"/>
          <w:b/>
          <w:bCs/>
          <w:sz w:val="28"/>
          <w:szCs w:val="28"/>
        </w:rPr>
      </w:pPr>
    </w:p>
    <w:p w14:paraId="044E9A86">
      <w:pPr>
        <w:pStyle w:val="50"/>
        <w:snapToGrid w:val="0"/>
        <w:spacing w:after="157" w:afterLines="50" w:line="360" w:lineRule="auto"/>
        <w:ind w:left="0" w:firstLine="0"/>
        <w:rPr>
          <w:rFonts w:cs="Times New Roman"/>
          <w:b/>
          <w:bCs/>
          <w:sz w:val="28"/>
          <w:szCs w:val="28"/>
        </w:rPr>
      </w:pPr>
    </w:p>
    <w:p w14:paraId="37602AA8">
      <w:pPr>
        <w:pStyle w:val="50"/>
        <w:snapToGrid w:val="0"/>
        <w:spacing w:after="157" w:afterLines="50" w:line="360" w:lineRule="auto"/>
        <w:ind w:left="0" w:firstLine="0"/>
        <w:rPr>
          <w:rFonts w:cs="Times New Roman"/>
          <w:b/>
          <w:bCs/>
          <w:sz w:val="28"/>
          <w:szCs w:val="28"/>
        </w:rPr>
      </w:pPr>
    </w:p>
    <w:p w14:paraId="7467BE61">
      <w:pPr>
        <w:pStyle w:val="50"/>
        <w:snapToGrid w:val="0"/>
        <w:spacing w:after="157" w:afterLines="50" w:line="360" w:lineRule="auto"/>
        <w:ind w:left="0" w:firstLine="0"/>
        <w:rPr>
          <w:rFonts w:cs="Times New Roman"/>
          <w:b/>
          <w:bCs/>
          <w:sz w:val="28"/>
          <w:szCs w:val="28"/>
        </w:rPr>
      </w:pPr>
    </w:p>
    <w:p w14:paraId="548D61DF">
      <w:pPr>
        <w:pStyle w:val="50"/>
        <w:snapToGrid w:val="0"/>
        <w:spacing w:after="157" w:afterLines="50" w:line="360" w:lineRule="auto"/>
        <w:ind w:left="0" w:firstLine="0"/>
        <w:rPr>
          <w:rFonts w:cs="Times New Roman"/>
          <w:b/>
          <w:bCs/>
          <w:sz w:val="28"/>
          <w:szCs w:val="28"/>
        </w:rPr>
      </w:pPr>
    </w:p>
    <w:p w14:paraId="096599A0">
      <w:pPr>
        <w:pStyle w:val="6"/>
        <w:ind w:firstLine="0" w:firstLineChars="0"/>
      </w:pPr>
    </w:p>
    <w:p w14:paraId="19EFF4BC">
      <w:pPr>
        <w:pStyle w:val="4"/>
        <w:ind w:firstLine="0" w:firstLineChars="0"/>
        <w:jc w:val="center"/>
        <w:rPr>
          <w:rFonts w:hint="eastAsia"/>
        </w:rPr>
      </w:pPr>
      <w:bookmarkStart w:id="1948" w:name="_Toc6085"/>
      <w:bookmarkEnd w:id="1948"/>
      <w:r>
        <w:rPr>
          <w:rFonts w:hint="eastAsia"/>
        </w:rPr>
        <w:t>（四）设计人员配备表</w:t>
      </w:r>
    </w:p>
    <w:tbl>
      <w:tblPr>
        <w:tblStyle w:val="25"/>
        <w:tblW w:w="8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709"/>
        <w:gridCol w:w="709"/>
        <w:gridCol w:w="1276"/>
        <w:gridCol w:w="1135"/>
        <w:gridCol w:w="709"/>
        <w:gridCol w:w="803"/>
        <w:gridCol w:w="1702"/>
      </w:tblGrid>
      <w:tr w14:paraId="4D8E8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454" w:type="dxa"/>
            <w:vAlign w:val="center"/>
          </w:tcPr>
          <w:p w14:paraId="49F07230">
            <w:pPr>
              <w:autoSpaceDE w:val="0"/>
              <w:autoSpaceDN w:val="0"/>
              <w:adjustRightInd w:val="0"/>
              <w:jc w:val="center"/>
              <w:rPr>
                <w:rFonts w:ascii="宋体" w:cs="Times New Roman"/>
              </w:rPr>
            </w:pPr>
            <w:r>
              <w:rPr>
                <w:rFonts w:hint="eastAsia" w:ascii="宋体" w:hAnsi="宋体" w:cs="宋体"/>
              </w:rPr>
              <w:t>专业岗位</w:t>
            </w:r>
          </w:p>
        </w:tc>
        <w:tc>
          <w:tcPr>
            <w:tcW w:w="709" w:type="dxa"/>
            <w:vAlign w:val="center"/>
          </w:tcPr>
          <w:p w14:paraId="5D659994">
            <w:pPr>
              <w:autoSpaceDE w:val="0"/>
              <w:autoSpaceDN w:val="0"/>
              <w:adjustRightInd w:val="0"/>
              <w:jc w:val="center"/>
              <w:rPr>
                <w:rFonts w:ascii="宋体" w:cs="Times New Roman"/>
              </w:rPr>
            </w:pPr>
            <w:r>
              <w:rPr>
                <w:rFonts w:hint="eastAsia" w:ascii="宋体" w:hAnsi="宋体" w:cs="宋体"/>
              </w:rPr>
              <w:t>姓名</w:t>
            </w:r>
          </w:p>
        </w:tc>
        <w:tc>
          <w:tcPr>
            <w:tcW w:w="709" w:type="dxa"/>
            <w:vAlign w:val="center"/>
          </w:tcPr>
          <w:p w14:paraId="079DB9CA">
            <w:pPr>
              <w:autoSpaceDE w:val="0"/>
              <w:autoSpaceDN w:val="0"/>
              <w:adjustRightInd w:val="0"/>
              <w:jc w:val="center"/>
              <w:rPr>
                <w:rFonts w:ascii="宋体" w:cs="Times New Roman"/>
              </w:rPr>
            </w:pPr>
            <w:r>
              <w:rPr>
                <w:rFonts w:hint="eastAsia" w:ascii="宋体" w:hAnsi="宋体" w:cs="宋体"/>
              </w:rPr>
              <w:t>性别</w:t>
            </w:r>
          </w:p>
        </w:tc>
        <w:tc>
          <w:tcPr>
            <w:tcW w:w="1276" w:type="dxa"/>
            <w:vAlign w:val="center"/>
          </w:tcPr>
          <w:p w14:paraId="2F4308B8">
            <w:pPr>
              <w:autoSpaceDE w:val="0"/>
              <w:autoSpaceDN w:val="0"/>
              <w:adjustRightInd w:val="0"/>
              <w:jc w:val="center"/>
              <w:rPr>
                <w:rFonts w:ascii="宋体" w:cs="Times New Roman"/>
              </w:rPr>
            </w:pPr>
            <w:r>
              <w:rPr>
                <w:rFonts w:hint="eastAsia" w:ascii="宋体" w:hAnsi="宋体" w:cs="宋体"/>
              </w:rPr>
              <w:t>出生年月</w:t>
            </w:r>
          </w:p>
        </w:tc>
        <w:tc>
          <w:tcPr>
            <w:tcW w:w="1135" w:type="dxa"/>
            <w:vAlign w:val="center"/>
          </w:tcPr>
          <w:p w14:paraId="55E94B99">
            <w:pPr>
              <w:autoSpaceDE w:val="0"/>
              <w:autoSpaceDN w:val="0"/>
              <w:adjustRightInd w:val="0"/>
              <w:jc w:val="center"/>
              <w:rPr>
                <w:rFonts w:ascii="宋体" w:cs="Times New Roman"/>
              </w:rPr>
            </w:pPr>
            <w:r>
              <w:rPr>
                <w:rFonts w:hint="eastAsia" w:ascii="宋体" w:hAnsi="宋体" w:cs="宋体"/>
              </w:rPr>
              <w:t>工作年限</w:t>
            </w:r>
          </w:p>
        </w:tc>
        <w:tc>
          <w:tcPr>
            <w:tcW w:w="709" w:type="dxa"/>
            <w:vAlign w:val="center"/>
          </w:tcPr>
          <w:p w14:paraId="6BF601DF">
            <w:pPr>
              <w:autoSpaceDE w:val="0"/>
              <w:autoSpaceDN w:val="0"/>
              <w:adjustRightInd w:val="0"/>
              <w:jc w:val="center"/>
              <w:rPr>
                <w:rFonts w:ascii="宋体" w:cs="Times New Roman"/>
              </w:rPr>
            </w:pPr>
            <w:r>
              <w:rPr>
                <w:rFonts w:hint="eastAsia" w:ascii="宋体" w:hAnsi="宋体" w:cs="宋体"/>
              </w:rPr>
              <w:t>职称</w:t>
            </w:r>
          </w:p>
        </w:tc>
        <w:tc>
          <w:tcPr>
            <w:tcW w:w="803" w:type="dxa"/>
            <w:vAlign w:val="center"/>
          </w:tcPr>
          <w:p w14:paraId="0CA85A8D">
            <w:pPr>
              <w:autoSpaceDE w:val="0"/>
              <w:autoSpaceDN w:val="0"/>
              <w:adjustRightInd w:val="0"/>
              <w:jc w:val="center"/>
              <w:rPr>
                <w:rFonts w:ascii="宋体" w:cs="Times New Roman"/>
              </w:rPr>
            </w:pPr>
            <w:r>
              <w:rPr>
                <w:rFonts w:hint="eastAsia" w:ascii="宋体" w:hAnsi="宋体" w:cs="宋体"/>
              </w:rPr>
              <w:t>学历</w:t>
            </w:r>
          </w:p>
        </w:tc>
        <w:tc>
          <w:tcPr>
            <w:tcW w:w="1702" w:type="dxa"/>
            <w:vAlign w:val="center"/>
          </w:tcPr>
          <w:p w14:paraId="1E0EAA1A">
            <w:pPr>
              <w:autoSpaceDE w:val="0"/>
              <w:autoSpaceDN w:val="0"/>
              <w:adjustRightInd w:val="0"/>
              <w:jc w:val="center"/>
              <w:rPr>
                <w:rFonts w:ascii="宋体" w:cs="Times New Roman"/>
              </w:rPr>
            </w:pPr>
            <w:r>
              <w:rPr>
                <w:rFonts w:hint="eastAsia" w:ascii="宋体" w:hAnsi="宋体" w:cs="宋体"/>
              </w:rPr>
              <w:t>（相关证书）及编号</w:t>
            </w:r>
          </w:p>
        </w:tc>
      </w:tr>
      <w:tr w14:paraId="07573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3D6E2E9B">
            <w:pPr>
              <w:autoSpaceDE w:val="0"/>
              <w:autoSpaceDN w:val="0"/>
              <w:adjustRightInd w:val="0"/>
              <w:jc w:val="center"/>
              <w:rPr>
                <w:rFonts w:ascii="宋体" w:cs="Times New Roman"/>
              </w:rPr>
            </w:pPr>
          </w:p>
        </w:tc>
        <w:tc>
          <w:tcPr>
            <w:tcW w:w="709" w:type="dxa"/>
            <w:vAlign w:val="center"/>
          </w:tcPr>
          <w:p w14:paraId="18F4BE0C">
            <w:pPr>
              <w:autoSpaceDE w:val="0"/>
              <w:autoSpaceDN w:val="0"/>
              <w:adjustRightInd w:val="0"/>
              <w:jc w:val="center"/>
              <w:rPr>
                <w:rFonts w:ascii="宋体" w:cs="Times New Roman"/>
              </w:rPr>
            </w:pPr>
          </w:p>
        </w:tc>
        <w:tc>
          <w:tcPr>
            <w:tcW w:w="709" w:type="dxa"/>
            <w:vAlign w:val="center"/>
          </w:tcPr>
          <w:p w14:paraId="778A27BA">
            <w:pPr>
              <w:autoSpaceDE w:val="0"/>
              <w:autoSpaceDN w:val="0"/>
              <w:adjustRightInd w:val="0"/>
              <w:jc w:val="center"/>
              <w:rPr>
                <w:rFonts w:ascii="宋体" w:cs="Times New Roman"/>
              </w:rPr>
            </w:pPr>
          </w:p>
        </w:tc>
        <w:tc>
          <w:tcPr>
            <w:tcW w:w="1276" w:type="dxa"/>
            <w:vAlign w:val="center"/>
          </w:tcPr>
          <w:p w14:paraId="3E5AAEE2">
            <w:pPr>
              <w:autoSpaceDE w:val="0"/>
              <w:autoSpaceDN w:val="0"/>
              <w:adjustRightInd w:val="0"/>
              <w:jc w:val="center"/>
              <w:rPr>
                <w:rFonts w:ascii="宋体" w:cs="Times New Roman"/>
              </w:rPr>
            </w:pPr>
          </w:p>
        </w:tc>
        <w:tc>
          <w:tcPr>
            <w:tcW w:w="1135" w:type="dxa"/>
            <w:vAlign w:val="center"/>
          </w:tcPr>
          <w:p w14:paraId="7887348B">
            <w:pPr>
              <w:autoSpaceDE w:val="0"/>
              <w:autoSpaceDN w:val="0"/>
              <w:adjustRightInd w:val="0"/>
              <w:jc w:val="center"/>
              <w:rPr>
                <w:rFonts w:ascii="宋体" w:cs="Times New Roman"/>
              </w:rPr>
            </w:pPr>
          </w:p>
        </w:tc>
        <w:tc>
          <w:tcPr>
            <w:tcW w:w="709" w:type="dxa"/>
            <w:vAlign w:val="center"/>
          </w:tcPr>
          <w:p w14:paraId="3657A23C">
            <w:pPr>
              <w:autoSpaceDE w:val="0"/>
              <w:autoSpaceDN w:val="0"/>
              <w:adjustRightInd w:val="0"/>
              <w:jc w:val="center"/>
              <w:rPr>
                <w:rFonts w:ascii="宋体" w:cs="Times New Roman"/>
              </w:rPr>
            </w:pPr>
          </w:p>
        </w:tc>
        <w:tc>
          <w:tcPr>
            <w:tcW w:w="803" w:type="dxa"/>
            <w:vAlign w:val="center"/>
          </w:tcPr>
          <w:p w14:paraId="4FF58E18">
            <w:pPr>
              <w:autoSpaceDE w:val="0"/>
              <w:autoSpaceDN w:val="0"/>
              <w:adjustRightInd w:val="0"/>
              <w:jc w:val="center"/>
              <w:rPr>
                <w:rFonts w:ascii="宋体" w:cs="Times New Roman"/>
              </w:rPr>
            </w:pPr>
          </w:p>
        </w:tc>
        <w:tc>
          <w:tcPr>
            <w:tcW w:w="1702" w:type="dxa"/>
            <w:vAlign w:val="center"/>
          </w:tcPr>
          <w:p w14:paraId="5ED6AE8C">
            <w:pPr>
              <w:autoSpaceDE w:val="0"/>
              <w:autoSpaceDN w:val="0"/>
              <w:adjustRightInd w:val="0"/>
              <w:jc w:val="center"/>
              <w:rPr>
                <w:rFonts w:ascii="宋体" w:cs="Times New Roman"/>
              </w:rPr>
            </w:pPr>
          </w:p>
        </w:tc>
      </w:tr>
      <w:tr w14:paraId="43567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39AE9F80">
            <w:pPr>
              <w:autoSpaceDE w:val="0"/>
              <w:autoSpaceDN w:val="0"/>
              <w:adjustRightInd w:val="0"/>
              <w:jc w:val="center"/>
              <w:rPr>
                <w:rFonts w:hint="eastAsia" w:ascii="宋体" w:hAnsi="宋体" w:cs="宋体"/>
              </w:rPr>
            </w:pPr>
          </w:p>
        </w:tc>
        <w:tc>
          <w:tcPr>
            <w:tcW w:w="709" w:type="dxa"/>
            <w:vAlign w:val="center"/>
          </w:tcPr>
          <w:p w14:paraId="4B12D237">
            <w:pPr>
              <w:autoSpaceDE w:val="0"/>
              <w:autoSpaceDN w:val="0"/>
              <w:adjustRightInd w:val="0"/>
              <w:jc w:val="center"/>
              <w:rPr>
                <w:rFonts w:ascii="宋体" w:cs="Times New Roman"/>
              </w:rPr>
            </w:pPr>
          </w:p>
        </w:tc>
        <w:tc>
          <w:tcPr>
            <w:tcW w:w="709" w:type="dxa"/>
            <w:vAlign w:val="center"/>
          </w:tcPr>
          <w:p w14:paraId="2B4828FD">
            <w:pPr>
              <w:autoSpaceDE w:val="0"/>
              <w:autoSpaceDN w:val="0"/>
              <w:adjustRightInd w:val="0"/>
              <w:jc w:val="center"/>
              <w:rPr>
                <w:rFonts w:ascii="宋体" w:cs="Times New Roman"/>
              </w:rPr>
            </w:pPr>
          </w:p>
        </w:tc>
        <w:tc>
          <w:tcPr>
            <w:tcW w:w="1276" w:type="dxa"/>
            <w:vAlign w:val="center"/>
          </w:tcPr>
          <w:p w14:paraId="198B8B93">
            <w:pPr>
              <w:autoSpaceDE w:val="0"/>
              <w:autoSpaceDN w:val="0"/>
              <w:adjustRightInd w:val="0"/>
              <w:jc w:val="center"/>
              <w:rPr>
                <w:rFonts w:ascii="宋体" w:cs="Times New Roman"/>
              </w:rPr>
            </w:pPr>
          </w:p>
        </w:tc>
        <w:tc>
          <w:tcPr>
            <w:tcW w:w="1135" w:type="dxa"/>
            <w:vAlign w:val="center"/>
          </w:tcPr>
          <w:p w14:paraId="5CA3A314">
            <w:pPr>
              <w:autoSpaceDE w:val="0"/>
              <w:autoSpaceDN w:val="0"/>
              <w:adjustRightInd w:val="0"/>
              <w:jc w:val="center"/>
              <w:rPr>
                <w:rFonts w:ascii="宋体" w:cs="Times New Roman"/>
              </w:rPr>
            </w:pPr>
          </w:p>
        </w:tc>
        <w:tc>
          <w:tcPr>
            <w:tcW w:w="709" w:type="dxa"/>
            <w:vAlign w:val="center"/>
          </w:tcPr>
          <w:p w14:paraId="54A498FE">
            <w:pPr>
              <w:autoSpaceDE w:val="0"/>
              <w:autoSpaceDN w:val="0"/>
              <w:adjustRightInd w:val="0"/>
              <w:jc w:val="center"/>
              <w:rPr>
                <w:rFonts w:ascii="宋体" w:cs="Times New Roman"/>
              </w:rPr>
            </w:pPr>
          </w:p>
        </w:tc>
        <w:tc>
          <w:tcPr>
            <w:tcW w:w="803" w:type="dxa"/>
            <w:vAlign w:val="center"/>
          </w:tcPr>
          <w:p w14:paraId="27FCA0BD">
            <w:pPr>
              <w:autoSpaceDE w:val="0"/>
              <w:autoSpaceDN w:val="0"/>
              <w:adjustRightInd w:val="0"/>
              <w:jc w:val="center"/>
              <w:rPr>
                <w:rFonts w:ascii="宋体" w:cs="Times New Roman"/>
              </w:rPr>
            </w:pPr>
          </w:p>
        </w:tc>
        <w:tc>
          <w:tcPr>
            <w:tcW w:w="1702" w:type="dxa"/>
            <w:vAlign w:val="center"/>
          </w:tcPr>
          <w:p w14:paraId="17CD6F2B">
            <w:pPr>
              <w:autoSpaceDE w:val="0"/>
              <w:autoSpaceDN w:val="0"/>
              <w:adjustRightInd w:val="0"/>
              <w:jc w:val="center"/>
              <w:rPr>
                <w:rFonts w:ascii="宋体" w:cs="Times New Roman"/>
              </w:rPr>
            </w:pPr>
          </w:p>
        </w:tc>
      </w:tr>
      <w:tr w14:paraId="66D0D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1981A7B9">
            <w:pPr>
              <w:autoSpaceDE w:val="0"/>
              <w:autoSpaceDN w:val="0"/>
              <w:adjustRightInd w:val="0"/>
              <w:jc w:val="center"/>
              <w:rPr>
                <w:rFonts w:hint="eastAsia" w:ascii="宋体" w:hAnsi="宋体" w:cs="宋体"/>
              </w:rPr>
            </w:pPr>
          </w:p>
        </w:tc>
        <w:tc>
          <w:tcPr>
            <w:tcW w:w="709" w:type="dxa"/>
            <w:vAlign w:val="center"/>
          </w:tcPr>
          <w:p w14:paraId="4F6D19B1">
            <w:pPr>
              <w:autoSpaceDE w:val="0"/>
              <w:autoSpaceDN w:val="0"/>
              <w:adjustRightInd w:val="0"/>
              <w:jc w:val="center"/>
              <w:rPr>
                <w:rFonts w:ascii="宋体" w:cs="Times New Roman"/>
              </w:rPr>
            </w:pPr>
          </w:p>
        </w:tc>
        <w:tc>
          <w:tcPr>
            <w:tcW w:w="709" w:type="dxa"/>
            <w:vAlign w:val="center"/>
          </w:tcPr>
          <w:p w14:paraId="39D6B49A">
            <w:pPr>
              <w:autoSpaceDE w:val="0"/>
              <w:autoSpaceDN w:val="0"/>
              <w:adjustRightInd w:val="0"/>
              <w:jc w:val="center"/>
              <w:rPr>
                <w:rFonts w:ascii="宋体" w:cs="Times New Roman"/>
              </w:rPr>
            </w:pPr>
          </w:p>
        </w:tc>
        <w:tc>
          <w:tcPr>
            <w:tcW w:w="1276" w:type="dxa"/>
            <w:vAlign w:val="center"/>
          </w:tcPr>
          <w:p w14:paraId="14F45AF2">
            <w:pPr>
              <w:autoSpaceDE w:val="0"/>
              <w:autoSpaceDN w:val="0"/>
              <w:adjustRightInd w:val="0"/>
              <w:jc w:val="center"/>
              <w:rPr>
                <w:rFonts w:ascii="宋体" w:cs="Times New Roman"/>
              </w:rPr>
            </w:pPr>
          </w:p>
        </w:tc>
        <w:tc>
          <w:tcPr>
            <w:tcW w:w="1135" w:type="dxa"/>
            <w:vAlign w:val="center"/>
          </w:tcPr>
          <w:p w14:paraId="477863A7">
            <w:pPr>
              <w:autoSpaceDE w:val="0"/>
              <w:autoSpaceDN w:val="0"/>
              <w:adjustRightInd w:val="0"/>
              <w:jc w:val="center"/>
              <w:rPr>
                <w:rFonts w:ascii="宋体" w:cs="Times New Roman"/>
              </w:rPr>
            </w:pPr>
          </w:p>
        </w:tc>
        <w:tc>
          <w:tcPr>
            <w:tcW w:w="709" w:type="dxa"/>
            <w:vAlign w:val="center"/>
          </w:tcPr>
          <w:p w14:paraId="1512F916">
            <w:pPr>
              <w:autoSpaceDE w:val="0"/>
              <w:autoSpaceDN w:val="0"/>
              <w:adjustRightInd w:val="0"/>
              <w:jc w:val="center"/>
              <w:rPr>
                <w:rFonts w:ascii="宋体" w:cs="Times New Roman"/>
              </w:rPr>
            </w:pPr>
          </w:p>
        </w:tc>
        <w:tc>
          <w:tcPr>
            <w:tcW w:w="803" w:type="dxa"/>
            <w:vAlign w:val="center"/>
          </w:tcPr>
          <w:p w14:paraId="235AD8B8">
            <w:pPr>
              <w:autoSpaceDE w:val="0"/>
              <w:autoSpaceDN w:val="0"/>
              <w:adjustRightInd w:val="0"/>
              <w:jc w:val="center"/>
              <w:rPr>
                <w:rFonts w:ascii="宋体" w:cs="Times New Roman"/>
              </w:rPr>
            </w:pPr>
          </w:p>
        </w:tc>
        <w:tc>
          <w:tcPr>
            <w:tcW w:w="1702" w:type="dxa"/>
            <w:vAlign w:val="center"/>
          </w:tcPr>
          <w:p w14:paraId="1C437264">
            <w:pPr>
              <w:autoSpaceDE w:val="0"/>
              <w:autoSpaceDN w:val="0"/>
              <w:adjustRightInd w:val="0"/>
              <w:jc w:val="center"/>
              <w:rPr>
                <w:rFonts w:ascii="宋体" w:cs="Times New Roman"/>
              </w:rPr>
            </w:pPr>
          </w:p>
        </w:tc>
      </w:tr>
      <w:tr w14:paraId="669DB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7CE636EE">
            <w:pPr>
              <w:autoSpaceDE w:val="0"/>
              <w:autoSpaceDN w:val="0"/>
              <w:adjustRightInd w:val="0"/>
              <w:jc w:val="center"/>
              <w:rPr>
                <w:rFonts w:hint="eastAsia" w:ascii="宋体" w:hAnsi="宋体" w:cs="宋体"/>
              </w:rPr>
            </w:pPr>
          </w:p>
        </w:tc>
        <w:tc>
          <w:tcPr>
            <w:tcW w:w="709" w:type="dxa"/>
            <w:vAlign w:val="center"/>
          </w:tcPr>
          <w:p w14:paraId="49BE2864">
            <w:pPr>
              <w:autoSpaceDE w:val="0"/>
              <w:autoSpaceDN w:val="0"/>
              <w:adjustRightInd w:val="0"/>
              <w:jc w:val="center"/>
              <w:rPr>
                <w:rFonts w:ascii="宋体" w:cs="Times New Roman"/>
              </w:rPr>
            </w:pPr>
          </w:p>
        </w:tc>
        <w:tc>
          <w:tcPr>
            <w:tcW w:w="709" w:type="dxa"/>
            <w:vAlign w:val="center"/>
          </w:tcPr>
          <w:p w14:paraId="1E212929">
            <w:pPr>
              <w:autoSpaceDE w:val="0"/>
              <w:autoSpaceDN w:val="0"/>
              <w:adjustRightInd w:val="0"/>
              <w:jc w:val="center"/>
              <w:rPr>
                <w:rFonts w:ascii="宋体" w:cs="Times New Roman"/>
              </w:rPr>
            </w:pPr>
          </w:p>
        </w:tc>
        <w:tc>
          <w:tcPr>
            <w:tcW w:w="1276" w:type="dxa"/>
            <w:vAlign w:val="center"/>
          </w:tcPr>
          <w:p w14:paraId="5EEE7713">
            <w:pPr>
              <w:autoSpaceDE w:val="0"/>
              <w:autoSpaceDN w:val="0"/>
              <w:adjustRightInd w:val="0"/>
              <w:jc w:val="center"/>
              <w:rPr>
                <w:rFonts w:ascii="宋体" w:cs="Times New Roman"/>
              </w:rPr>
            </w:pPr>
          </w:p>
        </w:tc>
        <w:tc>
          <w:tcPr>
            <w:tcW w:w="1135" w:type="dxa"/>
            <w:vAlign w:val="center"/>
          </w:tcPr>
          <w:p w14:paraId="39CB6AA6">
            <w:pPr>
              <w:autoSpaceDE w:val="0"/>
              <w:autoSpaceDN w:val="0"/>
              <w:adjustRightInd w:val="0"/>
              <w:jc w:val="center"/>
              <w:rPr>
                <w:rFonts w:ascii="宋体" w:cs="Times New Roman"/>
              </w:rPr>
            </w:pPr>
          </w:p>
        </w:tc>
        <w:tc>
          <w:tcPr>
            <w:tcW w:w="709" w:type="dxa"/>
            <w:vAlign w:val="center"/>
          </w:tcPr>
          <w:p w14:paraId="4208768B">
            <w:pPr>
              <w:autoSpaceDE w:val="0"/>
              <w:autoSpaceDN w:val="0"/>
              <w:adjustRightInd w:val="0"/>
              <w:jc w:val="center"/>
              <w:rPr>
                <w:rFonts w:ascii="宋体" w:cs="Times New Roman"/>
              </w:rPr>
            </w:pPr>
          </w:p>
        </w:tc>
        <w:tc>
          <w:tcPr>
            <w:tcW w:w="803" w:type="dxa"/>
            <w:vAlign w:val="center"/>
          </w:tcPr>
          <w:p w14:paraId="63F8EAFA">
            <w:pPr>
              <w:autoSpaceDE w:val="0"/>
              <w:autoSpaceDN w:val="0"/>
              <w:adjustRightInd w:val="0"/>
              <w:jc w:val="center"/>
              <w:rPr>
                <w:rFonts w:ascii="宋体" w:cs="Times New Roman"/>
              </w:rPr>
            </w:pPr>
          </w:p>
        </w:tc>
        <w:tc>
          <w:tcPr>
            <w:tcW w:w="1702" w:type="dxa"/>
            <w:vAlign w:val="center"/>
          </w:tcPr>
          <w:p w14:paraId="5E0FAF74">
            <w:pPr>
              <w:autoSpaceDE w:val="0"/>
              <w:autoSpaceDN w:val="0"/>
              <w:adjustRightInd w:val="0"/>
              <w:jc w:val="center"/>
              <w:rPr>
                <w:rFonts w:ascii="宋体" w:cs="Times New Roman"/>
              </w:rPr>
            </w:pPr>
          </w:p>
        </w:tc>
      </w:tr>
      <w:tr w14:paraId="6B6FE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024063E2">
            <w:pPr>
              <w:autoSpaceDE w:val="0"/>
              <w:autoSpaceDN w:val="0"/>
              <w:adjustRightInd w:val="0"/>
              <w:jc w:val="center"/>
              <w:rPr>
                <w:rFonts w:hint="eastAsia" w:ascii="宋体" w:hAnsi="宋体" w:cs="宋体"/>
              </w:rPr>
            </w:pPr>
          </w:p>
        </w:tc>
        <w:tc>
          <w:tcPr>
            <w:tcW w:w="709" w:type="dxa"/>
            <w:vAlign w:val="center"/>
          </w:tcPr>
          <w:p w14:paraId="5FBC11B3">
            <w:pPr>
              <w:autoSpaceDE w:val="0"/>
              <w:autoSpaceDN w:val="0"/>
              <w:adjustRightInd w:val="0"/>
              <w:jc w:val="center"/>
              <w:rPr>
                <w:rFonts w:ascii="宋体" w:cs="Times New Roman"/>
              </w:rPr>
            </w:pPr>
          </w:p>
        </w:tc>
        <w:tc>
          <w:tcPr>
            <w:tcW w:w="709" w:type="dxa"/>
            <w:vAlign w:val="center"/>
          </w:tcPr>
          <w:p w14:paraId="051E69D5">
            <w:pPr>
              <w:autoSpaceDE w:val="0"/>
              <w:autoSpaceDN w:val="0"/>
              <w:adjustRightInd w:val="0"/>
              <w:jc w:val="center"/>
              <w:rPr>
                <w:rFonts w:ascii="宋体" w:cs="Times New Roman"/>
              </w:rPr>
            </w:pPr>
          </w:p>
        </w:tc>
        <w:tc>
          <w:tcPr>
            <w:tcW w:w="1276" w:type="dxa"/>
            <w:vAlign w:val="center"/>
          </w:tcPr>
          <w:p w14:paraId="0BD91331">
            <w:pPr>
              <w:autoSpaceDE w:val="0"/>
              <w:autoSpaceDN w:val="0"/>
              <w:adjustRightInd w:val="0"/>
              <w:jc w:val="center"/>
              <w:rPr>
                <w:rFonts w:ascii="宋体" w:cs="Times New Roman"/>
              </w:rPr>
            </w:pPr>
          </w:p>
        </w:tc>
        <w:tc>
          <w:tcPr>
            <w:tcW w:w="1135" w:type="dxa"/>
            <w:vAlign w:val="center"/>
          </w:tcPr>
          <w:p w14:paraId="1AB42773">
            <w:pPr>
              <w:autoSpaceDE w:val="0"/>
              <w:autoSpaceDN w:val="0"/>
              <w:adjustRightInd w:val="0"/>
              <w:jc w:val="center"/>
              <w:rPr>
                <w:rFonts w:ascii="宋体" w:cs="Times New Roman"/>
              </w:rPr>
            </w:pPr>
          </w:p>
        </w:tc>
        <w:tc>
          <w:tcPr>
            <w:tcW w:w="709" w:type="dxa"/>
            <w:vAlign w:val="center"/>
          </w:tcPr>
          <w:p w14:paraId="5E8F6F62">
            <w:pPr>
              <w:autoSpaceDE w:val="0"/>
              <w:autoSpaceDN w:val="0"/>
              <w:adjustRightInd w:val="0"/>
              <w:jc w:val="center"/>
              <w:rPr>
                <w:rFonts w:ascii="宋体" w:cs="Times New Roman"/>
              </w:rPr>
            </w:pPr>
          </w:p>
        </w:tc>
        <w:tc>
          <w:tcPr>
            <w:tcW w:w="803" w:type="dxa"/>
            <w:vAlign w:val="center"/>
          </w:tcPr>
          <w:p w14:paraId="0A10EF10">
            <w:pPr>
              <w:autoSpaceDE w:val="0"/>
              <w:autoSpaceDN w:val="0"/>
              <w:adjustRightInd w:val="0"/>
              <w:jc w:val="center"/>
              <w:rPr>
                <w:rFonts w:ascii="宋体" w:cs="Times New Roman"/>
              </w:rPr>
            </w:pPr>
          </w:p>
        </w:tc>
        <w:tc>
          <w:tcPr>
            <w:tcW w:w="1702" w:type="dxa"/>
            <w:vAlign w:val="center"/>
          </w:tcPr>
          <w:p w14:paraId="5213C0BB">
            <w:pPr>
              <w:autoSpaceDE w:val="0"/>
              <w:autoSpaceDN w:val="0"/>
              <w:adjustRightInd w:val="0"/>
              <w:jc w:val="center"/>
              <w:rPr>
                <w:rFonts w:ascii="宋体" w:cs="Times New Roman"/>
              </w:rPr>
            </w:pPr>
          </w:p>
        </w:tc>
      </w:tr>
    </w:tbl>
    <w:p w14:paraId="00839DEF">
      <w:pPr>
        <w:rPr>
          <w:rFonts w:cs="Times New Roman"/>
        </w:rPr>
      </w:pPr>
      <w:r>
        <w:rPr>
          <w:rFonts w:hint="eastAsia" w:cs="宋体"/>
        </w:rPr>
        <w:t>注：1.</w:t>
      </w:r>
      <w:r>
        <w:rPr>
          <w:rFonts w:hint="eastAsia" w:hAnsi="宋体" w:cs="宋体"/>
        </w:rPr>
        <w:t>拟配备的专业负责人</w:t>
      </w:r>
      <w:r>
        <w:rPr>
          <w:rFonts w:hint="eastAsia" w:cs="宋体"/>
        </w:rPr>
        <w:t>须提供身份证、相关证书、基本养老保险参保证明等原件扫描件。</w:t>
      </w:r>
    </w:p>
    <w:p w14:paraId="0171BE13">
      <w:pPr>
        <w:ind w:firstLine="420" w:firstLineChars="200"/>
        <w:rPr>
          <w:rFonts w:cs="Times New Roman"/>
        </w:rPr>
      </w:pPr>
      <w:r>
        <w:rPr>
          <w:rFonts w:hint="eastAsia" w:ascii="宋体" w:hAnsi="Arial Unicode MS" w:cs="宋体"/>
        </w:rPr>
        <w:t>2.</w:t>
      </w:r>
      <w:r>
        <w:rPr>
          <w:rFonts w:hint="eastAsia" w:cs="宋体"/>
        </w:rPr>
        <w:t>若为退休人员不须提供社保证明扫描件，提供退休证及聘用合同原件扫描件即可。</w:t>
      </w:r>
    </w:p>
    <w:p w14:paraId="05CE02FE">
      <w:pPr>
        <w:pStyle w:val="50"/>
        <w:snapToGrid w:val="0"/>
        <w:spacing w:after="157" w:afterLines="50" w:line="360" w:lineRule="auto"/>
        <w:ind w:left="0" w:firstLine="0"/>
        <w:rPr>
          <w:rFonts w:cs="Times New Roman"/>
          <w:b/>
          <w:bCs/>
          <w:sz w:val="28"/>
          <w:szCs w:val="28"/>
        </w:rPr>
      </w:pPr>
    </w:p>
    <w:p w14:paraId="16DA9C42">
      <w:pPr>
        <w:pStyle w:val="50"/>
        <w:snapToGrid w:val="0"/>
        <w:spacing w:after="157" w:afterLines="50" w:line="360" w:lineRule="auto"/>
        <w:ind w:left="0" w:firstLine="0"/>
        <w:rPr>
          <w:rFonts w:cs="Times New Roman"/>
          <w:b/>
          <w:bCs/>
          <w:sz w:val="28"/>
          <w:szCs w:val="28"/>
        </w:rPr>
      </w:pPr>
    </w:p>
    <w:p w14:paraId="33E4D29E">
      <w:pPr>
        <w:pStyle w:val="50"/>
        <w:snapToGrid w:val="0"/>
        <w:spacing w:after="157" w:afterLines="50" w:line="360" w:lineRule="auto"/>
        <w:ind w:left="0" w:firstLine="0"/>
        <w:rPr>
          <w:rFonts w:cs="Times New Roman"/>
          <w:b/>
          <w:bCs/>
          <w:sz w:val="28"/>
          <w:szCs w:val="28"/>
        </w:rPr>
      </w:pPr>
    </w:p>
    <w:p w14:paraId="0A047570">
      <w:pPr>
        <w:pStyle w:val="50"/>
        <w:snapToGrid w:val="0"/>
        <w:spacing w:after="157" w:afterLines="50" w:line="360" w:lineRule="auto"/>
        <w:ind w:left="0" w:firstLine="0"/>
        <w:rPr>
          <w:rFonts w:cs="Times New Roman"/>
          <w:b/>
          <w:bCs/>
          <w:sz w:val="28"/>
          <w:szCs w:val="28"/>
        </w:rPr>
      </w:pPr>
    </w:p>
    <w:p w14:paraId="6219578F">
      <w:bookmarkStart w:id="1949" w:name="_Toc13255"/>
      <w:r>
        <w:rPr>
          <w:rFonts w:hint="eastAsia"/>
        </w:rPr>
        <w:br w:type="page"/>
      </w:r>
    </w:p>
    <w:bookmarkEnd w:id="1949"/>
    <w:p w14:paraId="492B466C">
      <w:pPr>
        <w:pStyle w:val="4"/>
        <w:ind w:firstLine="0" w:firstLineChars="0"/>
        <w:jc w:val="center"/>
        <w:rPr>
          <w:rFonts w:hint="eastAsia"/>
        </w:rPr>
      </w:pPr>
      <w:r>
        <w:rPr>
          <w:rFonts w:hint="eastAsia"/>
        </w:rPr>
        <w:t>（五）施工现场专业（管理）人员配备表</w:t>
      </w:r>
    </w:p>
    <w:tbl>
      <w:tblPr>
        <w:tblStyle w:val="25"/>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709"/>
        <w:gridCol w:w="709"/>
        <w:gridCol w:w="1276"/>
        <w:gridCol w:w="1135"/>
        <w:gridCol w:w="709"/>
        <w:gridCol w:w="803"/>
        <w:gridCol w:w="1702"/>
        <w:gridCol w:w="1702"/>
      </w:tblGrid>
      <w:tr w14:paraId="673E8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454" w:type="dxa"/>
            <w:vAlign w:val="center"/>
          </w:tcPr>
          <w:p w14:paraId="6A92B874">
            <w:pPr>
              <w:autoSpaceDE w:val="0"/>
              <w:autoSpaceDN w:val="0"/>
              <w:adjustRightInd w:val="0"/>
              <w:jc w:val="center"/>
              <w:rPr>
                <w:rFonts w:ascii="宋体" w:cs="Times New Roman"/>
              </w:rPr>
            </w:pPr>
            <w:r>
              <w:rPr>
                <w:rFonts w:hint="eastAsia" w:ascii="宋体" w:hAnsi="宋体" w:cs="宋体"/>
              </w:rPr>
              <w:t>专业岗位</w:t>
            </w:r>
          </w:p>
        </w:tc>
        <w:tc>
          <w:tcPr>
            <w:tcW w:w="709" w:type="dxa"/>
            <w:vAlign w:val="center"/>
          </w:tcPr>
          <w:p w14:paraId="76653890">
            <w:pPr>
              <w:autoSpaceDE w:val="0"/>
              <w:autoSpaceDN w:val="0"/>
              <w:adjustRightInd w:val="0"/>
              <w:jc w:val="center"/>
              <w:rPr>
                <w:rFonts w:ascii="宋体" w:cs="Times New Roman"/>
              </w:rPr>
            </w:pPr>
            <w:r>
              <w:rPr>
                <w:rFonts w:hint="eastAsia" w:ascii="宋体" w:hAnsi="宋体" w:cs="宋体"/>
              </w:rPr>
              <w:t>姓名</w:t>
            </w:r>
          </w:p>
        </w:tc>
        <w:tc>
          <w:tcPr>
            <w:tcW w:w="709" w:type="dxa"/>
            <w:vAlign w:val="center"/>
          </w:tcPr>
          <w:p w14:paraId="691904A4">
            <w:pPr>
              <w:autoSpaceDE w:val="0"/>
              <w:autoSpaceDN w:val="0"/>
              <w:adjustRightInd w:val="0"/>
              <w:jc w:val="center"/>
              <w:rPr>
                <w:rFonts w:ascii="宋体" w:cs="Times New Roman"/>
              </w:rPr>
            </w:pPr>
            <w:r>
              <w:rPr>
                <w:rFonts w:hint="eastAsia" w:ascii="宋体" w:hAnsi="宋体" w:cs="宋体"/>
              </w:rPr>
              <w:t>性别</w:t>
            </w:r>
          </w:p>
        </w:tc>
        <w:tc>
          <w:tcPr>
            <w:tcW w:w="1276" w:type="dxa"/>
            <w:vAlign w:val="center"/>
          </w:tcPr>
          <w:p w14:paraId="6C33012E">
            <w:pPr>
              <w:autoSpaceDE w:val="0"/>
              <w:autoSpaceDN w:val="0"/>
              <w:adjustRightInd w:val="0"/>
              <w:jc w:val="center"/>
              <w:rPr>
                <w:rFonts w:ascii="宋体" w:cs="Times New Roman"/>
              </w:rPr>
            </w:pPr>
            <w:r>
              <w:rPr>
                <w:rFonts w:hint="eastAsia" w:ascii="宋体" w:hAnsi="宋体" w:cs="宋体"/>
              </w:rPr>
              <w:t>出生年月</w:t>
            </w:r>
          </w:p>
        </w:tc>
        <w:tc>
          <w:tcPr>
            <w:tcW w:w="1135" w:type="dxa"/>
            <w:vAlign w:val="center"/>
          </w:tcPr>
          <w:p w14:paraId="416FB768">
            <w:pPr>
              <w:autoSpaceDE w:val="0"/>
              <w:autoSpaceDN w:val="0"/>
              <w:adjustRightInd w:val="0"/>
              <w:jc w:val="center"/>
              <w:rPr>
                <w:rFonts w:ascii="宋体" w:cs="Times New Roman"/>
              </w:rPr>
            </w:pPr>
            <w:r>
              <w:rPr>
                <w:rFonts w:hint="eastAsia" w:ascii="宋体" w:hAnsi="宋体" w:cs="宋体"/>
              </w:rPr>
              <w:t>工作年限</w:t>
            </w:r>
          </w:p>
        </w:tc>
        <w:tc>
          <w:tcPr>
            <w:tcW w:w="709" w:type="dxa"/>
            <w:vAlign w:val="center"/>
          </w:tcPr>
          <w:p w14:paraId="0A78B83C">
            <w:pPr>
              <w:autoSpaceDE w:val="0"/>
              <w:autoSpaceDN w:val="0"/>
              <w:adjustRightInd w:val="0"/>
              <w:jc w:val="center"/>
              <w:rPr>
                <w:rFonts w:ascii="宋体" w:cs="Times New Roman"/>
              </w:rPr>
            </w:pPr>
            <w:r>
              <w:rPr>
                <w:rFonts w:hint="eastAsia" w:ascii="宋体" w:hAnsi="宋体" w:cs="宋体"/>
              </w:rPr>
              <w:t>职称</w:t>
            </w:r>
          </w:p>
        </w:tc>
        <w:tc>
          <w:tcPr>
            <w:tcW w:w="803" w:type="dxa"/>
            <w:vAlign w:val="center"/>
          </w:tcPr>
          <w:p w14:paraId="6C06ED82">
            <w:pPr>
              <w:autoSpaceDE w:val="0"/>
              <w:autoSpaceDN w:val="0"/>
              <w:adjustRightInd w:val="0"/>
              <w:jc w:val="center"/>
              <w:rPr>
                <w:rFonts w:ascii="宋体" w:cs="Times New Roman"/>
              </w:rPr>
            </w:pPr>
            <w:r>
              <w:rPr>
                <w:rFonts w:hint="eastAsia" w:ascii="宋体" w:hAnsi="宋体" w:cs="宋体"/>
              </w:rPr>
              <w:t>学历</w:t>
            </w:r>
          </w:p>
        </w:tc>
        <w:tc>
          <w:tcPr>
            <w:tcW w:w="1702" w:type="dxa"/>
            <w:vAlign w:val="center"/>
          </w:tcPr>
          <w:p w14:paraId="6841DB7E">
            <w:pPr>
              <w:autoSpaceDE w:val="0"/>
              <w:autoSpaceDN w:val="0"/>
              <w:adjustRightInd w:val="0"/>
              <w:jc w:val="center"/>
              <w:rPr>
                <w:rFonts w:hint="eastAsia" w:ascii="宋体" w:hAnsi="宋体" w:cs="宋体"/>
              </w:rPr>
            </w:pPr>
            <w:r>
              <w:rPr>
                <w:rFonts w:hint="eastAsia" w:ascii="宋体" w:hAnsi="宋体" w:cs="宋体"/>
              </w:rPr>
              <w:t>（相关证书）及编号</w:t>
            </w:r>
          </w:p>
        </w:tc>
        <w:tc>
          <w:tcPr>
            <w:tcW w:w="1702" w:type="dxa"/>
            <w:vAlign w:val="center"/>
          </w:tcPr>
          <w:p w14:paraId="0A4F4023">
            <w:pPr>
              <w:autoSpaceDE w:val="0"/>
              <w:autoSpaceDN w:val="0"/>
              <w:adjustRightInd w:val="0"/>
              <w:jc w:val="center"/>
              <w:rPr>
                <w:rFonts w:ascii="宋体" w:cs="Times New Roman"/>
              </w:rPr>
            </w:pPr>
            <w:r>
              <w:rPr>
                <w:rFonts w:hint="eastAsia" w:ascii="宋体" w:hAnsi="宋体"/>
              </w:rPr>
              <w:t>岗位要求</w:t>
            </w:r>
          </w:p>
        </w:tc>
      </w:tr>
      <w:tr w14:paraId="23616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517A9C99">
            <w:pPr>
              <w:autoSpaceDE w:val="0"/>
              <w:autoSpaceDN w:val="0"/>
              <w:adjustRightInd w:val="0"/>
              <w:jc w:val="center"/>
              <w:rPr>
                <w:rFonts w:ascii="宋体" w:cs="Times New Roman"/>
              </w:rPr>
            </w:pPr>
          </w:p>
        </w:tc>
        <w:tc>
          <w:tcPr>
            <w:tcW w:w="709" w:type="dxa"/>
            <w:vAlign w:val="center"/>
          </w:tcPr>
          <w:p w14:paraId="287BDFB1">
            <w:pPr>
              <w:autoSpaceDE w:val="0"/>
              <w:autoSpaceDN w:val="0"/>
              <w:adjustRightInd w:val="0"/>
              <w:jc w:val="center"/>
              <w:rPr>
                <w:rFonts w:ascii="宋体" w:cs="Times New Roman"/>
              </w:rPr>
            </w:pPr>
          </w:p>
        </w:tc>
        <w:tc>
          <w:tcPr>
            <w:tcW w:w="709" w:type="dxa"/>
            <w:vAlign w:val="center"/>
          </w:tcPr>
          <w:p w14:paraId="7992ACD0">
            <w:pPr>
              <w:autoSpaceDE w:val="0"/>
              <w:autoSpaceDN w:val="0"/>
              <w:adjustRightInd w:val="0"/>
              <w:jc w:val="center"/>
              <w:rPr>
                <w:rFonts w:ascii="宋体" w:cs="Times New Roman"/>
              </w:rPr>
            </w:pPr>
          </w:p>
        </w:tc>
        <w:tc>
          <w:tcPr>
            <w:tcW w:w="1276" w:type="dxa"/>
            <w:vAlign w:val="center"/>
          </w:tcPr>
          <w:p w14:paraId="2D103EA0">
            <w:pPr>
              <w:autoSpaceDE w:val="0"/>
              <w:autoSpaceDN w:val="0"/>
              <w:adjustRightInd w:val="0"/>
              <w:jc w:val="center"/>
              <w:rPr>
                <w:rFonts w:ascii="宋体" w:cs="Times New Roman"/>
              </w:rPr>
            </w:pPr>
          </w:p>
        </w:tc>
        <w:tc>
          <w:tcPr>
            <w:tcW w:w="1135" w:type="dxa"/>
            <w:vAlign w:val="center"/>
          </w:tcPr>
          <w:p w14:paraId="7713BD7D">
            <w:pPr>
              <w:autoSpaceDE w:val="0"/>
              <w:autoSpaceDN w:val="0"/>
              <w:adjustRightInd w:val="0"/>
              <w:jc w:val="center"/>
              <w:rPr>
                <w:rFonts w:ascii="宋体" w:cs="Times New Roman"/>
              </w:rPr>
            </w:pPr>
          </w:p>
        </w:tc>
        <w:tc>
          <w:tcPr>
            <w:tcW w:w="709" w:type="dxa"/>
            <w:vAlign w:val="center"/>
          </w:tcPr>
          <w:p w14:paraId="10A012B7">
            <w:pPr>
              <w:autoSpaceDE w:val="0"/>
              <w:autoSpaceDN w:val="0"/>
              <w:adjustRightInd w:val="0"/>
              <w:jc w:val="center"/>
              <w:rPr>
                <w:rFonts w:ascii="宋体" w:cs="Times New Roman"/>
              </w:rPr>
            </w:pPr>
          </w:p>
        </w:tc>
        <w:tc>
          <w:tcPr>
            <w:tcW w:w="803" w:type="dxa"/>
            <w:vAlign w:val="center"/>
          </w:tcPr>
          <w:p w14:paraId="3C170589">
            <w:pPr>
              <w:autoSpaceDE w:val="0"/>
              <w:autoSpaceDN w:val="0"/>
              <w:adjustRightInd w:val="0"/>
              <w:jc w:val="center"/>
              <w:rPr>
                <w:rFonts w:ascii="宋体" w:cs="Times New Roman"/>
              </w:rPr>
            </w:pPr>
          </w:p>
        </w:tc>
        <w:tc>
          <w:tcPr>
            <w:tcW w:w="1702" w:type="dxa"/>
            <w:vAlign w:val="center"/>
          </w:tcPr>
          <w:p w14:paraId="4914EEF8">
            <w:pPr>
              <w:autoSpaceDE w:val="0"/>
              <w:autoSpaceDN w:val="0"/>
              <w:adjustRightInd w:val="0"/>
              <w:jc w:val="center"/>
              <w:rPr>
                <w:rFonts w:ascii="宋体" w:cs="Times New Roman"/>
              </w:rPr>
            </w:pPr>
          </w:p>
        </w:tc>
        <w:tc>
          <w:tcPr>
            <w:tcW w:w="1702" w:type="dxa"/>
            <w:vAlign w:val="center"/>
          </w:tcPr>
          <w:p w14:paraId="3364EC09">
            <w:pPr>
              <w:autoSpaceDE w:val="0"/>
              <w:autoSpaceDN w:val="0"/>
              <w:adjustRightInd w:val="0"/>
              <w:jc w:val="center"/>
              <w:rPr>
                <w:rFonts w:ascii="宋体" w:cs="Times New Roman"/>
              </w:rPr>
            </w:pPr>
          </w:p>
        </w:tc>
      </w:tr>
      <w:tr w14:paraId="76252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1BC59B83">
            <w:pPr>
              <w:autoSpaceDE w:val="0"/>
              <w:autoSpaceDN w:val="0"/>
              <w:adjustRightInd w:val="0"/>
              <w:jc w:val="center"/>
              <w:rPr>
                <w:rFonts w:ascii="宋体" w:cs="Times New Roman"/>
              </w:rPr>
            </w:pPr>
          </w:p>
        </w:tc>
        <w:tc>
          <w:tcPr>
            <w:tcW w:w="709" w:type="dxa"/>
            <w:vAlign w:val="center"/>
          </w:tcPr>
          <w:p w14:paraId="3BBF174E">
            <w:pPr>
              <w:autoSpaceDE w:val="0"/>
              <w:autoSpaceDN w:val="0"/>
              <w:adjustRightInd w:val="0"/>
              <w:jc w:val="center"/>
              <w:rPr>
                <w:rFonts w:ascii="宋体" w:cs="Times New Roman"/>
              </w:rPr>
            </w:pPr>
          </w:p>
        </w:tc>
        <w:tc>
          <w:tcPr>
            <w:tcW w:w="709" w:type="dxa"/>
            <w:vAlign w:val="center"/>
          </w:tcPr>
          <w:p w14:paraId="52F20BDA">
            <w:pPr>
              <w:autoSpaceDE w:val="0"/>
              <w:autoSpaceDN w:val="0"/>
              <w:adjustRightInd w:val="0"/>
              <w:jc w:val="center"/>
              <w:rPr>
                <w:rFonts w:ascii="宋体" w:cs="Times New Roman"/>
              </w:rPr>
            </w:pPr>
          </w:p>
        </w:tc>
        <w:tc>
          <w:tcPr>
            <w:tcW w:w="1276" w:type="dxa"/>
            <w:vAlign w:val="center"/>
          </w:tcPr>
          <w:p w14:paraId="10B03706">
            <w:pPr>
              <w:autoSpaceDE w:val="0"/>
              <w:autoSpaceDN w:val="0"/>
              <w:adjustRightInd w:val="0"/>
              <w:jc w:val="center"/>
              <w:rPr>
                <w:rFonts w:ascii="宋体" w:cs="Times New Roman"/>
              </w:rPr>
            </w:pPr>
          </w:p>
        </w:tc>
        <w:tc>
          <w:tcPr>
            <w:tcW w:w="1135" w:type="dxa"/>
            <w:vAlign w:val="center"/>
          </w:tcPr>
          <w:p w14:paraId="3EB7A1DF">
            <w:pPr>
              <w:autoSpaceDE w:val="0"/>
              <w:autoSpaceDN w:val="0"/>
              <w:adjustRightInd w:val="0"/>
              <w:jc w:val="center"/>
              <w:rPr>
                <w:rFonts w:ascii="宋体" w:cs="Times New Roman"/>
              </w:rPr>
            </w:pPr>
          </w:p>
        </w:tc>
        <w:tc>
          <w:tcPr>
            <w:tcW w:w="709" w:type="dxa"/>
            <w:vAlign w:val="center"/>
          </w:tcPr>
          <w:p w14:paraId="19898368">
            <w:pPr>
              <w:autoSpaceDE w:val="0"/>
              <w:autoSpaceDN w:val="0"/>
              <w:adjustRightInd w:val="0"/>
              <w:jc w:val="center"/>
              <w:rPr>
                <w:rFonts w:ascii="宋体" w:cs="Times New Roman"/>
              </w:rPr>
            </w:pPr>
          </w:p>
        </w:tc>
        <w:tc>
          <w:tcPr>
            <w:tcW w:w="803" w:type="dxa"/>
            <w:vAlign w:val="center"/>
          </w:tcPr>
          <w:p w14:paraId="6D7F9A7D">
            <w:pPr>
              <w:autoSpaceDE w:val="0"/>
              <w:autoSpaceDN w:val="0"/>
              <w:adjustRightInd w:val="0"/>
              <w:jc w:val="center"/>
              <w:rPr>
                <w:rFonts w:ascii="宋体" w:cs="Times New Roman"/>
              </w:rPr>
            </w:pPr>
          </w:p>
        </w:tc>
        <w:tc>
          <w:tcPr>
            <w:tcW w:w="1702" w:type="dxa"/>
            <w:vAlign w:val="center"/>
          </w:tcPr>
          <w:p w14:paraId="40914682">
            <w:pPr>
              <w:autoSpaceDE w:val="0"/>
              <w:autoSpaceDN w:val="0"/>
              <w:adjustRightInd w:val="0"/>
              <w:jc w:val="center"/>
              <w:rPr>
                <w:rFonts w:ascii="宋体" w:cs="Times New Roman"/>
              </w:rPr>
            </w:pPr>
          </w:p>
        </w:tc>
        <w:tc>
          <w:tcPr>
            <w:tcW w:w="1702" w:type="dxa"/>
            <w:vAlign w:val="center"/>
          </w:tcPr>
          <w:p w14:paraId="00DFC576">
            <w:pPr>
              <w:autoSpaceDE w:val="0"/>
              <w:autoSpaceDN w:val="0"/>
              <w:adjustRightInd w:val="0"/>
              <w:jc w:val="center"/>
              <w:rPr>
                <w:rFonts w:ascii="宋体" w:cs="Times New Roman"/>
              </w:rPr>
            </w:pPr>
          </w:p>
        </w:tc>
      </w:tr>
      <w:tr w14:paraId="33588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4EDA42E5">
            <w:pPr>
              <w:autoSpaceDE w:val="0"/>
              <w:autoSpaceDN w:val="0"/>
              <w:adjustRightInd w:val="0"/>
              <w:jc w:val="center"/>
              <w:rPr>
                <w:rFonts w:ascii="宋体" w:cs="Times New Roman"/>
              </w:rPr>
            </w:pPr>
          </w:p>
        </w:tc>
        <w:tc>
          <w:tcPr>
            <w:tcW w:w="709" w:type="dxa"/>
            <w:vAlign w:val="center"/>
          </w:tcPr>
          <w:p w14:paraId="21509E6F">
            <w:pPr>
              <w:autoSpaceDE w:val="0"/>
              <w:autoSpaceDN w:val="0"/>
              <w:adjustRightInd w:val="0"/>
              <w:jc w:val="center"/>
              <w:rPr>
                <w:rFonts w:ascii="宋体" w:cs="Times New Roman"/>
              </w:rPr>
            </w:pPr>
          </w:p>
        </w:tc>
        <w:tc>
          <w:tcPr>
            <w:tcW w:w="709" w:type="dxa"/>
            <w:vAlign w:val="center"/>
          </w:tcPr>
          <w:p w14:paraId="24EB01C5">
            <w:pPr>
              <w:autoSpaceDE w:val="0"/>
              <w:autoSpaceDN w:val="0"/>
              <w:adjustRightInd w:val="0"/>
              <w:jc w:val="center"/>
              <w:rPr>
                <w:rFonts w:ascii="宋体" w:cs="Times New Roman"/>
              </w:rPr>
            </w:pPr>
          </w:p>
        </w:tc>
        <w:tc>
          <w:tcPr>
            <w:tcW w:w="1276" w:type="dxa"/>
            <w:vAlign w:val="center"/>
          </w:tcPr>
          <w:p w14:paraId="03B98089">
            <w:pPr>
              <w:autoSpaceDE w:val="0"/>
              <w:autoSpaceDN w:val="0"/>
              <w:adjustRightInd w:val="0"/>
              <w:jc w:val="center"/>
              <w:rPr>
                <w:rFonts w:ascii="宋体" w:cs="Times New Roman"/>
              </w:rPr>
            </w:pPr>
          </w:p>
        </w:tc>
        <w:tc>
          <w:tcPr>
            <w:tcW w:w="1135" w:type="dxa"/>
            <w:vAlign w:val="center"/>
          </w:tcPr>
          <w:p w14:paraId="39DC0447">
            <w:pPr>
              <w:autoSpaceDE w:val="0"/>
              <w:autoSpaceDN w:val="0"/>
              <w:adjustRightInd w:val="0"/>
              <w:jc w:val="center"/>
              <w:rPr>
                <w:rFonts w:ascii="宋体" w:cs="Times New Roman"/>
              </w:rPr>
            </w:pPr>
          </w:p>
        </w:tc>
        <w:tc>
          <w:tcPr>
            <w:tcW w:w="709" w:type="dxa"/>
            <w:vAlign w:val="center"/>
          </w:tcPr>
          <w:p w14:paraId="09DD7074">
            <w:pPr>
              <w:autoSpaceDE w:val="0"/>
              <w:autoSpaceDN w:val="0"/>
              <w:adjustRightInd w:val="0"/>
              <w:jc w:val="center"/>
              <w:rPr>
                <w:rFonts w:ascii="宋体" w:cs="Times New Roman"/>
              </w:rPr>
            </w:pPr>
          </w:p>
        </w:tc>
        <w:tc>
          <w:tcPr>
            <w:tcW w:w="803" w:type="dxa"/>
            <w:vAlign w:val="center"/>
          </w:tcPr>
          <w:p w14:paraId="6EE000F2">
            <w:pPr>
              <w:autoSpaceDE w:val="0"/>
              <w:autoSpaceDN w:val="0"/>
              <w:adjustRightInd w:val="0"/>
              <w:jc w:val="center"/>
              <w:rPr>
                <w:rFonts w:ascii="宋体" w:cs="Times New Roman"/>
              </w:rPr>
            </w:pPr>
          </w:p>
        </w:tc>
        <w:tc>
          <w:tcPr>
            <w:tcW w:w="1702" w:type="dxa"/>
            <w:vAlign w:val="center"/>
          </w:tcPr>
          <w:p w14:paraId="3AFD1C79">
            <w:pPr>
              <w:autoSpaceDE w:val="0"/>
              <w:autoSpaceDN w:val="0"/>
              <w:adjustRightInd w:val="0"/>
              <w:jc w:val="center"/>
              <w:rPr>
                <w:rFonts w:ascii="宋体" w:cs="Times New Roman"/>
              </w:rPr>
            </w:pPr>
          </w:p>
        </w:tc>
        <w:tc>
          <w:tcPr>
            <w:tcW w:w="1702" w:type="dxa"/>
            <w:vAlign w:val="center"/>
          </w:tcPr>
          <w:p w14:paraId="5389E326">
            <w:pPr>
              <w:autoSpaceDE w:val="0"/>
              <w:autoSpaceDN w:val="0"/>
              <w:adjustRightInd w:val="0"/>
              <w:jc w:val="center"/>
              <w:rPr>
                <w:rFonts w:ascii="宋体" w:cs="Times New Roman"/>
              </w:rPr>
            </w:pPr>
          </w:p>
        </w:tc>
      </w:tr>
      <w:tr w14:paraId="2C81B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4CAA0157">
            <w:pPr>
              <w:autoSpaceDE w:val="0"/>
              <w:autoSpaceDN w:val="0"/>
              <w:adjustRightInd w:val="0"/>
              <w:jc w:val="center"/>
              <w:rPr>
                <w:rFonts w:ascii="宋体" w:cs="Times New Roman"/>
              </w:rPr>
            </w:pPr>
          </w:p>
        </w:tc>
        <w:tc>
          <w:tcPr>
            <w:tcW w:w="709" w:type="dxa"/>
            <w:vAlign w:val="center"/>
          </w:tcPr>
          <w:p w14:paraId="2E6B5D3B">
            <w:pPr>
              <w:autoSpaceDE w:val="0"/>
              <w:autoSpaceDN w:val="0"/>
              <w:adjustRightInd w:val="0"/>
              <w:jc w:val="center"/>
              <w:rPr>
                <w:rFonts w:ascii="宋体" w:cs="Times New Roman"/>
              </w:rPr>
            </w:pPr>
          </w:p>
        </w:tc>
        <w:tc>
          <w:tcPr>
            <w:tcW w:w="709" w:type="dxa"/>
            <w:vAlign w:val="center"/>
          </w:tcPr>
          <w:p w14:paraId="5DDAA002">
            <w:pPr>
              <w:autoSpaceDE w:val="0"/>
              <w:autoSpaceDN w:val="0"/>
              <w:adjustRightInd w:val="0"/>
              <w:jc w:val="center"/>
              <w:rPr>
                <w:rFonts w:ascii="宋体" w:cs="Times New Roman"/>
              </w:rPr>
            </w:pPr>
          </w:p>
        </w:tc>
        <w:tc>
          <w:tcPr>
            <w:tcW w:w="1276" w:type="dxa"/>
            <w:vAlign w:val="center"/>
          </w:tcPr>
          <w:p w14:paraId="75D5648A">
            <w:pPr>
              <w:autoSpaceDE w:val="0"/>
              <w:autoSpaceDN w:val="0"/>
              <w:adjustRightInd w:val="0"/>
              <w:jc w:val="center"/>
              <w:rPr>
                <w:rFonts w:ascii="宋体" w:cs="Times New Roman"/>
              </w:rPr>
            </w:pPr>
          </w:p>
        </w:tc>
        <w:tc>
          <w:tcPr>
            <w:tcW w:w="1135" w:type="dxa"/>
            <w:vAlign w:val="center"/>
          </w:tcPr>
          <w:p w14:paraId="412D382D">
            <w:pPr>
              <w:autoSpaceDE w:val="0"/>
              <w:autoSpaceDN w:val="0"/>
              <w:adjustRightInd w:val="0"/>
              <w:jc w:val="center"/>
              <w:rPr>
                <w:rFonts w:ascii="宋体" w:cs="Times New Roman"/>
              </w:rPr>
            </w:pPr>
          </w:p>
        </w:tc>
        <w:tc>
          <w:tcPr>
            <w:tcW w:w="709" w:type="dxa"/>
            <w:vAlign w:val="center"/>
          </w:tcPr>
          <w:p w14:paraId="16ED3061">
            <w:pPr>
              <w:autoSpaceDE w:val="0"/>
              <w:autoSpaceDN w:val="0"/>
              <w:adjustRightInd w:val="0"/>
              <w:jc w:val="center"/>
              <w:rPr>
                <w:rFonts w:ascii="宋体" w:cs="Times New Roman"/>
              </w:rPr>
            </w:pPr>
          </w:p>
        </w:tc>
        <w:tc>
          <w:tcPr>
            <w:tcW w:w="803" w:type="dxa"/>
            <w:vAlign w:val="center"/>
          </w:tcPr>
          <w:p w14:paraId="694FCDE8">
            <w:pPr>
              <w:autoSpaceDE w:val="0"/>
              <w:autoSpaceDN w:val="0"/>
              <w:adjustRightInd w:val="0"/>
              <w:jc w:val="center"/>
              <w:rPr>
                <w:rFonts w:ascii="宋体" w:cs="Times New Roman"/>
              </w:rPr>
            </w:pPr>
          </w:p>
        </w:tc>
        <w:tc>
          <w:tcPr>
            <w:tcW w:w="1702" w:type="dxa"/>
            <w:vAlign w:val="center"/>
          </w:tcPr>
          <w:p w14:paraId="5B0B6CCA">
            <w:pPr>
              <w:autoSpaceDE w:val="0"/>
              <w:autoSpaceDN w:val="0"/>
              <w:adjustRightInd w:val="0"/>
              <w:jc w:val="center"/>
              <w:rPr>
                <w:rFonts w:ascii="宋体" w:cs="Times New Roman"/>
              </w:rPr>
            </w:pPr>
          </w:p>
        </w:tc>
        <w:tc>
          <w:tcPr>
            <w:tcW w:w="1702" w:type="dxa"/>
            <w:vAlign w:val="center"/>
          </w:tcPr>
          <w:p w14:paraId="64399569">
            <w:pPr>
              <w:autoSpaceDE w:val="0"/>
              <w:autoSpaceDN w:val="0"/>
              <w:adjustRightInd w:val="0"/>
              <w:jc w:val="center"/>
              <w:rPr>
                <w:rFonts w:ascii="宋体" w:cs="Times New Roman"/>
              </w:rPr>
            </w:pPr>
          </w:p>
        </w:tc>
      </w:tr>
      <w:tr w14:paraId="59047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795F6E2F">
            <w:pPr>
              <w:autoSpaceDE w:val="0"/>
              <w:autoSpaceDN w:val="0"/>
              <w:adjustRightInd w:val="0"/>
              <w:jc w:val="center"/>
              <w:rPr>
                <w:rFonts w:ascii="宋体" w:cs="Times New Roman"/>
              </w:rPr>
            </w:pPr>
          </w:p>
        </w:tc>
        <w:tc>
          <w:tcPr>
            <w:tcW w:w="709" w:type="dxa"/>
            <w:vAlign w:val="center"/>
          </w:tcPr>
          <w:p w14:paraId="6A5CD4FA">
            <w:pPr>
              <w:autoSpaceDE w:val="0"/>
              <w:autoSpaceDN w:val="0"/>
              <w:adjustRightInd w:val="0"/>
              <w:jc w:val="center"/>
              <w:rPr>
                <w:rFonts w:ascii="宋体" w:cs="Times New Roman"/>
              </w:rPr>
            </w:pPr>
          </w:p>
        </w:tc>
        <w:tc>
          <w:tcPr>
            <w:tcW w:w="709" w:type="dxa"/>
            <w:vAlign w:val="center"/>
          </w:tcPr>
          <w:p w14:paraId="3858FE63">
            <w:pPr>
              <w:autoSpaceDE w:val="0"/>
              <w:autoSpaceDN w:val="0"/>
              <w:adjustRightInd w:val="0"/>
              <w:jc w:val="center"/>
              <w:rPr>
                <w:rFonts w:ascii="宋体" w:cs="Times New Roman"/>
              </w:rPr>
            </w:pPr>
          </w:p>
        </w:tc>
        <w:tc>
          <w:tcPr>
            <w:tcW w:w="1276" w:type="dxa"/>
            <w:vAlign w:val="center"/>
          </w:tcPr>
          <w:p w14:paraId="405C4865">
            <w:pPr>
              <w:autoSpaceDE w:val="0"/>
              <w:autoSpaceDN w:val="0"/>
              <w:adjustRightInd w:val="0"/>
              <w:jc w:val="center"/>
              <w:rPr>
                <w:rFonts w:ascii="宋体" w:cs="Times New Roman"/>
              </w:rPr>
            </w:pPr>
          </w:p>
        </w:tc>
        <w:tc>
          <w:tcPr>
            <w:tcW w:w="1135" w:type="dxa"/>
            <w:vAlign w:val="center"/>
          </w:tcPr>
          <w:p w14:paraId="2B468C1E">
            <w:pPr>
              <w:autoSpaceDE w:val="0"/>
              <w:autoSpaceDN w:val="0"/>
              <w:adjustRightInd w:val="0"/>
              <w:jc w:val="center"/>
              <w:rPr>
                <w:rFonts w:ascii="宋体" w:cs="Times New Roman"/>
              </w:rPr>
            </w:pPr>
          </w:p>
        </w:tc>
        <w:tc>
          <w:tcPr>
            <w:tcW w:w="709" w:type="dxa"/>
            <w:vAlign w:val="center"/>
          </w:tcPr>
          <w:p w14:paraId="768781AA">
            <w:pPr>
              <w:autoSpaceDE w:val="0"/>
              <w:autoSpaceDN w:val="0"/>
              <w:adjustRightInd w:val="0"/>
              <w:jc w:val="center"/>
              <w:rPr>
                <w:rFonts w:ascii="宋体" w:cs="Times New Roman"/>
              </w:rPr>
            </w:pPr>
          </w:p>
        </w:tc>
        <w:tc>
          <w:tcPr>
            <w:tcW w:w="803" w:type="dxa"/>
            <w:vAlign w:val="center"/>
          </w:tcPr>
          <w:p w14:paraId="008E59BC">
            <w:pPr>
              <w:autoSpaceDE w:val="0"/>
              <w:autoSpaceDN w:val="0"/>
              <w:adjustRightInd w:val="0"/>
              <w:jc w:val="center"/>
              <w:rPr>
                <w:rFonts w:ascii="宋体" w:cs="Times New Roman"/>
              </w:rPr>
            </w:pPr>
          </w:p>
        </w:tc>
        <w:tc>
          <w:tcPr>
            <w:tcW w:w="1702" w:type="dxa"/>
            <w:vAlign w:val="center"/>
          </w:tcPr>
          <w:p w14:paraId="24E02A21">
            <w:pPr>
              <w:autoSpaceDE w:val="0"/>
              <w:autoSpaceDN w:val="0"/>
              <w:adjustRightInd w:val="0"/>
              <w:jc w:val="center"/>
              <w:rPr>
                <w:rFonts w:ascii="宋体" w:cs="Times New Roman"/>
              </w:rPr>
            </w:pPr>
          </w:p>
        </w:tc>
        <w:tc>
          <w:tcPr>
            <w:tcW w:w="1702" w:type="dxa"/>
            <w:vAlign w:val="center"/>
          </w:tcPr>
          <w:p w14:paraId="1228515E">
            <w:pPr>
              <w:autoSpaceDE w:val="0"/>
              <w:autoSpaceDN w:val="0"/>
              <w:adjustRightInd w:val="0"/>
              <w:jc w:val="center"/>
              <w:rPr>
                <w:rFonts w:ascii="宋体" w:cs="Times New Roman"/>
              </w:rPr>
            </w:pPr>
          </w:p>
        </w:tc>
      </w:tr>
      <w:tr w14:paraId="181A9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4CB26847">
            <w:pPr>
              <w:autoSpaceDE w:val="0"/>
              <w:autoSpaceDN w:val="0"/>
              <w:adjustRightInd w:val="0"/>
              <w:jc w:val="center"/>
              <w:rPr>
                <w:rFonts w:ascii="宋体" w:cs="Times New Roman"/>
              </w:rPr>
            </w:pPr>
          </w:p>
        </w:tc>
        <w:tc>
          <w:tcPr>
            <w:tcW w:w="709" w:type="dxa"/>
            <w:vAlign w:val="center"/>
          </w:tcPr>
          <w:p w14:paraId="39C632EB">
            <w:pPr>
              <w:autoSpaceDE w:val="0"/>
              <w:autoSpaceDN w:val="0"/>
              <w:adjustRightInd w:val="0"/>
              <w:jc w:val="center"/>
              <w:rPr>
                <w:rFonts w:ascii="宋体" w:cs="Times New Roman"/>
              </w:rPr>
            </w:pPr>
          </w:p>
        </w:tc>
        <w:tc>
          <w:tcPr>
            <w:tcW w:w="709" w:type="dxa"/>
            <w:vAlign w:val="center"/>
          </w:tcPr>
          <w:p w14:paraId="120CD91D">
            <w:pPr>
              <w:autoSpaceDE w:val="0"/>
              <w:autoSpaceDN w:val="0"/>
              <w:adjustRightInd w:val="0"/>
              <w:jc w:val="center"/>
              <w:rPr>
                <w:rFonts w:ascii="宋体" w:cs="Times New Roman"/>
              </w:rPr>
            </w:pPr>
          </w:p>
        </w:tc>
        <w:tc>
          <w:tcPr>
            <w:tcW w:w="1276" w:type="dxa"/>
            <w:vAlign w:val="center"/>
          </w:tcPr>
          <w:p w14:paraId="59E81309">
            <w:pPr>
              <w:autoSpaceDE w:val="0"/>
              <w:autoSpaceDN w:val="0"/>
              <w:adjustRightInd w:val="0"/>
              <w:jc w:val="center"/>
              <w:rPr>
                <w:rFonts w:ascii="宋体" w:cs="Times New Roman"/>
              </w:rPr>
            </w:pPr>
          </w:p>
        </w:tc>
        <w:tc>
          <w:tcPr>
            <w:tcW w:w="1135" w:type="dxa"/>
            <w:vAlign w:val="center"/>
          </w:tcPr>
          <w:p w14:paraId="4CD3EB7C">
            <w:pPr>
              <w:autoSpaceDE w:val="0"/>
              <w:autoSpaceDN w:val="0"/>
              <w:adjustRightInd w:val="0"/>
              <w:jc w:val="center"/>
              <w:rPr>
                <w:rFonts w:ascii="宋体" w:cs="Times New Roman"/>
              </w:rPr>
            </w:pPr>
          </w:p>
        </w:tc>
        <w:tc>
          <w:tcPr>
            <w:tcW w:w="709" w:type="dxa"/>
            <w:vAlign w:val="center"/>
          </w:tcPr>
          <w:p w14:paraId="65F7801C">
            <w:pPr>
              <w:autoSpaceDE w:val="0"/>
              <w:autoSpaceDN w:val="0"/>
              <w:adjustRightInd w:val="0"/>
              <w:jc w:val="center"/>
              <w:rPr>
                <w:rFonts w:ascii="宋体" w:cs="Times New Roman"/>
              </w:rPr>
            </w:pPr>
          </w:p>
        </w:tc>
        <w:tc>
          <w:tcPr>
            <w:tcW w:w="803" w:type="dxa"/>
            <w:vAlign w:val="center"/>
          </w:tcPr>
          <w:p w14:paraId="29AC4AB8">
            <w:pPr>
              <w:autoSpaceDE w:val="0"/>
              <w:autoSpaceDN w:val="0"/>
              <w:adjustRightInd w:val="0"/>
              <w:jc w:val="center"/>
              <w:rPr>
                <w:rFonts w:ascii="宋体" w:cs="Times New Roman"/>
              </w:rPr>
            </w:pPr>
          </w:p>
        </w:tc>
        <w:tc>
          <w:tcPr>
            <w:tcW w:w="1702" w:type="dxa"/>
            <w:vAlign w:val="center"/>
          </w:tcPr>
          <w:p w14:paraId="1821D8CB">
            <w:pPr>
              <w:autoSpaceDE w:val="0"/>
              <w:autoSpaceDN w:val="0"/>
              <w:adjustRightInd w:val="0"/>
              <w:jc w:val="center"/>
              <w:rPr>
                <w:rFonts w:ascii="宋体" w:cs="Times New Roman"/>
              </w:rPr>
            </w:pPr>
          </w:p>
        </w:tc>
        <w:tc>
          <w:tcPr>
            <w:tcW w:w="1702" w:type="dxa"/>
            <w:vAlign w:val="center"/>
          </w:tcPr>
          <w:p w14:paraId="13EEA7F9">
            <w:pPr>
              <w:autoSpaceDE w:val="0"/>
              <w:autoSpaceDN w:val="0"/>
              <w:adjustRightInd w:val="0"/>
              <w:jc w:val="center"/>
              <w:rPr>
                <w:rFonts w:ascii="宋体" w:cs="Times New Roman"/>
              </w:rPr>
            </w:pPr>
          </w:p>
        </w:tc>
      </w:tr>
      <w:tr w14:paraId="26971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56579E51">
            <w:pPr>
              <w:autoSpaceDE w:val="0"/>
              <w:autoSpaceDN w:val="0"/>
              <w:adjustRightInd w:val="0"/>
              <w:jc w:val="center"/>
              <w:rPr>
                <w:rFonts w:ascii="宋体" w:cs="Times New Roman"/>
              </w:rPr>
            </w:pPr>
          </w:p>
        </w:tc>
        <w:tc>
          <w:tcPr>
            <w:tcW w:w="709" w:type="dxa"/>
            <w:vAlign w:val="center"/>
          </w:tcPr>
          <w:p w14:paraId="48C1E8EF">
            <w:pPr>
              <w:autoSpaceDE w:val="0"/>
              <w:autoSpaceDN w:val="0"/>
              <w:adjustRightInd w:val="0"/>
              <w:jc w:val="center"/>
              <w:rPr>
                <w:rFonts w:ascii="宋体" w:cs="Times New Roman"/>
              </w:rPr>
            </w:pPr>
          </w:p>
        </w:tc>
        <w:tc>
          <w:tcPr>
            <w:tcW w:w="709" w:type="dxa"/>
            <w:vAlign w:val="center"/>
          </w:tcPr>
          <w:p w14:paraId="39E6CCA0">
            <w:pPr>
              <w:autoSpaceDE w:val="0"/>
              <w:autoSpaceDN w:val="0"/>
              <w:adjustRightInd w:val="0"/>
              <w:jc w:val="center"/>
              <w:rPr>
                <w:rFonts w:ascii="宋体" w:cs="Times New Roman"/>
              </w:rPr>
            </w:pPr>
          </w:p>
        </w:tc>
        <w:tc>
          <w:tcPr>
            <w:tcW w:w="1276" w:type="dxa"/>
            <w:vAlign w:val="center"/>
          </w:tcPr>
          <w:p w14:paraId="48D9A66E">
            <w:pPr>
              <w:autoSpaceDE w:val="0"/>
              <w:autoSpaceDN w:val="0"/>
              <w:adjustRightInd w:val="0"/>
              <w:jc w:val="center"/>
              <w:rPr>
                <w:rFonts w:ascii="宋体" w:cs="Times New Roman"/>
              </w:rPr>
            </w:pPr>
          </w:p>
        </w:tc>
        <w:tc>
          <w:tcPr>
            <w:tcW w:w="1135" w:type="dxa"/>
            <w:vAlign w:val="center"/>
          </w:tcPr>
          <w:p w14:paraId="58451D0F">
            <w:pPr>
              <w:autoSpaceDE w:val="0"/>
              <w:autoSpaceDN w:val="0"/>
              <w:adjustRightInd w:val="0"/>
              <w:jc w:val="center"/>
              <w:rPr>
                <w:rFonts w:ascii="宋体" w:cs="Times New Roman"/>
              </w:rPr>
            </w:pPr>
          </w:p>
        </w:tc>
        <w:tc>
          <w:tcPr>
            <w:tcW w:w="709" w:type="dxa"/>
            <w:vAlign w:val="center"/>
          </w:tcPr>
          <w:p w14:paraId="0E45F7DD">
            <w:pPr>
              <w:autoSpaceDE w:val="0"/>
              <w:autoSpaceDN w:val="0"/>
              <w:adjustRightInd w:val="0"/>
              <w:jc w:val="center"/>
              <w:rPr>
                <w:rFonts w:ascii="宋体" w:cs="Times New Roman"/>
              </w:rPr>
            </w:pPr>
          </w:p>
        </w:tc>
        <w:tc>
          <w:tcPr>
            <w:tcW w:w="803" w:type="dxa"/>
            <w:vAlign w:val="center"/>
          </w:tcPr>
          <w:p w14:paraId="73CD437B">
            <w:pPr>
              <w:autoSpaceDE w:val="0"/>
              <w:autoSpaceDN w:val="0"/>
              <w:adjustRightInd w:val="0"/>
              <w:jc w:val="center"/>
              <w:rPr>
                <w:rFonts w:ascii="宋体" w:cs="Times New Roman"/>
              </w:rPr>
            </w:pPr>
          </w:p>
        </w:tc>
        <w:tc>
          <w:tcPr>
            <w:tcW w:w="1702" w:type="dxa"/>
            <w:vAlign w:val="center"/>
          </w:tcPr>
          <w:p w14:paraId="0B14F2D6">
            <w:pPr>
              <w:autoSpaceDE w:val="0"/>
              <w:autoSpaceDN w:val="0"/>
              <w:adjustRightInd w:val="0"/>
              <w:jc w:val="center"/>
              <w:rPr>
                <w:rFonts w:ascii="宋体" w:cs="Times New Roman"/>
              </w:rPr>
            </w:pPr>
          </w:p>
        </w:tc>
        <w:tc>
          <w:tcPr>
            <w:tcW w:w="1702" w:type="dxa"/>
            <w:vAlign w:val="center"/>
          </w:tcPr>
          <w:p w14:paraId="3A64AD22">
            <w:pPr>
              <w:autoSpaceDE w:val="0"/>
              <w:autoSpaceDN w:val="0"/>
              <w:adjustRightInd w:val="0"/>
              <w:jc w:val="center"/>
              <w:rPr>
                <w:rFonts w:ascii="宋体" w:cs="Times New Roman"/>
              </w:rPr>
            </w:pPr>
          </w:p>
        </w:tc>
      </w:tr>
      <w:tr w14:paraId="320B2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4A370715">
            <w:pPr>
              <w:autoSpaceDE w:val="0"/>
              <w:autoSpaceDN w:val="0"/>
              <w:adjustRightInd w:val="0"/>
              <w:jc w:val="center"/>
              <w:rPr>
                <w:rFonts w:ascii="宋体" w:cs="Times New Roman"/>
              </w:rPr>
            </w:pPr>
          </w:p>
        </w:tc>
        <w:tc>
          <w:tcPr>
            <w:tcW w:w="709" w:type="dxa"/>
            <w:vAlign w:val="center"/>
          </w:tcPr>
          <w:p w14:paraId="4A032CB5">
            <w:pPr>
              <w:autoSpaceDE w:val="0"/>
              <w:autoSpaceDN w:val="0"/>
              <w:adjustRightInd w:val="0"/>
              <w:jc w:val="center"/>
              <w:rPr>
                <w:rFonts w:ascii="宋体" w:cs="Times New Roman"/>
              </w:rPr>
            </w:pPr>
          </w:p>
        </w:tc>
        <w:tc>
          <w:tcPr>
            <w:tcW w:w="709" w:type="dxa"/>
            <w:vAlign w:val="center"/>
          </w:tcPr>
          <w:p w14:paraId="450BB824">
            <w:pPr>
              <w:autoSpaceDE w:val="0"/>
              <w:autoSpaceDN w:val="0"/>
              <w:adjustRightInd w:val="0"/>
              <w:jc w:val="center"/>
              <w:rPr>
                <w:rFonts w:ascii="宋体" w:cs="Times New Roman"/>
              </w:rPr>
            </w:pPr>
          </w:p>
        </w:tc>
        <w:tc>
          <w:tcPr>
            <w:tcW w:w="1276" w:type="dxa"/>
            <w:vAlign w:val="center"/>
          </w:tcPr>
          <w:p w14:paraId="7E27932C">
            <w:pPr>
              <w:autoSpaceDE w:val="0"/>
              <w:autoSpaceDN w:val="0"/>
              <w:adjustRightInd w:val="0"/>
              <w:jc w:val="center"/>
              <w:rPr>
                <w:rFonts w:ascii="宋体" w:cs="Times New Roman"/>
              </w:rPr>
            </w:pPr>
          </w:p>
        </w:tc>
        <w:tc>
          <w:tcPr>
            <w:tcW w:w="1135" w:type="dxa"/>
            <w:vAlign w:val="center"/>
          </w:tcPr>
          <w:p w14:paraId="6686339A">
            <w:pPr>
              <w:autoSpaceDE w:val="0"/>
              <w:autoSpaceDN w:val="0"/>
              <w:adjustRightInd w:val="0"/>
              <w:jc w:val="center"/>
              <w:rPr>
                <w:rFonts w:ascii="宋体" w:cs="Times New Roman"/>
              </w:rPr>
            </w:pPr>
          </w:p>
        </w:tc>
        <w:tc>
          <w:tcPr>
            <w:tcW w:w="709" w:type="dxa"/>
            <w:vAlign w:val="center"/>
          </w:tcPr>
          <w:p w14:paraId="3844EA4C">
            <w:pPr>
              <w:autoSpaceDE w:val="0"/>
              <w:autoSpaceDN w:val="0"/>
              <w:adjustRightInd w:val="0"/>
              <w:jc w:val="center"/>
              <w:rPr>
                <w:rFonts w:ascii="宋体" w:cs="Times New Roman"/>
              </w:rPr>
            </w:pPr>
          </w:p>
        </w:tc>
        <w:tc>
          <w:tcPr>
            <w:tcW w:w="803" w:type="dxa"/>
            <w:vAlign w:val="center"/>
          </w:tcPr>
          <w:p w14:paraId="6B8DFB5C">
            <w:pPr>
              <w:autoSpaceDE w:val="0"/>
              <w:autoSpaceDN w:val="0"/>
              <w:adjustRightInd w:val="0"/>
              <w:jc w:val="center"/>
              <w:rPr>
                <w:rFonts w:ascii="宋体" w:cs="Times New Roman"/>
              </w:rPr>
            </w:pPr>
          </w:p>
        </w:tc>
        <w:tc>
          <w:tcPr>
            <w:tcW w:w="1702" w:type="dxa"/>
            <w:vAlign w:val="center"/>
          </w:tcPr>
          <w:p w14:paraId="38027BEF">
            <w:pPr>
              <w:autoSpaceDE w:val="0"/>
              <w:autoSpaceDN w:val="0"/>
              <w:adjustRightInd w:val="0"/>
              <w:jc w:val="center"/>
              <w:rPr>
                <w:rFonts w:ascii="宋体" w:cs="Times New Roman"/>
              </w:rPr>
            </w:pPr>
          </w:p>
        </w:tc>
        <w:tc>
          <w:tcPr>
            <w:tcW w:w="1702" w:type="dxa"/>
            <w:vAlign w:val="center"/>
          </w:tcPr>
          <w:p w14:paraId="0A650C00">
            <w:pPr>
              <w:autoSpaceDE w:val="0"/>
              <w:autoSpaceDN w:val="0"/>
              <w:adjustRightInd w:val="0"/>
              <w:jc w:val="center"/>
              <w:rPr>
                <w:rFonts w:ascii="宋体" w:cs="Times New Roman"/>
              </w:rPr>
            </w:pPr>
          </w:p>
        </w:tc>
      </w:tr>
      <w:tr w14:paraId="7E613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1E10D4EC">
            <w:pPr>
              <w:autoSpaceDE w:val="0"/>
              <w:autoSpaceDN w:val="0"/>
              <w:adjustRightInd w:val="0"/>
              <w:jc w:val="center"/>
              <w:rPr>
                <w:rFonts w:ascii="宋体" w:cs="Times New Roman"/>
              </w:rPr>
            </w:pPr>
          </w:p>
        </w:tc>
        <w:tc>
          <w:tcPr>
            <w:tcW w:w="709" w:type="dxa"/>
            <w:vAlign w:val="center"/>
          </w:tcPr>
          <w:p w14:paraId="174FCB04">
            <w:pPr>
              <w:autoSpaceDE w:val="0"/>
              <w:autoSpaceDN w:val="0"/>
              <w:adjustRightInd w:val="0"/>
              <w:jc w:val="center"/>
              <w:rPr>
                <w:rFonts w:ascii="宋体" w:cs="Times New Roman"/>
              </w:rPr>
            </w:pPr>
          </w:p>
        </w:tc>
        <w:tc>
          <w:tcPr>
            <w:tcW w:w="709" w:type="dxa"/>
            <w:vAlign w:val="center"/>
          </w:tcPr>
          <w:p w14:paraId="662A9F5B">
            <w:pPr>
              <w:autoSpaceDE w:val="0"/>
              <w:autoSpaceDN w:val="0"/>
              <w:adjustRightInd w:val="0"/>
              <w:jc w:val="center"/>
              <w:rPr>
                <w:rFonts w:ascii="宋体" w:cs="Times New Roman"/>
              </w:rPr>
            </w:pPr>
          </w:p>
        </w:tc>
        <w:tc>
          <w:tcPr>
            <w:tcW w:w="1276" w:type="dxa"/>
            <w:vAlign w:val="center"/>
          </w:tcPr>
          <w:p w14:paraId="612F71DF">
            <w:pPr>
              <w:autoSpaceDE w:val="0"/>
              <w:autoSpaceDN w:val="0"/>
              <w:adjustRightInd w:val="0"/>
              <w:jc w:val="center"/>
              <w:rPr>
                <w:rFonts w:ascii="宋体" w:cs="Times New Roman"/>
              </w:rPr>
            </w:pPr>
          </w:p>
        </w:tc>
        <w:tc>
          <w:tcPr>
            <w:tcW w:w="1135" w:type="dxa"/>
            <w:vAlign w:val="center"/>
          </w:tcPr>
          <w:p w14:paraId="219AE7B0">
            <w:pPr>
              <w:autoSpaceDE w:val="0"/>
              <w:autoSpaceDN w:val="0"/>
              <w:adjustRightInd w:val="0"/>
              <w:jc w:val="center"/>
              <w:rPr>
                <w:rFonts w:ascii="宋体" w:cs="Times New Roman"/>
              </w:rPr>
            </w:pPr>
          </w:p>
        </w:tc>
        <w:tc>
          <w:tcPr>
            <w:tcW w:w="709" w:type="dxa"/>
            <w:vAlign w:val="center"/>
          </w:tcPr>
          <w:p w14:paraId="243DD7D1">
            <w:pPr>
              <w:autoSpaceDE w:val="0"/>
              <w:autoSpaceDN w:val="0"/>
              <w:adjustRightInd w:val="0"/>
              <w:jc w:val="center"/>
              <w:rPr>
                <w:rFonts w:ascii="宋体" w:cs="Times New Roman"/>
              </w:rPr>
            </w:pPr>
          </w:p>
        </w:tc>
        <w:tc>
          <w:tcPr>
            <w:tcW w:w="803" w:type="dxa"/>
            <w:vAlign w:val="center"/>
          </w:tcPr>
          <w:p w14:paraId="4DFFFC08">
            <w:pPr>
              <w:autoSpaceDE w:val="0"/>
              <w:autoSpaceDN w:val="0"/>
              <w:adjustRightInd w:val="0"/>
              <w:jc w:val="center"/>
              <w:rPr>
                <w:rFonts w:ascii="宋体" w:cs="Times New Roman"/>
              </w:rPr>
            </w:pPr>
          </w:p>
        </w:tc>
        <w:tc>
          <w:tcPr>
            <w:tcW w:w="1702" w:type="dxa"/>
            <w:vAlign w:val="center"/>
          </w:tcPr>
          <w:p w14:paraId="46F32DF9">
            <w:pPr>
              <w:autoSpaceDE w:val="0"/>
              <w:autoSpaceDN w:val="0"/>
              <w:adjustRightInd w:val="0"/>
              <w:jc w:val="center"/>
              <w:rPr>
                <w:rFonts w:ascii="宋体" w:cs="Times New Roman"/>
              </w:rPr>
            </w:pPr>
          </w:p>
        </w:tc>
        <w:tc>
          <w:tcPr>
            <w:tcW w:w="1702" w:type="dxa"/>
            <w:vAlign w:val="center"/>
          </w:tcPr>
          <w:p w14:paraId="172F6E89">
            <w:pPr>
              <w:autoSpaceDE w:val="0"/>
              <w:autoSpaceDN w:val="0"/>
              <w:adjustRightInd w:val="0"/>
              <w:jc w:val="center"/>
              <w:rPr>
                <w:rFonts w:ascii="宋体" w:cs="Times New Roman"/>
              </w:rPr>
            </w:pPr>
          </w:p>
        </w:tc>
      </w:tr>
      <w:tr w14:paraId="7A073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7EA9372A">
            <w:pPr>
              <w:autoSpaceDE w:val="0"/>
              <w:autoSpaceDN w:val="0"/>
              <w:adjustRightInd w:val="0"/>
              <w:jc w:val="center"/>
              <w:rPr>
                <w:rFonts w:hint="eastAsia" w:ascii="宋体" w:hAnsi="宋体" w:cs="宋体"/>
              </w:rPr>
            </w:pPr>
          </w:p>
        </w:tc>
        <w:tc>
          <w:tcPr>
            <w:tcW w:w="709" w:type="dxa"/>
            <w:vAlign w:val="center"/>
          </w:tcPr>
          <w:p w14:paraId="7210D536">
            <w:pPr>
              <w:autoSpaceDE w:val="0"/>
              <w:autoSpaceDN w:val="0"/>
              <w:adjustRightInd w:val="0"/>
              <w:jc w:val="center"/>
              <w:rPr>
                <w:rFonts w:ascii="宋体" w:cs="Times New Roman"/>
              </w:rPr>
            </w:pPr>
          </w:p>
        </w:tc>
        <w:tc>
          <w:tcPr>
            <w:tcW w:w="709" w:type="dxa"/>
            <w:vAlign w:val="center"/>
          </w:tcPr>
          <w:p w14:paraId="437653B0">
            <w:pPr>
              <w:autoSpaceDE w:val="0"/>
              <w:autoSpaceDN w:val="0"/>
              <w:adjustRightInd w:val="0"/>
              <w:jc w:val="center"/>
              <w:rPr>
                <w:rFonts w:ascii="宋体" w:cs="Times New Roman"/>
              </w:rPr>
            </w:pPr>
          </w:p>
        </w:tc>
        <w:tc>
          <w:tcPr>
            <w:tcW w:w="1276" w:type="dxa"/>
            <w:vAlign w:val="center"/>
          </w:tcPr>
          <w:p w14:paraId="6A05F24D">
            <w:pPr>
              <w:autoSpaceDE w:val="0"/>
              <w:autoSpaceDN w:val="0"/>
              <w:adjustRightInd w:val="0"/>
              <w:jc w:val="center"/>
              <w:rPr>
                <w:rFonts w:ascii="宋体" w:cs="Times New Roman"/>
              </w:rPr>
            </w:pPr>
          </w:p>
        </w:tc>
        <w:tc>
          <w:tcPr>
            <w:tcW w:w="1135" w:type="dxa"/>
            <w:vAlign w:val="center"/>
          </w:tcPr>
          <w:p w14:paraId="3CFBF0BF">
            <w:pPr>
              <w:autoSpaceDE w:val="0"/>
              <w:autoSpaceDN w:val="0"/>
              <w:adjustRightInd w:val="0"/>
              <w:jc w:val="center"/>
              <w:rPr>
                <w:rFonts w:ascii="宋体" w:cs="Times New Roman"/>
              </w:rPr>
            </w:pPr>
          </w:p>
        </w:tc>
        <w:tc>
          <w:tcPr>
            <w:tcW w:w="709" w:type="dxa"/>
            <w:vAlign w:val="center"/>
          </w:tcPr>
          <w:p w14:paraId="10F7F330">
            <w:pPr>
              <w:autoSpaceDE w:val="0"/>
              <w:autoSpaceDN w:val="0"/>
              <w:adjustRightInd w:val="0"/>
              <w:jc w:val="center"/>
              <w:rPr>
                <w:rFonts w:ascii="宋体" w:cs="Times New Roman"/>
              </w:rPr>
            </w:pPr>
          </w:p>
        </w:tc>
        <w:tc>
          <w:tcPr>
            <w:tcW w:w="803" w:type="dxa"/>
            <w:vAlign w:val="center"/>
          </w:tcPr>
          <w:p w14:paraId="47C1D9AB">
            <w:pPr>
              <w:autoSpaceDE w:val="0"/>
              <w:autoSpaceDN w:val="0"/>
              <w:adjustRightInd w:val="0"/>
              <w:jc w:val="center"/>
              <w:rPr>
                <w:rFonts w:ascii="宋体" w:cs="Times New Roman"/>
              </w:rPr>
            </w:pPr>
          </w:p>
        </w:tc>
        <w:tc>
          <w:tcPr>
            <w:tcW w:w="1702" w:type="dxa"/>
            <w:vAlign w:val="center"/>
          </w:tcPr>
          <w:p w14:paraId="42EED01A">
            <w:pPr>
              <w:autoSpaceDE w:val="0"/>
              <w:autoSpaceDN w:val="0"/>
              <w:adjustRightInd w:val="0"/>
              <w:jc w:val="center"/>
              <w:rPr>
                <w:rFonts w:ascii="宋体" w:cs="Times New Roman"/>
              </w:rPr>
            </w:pPr>
          </w:p>
        </w:tc>
        <w:tc>
          <w:tcPr>
            <w:tcW w:w="1702" w:type="dxa"/>
            <w:vAlign w:val="center"/>
          </w:tcPr>
          <w:p w14:paraId="0106B854">
            <w:pPr>
              <w:autoSpaceDE w:val="0"/>
              <w:autoSpaceDN w:val="0"/>
              <w:adjustRightInd w:val="0"/>
              <w:jc w:val="center"/>
              <w:rPr>
                <w:rFonts w:ascii="宋体" w:cs="Times New Roman"/>
              </w:rPr>
            </w:pPr>
          </w:p>
        </w:tc>
      </w:tr>
      <w:tr w14:paraId="55073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39E79A16">
            <w:pPr>
              <w:autoSpaceDE w:val="0"/>
              <w:autoSpaceDN w:val="0"/>
              <w:adjustRightInd w:val="0"/>
              <w:jc w:val="center"/>
              <w:rPr>
                <w:rFonts w:hint="eastAsia" w:ascii="宋体" w:hAnsi="宋体" w:cs="宋体"/>
              </w:rPr>
            </w:pPr>
          </w:p>
        </w:tc>
        <w:tc>
          <w:tcPr>
            <w:tcW w:w="709" w:type="dxa"/>
            <w:vAlign w:val="center"/>
          </w:tcPr>
          <w:p w14:paraId="73BB1CA2">
            <w:pPr>
              <w:autoSpaceDE w:val="0"/>
              <w:autoSpaceDN w:val="0"/>
              <w:adjustRightInd w:val="0"/>
              <w:jc w:val="center"/>
              <w:rPr>
                <w:rFonts w:ascii="宋体" w:cs="Times New Roman"/>
              </w:rPr>
            </w:pPr>
          </w:p>
        </w:tc>
        <w:tc>
          <w:tcPr>
            <w:tcW w:w="709" w:type="dxa"/>
            <w:vAlign w:val="center"/>
          </w:tcPr>
          <w:p w14:paraId="10967345">
            <w:pPr>
              <w:autoSpaceDE w:val="0"/>
              <w:autoSpaceDN w:val="0"/>
              <w:adjustRightInd w:val="0"/>
              <w:jc w:val="center"/>
              <w:rPr>
                <w:rFonts w:ascii="宋体" w:cs="Times New Roman"/>
              </w:rPr>
            </w:pPr>
          </w:p>
        </w:tc>
        <w:tc>
          <w:tcPr>
            <w:tcW w:w="1276" w:type="dxa"/>
            <w:vAlign w:val="center"/>
          </w:tcPr>
          <w:p w14:paraId="232AC08F">
            <w:pPr>
              <w:autoSpaceDE w:val="0"/>
              <w:autoSpaceDN w:val="0"/>
              <w:adjustRightInd w:val="0"/>
              <w:jc w:val="center"/>
              <w:rPr>
                <w:rFonts w:ascii="宋体" w:cs="Times New Roman"/>
              </w:rPr>
            </w:pPr>
          </w:p>
        </w:tc>
        <w:tc>
          <w:tcPr>
            <w:tcW w:w="1135" w:type="dxa"/>
            <w:vAlign w:val="center"/>
          </w:tcPr>
          <w:p w14:paraId="60D91999">
            <w:pPr>
              <w:autoSpaceDE w:val="0"/>
              <w:autoSpaceDN w:val="0"/>
              <w:adjustRightInd w:val="0"/>
              <w:jc w:val="center"/>
              <w:rPr>
                <w:rFonts w:ascii="宋体" w:cs="Times New Roman"/>
              </w:rPr>
            </w:pPr>
          </w:p>
        </w:tc>
        <w:tc>
          <w:tcPr>
            <w:tcW w:w="709" w:type="dxa"/>
            <w:vAlign w:val="center"/>
          </w:tcPr>
          <w:p w14:paraId="61623BEA">
            <w:pPr>
              <w:autoSpaceDE w:val="0"/>
              <w:autoSpaceDN w:val="0"/>
              <w:adjustRightInd w:val="0"/>
              <w:jc w:val="center"/>
              <w:rPr>
                <w:rFonts w:ascii="宋体" w:cs="Times New Roman"/>
              </w:rPr>
            </w:pPr>
          </w:p>
        </w:tc>
        <w:tc>
          <w:tcPr>
            <w:tcW w:w="803" w:type="dxa"/>
            <w:vAlign w:val="center"/>
          </w:tcPr>
          <w:p w14:paraId="6EB213A4">
            <w:pPr>
              <w:autoSpaceDE w:val="0"/>
              <w:autoSpaceDN w:val="0"/>
              <w:adjustRightInd w:val="0"/>
              <w:jc w:val="center"/>
              <w:rPr>
                <w:rFonts w:ascii="宋体" w:cs="Times New Roman"/>
              </w:rPr>
            </w:pPr>
          </w:p>
        </w:tc>
        <w:tc>
          <w:tcPr>
            <w:tcW w:w="1702" w:type="dxa"/>
            <w:vAlign w:val="center"/>
          </w:tcPr>
          <w:p w14:paraId="71BDA79D">
            <w:pPr>
              <w:autoSpaceDE w:val="0"/>
              <w:autoSpaceDN w:val="0"/>
              <w:adjustRightInd w:val="0"/>
              <w:jc w:val="center"/>
              <w:rPr>
                <w:rFonts w:ascii="宋体" w:cs="Times New Roman"/>
              </w:rPr>
            </w:pPr>
          </w:p>
        </w:tc>
        <w:tc>
          <w:tcPr>
            <w:tcW w:w="1702" w:type="dxa"/>
            <w:vAlign w:val="center"/>
          </w:tcPr>
          <w:p w14:paraId="1B97CD74">
            <w:pPr>
              <w:autoSpaceDE w:val="0"/>
              <w:autoSpaceDN w:val="0"/>
              <w:adjustRightInd w:val="0"/>
              <w:jc w:val="center"/>
              <w:rPr>
                <w:rFonts w:ascii="宋体" w:cs="Times New Roman"/>
              </w:rPr>
            </w:pPr>
          </w:p>
        </w:tc>
      </w:tr>
      <w:tr w14:paraId="6D1FB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54FCED76">
            <w:pPr>
              <w:autoSpaceDE w:val="0"/>
              <w:autoSpaceDN w:val="0"/>
              <w:adjustRightInd w:val="0"/>
              <w:jc w:val="center"/>
              <w:rPr>
                <w:rFonts w:hint="eastAsia" w:ascii="宋体" w:hAnsi="宋体" w:cs="宋体"/>
              </w:rPr>
            </w:pPr>
          </w:p>
        </w:tc>
        <w:tc>
          <w:tcPr>
            <w:tcW w:w="709" w:type="dxa"/>
            <w:vAlign w:val="center"/>
          </w:tcPr>
          <w:p w14:paraId="354F1189">
            <w:pPr>
              <w:autoSpaceDE w:val="0"/>
              <w:autoSpaceDN w:val="0"/>
              <w:adjustRightInd w:val="0"/>
              <w:jc w:val="center"/>
              <w:rPr>
                <w:rFonts w:ascii="宋体" w:cs="Times New Roman"/>
              </w:rPr>
            </w:pPr>
          </w:p>
        </w:tc>
        <w:tc>
          <w:tcPr>
            <w:tcW w:w="709" w:type="dxa"/>
            <w:vAlign w:val="center"/>
          </w:tcPr>
          <w:p w14:paraId="021E2E73">
            <w:pPr>
              <w:autoSpaceDE w:val="0"/>
              <w:autoSpaceDN w:val="0"/>
              <w:adjustRightInd w:val="0"/>
              <w:jc w:val="center"/>
              <w:rPr>
                <w:rFonts w:ascii="宋体" w:cs="Times New Roman"/>
              </w:rPr>
            </w:pPr>
          </w:p>
        </w:tc>
        <w:tc>
          <w:tcPr>
            <w:tcW w:w="1276" w:type="dxa"/>
            <w:vAlign w:val="center"/>
          </w:tcPr>
          <w:p w14:paraId="4B54F103">
            <w:pPr>
              <w:autoSpaceDE w:val="0"/>
              <w:autoSpaceDN w:val="0"/>
              <w:adjustRightInd w:val="0"/>
              <w:jc w:val="center"/>
              <w:rPr>
                <w:rFonts w:ascii="宋体" w:cs="Times New Roman"/>
              </w:rPr>
            </w:pPr>
          </w:p>
        </w:tc>
        <w:tc>
          <w:tcPr>
            <w:tcW w:w="1135" w:type="dxa"/>
            <w:vAlign w:val="center"/>
          </w:tcPr>
          <w:p w14:paraId="384B7DD0">
            <w:pPr>
              <w:autoSpaceDE w:val="0"/>
              <w:autoSpaceDN w:val="0"/>
              <w:adjustRightInd w:val="0"/>
              <w:jc w:val="center"/>
              <w:rPr>
                <w:rFonts w:ascii="宋体" w:cs="Times New Roman"/>
              </w:rPr>
            </w:pPr>
          </w:p>
        </w:tc>
        <w:tc>
          <w:tcPr>
            <w:tcW w:w="709" w:type="dxa"/>
            <w:vAlign w:val="center"/>
          </w:tcPr>
          <w:p w14:paraId="3F323426">
            <w:pPr>
              <w:autoSpaceDE w:val="0"/>
              <w:autoSpaceDN w:val="0"/>
              <w:adjustRightInd w:val="0"/>
              <w:jc w:val="center"/>
              <w:rPr>
                <w:rFonts w:ascii="宋体" w:cs="Times New Roman"/>
              </w:rPr>
            </w:pPr>
          </w:p>
        </w:tc>
        <w:tc>
          <w:tcPr>
            <w:tcW w:w="803" w:type="dxa"/>
            <w:vAlign w:val="center"/>
          </w:tcPr>
          <w:p w14:paraId="62AC5D43">
            <w:pPr>
              <w:autoSpaceDE w:val="0"/>
              <w:autoSpaceDN w:val="0"/>
              <w:adjustRightInd w:val="0"/>
              <w:jc w:val="center"/>
              <w:rPr>
                <w:rFonts w:ascii="宋体" w:cs="Times New Roman"/>
              </w:rPr>
            </w:pPr>
          </w:p>
        </w:tc>
        <w:tc>
          <w:tcPr>
            <w:tcW w:w="1702" w:type="dxa"/>
            <w:vAlign w:val="center"/>
          </w:tcPr>
          <w:p w14:paraId="21B87FE8">
            <w:pPr>
              <w:autoSpaceDE w:val="0"/>
              <w:autoSpaceDN w:val="0"/>
              <w:adjustRightInd w:val="0"/>
              <w:jc w:val="center"/>
              <w:rPr>
                <w:rFonts w:ascii="宋体" w:cs="Times New Roman"/>
              </w:rPr>
            </w:pPr>
          </w:p>
        </w:tc>
        <w:tc>
          <w:tcPr>
            <w:tcW w:w="1702" w:type="dxa"/>
            <w:vAlign w:val="center"/>
          </w:tcPr>
          <w:p w14:paraId="4625A304">
            <w:pPr>
              <w:autoSpaceDE w:val="0"/>
              <w:autoSpaceDN w:val="0"/>
              <w:adjustRightInd w:val="0"/>
              <w:jc w:val="center"/>
              <w:rPr>
                <w:rFonts w:ascii="宋体" w:cs="Times New Roman"/>
              </w:rPr>
            </w:pPr>
          </w:p>
        </w:tc>
      </w:tr>
      <w:tr w14:paraId="0AE3B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454" w:type="dxa"/>
            <w:vAlign w:val="center"/>
          </w:tcPr>
          <w:p w14:paraId="7A71DE5E">
            <w:pPr>
              <w:autoSpaceDE w:val="0"/>
              <w:autoSpaceDN w:val="0"/>
              <w:adjustRightInd w:val="0"/>
              <w:jc w:val="center"/>
              <w:rPr>
                <w:rFonts w:hint="eastAsia" w:ascii="宋体" w:hAnsi="宋体" w:cs="宋体"/>
              </w:rPr>
            </w:pPr>
          </w:p>
        </w:tc>
        <w:tc>
          <w:tcPr>
            <w:tcW w:w="709" w:type="dxa"/>
            <w:vAlign w:val="center"/>
          </w:tcPr>
          <w:p w14:paraId="4BCE928D">
            <w:pPr>
              <w:autoSpaceDE w:val="0"/>
              <w:autoSpaceDN w:val="0"/>
              <w:adjustRightInd w:val="0"/>
              <w:jc w:val="center"/>
              <w:rPr>
                <w:rFonts w:ascii="宋体" w:cs="Times New Roman"/>
              </w:rPr>
            </w:pPr>
          </w:p>
        </w:tc>
        <w:tc>
          <w:tcPr>
            <w:tcW w:w="709" w:type="dxa"/>
            <w:vAlign w:val="center"/>
          </w:tcPr>
          <w:p w14:paraId="3912B027">
            <w:pPr>
              <w:autoSpaceDE w:val="0"/>
              <w:autoSpaceDN w:val="0"/>
              <w:adjustRightInd w:val="0"/>
              <w:jc w:val="center"/>
              <w:rPr>
                <w:rFonts w:ascii="宋体" w:cs="Times New Roman"/>
              </w:rPr>
            </w:pPr>
          </w:p>
        </w:tc>
        <w:tc>
          <w:tcPr>
            <w:tcW w:w="1276" w:type="dxa"/>
            <w:vAlign w:val="center"/>
          </w:tcPr>
          <w:p w14:paraId="691D6C9F">
            <w:pPr>
              <w:autoSpaceDE w:val="0"/>
              <w:autoSpaceDN w:val="0"/>
              <w:adjustRightInd w:val="0"/>
              <w:jc w:val="center"/>
              <w:rPr>
                <w:rFonts w:ascii="宋体" w:cs="Times New Roman"/>
              </w:rPr>
            </w:pPr>
          </w:p>
        </w:tc>
        <w:tc>
          <w:tcPr>
            <w:tcW w:w="1135" w:type="dxa"/>
            <w:vAlign w:val="center"/>
          </w:tcPr>
          <w:p w14:paraId="03522BBD">
            <w:pPr>
              <w:autoSpaceDE w:val="0"/>
              <w:autoSpaceDN w:val="0"/>
              <w:adjustRightInd w:val="0"/>
              <w:jc w:val="center"/>
              <w:rPr>
                <w:rFonts w:ascii="宋体" w:cs="Times New Roman"/>
              </w:rPr>
            </w:pPr>
          </w:p>
        </w:tc>
        <w:tc>
          <w:tcPr>
            <w:tcW w:w="709" w:type="dxa"/>
            <w:vAlign w:val="center"/>
          </w:tcPr>
          <w:p w14:paraId="68F9FB7E">
            <w:pPr>
              <w:autoSpaceDE w:val="0"/>
              <w:autoSpaceDN w:val="0"/>
              <w:adjustRightInd w:val="0"/>
              <w:jc w:val="center"/>
              <w:rPr>
                <w:rFonts w:ascii="宋体" w:cs="Times New Roman"/>
              </w:rPr>
            </w:pPr>
          </w:p>
        </w:tc>
        <w:tc>
          <w:tcPr>
            <w:tcW w:w="803" w:type="dxa"/>
            <w:vAlign w:val="center"/>
          </w:tcPr>
          <w:p w14:paraId="0C18353A">
            <w:pPr>
              <w:autoSpaceDE w:val="0"/>
              <w:autoSpaceDN w:val="0"/>
              <w:adjustRightInd w:val="0"/>
              <w:jc w:val="center"/>
              <w:rPr>
                <w:rFonts w:ascii="宋体" w:cs="Times New Roman"/>
              </w:rPr>
            </w:pPr>
          </w:p>
        </w:tc>
        <w:tc>
          <w:tcPr>
            <w:tcW w:w="1702" w:type="dxa"/>
            <w:vAlign w:val="center"/>
          </w:tcPr>
          <w:p w14:paraId="44899174">
            <w:pPr>
              <w:autoSpaceDE w:val="0"/>
              <w:autoSpaceDN w:val="0"/>
              <w:adjustRightInd w:val="0"/>
              <w:jc w:val="center"/>
              <w:rPr>
                <w:rFonts w:ascii="宋体" w:cs="Times New Roman"/>
              </w:rPr>
            </w:pPr>
          </w:p>
        </w:tc>
        <w:tc>
          <w:tcPr>
            <w:tcW w:w="1702" w:type="dxa"/>
            <w:vAlign w:val="center"/>
          </w:tcPr>
          <w:p w14:paraId="269D12FA">
            <w:pPr>
              <w:autoSpaceDE w:val="0"/>
              <w:autoSpaceDN w:val="0"/>
              <w:adjustRightInd w:val="0"/>
              <w:jc w:val="center"/>
              <w:rPr>
                <w:rFonts w:ascii="宋体" w:cs="Times New Roman"/>
              </w:rPr>
            </w:pPr>
          </w:p>
        </w:tc>
      </w:tr>
    </w:tbl>
    <w:p w14:paraId="43CEC1C6">
      <w:pPr>
        <w:rPr>
          <w:rFonts w:cs="宋体"/>
        </w:rPr>
      </w:pPr>
      <w:r>
        <w:rPr>
          <w:rFonts w:hint="eastAsia" w:cs="宋体"/>
        </w:rPr>
        <w:t>注：</w:t>
      </w:r>
      <w:r>
        <w:rPr>
          <w:rFonts w:hint="eastAsia" w:ascii="宋体" w:hAnsi="Arial Unicode MS" w:cs="宋体"/>
        </w:rPr>
        <w:t>1.</w:t>
      </w:r>
      <w:r>
        <w:rPr>
          <w:rFonts w:hint="eastAsia" w:cs="宋体"/>
        </w:rPr>
        <w:t>此表须符合招标文件中“施工现场专业（管理）人员配备表”的要求；</w:t>
      </w:r>
    </w:p>
    <w:p w14:paraId="523C6B40">
      <w:pPr>
        <w:ind w:firstLine="420" w:firstLineChars="200"/>
        <w:outlineLvl w:val="5"/>
      </w:pPr>
      <w:r>
        <w:t>2.</w:t>
      </w:r>
      <w:r>
        <w:rPr>
          <w:rFonts w:hint="eastAsia"/>
        </w:rPr>
        <w:t>表中“岗位要求”一栏，由投标人填“专职”或“兼任”；</w:t>
      </w:r>
    </w:p>
    <w:p w14:paraId="41F2E7B4">
      <w:pPr>
        <w:ind w:firstLine="420" w:firstLineChars="200"/>
        <w:rPr>
          <w:rFonts w:cs="宋体"/>
        </w:rPr>
      </w:pPr>
      <w:r>
        <w:rPr>
          <w:rFonts w:hint="eastAsia" w:ascii="宋体" w:hAnsi="Arial Unicode MS" w:cs="宋体"/>
        </w:rPr>
        <w:t>3.拟配备</w:t>
      </w:r>
      <w:r>
        <w:rPr>
          <w:rFonts w:hint="eastAsia"/>
        </w:rPr>
        <w:t>施工现场专业（管理）人员</w:t>
      </w:r>
      <w:r>
        <w:rPr>
          <w:rFonts w:hint="eastAsia" w:cs="宋体"/>
        </w:rPr>
        <w:t>须提供身份证、相关证书、基本养老保险参保证明等原件扫描件；</w:t>
      </w:r>
    </w:p>
    <w:p w14:paraId="113CC869">
      <w:pPr>
        <w:ind w:firstLine="420" w:firstLineChars="200"/>
        <w:rPr>
          <w:rFonts w:cs="Times New Roman"/>
        </w:rPr>
      </w:pPr>
      <w:r>
        <w:rPr>
          <w:rFonts w:hint="eastAsia" w:ascii="宋体" w:hAnsi="Arial Unicode MS" w:cs="宋体"/>
        </w:rPr>
        <w:t>4.</w:t>
      </w:r>
      <w:r>
        <w:rPr>
          <w:rFonts w:hint="eastAsia" w:cs="宋体"/>
        </w:rPr>
        <w:t>若为退休人员不须提供社保证明扫描件，提供退休证及聘用合同原件扫描件即可。</w:t>
      </w:r>
    </w:p>
    <w:p w14:paraId="56E30D0F">
      <w:pPr>
        <w:rPr>
          <w:rFonts w:cs="Times New Roman"/>
        </w:rPr>
      </w:pPr>
    </w:p>
    <w:p w14:paraId="7194F773">
      <w:pPr>
        <w:pStyle w:val="51"/>
        <w:adjustRightInd w:val="0"/>
        <w:snapToGrid w:val="0"/>
        <w:spacing w:line="360" w:lineRule="auto"/>
        <w:ind w:firstLine="420" w:firstLineChars="200"/>
        <w:rPr>
          <w:rFonts w:hint="eastAsia" w:ascii="宋体" w:hAnsi="宋体" w:eastAsia="宋体" w:cs="Times New Roman"/>
          <w:color w:val="auto"/>
        </w:rPr>
      </w:pPr>
    </w:p>
    <w:p w14:paraId="48384191">
      <w:pPr>
        <w:pStyle w:val="51"/>
        <w:adjustRightInd w:val="0"/>
        <w:snapToGrid w:val="0"/>
        <w:spacing w:line="360" w:lineRule="auto"/>
        <w:ind w:firstLine="420" w:firstLineChars="200"/>
        <w:rPr>
          <w:rFonts w:hint="eastAsia" w:ascii="宋体" w:hAnsi="宋体" w:eastAsia="宋体" w:cs="Times New Roman"/>
          <w:color w:val="auto"/>
        </w:rPr>
      </w:pPr>
    </w:p>
    <w:p w14:paraId="799DAE96">
      <w:pPr>
        <w:pStyle w:val="50"/>
        <w:snapToGrid w:val="0"/>
        <w:spacing w:after="157" w:afterLines="50" w:line="360" w:lineRule="auto"/>
        <w:ind w:left="0" w:firstLine="843" w:firstLineChars="300"/>
        <w:jc w:val="center"/>
        <w:rPr>
          <w:rFonts w:cs="Times New Roman"/>
          <w:b/>
          <w:bCs/>
          <w:sz w:val="28"/>
          <w:szCs w:val="28"/>
        </w:rPr>
      </w:pPr>
    </w:p>
    <w:p w14:paraId="7E5EC998">
      <w:pPr>
        <w:spacing w:line="320" w:lineRule="exact"/>
        <w:ind w:left="264" w:firstLine="420" w:firstLineChars="200"/>
        <w:jc w:val="left"/>
        <w:rPr>
          <w:rFonts w:hint="eastAsia" w:ascii="宋体" w:hAnsi="Arial Unicode MS" w:cs="宋体"/>
        </w:rPr>
      </w:pPr>
      <w:bookmarkStart w:id="1950" w:name="_Toc388"/>
      <w:bookmarkEnd w:id="1950"/>
      <w:bookmarkStart w:id="1951" w:name="_Toc152045809"/>
      <w:bookmarkStart w:id="1952" w:name="_Toc144974877"/>
      <w:bookmarkStart w:id="1953" w:name="_Toc11432_WPSOffice_Level2"/>
      <w:bookmarkStart w:id="1954" w:name="_Toc26026_WPSOffice_Level2"/>
      <w:bookmarkStart w:id="1955" w:name="_Toc247527849"/>
      <w:bookmarkStart w:id="1956" w:name="_Toc318966032"/>
      <w:bookmarkStart w:id="1957" w:name="_Toc30773"/>
      <w:bookmarkStart w:id="1958" w:name="_Toc152042598"/>
      <w:bookmarkStart w:id="1959" w:name="_Toc247514301"/>
    </w:p>
    <w:p w14:paraId="71EDE444">
      <w:pPr>
        <w:pStyle w:val="50"/>
        <w:snapToGrid w:val="0"/>
        <w:spacing w:after="157" w:afterLines="50" w:line="360" w:lineRule="auto"/>
        <w:ind w:left="1" w:firstLine="0"/>
        <w:jc w:val="center"/>
        <w:rPr>
          <w:rFonts w:cs="Times New Roman"/>
          <w:b/>
          <w:bCs/>
          <w:sz w:val="28"/>
          <w:szCs w:val="28"/>
        </w:rPr>
      </w:pPr>
    </w:p>
    <w:bookmarkEnd w:id="1951"/>
    <w:bookmarkEnd w:id="1952"/>
    <w:bookmarkEnd w:id="1953"/>
    <w:bookmarkEnd w:id="1954"/>
    <w:bookmarkEnd w:id="1955"/>
    <w:bookmarkEnd w:id="1956"/>
    <w:bookmarkEnd w:id="1957"/>
    <w:bookmarkEnd w:id="1958"/>
    <w:bookmarkEnd w:id="1959"/>
    <w:p w14:paraId="033E1214">
      <w:pPr>
        <w:pStyle w:val="4"/>
        <w:ind w:firstLine="0" w:firstLineChars="0"/>
        <w:jc w:val="center"/>
        <w:rPr>
          <w:rFonts w:hint="eastAsia"/>
          <w:sz w:val="32"/>
          <w:szCs w:val="32"/>
        </w:rPr>
      </w:pPr>
      <w:bookmarkStart w:id="1960" w:name="_Toc28131"/>
      <w:bookmarkEnd w:id="1960"/>
      <w:r>
        <w:rPr>
          <w:rFonts w:hint="eastAsia"/>
          <w:sz w:val="32"/>
          <w:szCs w:val="32"/>
        </w:rPr>
        <w:t>二、近年财务状况表</w:t>
      </w:r>
    </w:p>
    <w:tbl>
      <w:tblPr>
        <w:tblStyle w:val="25"/>
        <w:tblW w:w="941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2721"/>
        <w:gridCol w:w="1265"/>
        <w:gridCol w:w="1810"/>
        <w:gridCol w:w="1811"/>
        <w:gridCol w:w="1811"/>
      </w:tblGrid>
      <w:tr w14:paraId="4D339B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Borders>
              <w:top w:val="single" w:color="auto" w:sz="12" w:space="0"/>
            </w:tcBorders>
            <w:tcMar>
              <w:top w:w="80" w:type="dxa"/>
              <w:left w:w="80" w:type="dxa"/>
              <w:bottom w:w="80" w:type="dxa"/>
              <w:right w:w="80" w:type="dxa"/>
            </w:tcMar>
            <w:vAlign w:val="center"/>
          </w:tcPr>
          <w:p w14:paraId="0CB378A0">
            <w:pPr>
              <w:pStyle w:val="51"/>
              <w:adjustRightInd w:val="0"/>
              <w:snapToGrid w:val="0"/>
              <w:jc w:val="center"/>
              <w:rPr>
                <w:rFonts w:hint="eastAsia" w:ascii="宋体" w:hAnsi="宋体" w:eastAsia="宋体" w:cs="Times New Roman"/>
                <w:color w:val="auto"/>
              </w:rPr>
            </w:pPr>
            <w:r>
              <w:rPr>
                <w:rFonts w:hint="eastAsia" w:ascii="宋体" w:hAnsi="宋体" w:eastAsia="宋体" w:cs="宋体"/>
                <w:color w:val="auto"/>
                <w:kern w:val="0"/>
                <w:lang w:val="zh-TW" w:eastAsia="zh-TW"/>
              </w:rPr>
              <w:t>项目或指标</w:t>
            </w:r>
          </w:p>
        </w:tc>
        <w:tc>
          <w:tcPr>
            <w:tcW w:w="1265" w:type="dxa"/>
            <w:tcBorders>
              <w:top w:val="single" w:color="auto" w:sz="12" w:space="0"/>
            </w:tcBorders>
            <w:vAlign w:val="center"/>
          </w:tcPr>
          <w:p w14:paraId="273E7A36">
            <w:pPr>
              <w:pStyle w:val="51"/>
              <w:adjustRightInd w:val="0"/>
              <w:snapToGrid w:val="0"/>
              <w:jc w:val="center"/>
              <w:rPr>
                <w:rFonts w:hint="eastAsia" w:ascii="宋体" w:hAnsi="宋体" w:eastAsia="宋体" w:cs="Times New Roman"/>
                <w:color w:val="auto"/>
              </w:rPr>
            </w:pPr>
            <w:r>
              <w:rPr>
                <w:rFonts w:hint="eastAsia" w:ascii="宋体" w:hAnsi="宋体" w:eastAsia="宋体" w:cs="宋体"/>
                <w:color w:val="auto"/>
                <w:kern w:val="0"/>
                <w:lang w:val="zh-TW" w:eastAsia="zh-TW"/>
              </w:rPr>
              <w:t>单位</w:t>
            </w:r>
          </w:p>
        </w:tc>
        <w:tc>
          <w:tcPr>
            <w:tcW w:w="1810" w:type="dxa"/>
            <w:tcBorders>
              <w:top w:val="single" w:color="auto" w:sz="12" w:space="0"/>
            </w:tcBorders>
            <w:vAlign w:val="center"/>
          </w:tcPr>
          <w:p w14:paraId="65AD40A3">
            <w:pPr>
              <w:pStyle w:val="51"/>
              <w:adjustRightInd w:val="0"/>
              <w:snapToGrid w:val="0"/>
              <w:jc w:val="center"/>
              <w:rPr>
                <w:rFonts w:hint="eastAsia" w:ascii="宋体" w:hAnsi="宋体" w:eastAsia="宋体" w:cs="Times New Roman"/>
                <w:color w:val="auto"/>
              </w:rPr>
            </w:pPr>
            <w:r>
              <w:rPr>
                <w:rFonts w:ascii="宋体" w:hAnsi="宋体" w:eastAsia="宋体" w:cs="宋体"/>
                <w:color w:val="auto"/>
                <w:kern w:val="0"/>
                <w:lang w:val="zh-TW"/>
              </w:rPr>
              <w:t>_____</w:t>
            </w:r>
            <w:r>
              <w:rPr>
                <w:rFonts w:hint="eastAsia" w:ascii="宋体" w:hAnsi="宋体" w:eastAsia="宋体" w:cs="宋体"/>
                <w:color w:val="auto"/>
                <w:kern w:val="0"/>
                <w:lang w:val="zh-TW" w:eastAsia="zh-TW"/>
              </w:rPr>
              <w:t>年</w:t>
            </w:r>
          </w:p>
        </w:tc>
        <w:tc>
          <w:tcPr>
            <w:tcW w:w="1811" w:type="dxa"/>
            <w:tcBorders>
              <w:top w:val="single" w:color="auto" w:sz="12" w:space="0"/>
            </w:tcBorders>
            <w:vAlign w:val="center"/>
          </w:tcPr>
          <w:p w14:paraId="564239A6">
            <w:pPr>
              <w:pStyle w:val="51"/>
              <w:adjustRightInd w:val="0"/>
              <w:snapToGrid w:val="0"/>
              <w:jc w:val="center"/>
              <w:rPr>
                <w:rFonts w:hint="eastAsia" w:ascii="宋体" w:hAnsi="宋体" w:eastAsia="宋体" w:cs="Times New Roman"/>
                <w:color w:val="auto"/>
              </w:rPr>
            </w:pPr>
            <w:r>
              <w:rPr>
                <w:rFonts w:ascii="宋体" w:hAnsi="宋体" w:eastAsia="宋体" w:cs="宋体"/>
                <w:color w:val="auto"/>
                <w:kern w:val="0"/>
                <w:lang w:val="zh-TW"/>
              </w:rPr>
              <w:t>_____</w:t>
            </w:r>
            <w:r>
              <w:rPr>
                <w:rFonts w:hint="eastAsia" w:ascii="宋体" w:hAnsi="宋体" w:eastAsia="宋体" w:cs="宋体"/>
                <w:color w:val="auto"/>
                <w:kern w:val="0"/>
                <w:lang w:val="zh-TW" w:eastAsia="zh-TW"/>
              </w:rPr>
              <w:t>年</w:t>
            </w:r>
          </w:p>
        </w:tc>
        <w:tc>
          <w:tcPr>
            <w:tcW w:w="1811" w:type="dxa"/>
            <w:tcBorders>
              <w:top w:val="single" w:color="auto" w:sz="12" w:space="0"/>
            </w:tcBorders>
            <w:vAlign w:val="center"/>
          </w:tcPr>
          <w:p w14:paraId="072C4621">
            <w:pPr>
              <w:pStyle w:val="51"/>
              <w:adjustRightInd w:val="0"/>
              <w:snapToGrid w:val="0"/>
              <w:jc w:val="center"/>
              <w:rPr>
                <w:rFonts w:hint="eastAsia" w:ascii="宋体" w:hAnsi="宋体" w:eastAsia="宋体" w:cs="Times New Roman"/>
                <w:color w:val="auto"/>
              </w:rPr>
            </w:pPr>
            <w:r>
              <w:rPr>
                <w:rFonts w:ascii="宋体" w:hAnsi="宋体" w:eastAsia="宋体" w:cs="宋体"/>
                <w:color w:val="auto"/>
                <w:kern w:val="0"/>
                <w:lang w:val="zh-TW"/>
              </w:rPr>
              <w:t>_____</w:t>
            </w:r>
            <w:r>
              <w:rPr>
                <w:rFonts w:hint="eastAsia" w:ascii="宋体" w:hAnsi="宋体" w:eastAsia="宋体" w:cs="宋体"/>
                <w:color w:val="auto"/>
                <w:kern w:val="0"/>
                <w:lang w:val="zh-TW" w:eastAsia="zh-TW"/>
              </w:rPr>
              <w:t>年</w:t>
            </w:r>
          </w:p>
        </w:tc>
      </w:tr>
      <w:tr w14:paraId="066162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05A1CDAE">
            <w:pPr>
              <w:pStyle w:val="51"/>
              <w:adjustRightInd w:val="0"/>
              <w:snapToGrid w:val="0"/>
              <w:rPr>
                <w:rFonts w:hint="eastAsia" w:ascii="宋体" w:hAnsi="宋体" w:eastAsia="宋体" w:cs="Times New Roman"/>
                <w:color w:val="auto"/>
              </w:rPr>
            </w:pPr>
            <w:r>
              <w:rPr>
                <w:rFonts w:hint="eastAsia" w:ascii="宋体" w:hAnsi="宋体" w:eastAsia="宋体" w:cs="宋体"/>
                <w:color w:val="auto"/>
                <w:kern w:val="0"/>
                <w:lang w:val="zh-TW" w:eastAsia="zh-TW"/>
              </w:rPr>
              <w:t>一、注册资金</w:t>
            </w:r>
          </w:p>
        </w:tc>
        <w:tc>
          <w:tcPr>
            <w:tcW w:w="1265" w:type="dxa"/>
            <w:vAlign w:val="center"/>
          </w:tcPr>
          <w:p w14:paraId="053B0A78">
            <w:pPr>
              <w:pStyle w:val="51"/>
              <w:adjustRightInd w:val="0"/>
              <w:snapToGrid w:val="0"/>
              <w:jc w:val="center"/>
              <w:rPr>
                <w:rFonts w:hint="eastAsia" w:ascii="宋体" w:hAnsi="宋体" w:eastAsia="宋体" w:cs="Times New Roman"/>
                <w:color w:val="auto"/>
              </w:rPr>
            </w:pPr>
            <w:r>
              <w:rPr>
                <w:rFonts w:hint="eastAsia" w:ascii="宋体" w:hAnsi="宋体" w:eastAsia="宋体" w:cs="宋体"/>
                <w:color w:val="auto"/>
                <w:kern w:val="0"/>
                <w:lang w:val="zh-TW" w:eastAsia="zh-TW"/>
              </w:rPr>
              <w:t>万元</w:t>
            </w:r>
          </w:p>
        </w:tc>
        <w:tc>
          <w:tcPr>
            <w:tcW w:w="1810" w:type="dxa"/>
            <w:vAlign w:val="center"/>
          </w:tcPr>
          <w:p w14:paraId="6D3B43E3">
            <w:pPr>
              <w:adjustRightInd w:val="0"/>
              <w:snapToGrid w:val="0"/>
              <w:jc w:val="center"/>
              <w:rPr>
                <w:rFonts w:ascii="宋体" w:cs="Times New Roman"/>
              </w:rPr>
            </w:pPr>
          </w:p>
        </w:tc>
        <w:tc>
          <w:tcPr>
            <w:tcW w:w="1811" w:type="dxa"/>
            <w:vAlign w:val="center"/>
          </w:tcPr>
          <w:p w14:paraId="26ADB731">
            <w:pPr>
              <w:adjustRightInd w:val="0"/>
              <w:snapToGrid w:val="0"/>
              <w:jc w:val="center"/>
              <w:rPr>
                <w:rFonts w:ascii="宋体" w:cs="Times New Roman"/>
              </w:rPr>
            </w:pPr>
          </w:p>
        </w:tc>
        <w:tc>
          <w:tcPr>
            <w:tcW w:w="1811" w:type="dxa"/>
            <w:vAlign w:val="center"/>
          </w:tcPr>
          <w:p w14:paraId="29DAFB16">
            <w:pPr>
              <w:adjustRightInd w:val="0"/>
              <w:snapToGrid w:val="0"/>
              <w:jc w:val="center"/>
              <w:rPr>
                <w:rFonts w:ascii="宋体" w:cs="Times New Roman"/>
              </w:rPr>
            </w:pPr>
          </w:p>
        </w:tc>
      </w:tr>
      <w:tr w14:paraId="1C524E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7337FB85">
            <w:pPr>
              <w:pStyle w:val="51"/>
              <w:adjustRightInd w:val="0"/>
              <w:snapToGrid w:val="0"/>
              <w:rPr>
                <w:rFonts w:hint="eastAsia" w:ascii="宋体" w:hAnsi="宋体" w:eastAsia="宋体" w:cs="Times New Roman"/>
                <w:color w:val="auto"/>
              </w:rPr>
            </w:pPr>
            <w:r>
              <w:rPr>
                <w:rFonts w:hint="eastAsia" w:ascii="宋体" w:hAnsi="宋体" w:eastAsia="宋体" w:cs="宋体"/>
                <w:color w:val="auto"/>
                <w:kern w:val="0"/>
                <w:lang w:val="zh-TW" w:eastAsia="zh-TW"/>
              </w:rPr>
              <w:t>二、净资产</w:t>
            </w:r>
          </w:p>
        </w:tc>
        <w:tc>
          <w:tcPr>
            <w:tcW w:w="1265" w:type="dxa"/>
            <w:vAlign w:val="center"/>
          </w:tcPr>
          <w:p w14:paraId="49E971AC">
            <w:pPr>
              <w:pStyle w:val="51"/>
              <w:adjustRightInd w:val="0"/>
              <w:snapToGrid w:val="0"/>
              <w:jc w:val="center"/>
              <w:rPr>
                <w:rFonts w:hint="eastAsia" w:ascii="宋体" w:hAnsi="宋体" w:eastAsia="宋体" w:cs="Times New Roman"/>
                <w:color w:val="auto"/>
              </w:rPr>
            </w:pPr>
            <w:r>
              <w:rPr>
                <w:rFonts w:hint="eastAsia" w:ascii="宋体" w:hAnsi="宋体" w:eastAsia="宋体" w:cs="宋体"/>
                <w:color w:val="auto"/>
                <w:kern w:val="0"/>
                <w:lang w:val="zh-TW" w:eastAsia="zh-TW"/>
              </w:rPr>
              <w:t>万元</w:t>
            </w:r>
          </w:p>
        </w:tc>
        <w:tc>
          <w:tcPr>
            <w:tcW w:w="1810" w:type="dxa"/>
            <w:vAlign w:val="center"/>
          </w:tcPr>
          <w:p w14:paraId="02328A46">
            <w:pPr>
              <w:adjustRightInd w:val="0"/>
              <w:snapToGrid w:val="0"/>
              <w:jc w:val="center"/>
              <w:rPr>
                <w:rFonts w:ascii="宋体" w:cs="Times New Roman"/>
              </w:rPr>
            </w:pPr>
          </w:p>
        </w:tc>
        <w:tc>
          <w:tcPr>
            <w:tcW w:w="1811" w:type="dxa"/>
            <w:vAlign w:val="center"/>
          </w:tcPr>
          <w:p w14:paraId="79B7D628">
            <w:pPr>
              <w:adjustRightInd w:val="0"/>
              <w:snapToGrid w:val="0"/>
              <w:jc w:val="center"/>
              <w:rPr>
                <w:rFonts w:ascii="宋体" w:cs="Times New Roman"/>
              </w:rPr>
            </w:pPr>
          </w:p>
        </w:tc>
        <w:tc>
          <w:tcPr>
            <w:tcW w:w="1811" w:type="dxa"/>
            <w:vAlign w:val="center"/>
          </w:tcPr>
          <w:p w14:paraId="6CA142B0">
            <w:pPr>
              <w:adjustRightInd w:val="0"/>
              <w:snapToGrid w:val="0"/>
              <w:jc w:val="center"/>
              <w:rPr>
                <w:rFonts w:ascii="宋体" w:cs="Times New Roman"/>
              </w:rPr>
            </w:pPr>
          </w:p>
        </w:tc>
      </w:tr>
      <w:tr w14:paraId="74D327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1FEF602B">
            <w:pPr>
              <w:pStyle w:val="51"/>
              <w:adjustRightInd w:val="0"/>
              <w:snapToGrid w:val="0"/>
              <w:rPr>
                <w:rFonts w:hint="eastAsia" w:ascii="宋体" w:hAnsi="宋体" w:eastAsia="宋体" w:cs="Times New Roman"/>
                <w:color w:val="auto"/>
              </w:rPr>
            </w:pPr>
            <w:r>
              <w:rPr>
                <w:rFonts w:hint="eastAsia" w:ascii="宋体" w:hAnsi="宋体" w:eastAsia="宋体" w:cs="宋体"/>
                <w:color w:val="auto"/>
                <w:kern w:val="0"/>
                <w:lang w:val="zh-TW" w:eastAsia="zh-TW"/>
              </w:rPr>
              <w:t>三、总资产</w:t>
            </w:r>
          </w:p>
        </w:tc>
        <w:tc>
          <w:tcPr>
            <w:tcW w:w="1265" w:type="dxa"/>
            <w:vAlign w:val="center"/>
          </w:tcPr>
          <w:p w14:paraId="5D28D1D2">
            <w:pPr>
              <w:pStyle w:val="51"/>
              <w:adjustRightInd w:val="0"/>
              <w:snapToGrid w:val="0"/>
              <w:jc w:val="center"/>
              <w:rPr>
                <w:rFonts w:hint="eastAsia" w:ascii="宋体" w:hAnsi="宋体" w:eastAsia="宋体" w:cs="Times New Roman"/>
                <w:color w:val="auto"/>
              </w:rPr>
            </w:pPr>
            <w:r>
              <w:rPr>
                <w:rFonts w:hint="eastAsia" w:ascii="宋体" w:hAnsi="宋体" w:eastAsia="宋体" w:cs="宋体"/>
                <w:color w:val="auto"/>
                <w:kern w:val="0"/>
                <w:lang w:val="zh-TW" w:eastAsia="zh-TW"/>
              </w:rPr>
              <w:t>万元</w:t>
            </w:r>
          </w:p>
        </w:tc>
        <w:tc>
          <w:tcPr>
            <w:tcW w:w="1810" w:type="dxa"/>
            <w:vAlign w:val="center"/>
          </w:tcPr>
          <w:p w14:paraId="0D552B10">
            <w:pPr>
              <w:adjustRightInd w:val="0"/>
              <w:snapToGrid w:val="0"/>
              <w:jc w:val="center"/>
              <w:rPr>
                <w:rFonts w:ascii="宋体" w:cs="Times New Roman"/>
              </w:rPr>
            </w:pPr>
          </w:p>
        </w:tc>
        <w:tc>
          <w:tcPr>
            <w:tcW w:w="1811" w:type="dxa"/>
            <w:vAlign w:val="center"/>
          </w:tcPr>
          <w:p w14:paraId="2A5970C6">
            <w:pPr>
              <w:adjustRightInd w:val="0"/>
              <w:snapToGrid w:val="0"/>
              <w:jc w:val="center"/>
              <w:rPr>
                <w:rFonts w:ascii="宋体" w:cs="Times New Roman"/>
              </w:rPr>
            </w:pPr>
          </w:p>
        </w:tc>
        <w:tc>
          <w:tcPr>
            <w:tcW w:w="1811" w:type="dxa"/>
            <w:vAlign w:val="center"/>
          </w:tcPr>
          <w:p w14:paraId="41DA9EE6">
            <w:pPr>
              <w:adjustRightInd w:val="0"/>
              <w:snapToGrid w:val="0"/>
              <w:jc w:val="center"/>
              <w:rPr>
                <w:rFonts w:ascii="宋体" w:cs="Times New Roman"/>
              </w:rPr>
            </w:pPr>
          </w:p>
        </w:tc>
      </w:tr>
      <w:tr w14:paraId="1F83CE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62DD67C2">
            <w:pPr>
              <w:pStyle w:val="51"/>
              <w:adjustRightInd w:val="0"/>
              <w:snapToGrid w:val="0"/>
              <w:rPr>
                <w:rFonts w:hint="eastAsia" w:ascii="宋体" w:hAnsi="宋体" w:eastAsia="宋体" w:cs="Times New Roman"/>
                <w:color w:val="auto"/>
              </w:rPr>
            </w:pPr>
            <w:r>
              <w:rPr>
                <w:rFonts w:hint="eastAsia" w:ascii="宋体" w:hAnsi="宋体" w:eastAsia="宋体" w:cs="宋体"/>
                <w:color w:val="auto"/>
                <w:kern w:val="0"/>
                <w:lang w:val="zh-TW" w:eastAsia="zh-TW"/>
              </w:rPr>
              <w:t>四、固定资产</w:t>
            </w:r>
          </w:p>
        </w:tc>
        <w:tc>
          <w:tcPr>
            <w:tcW w:w="1265" w:type="dxa"/>
            <w:vAlign w:val="center"/>
          </w:tcPr>
          <w:p w14:paraId="2CE98066">
            <w:pPr>
              <w:pStyle w:val="51"/>
              <w:adjustRightInd w:val="0"/>
              <w:snapToGrid w:val="0"/>
              <w:jc w:val="center"/>
              <w:rPr>
                <w:rFonts w:hint="eastAsia" w:ascii="宋体" w:hAnsi="宋体" w:eastAsia="宋体" w:cs="Times New Roman"/>
                <w:color w:val="auto"/>
              </w:rPr>
            </w:pPr>
            <w:r>
              <w:rPr>
                <w:rFonts w:hint="eastAsia" w:ascii="宋体" w:hAnsi="宋体" w:eastAsia="宋体" w:cs="宋体"/>
                <w:color w:val="auto"/>
                <w:kern w:val="0"/>
                <w:lang w:val="zh-TW" w:eastAsia="zh-TW"/>
              </w:rPr>
              <w:t>万元</w:t>
            </w:r>
          </w:p>
        </w:tc>
        <w:tc>
          <w:tcPr>
            <w:tcW w:w="1810" w:type="dxa"/>
            <w:vAlign w:val="center"/>
          </w:tcPr>
          <w:p w14:paraId="30816D3E">
            <w:pPr>
              <w:adjustRightInd w:val="0"/>
              <w:snapToGrid w:val="0"/>
              <w:jc w:val="center"/>
              <w:rPr>
                <w:rFonts w:ascii="宋体" w:cs="Times New Roman"/>
              </w:rPr>
            </w:pPr>
          </w:p>
        </w:tc>
        <w:tc>
          <w:tcPr>
            <w:tcW w:w="1811" w:type="dxa"/>
            <w:vAlign w:val="center"/>
          </w:tcPr>
          <w:p w14:paraId="472367A6">
            <w:pPr>
              <w:adjustRightInd w:val="0"/>
              <w:snapToGrid w:val="0"/>
              <w:jc w:val="center"/>
              <w:rPr>
                <w:rFonts w:ascii="宋体" w:cs="Times New Roman"/>
              </w:rPr>
            </w:pPr>
          </w:p>
        </w:tc>
        <w:tc>
          <w:tcPr>
            <w:tcW w:w="1811" w:type="dxa"/>
            <w:vAlign w:val="center"/>
          </w:tcPr>
          <w:p w14:paraId="2100BEF5">
            <w:pPr>
              <w:adjustRightInd w:val="0"/>
              <w:snapToGrid w:val="0"/>
              <w:jc w:val="center"/>
              <w:rPr>
                <w:rFonts w:ascii="宋体" w:cs="Times New Roman"/>
              </w:rPr>
            </w:pPr>
          </w:p>
        </w:tc>
      </w:tr>
      <w:tr w14:paraId="79F533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15809219">
            <w:pPr>
              <w:pStyle w:val="51"/>
              <w:adjustRightInd w:val="0"/>
              <w:snapToGrid w:val="0"/>
              <w:rPr>
                <w:rFonts w:hint="eastAsia" w:ascii="宋体" w:hAnsi="宋体" w:eastAsia="宋体" w:cs="Times New Roman"/>
                <w:color w:val="auto"/>
              </w:rPr>
            </w:pPr>
            <w:r>
              <w:rPr>
                <w:rFonts w:hint="eastAsia" w:ascii="宋体" w:hAnsi="宋体" w:eastAsia="宋体" w:cs="宋体"/>
                <w:color w:val="auto"/>
                <w:kern w:val="0"/>
                <w:lang w:val="zh-TW" w:eastAsia="zh-TW"/>
              </w:rPr>
              <w:t>五、流动资产</w:t>
            </w:r>
          </w:p>
        </w:tc>
        <w:tc>
          <w:tcPr>
            <w:tcW w:w="1265" w:type="dxa"/>
            <w:vAlign w:val="center"/>
          </w:tcPr>
          <w:p w14:paraId="57D8F6D2">
            <w:pPr>
              <w:pStyle w:val="51"/>
              <w:adjustRightInd w:val="0"/>
              <w:snapToGrid w:val="0"/>
              <w:jc w:val="center"/>
              <w:rPr>
                <w:rFonts w:hint="eastAsia" w:ascii="宋体" w:hAnsi="宋体" w:eastAsia="宋体" w:cs="Times New Roman"/>
                <w:color w:val="auto"/>
              </w:rPr>
            </w:pPr>
            <w:r>
              <w:rPr>
                <w:rFonts w:hint="eastAsia" w:ascii="宋体" w:hAnsi="宋体" w:eastAsia="宋体" w:cs="宋体"/>
                <w:color w:val="auto"/>
                <w:kern w:val="0"/>
                <w:lang w:val="zh-TW" w:eastAsia="zh-TW"/>
              </w:rPr>
              <w:t>万元</w:t>
            </w:r>
          </w:p>
        </w:tc>
        <w:tc>
          <w:tcPr>
            <w:tcW w:w="1810" w:type="dxa"/>
            <w:vAlign w:val="center"/>
          </w:tcPr>
          <w:p w14:paraId="5B0282B4">
            <w:pPr>
              <w:adjustRightInd w:val="0"/>
              <w:snapToGrid w:val="0"/>
              <w:jc w:val="center"/>
              <w:rPr>
                <w:rFonts w:ascii="宋体" w:cs="Times New Roman"/>
              </w:rPr>
            </w:pPr>
          </w:p>
        </w:tc>
        <w:tc>
          <w:tcPr>
            <w:tcW w:w="1811" w:type="dxa"/>
            <w:vAlign w:val="center"/>
          </w:tcPr>
          <w:p w14:paraId="1932F13C">
            <w:pPr>
              <w:adjustRightInd w:val="0"/>
              <w:snapToGrid w:val="0"/>
              <w:jc w:val="center"/>
              <w:rPr>
                <w:rFonts w:ascii="宋体" w:cs="Times New Roman"/>
              </w:rPr>
            </w:pPr>
          </w:p>
        </w:tc>
        <w:tc>
          <w:tcPr>
            <w:tcW w:w="1811" w:type="dxa"/>
            <w:vAlign w:val="center"/>
          </w:tcPr>
          <w:p w14:paraId="00F964F3">
            <w:pPr>
              <w:adjustRightInd w:val="0"/>
              <w:snapToGrid w:val="0"/>
              <w:jc w:val="center"/>
              <w:rPr>
                <w:rFonts w:ascii="宋体" w:cs="Times New Roman"/>
              </w:rPr>
            </w:pPr>
          </w:p>
        </w:tc>
      </w:tr>
      <w:tr w14:paraId="7BB1FB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644CA212">
            <w:pPr>
              <w:pStyle w:val="51"/>
              <w:adjustRightInd w:val="0"/>
              <w:snapToGrid w:val="0"/>
              <w:rPr>
                <w:rFonts w:hint="eastAsia" w:ascii="宋体" w:hAnsi="宋体" w:eastAsia="宋体" w:cs="Times New Roman"/>
                <w:color w:val="auto"/>
              </w:rPr>
            </w:pPr>
            <w:r>
              <w:rPr>
                <w:rFonts w:hint="eastAsia" w:ascii="宋体" w:hAnsi="宋体" w:eastAsia="宋体" w:cs="宋体"/>
                <w:color w:val="auto"/>
                <w:kern w:val="0"/>
                <w:lang w:val="zh-TW" w:eastAsia="zh-TW"/>
              </w:rPr>
              <w:t>六、流动负债</w:t>
            </w:r>
          </w:p>
        </w:tc>
        <w:tc>
          <w:tcPr>
            <w:tcW w:w="1265" w:type="dxa"/>
            <w:vAlign w:val="center"/>
          </w:tcPr>
          <w:p w14:paraId="0C76DAE4">
            <w:pPr>
              <w:pStyle w:val="51"/>
              <w:adjustRightInd w:val="0"/>
              <w:snapToGrid w:val="0"/>
              <w:jc w:val="center"/>
              <w:rPr>
                <w:rFonts w:hint="eastAsia" w:ascii="宋体" w:hAnsi="宋体" w:eastAsia="宋体" w:cs="Times New Roman"/>
                <w:color w:val="auto"/>
              </w:rPr>
            </w:pPr>
            <w:r>
              <w:rPr>
                <w:rFonts w:hint="eastAsia" w:ascii="宋体" w:hAnsi="宋体" w:eastAsia="宋体" w:cs="宋体"/>
                <w:color w:val="auto"/>
                <w:kern w:val="0"/>
                <w:lang w:val="zh-TW" w:eastAsia="zh-TW"/>
              </w:rPr>
              <w:t>万元</w:t>
            </w:r>
          </w:p>
        </w:tc>
        <w:tc>
          <w:tcPr>
            <w:tcW w:w="1810" w:type="dxa"/>
            <w:vAlign w:val="center"/>
          </w:tcPr>
          <w:p w14:paraId="6EC7B46F">
            <w:pPr>
              <w:adjustRightInd w:val="0"/>
              <w:snapToGrid w:val="0"/>
              <w:jc w:val="center"/>
              <w:rPr>
                <w:rFonts w:ascii="宋体" w:cs="Times New Roman"/>
              </w:rPr>
            </w:pPr>
          </w:p>
        </w:tc>
        <w:tc>
          <w:tcPr>
            <w:tcW w:w="1811" w:type="dxa"/>
            <w:vAlign w:val="center"/>
          </w:tcPr>
          <w:p w14:paraId="19B338EB">
            <w:pPr>
              <w:adjustRightInd w:val="0"/>
              <w:snapToGrid w:val="0"/>
              <w:jc w:val="center"/>
              <w:rPr>
                <w:rFonts w:ascii="宋体" w:cs="Times New Roman"/>
              </w:rPr>
            </w:pPr>
          </w:p>
        </w:tc>
        <w:tc>
          <w:tcPr>
            <w:tcW w:w="1811" w:type="dxa"/>
            <w:vAlign w:val="center"/>
          </w:tcPr>
          <w:p w14:paraId="5819E450">
            <w:pPr>
              <w:adjustRightInd w:val="0"/>
              <w:snapToGrid w:val="0"/>
              <w:jc w:val="center"/>
              <w:rPr>
                <w:rFonts w:ascii="宋体" w:cs="Times New Roman"/>
              </w:rPr>
            </w:pPr>
          </w:p>
        </w:tc>
      </w:tr>
      <w:tr w14:paraId="72984D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6B070B11">
            <w:pPr>
              <w:pStyle w:val="51"/>
              <w:adjustRightInd w:val="0"/>
              <w:snapToGrid w:val="0"/>
              <w:rPr>
                <w:rFonts w:hint="eastAsia" w:ascii="宋体" w:hAnsi="宋体" w:eastAsia="宋体" w:cs="Times New Roman"/>
                <w:color w:val="auto"/>
              </w:rPr>
            </w:pPr>
            <w:r>
              <w:rPr>
                <w:rFonts w:hint="eastAsia" w:ascii="宋体" w:hAnsi="宋体" w:eastAsia="宋体" w:cs="宋体"/>
                <w:color w:val="auto"/>
                <w:kern w:val="0"/>
                <w:lang w:val="zh-TW" w:eastAsia="zh-TW"/>
              </w:rPr>
              <w:t>七、负债合计</w:t>
            </w:r>
          </w:p>
        </w:tc>
        <w:tc>
          <w:tcPr>
            <w:tcW w:w="1265" w:type="dxa"/>
            <w:vAlign w:val="center"/>
          </w:tcPr>
          <w:p w14:paraId="6B01ECF0">
            <w:pPr>
              <w:pStyle w:val="51"/>
              <w:adjustRightInd w:val="0"/>
              <w:snapToGrid w:val="0"/>
              <w:jc w:val="center"/>
              <w:rPr>
                <w:rFonts w:hint="eastAsia" w:ascii="宋体" w:hAnsi="宋体" w:eastAsia="宋体" w:cs="Times New Roman"/>
                <w:color w:val="auto"/>
              </w:rPr>
            </w:pPr>
            <w:r>
              <w:rPr>
                <w:rFonts w:hint="eastAsia" w:ascii="宋体" w:hAnsi="宋体" w:eastAsia="宋体" w:cs="宋体"/>
                <w:color w:val="auto"/>
                <w:kern w:val="0"/>
                <w:lang w:val="zh-TW" w:eastAsia="zh-TW"/>
              </w:rPr>
              <w:t>万元</w:t>
            </w:r>
          </w:p>
        </w:tc>
        <w:tc>
          <w:tcPr>
            <w:tcW w:w="1810" w:type="dxa"/>
            <w:vAlign w:val="center"/>
          </w:tcPr>
          <w:p w14:paraId="201F8E9A">
            <w:pPr>
              <w:adjustRightInd w:val="0"/>
              <w:snapToGrid w:val="0"/>
              <w:jc w:val="center"/>
              <w:rPr>
                <w:rFonts w:ascii="宋体" w:cs="Times New Roman"/>
              </w:rPr>
            </w:pPr>
          </w:p>
        </w:tc>
        <w:tc>
          <w:tcPr>
            <w:tcW w:w="1811" w:type="dxa"/>
            <w:vAlign w:val="center"/>
          </w:tcPr>
          <w:p w14:paraId="6F6B928B">
            <w:pPr>
              <w:adjustRightInd w:val="0"/>
              <w:snapToGrid w:val="0"/>
              <w:jc w:val="center"/>
              <w:rPr>
                <w:rFonts w:ascii="宋体" w:cs="Times New Roman"/>
              </w:rPr>
            </w:pPr>
          </w:p>
        </w:tc>
        <w:tc>
          <w:tcPr>
            <w:tcW w:w="1811" w:type="dxa"/>
            <w:vAlign w:val="center"/>
          </w:tcPr>
          <w:p w14:paraId="7273D390">
            <w:pPr>
              <w:adjustRightInd w:val="0"/>
              <w:snapToGrid w:val="0"/>
              <w:jc w:val="center"/>
              <w:rPr>
                <w:rFonts w:ascii="宋体" w:cs="Times New Roman"/>
              </w:rPr>
            </w:pPr>
          </w:p>
        </w:tc>
      </w:tr>
      <w:tr w14:paraId="3D876B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6EECA8DC">
            <w:pPr>
              <w:pStyle w:val="51"/>
              <w:adjustRightInd w:val="0"/>
              <w:snapToGrid w:val="0"/>
              <w:rPr>
                <w:rFonts w:hint="eastAsia" w:ascii="宋体" w:hAnsi="宋体" w:eastAsia="宋体" w:cs="Times New Roman"/>
                <w:color w:val="auto"/>
              </w:rPr>
            </w:pPr>
            <w:r>
              <w:rPr>
                <w:rFonts w:hint="eastAsia" w:ascii="宋体" w:hAnsi="宋体" w:eastAsia="宋体" w:cs="宋体"/>
                <w:color w:val="auto"/>
                <w:kern w:val="0"/>
                <w:lang w:val="zh-TW" w:eastAsia="zh-TW"/>
              </w:rPr>
              <w:t>八、营业收入</w:t>
            </w:r>
          </w:p>
        </w:tc>
        <w:tc>
          <w:tcPr>
            <w:tcW w:w="1265" w:type="dxa"/>
            <w:vAlign w:val="center"/>
          </w:tcPr>
          <w:p w14:paraId="09FF0283">
            <w:pPr>
              <w:pStyle w:val="51"/>
              <w:adjustRightInd w:val="0"/>
              <w:snapToGrid w:val="0"/>
              <w:jc w:val="center"/>
              <w:rPr>
                <w:rFonts w:hint="eastAsia" w:ascii="宋体" w:hAnsi="宋体" w:eastAsia="宋体" w:cs="Times New Roman"/>
                <w:color w:val="auto"/>
              </w:rPr>
            </w:pPr>
            <w:r>
              <w:rPr>
                <w:rFonts w:hint="eastAsia" w:ascii="宋体" w:hAnsi="宋体" w:eastAsia="宋体" w:cs="宋体"/>
                <w:color w:val="auto"/>
                <w:kern w:val="0"/>
                <w:lang w:val="zh-TW" w:eastAsia="zh-TW"/>
              </w:rPr>
              <w:t>万元</w:t>
            </w:r>
          </w:p>
        </w:tc>
        <w:tc>
          <w:tcPr>
            <w:tcW w:w="1810" w:type="dxa"/>
            <w:vAlign w:val="center"/>
          </w:tcPr>
          <w:p w14:paraId="0350316F">
            <w:pPr>
              <w:adjustRightInd w:val="0"/>
              <w:snapToGrid w:val="0"/>
              <w:jc w:val="center"/>
              <w:rPr>
                <w:rFonts w:ascii="宋体" w:cs="Times New Roman"/>
              </w:rPr>
            </w:pPr>
          </w:p>
        </w:tc>
        <w:tc>
          <w:tcPr>
            <w:tcW w:w="1811" w:type="dxa"/>
            <w:vAlign w:val="center"/>
          </w:tcPr>
          <w:p w14:paraId="55D4CC37">
            <w:pPr>
              <w:adjustRightInd w:val="0"/>
              <w:snapToGrid w:val="0"/>
              <w:jc w:val="center"/>
              <w:rPr>
                <w:rFonts w:ascii="宋体" w:cs="Times New Roman"/>
              </w:rPr>
            </w:pPr>
          </w:p>
        </w:tc>
        <w:tc>
          <w:tcPr>
            <w:tcW w:w="1811" w:type="dxa"/>
            <w:vAlign w:val="center"/>
          </w:tcPr>
          <w:p w14:paraId="39B36354">
            <w:pPr>
              <w:adjustRightInd w:val="0"/>
              <w:snapToGrid w:val="0"/>
              <w:jc w:val="center"/>
              <w:rPr>
                <w:rFonts w:ascii="宋体" w:cs="Times New Roman"/>
              </w:rPr>
            </w:pPr>
          </w:p>
        </w:tc>
      </w:tr>
      <w:tr w14:paraId="439E99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2638F7AE">
            <w:pPr>
              <w:pStyle w:val="51"/>
              <w:adjustRightInd w:val="0"/>
              <w:snapToGrid w:val="0"/>
              <w:rPr>
                <w:rFonts w:hint="eastAsia" w:ascii="宋体" w:hAnsi="宋体" w:eastAsia="宋体" w:cs="Times New Roman"/>
                <w:color w:val="auto"/>
              </w:rPr>
            </w:pPr>
            <w:r>
              <w:rPr>
                <w:rFonts w:hint="eastAsia" w:ascii="宋体" w:hAnsi="宋体" w:eastAsia="宋体" w:cs="宋体"/>
                <w:color w:val="auto"/>
                <w:kern w:val="0"/>
                <w:lang w:val="zh-TW" w:eastAsia="zh-TW"/>
              </w:rPr>
              <w:t>九、净利润</w:t>
            </w:r>
          </w:p>
        </w:tc>
        <w:tc>
          <w:tcPr>
            <w:tcW w:w="1265" w:type="dxa"/>
            <w:vAlign w:val="center"/>
          </w:tcPr>
          <w:p w14:paraId="1CBE655D">
            <w:pPr>
              <w:pStyle w:val="51"/>
              <w:adjustRightInd w:val="0"/>
              <w:snapToGrid w:val="0"/>
              <w:jc w:val="center"/>
              <w:rPr>
                <w:rFonts w:hint="eastAsia" w:ascii="宋体" w:hAnsi="宋体" w:eastAsia="宋体" w:cs="Times New Roman"/>
                <w:color w:val="auto"/>
              </w:rPr>
            </w:pPr>
            <w:r>
              <w:rPr>
                <w:rFonts w:hint="eastAsia" w:ascii="宋体" w:hAnsi="宋体" w:eastAsia="宋体" w:cs="宋体"/>
                <w:color w:val="auto"/>
                <w:kern w:val="0"/>
                <w:lang w:val="zh-TW" w:eastAsia="zh-TW"/>
              </w:rPr>
              <w:t>万元</w:t>
            </w:r>
          </w:p>
        </w:tc>
        <w:tc>
          <w:tcPr>
            <w:tcW w:w="1810" w:type="dxa"/>
            <w:vAlign w:val="center"/>
          </w:tcPr>
          <w:p w14:paraId="2FC00F29">
            <w:pPr>
              <w:adjustRightInd w:val="0"/>
              <w:snapToGrid w:val="0"/>
              <w:jc w:val="center"/>
              <w:rPr>
                <w:rFonts w:ascii="宋体" w:cs="Times New Roman"/>
              </w:rPr>
            </w:pPr>
          </w:p>
        </w:tc>
        <w:tc>
          <w:tcPr>
            <w:tcW w:w="1811" w:type="dxa"/>
            <w:vAlign w:val="center"/>
          </w:tcPr>
          <w:p w14:paraId="172C7C0D">
            <w:pPr>
              <w:adjustRightInd w:val="0"/>
              <w:snapToGrid w:val="0"/>
              <w:jc w:val="center"/>
              <w:rPr>
                <w:rFonts w:ascii="宋体" w:cs="Times New Roman"/>
              </w:rPr>
            </w:pPr>
          </w:p>
        </w:tc>
        <w:tc>
          <w:tcPr>
            <w:tcW w:w="1811" w:type="dxa"/>
            <w:vAlign w:val="center"/>
          </w:tcPr>
          <w:p w14:paraId="221B0DD9">
            <w:pPr>
              <w:adjustRightInd w:val="0"/>
              <w:snapToGrid w:val="0"/>
              <w:jc w:val="center"/>
              <w:rPr>
                <w:rFonts w:ascii="宋体" w:cs="Times New Roman"/>
              </w:rPr>
            </w:pPr>
          </w:p>
        </w:tc>
      </w:tr>
      <w:tr w14:paraId="22EA7A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3CF513C4">
            <w:pPr>
              <w:pStyle w:val="51"/>
              <w:adjustRightInd w:val="0"/>
              <w:snapToGrid w:val="0"/>
              <w:rPr>
                <w:rFonts w:hint="eastAsia" w:ascii="宋体" w:hAnsi="宋体" w:eastAsia="宋体" w:cs="Times New Roman"/>
                <w:color w:val="auto"/>
              </w:rPr>
            </w:pPr>
            <w:r>
              <w:rPr>
                <w:rFonts w:hint="eastAsia" w:ascii="宋体" w:hAnsi="宋体" w:eastAsia="宋体" w:cs="宋体"/>
                <w:color w:val="auto"/>
                <w:kern w:val="0"/>
                <w:lang w:val="zh-TW" w:eastAsia="zh-TW"/>
              </w:rPr>
              <w:t>十、现金流量净额</w:t>
            </w:r>
          </w:p>
        </w:tc>
        <w:tc>
          <w:tcPr>
            <w:tcW w:w="1265" w:type="dxa"/>
            <w:vAlign w:val="center"/>
          </w:tcPr>
          <w:p w14:paraId="0C892B80">
            <w:pPr>
              <w:pStyle w:val="51"/>
              <w:adjustRightInd w:val="0"/>
              <w:snapToGrid w:val="0"/>
              <w:jc w:val="center"/>
              <w:rPr>
                <w:rFonts w:hint="eastAsia" w:ascii="宋体" w:hAnsi="宋体" w:eastAsia="宋体" w:cs="Times New Roman"/>
                <w:color w:val="auto"/>
              </w:rPr>
            </w:pPr>
            <w:r>
              <w:rPr>
                <w:rFonts w:hint="eastAsia" w:ascii="宋体" w:hAnsi="宋体" w:eastAsia="宋体" w:cs="宋体"/>
                <w:color w:val="auto"/>
                <w:kern w:val="0"/>
                <w:lang w:val="zh-TW" w:eastAsia="zh-TW"/>
              </w:rPr>
              <w:t>万元</w:t>
            </w:r>
          </w:p>
        </w:tc>
        <w:tc>
          <w:tcPr>
            <w:tcW w:w="1810" w:type="dxa"/>
            <w:vAlign w:val="center"/>
          </w:tcPr>
          <w:p w14:paraId="4ECAC107">
            <w:pPr>
              <w:adjustRightInd w:val="0"/>
              <w:snapToGrid w:val="0"/>
              <w:jc w:val="center"/>
              <w:rPr>
                <w:rFonts w:ascii="宋体" w:cs="Times New Roman"/>
              </w:rPr>
            </w:pPr>
          </w:p>
        </w:tc>
        <w:tc>
          <w:tcPr>
            <w:tcW w:w="1811" w:type="dxa"/>
            <w:vAlign w:val="center"/>
          </w:tcPr>
          <w:p w14:paraId="7A0375F3">
            <w:pPr>
              <w:adjustRightInd w:val="0"/>
              <w:snapToGrid w:val="0"/>
              <w:jc w:val="center"/>
              <w:rPr>
                <w:rFonts w:ascii="宋体" w:cs="Times New Roman"/>
              </w:rPr>
            </w:pPr>
          </w:p>
        </w:tc>
        <w:tc>
          <w:tcPr>
            <w:tcW w:w="1811" w:type="dxa"/>
            <w:vAlign w:val="center"/>
          </w:tcPr>
          <w:p w14:paraId="4DBCC5D6">
            <w:pPr>
              <w:adjustRightInd w:val="0"/>
              <w:snapToGrid w:val="0"/>
              <w:jc w:val="center"/>
              <w:rPr>
                <w:rFonts w:ascii="宋体" w:cs="Times New Roman"/>
              </w:rPr>
            </w:pPr>
          </w:p>
        </w:tc>
      </w:tr>
      <w:tr w14:paraId="350769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51469D64">
            <w:pPr>
              <w:pStyle w:val="51"/>
              <w:adjustRightInd w:val="0"/>
              <w:snapToGrid w:val="0"/>
              <w:rPr>
                <w:rFonts w:hint="eastAsia" w:ascii="宋体" w:hAnsi="宋体" w:eastAsia="宋体" w:cs="Times New Roman"/>
                <w:color w:val="auto"/>
              </w:rPr>
            </w:pPr>
            <w:r>
              <w:rPr>
                <w:rFonts w:hint="eastAsia" w:ascii="宋体" w:hAnsi="宋体" w:eastAsia="宋体" w:cs="宋体"/>
                <w:color w:val="auto"/>
                <w:kern w:val="0"/>
                <w:lang w:val="zh-TW" w:eastAsia="zh-TW"/>
              </w:rPr>
              <w:t>十一、主要财务指标</w:t>
            </w:r>
          </w:p>
        </w:tc>
        <w:tc>
          <w:tcPr>
            <w:tcW w:w="1265" w:type="dxa"/>
            <w:vAlign w:val="center"/>
          </w:tcPr>
          <w:p w14:paraId="5739F75F">
            <w:pPr>
              <w:adjustRightInd w:val="0"/>
              <w:snapToGrid w:val="0"/>
              <w:jc w:val="center"/>
              <w:rPr>
                <w:rFonts w:ascii="宋体" w:cs="Times New Roman"/>
              </w:rPr>
            </w:pPr>
          </w:p>
        </w:tc>
        <w:tc>
          <w:tcPr>
            <w:tcW w:w="1810" w:type="dxa"/>
            <w:vAlign w:val="center"/>
          </w:tcPr>
          <w:p w14:paraId="3EDE5274">
            <w:pPr>
              <w:adjustRightInd w:val="0"/>
              <w:snapToGrid w:val="0"/>
              <w:jc w:val="center"/>
              <w:rPr>
                <w:rFonts w:ascii="宋体" w:cs="Times New Roman"/>
              </w:rPr>
            </w:pPr>
          </w:p>
        </w:tc>
        <w:tc>
          <w:tcPr>
            <w:tcW w:w="1811" w:type="dxa"/>
            <w:vAlign w:val="center"/>
          </w:tcPr>
          <w:p w14:paraId="06260EAB">
            <w:pPr>
              <w:adjustRightInd w:val="0"/>
              <w:snapToGrid w:val="0"/>
              <w:jc w:val="center"/>
              <w:rPr>
                <w:rFonts w:ascii="宋体" w:cs="Times New Roman"/>
              </w:rPr>
            </w:pPr>
          </w:p>
        </w:tc>
        <w:tc>
          <w:tcPr>
            <w:tcW w:w="1811" w:type="dxa"/>
            <w:vAlign w:val="center"/>
          </w:tcPr>
          <w:p w14:paraId="2D40C1C2">
            <w:pPr>
              <w:adjustRightInd w:val="0"/>
              <w:snapToGrid w:val="0"/>
              <w:jc w:val="center"/>
              <w:rPr>
                <w:rFonts w:ascii="宋体" w:cs="Times New Roman"/>
              </w:rPr>
            </w:pPr>
          </w:p>
        </w:tc>
      </w:tr>
      <w:tr w14:paraId="49B92F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1B0C03E8">
            <w:pPr>
              <w:pStyle w:val="51"/>
              <w:adjustRightInd w:val="0"/>
              <w:snapToGrid w:val="0"/>
              <w:ind w:firstLine="281" w:firstLineChars="134"/>
              <w:rPr>
                <w:rFonts w:hint="eastAsia" w:ascii="宋体" w:hAnsi="宋体" w:eastAsia="宋体" w:cs="Times New Roman"/>
                <w:color w:val="auto"/>
              </w:rPr>
            </w:pPr>
            <w:r>
              <w:rPr>
                <w:rFonts w:hint="eastAsia" w:ascii="宋体" w:hAnsi="宋体" w:eastAsia="宋体" w:cs="宋体"/>
                <w:color w:val="auto"/>
                <w:kern w:val="0"/>
              </w:rPr>
              <w:t>1.</w:t>
            </w:r>
            <w:r>
              <w:rPr>
                <w:rFonts w:hint="eastAsia" w:ascii="宋体" w:hAnsi="宋体" w:eastAsia="宋体" w:cs="宋体"/>
                <w:color w:val="auto"/>
                <w:kern w:val="0"/>
                <w:lang w:val="zh-TW" w:eastAsia="zh-TW"/>
              </w:rPr>
              <w:t>净资产收益率</w:t>
            </w:r>
          </w:p>
        </w:tc>
        <w:tc>
          <w:tcPr>
            <w:tcW w:w="1265" w:type="dxa"/>
            <w:vAlign w:val="center"/>
          </w:tcPr>
          <w:p w14:paraId="4010BC3F">
            <w:pPr>
              <w:pStyle w:val="51"/>
              <w:adjustRightInd w:val="0"/>
              <w:snapToGrid w:val="0"/>
              <w:jc w:val="center"/>
              <w:rPr>
                <w:rFonts w:hint="eastAsia" w:ascii="宋体" w:hAnsi="宋体" w:eastAsia="宋体" w:cs="Times New Roman"/>
                <w:color w:val="auto"/>
              </w:rPr>
            </w:pPr>
            <w:r>
              <w:rPr>
                <w:rFonts w:hint="eastAsia" w:ascii="宋体" w:hAnsi="宋体" w:eastAsia="宋体" w:cs="宋体"/>
                <w:color w:val="auto"/>
                <w:kern w:val="0"/>
                <w:lang w:val="zh-TW" w:eastAsia="zh-TW"/>
              </w:rPr>
              <w:t>％</w:t>
            </w:r>
          </w:p>
        </w:tc>
        <w:tc>
          <w:tcPr>
            <w:tcW w:w="1810" w:type="dxa"/>
            <w:vAlign w:val="center"/>
          </w:tcPr>
          <w:p w14:paraId="56B58026">
            <w:pPr>
              <w:adjustRightInd w:val="0"/>
              <w:snapToGrid w:val="0"/>
              <w:jc w:val="center"/>
              <w:rPr>
                <w:rFonts w:ascii="宋体" w:cs="Times New Roman"/>
              </w:rPr>
            </w:pPr>
          </w:p>
        </w:tc>
        <w:tc>
          <w:tcPr>
            <w:tcW w:w="1811" w:type="dxa"/>
            <w:vAlign w:val="center"/>
          </w:tcPr>
          <w:p w14:paraId="6B588BE7">
            <w:pPr>
              <w:adjustRightInd w:val="0"/>
              <w:snapToGrid w:val="0"/>
              <w:jc w:val="center"/>
              <w:rPr>
                <w:rFonts w:ascii="宋体" w:cs="Times New Roman"/>
              </w:rPr>
            </w:pPr>
          </w:p>
        </w:tc>
        <w:tc>
          <w:tcPr>
            <w:tcW w:w="1811" w:type="dxa"/>
            <w:vAlign w:val="center"/>
          </w:tcPr>
          <w:p w14:paraId="53966D32">
            <w:pPr>
              <w:adjustRightInd w:val="0"/>
              <w:snapToGrid w:val="0"/>
              <w:jc w:val="center"/>
              <w:rPr>
                <w:rFonts w:ascii="宋体" w:cs="Times New Roman"/>
              </w:rPr>
            </w:pPr>
          </w:p>
        </w:tc>
      </w:tr>
      <w:tr w14:paraId="455A17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419B1183">
            <w:pPr>
              <w:pStyle w:val="51"/>
              <w:adjustRightInd w:val="0"/>
              <w:snapToGrid w:val="0"/>
              <w:ind w:firstLine="281" w:firstLineChars="134"/>
              <w:rPr>
                <w:rFonts w:hint="eastAsia" w:ascii="宋体" w:hAnsi="宋体" w:eastAsia="宋体" w:cs="Times New Roman"/>
                <w:color w:val="auto"/>
              </w:rPr>
            </w:pPr>
            <w:r>
              <w:rPr>
                <w:rFonts w:hint="eastAsia" w:ascii="宋体" w:hAnsi="宋体" w:eastAsia="宋体" w:cs="宋体"/>
                <w:color w:val="auto"/>
                <w:kern w:val="0"/>
              </w:rPr>
              <w:t>2.</w:t>
            </w:r>
            <w:r>
              <w:rPr>
                <w:rFonts w:hint="eastAsia" w:ascii="宋体" w:hAnsi="宋体" w:eastAsia="宋体" w:cs="宋体"/>
                <w:color w:val="auto"/>
                <w:kern w:val="0"/>
                <w:lang w:val="zh-TW" w:eastAsia="zh-TW"/>
              </w:rPr>
              <w:t>总资产报酬率</w:t>
            </w:r>
          </w:p>
        </w:tc>
        <w:tc>
          <w:tcPr>
            <w:tcW w:w="1265" w:type="dxa"/>
            <w:vAlign w:val="center"/>
          </w:tcPr>
          <w:p w14:paraId="713525EB">
            <w:pPr>
              <w:pStyle w:val="51"/>
              <w:adjustRightInd w:val="0"/>
              <w:snapToGrid w:val="0"/>
              <w:jc w:val="center"/>
              <w:rPr>
                <w:rFonts w:hint="eastAsia" w:ascii="宋体" w:hAnsi="宋体" w:eastAsia="宋体" w:cs="Times New Roman"/>
                <w:color w:val="auto"/>
              </w:rPr>
            </w:pPr>
            <w:r>
              <w:rPr>
                <w:rFonts w:hint="eastAsia" w:ascii="宋体" w:hAnsi="宋体" w:eastAsia="宋体" w:cs="宋体"/>
                <w:color w:val="auto"/>
                <w:kern w:val="0"/>
                <w:lang w:val="zh-TW" w:eastAsia="zh-TW"/>
              </w:rPr>
              <w:t>％</w:t>
            </w:r>
          </w:p>
        </w:tc>
        <w:tc>
          <w:tcPr>
            <w:tcW w:w="1810" w:type="dxa"/>
            <w:vAlign w:val="center"/>
          </w:tcPr>
          <w:p w14:paraId="78842DED">
            <w:pPr>
              <w:adjustRightInd w:val="0"/>
              <w:snapToGrid w:val="0"/>
              <w:jc w:val="center"/>
              <w:rPr>
                <w:rFonts w:ascii="宋体" w:cs="Times New Roman"/>
              </w:rPr>
            </w:pPr>
          </w:p>
        </w:tc>
        <w:tc>
          <w:tcPr>
            <w:tcW w:w="1811" w:type="dxa"/>
            <w:vAlign w:val="center"/>
          </w:tcPr>
          <w:p w14:paraId="793FC597">
            <w:pPr>
              <w:adjustRightInd w:val="0"/>
              <w:snapToGrid w:val="0"/>
              <w:jc w:val="center"/>
              <w:rPr>
                <w:rFonts w:ascii="宋体" w:cs="Times New Roman"/>
              </w:rPr>
            </w:pPr>
          </w:p>
        </w:tc>
        <w:tc>
          <w:tcPr>
            <w:tcW w:w="1811" w:type="dxa"/>
            <w:vAlign w:val="center"/>
          </w:tcPr>
          <w:p w14:paraId="15676FE7">
            <w:pPr>
              <w:adjustRightInd w:val="0"/>
              <w:snapToGrid w:val="0"/>
              <w:jc w:val="center"/>
              <w:rPr>
                <w:rFonts w:ascii="宋体" w:cs="Times New Roman"/>
              </w:rPr>
            </w:pPr>
          </w:p>
        </w:tc>
      </w:tr>
      <w:tr w14:paraId="094352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01BB2651">
            <w:pPr>
              <w:pStyle w:val="51"/>
              <w:adjustRightInd w:val="0"/>
              <w:snapToGrid w:val="0"/>
              <w:ind w:firstLine="281" w:firstLineChars="134"/>
              <w:rPr>
                <w:rFonts w:hint="eastAsia" w:ascii="宋体" w:hAnsi="宋体" w:eastAsia="宋体" w:cs="Times New Roman"/>
                <w:color w:val="auto"/>
              </w:rPr>
            </w:pPr>
            <w:r>
              <w:rPr>
                <w:rFonts w:hint="eastAsia" w:ascii="宋体" w:hAnsi="宋体" w:eastAsia="宋体" w:cs="宋体"/>
                <w:color w:val="auto"/>
                <w:kern w:val="0"/>
              </w:rPr>
              <w:t>3.</w:t>
            </w:r>
            <w:r>
              <w:rPr>
                <w:rFonts w:hint="eastAsia" w:ascii="宋体" w:hAnsi="宋体" w:eastAsia="宋体" w:cs="宋体"/>
                <w:color w:val="auto"/>
                <w:kern w:val="0"/>
                <w:lang w:val="zh-TW" w:eastAsia="zh-TW"/>
              </w:rPr>
              <w:t>主营业务利润率</w:t>
            </w:r>
          </w:p>
        </w:tc>
        <w:tc>
          <w:tcPr>
            <w:tcW w:w="1265" w:type="dxa"/>
            <w:vAlign w:val="center"/>
          </w:tcPr>
          <w:p w14:paraId="5DFC2FBD">
            <w:pPr>
              <w:pStyle w:val="51"/>
              <w:adjustRightInd w:val="0"/>
              <w:snapToGrid w:val="0"/>
              <w:jc w:val="center"/>
              <w:rPr>
                <w:rFonts w:hint="eastAsia" w:ascii="宋体" w:hAnsi="宋体" w:eastAsia="宋体" w:cs="Times New Roman"/>
                <w:color w:val="auto"/>
              </w:rPr>
            </w:pPr>
            <w:r>
              <w:rPr>
                <w:rFonts w:hint="eastAsia" w:ascii="宋体" w:hAnsi="宋体" w:eastAsia="宋体" w:cs="宋体"/>
                <w:color w:val="auto"/>
                <w:kern w:val="0"/>
                <w:lang w:val="zh-TW" w:eastAsia="zh-TW"/>
              </w:rPr>
              <w:t>％</w:t>
            </w:r>
          </w:p>
        </w:tc>
        <w:tc>
          <w:tcPr>
            <w:tcW w:w="1810" w:type="dxa"/>
            <w:vAlign w:val="center"/>
          </w:tcPr>
          <w:p w14:paraId="34931BEC">
            <w:pPr>
              <w:adjustRightInd w:val="0"/>
              <w:snapToGrid w:val="0"/>
              <w:jc w:val="center"/>
              <w:rPr>
                <w:rFonts w:ascii="宋体" w:cs="Times New Roman"/>
              </w:rPr>
            </w:pPr>
          </w:p>
        </w:tc>
        <w:tc>
          <w:tcPr>
            <w:tcW w:w="1811" w:type="dxa"/>
            <w:vAlign w:val="center"/>
          </w:tcPr>
          <w:p w14:paraId="0B1A2B78">
            <w:pPr>
              <w:adjustRightInd w:val="0"/>
              <w:snapToGrid w:val="0"/>
              <w:jc w:val="center"/>
              <w:rPr>
                <w:rFonts w:ascii="宋体" w:cs="Times New Roman"/>
              </w:rPr>
            </w:pPr>
          </w:p>
        </w:tc>
        <w:tc>
          <w:tcPr>
            <w:tcW w:w="1811" w:type="dxa"/>
            <w:vAlign w:val="center"/>
          </w:tcPr>
          <w:p w14:paraId="75682CFB">
            <w:pPr>
              <w:adjustRightInd w:val="0"/>
              <w:snapToGrid w:val="0"/>
              <w:jc w:val="center"/>
              <w:rPr>
                <w:rFonts w:ascii="宋体" w:cs="Times New Roman"/>
              </w:rPr>
            </w:pPr>
          </w:p>
        </w:tc>
      </w:tr>
      <w:tr w14:paraId="360DEC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3E708E5A">
            <w:pPr>
              <w:pStyle w:val="51"/>
              <w:adjustRightInd w:val="0"/>
              <w:snapToGrid w:val="0"/>
              <w:ind w:firstLine="281" w:firstLineChars="134"/>
              <w:rPr>
                <w:rFonts w:hint="eastAsia" w:ascii="宋体" w:hAnsi="宋体" w:eastAsia="宋体" w:cs="Times New Roman"/>
                <w:color w:val="auto"/>
              </w:rPr>
            </w:pPr>
            <w:r>
              <w:rPr>
                <w:rFonts w:hint="eastAsia" w:ascii="宋体" w:hAnsi="宋体" w:eastAsia="宋体" w:cs="宋体"/>
                <w:color w:val="auto"/>
                <w:kern w:val="0"/>
              </w:rPr>
              <w:t>4.</w:t>
            </w:r>
            <w:r>
              <w:rPr>
                <w:rFonts w:hint="eastAsia" w:ascii="宋体" w:hAnsi="宋体" w:eastAsia="宋体" w:cs="宋体"/>
                <w:color w:val="auto"/>
                <w:kern w:val="0"/>
                <w:lang w:val="zh-TW" w:eastAsia="zh-TW"/>
              </w:rPr>
              <w:t>资产负债率</w:t>
            </w:r>
          </w:p>
        </w:tc>
        <w:tc>
          <w:tcPr>
            <w:tcW w:w="1265" w:type="dxa"/>
            <w:vAlign w:val="center"/>
          </w:tcPr>
          <w:p w14:paraId="70EBFE9F">
            <w:pPr>
              <w:pStyle w:val="51"/>
              <w:adjustRightInd w:val="0"/>
              <w:snapToGrid w:val="0"/>
              <w:jc w:val="center"/>
              <w:rPr>
                <w:rFonts w:hint="eastAsia" w:ascii="宋体" w:hAnsi="宋体" w:eastAsia="宋体" w:cs="Times New Roman"/>
                <w:color w:val="auto"/>
              </w:rPr>
            </w:pPr>
            <w:r>
              <w:rPr>
                <w:rFonts w:hint="eastAsia" w:ascii="宋体" w:hAnsi="宋体" w:eastAsia="宋体" w:cs="宋体"/>
                <w:color w:val="auto"/>
                <w:kern w:val="0"/>
                <w:lang w:val="zh-TW" w:eastAsia="zh-TW"/>
              </w:rPr>
              <w:t>％</w:t>
            </w:r>
          </w:p>
        </w:tc>
        <w:tc>
          <w:tcPr>
            <w:tcW w:w="1810" w:type="dxa"/>
            <w:vAlign w:val="center"/>
          </w:tcPr>
          <w:p w14:paraId="12529A10">
            <w:pPr>
              <w:adjustRightInd w:val="0"/>
              <w:snapToGrid w:val="0"/>
              <w:jc w:val="center"/>
              <w:rPr>
                <w:rFonts w:ascii="宋体" w:cs="Times New Roman"/>
              </w:rPr>
            </w:pPr>
          </w:p>
        </w:tc>
        <w:tc>
          <w:tcPr>
            <w:tcW w:w="1811" w:type="dxa"/>
            <w:vAlign w:val="center"/>
          </w:tcPr>
          <w:p w14:paraId="7C21EAF9">
            <w:pPr>
              <w:adjustRightInd w:val="0"/>
              <w:snapToGrid w:val="0"/>
              <w:jc w:val="center"/>
              <w:rPr>
                <w:rFonts w:ascii="宋体" w:cs="Times New Roman"/>
              </w:rPr>
            </w:pPr>
          </w:p>
        </w:tc>
        <w:tc>
          <w:tcPr>
            <w:tcW w:w="1811" w:type="dxa"/>
            <w:vAlign w:val="center"/>
          </w:tcPr>
          <w:p w14:paraId="626C0920">
            <w:pPr>
              <w:adjustRightInd w:val="0"/>
              <w:snapToGrid w:val="0"/>
              <w:jc w:val="center"/>
              <w:rPr>
                <w:rFonts w:ascii="宋体" w:cs="Times New Roman"/>
              </w:rPr>
            </w:pPr>
          </w:p>
        </w:tc>
      </w:tr>
      <w:tr w14:paraId="7F2465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7706D610">
            <w:pPr>
              <w:pStyle w:val="51"/>
              <w:adjustRightInd w:val="0"/>
              <w:snapToGrid w:val="0"/>
              <w:ind w:firstLine="281" w:firstLineChars="134"/>
              <w:rPr>
                <w:rFonts w:hint="eastAsia" w:ascii="宋体" w:hAnsi="宋体" w:eastAsia="宋体" w:cs="Times New Roman"/>
                <w:color w:val="auto"/>
              </w:rPr>
            </w:pPr>
            <w:r>
              <w:rPr>
                <w:rFonts w:hint="eastAsia" w:ascii="宋体" w:hAnsi="宋体" w:eastAsia="宋体" w:cs="宋体"/>
                <w:color w:val="auto"/>
                <w:kern w:val="0"/>
              </w:rPr>
              <w:t>5.</w:t>
            </w:r>
            <w:r>
              <w:rPr>
                <w:rFonts w:hint="eastAsia" w:ascii="宋体" w:hAnsi="宋体" w:eastAsia="宋体" w:cs="宋体"/>
                <w:color w:val="auto"/>
                <w:kern w:val="0"/>
                <w:lang w:val="zh-TW" w:eastAsia="zh-TW"/>
              </w:rPr>
              <w:t>流动比率</w:t>
            </w:r>
          </w:p>
        </w:tc>
        <w:tc>
          <w:tcPr>
            <w:tcW w:w="1265" w:type="dxa"/>
            <w:vAlign w:val="center"/>
          </w:tcPr>
          <w:p w14:paraId="37A7BC5C">
            <w:pPr>
              <w:pStyle w:val="51"/>
              <w:adjustRightInd w:val="0"/>
              <w:snapToGrid w:val="0"/>
              <w:jc w:val="center"/>
              <w:rPr>
                <w:rFonts w:hint="eastAsia" w:ascii="宋体" w:hAnsi="宋体" w:eastAsia="宋体" w:cs="Times New Roman"/>
                <w:color w:val="auto"/>
              </w:rPr>
            </w:pPr>
            <w:r>
              <w:rPr>
                <w:rFonts w:hint="eastAsia" w:ascii="宋体" w:hAnsi="宋体" w:eastAsia="宋体" w:cs="宋体"/>
                <w:color w:val="auto"/>
                <w:kern w:val="0"/>
                <w:lang w:val="zh-TW" w:eastAsia="zh-TW"/>
              </w:rPr>
              <w:t>％</w:t>
            </w:r>
          </w:p>
        </w:tc>
        <w:tc>
          <w:tcPr>
            <w:tcW w:w="1810" w:type="dxa"/>
            <w:vAlign w:val="center"/>
          </w:tcPr>
          <w:p w14:paraId="4109E818">
            <w:pPr>
              <w:adjustRightInd w:val="0"/>
              <w:snapToGrid w:val="0"/>
              <w:jc w:val="center"/>
              <w:rPr>
                <w:rFonts w:ascii="宋体" w:cs="Times New Roman"/>
              </w:rPr>
            </w:pPr>
          </w:p>
        </w:tc>
        <w:tc>
          <w:tcPr>
            <w:tcW w:w="1811" w:type="dxa"/>
            <w:vAlign w:val="center"/>
          </w:tcPr>
          <w:p w14:paraId="42D1C85C">
            <w:pPr>
              <w:adjustRightInd w:val="0"/>
              <w:snapToGrid w:val="0"/>
              <w:jc w:val="center"/>
              <w:rPr>
                <w:rFonts w:ascii="宋体" w:cs="Times New Roman"/>
              </w:rPr>
            </w:pPr>
          </w:p>
        </w:tc>
        <w:tc>
          <w:tcPr>
            <w:tcW w:w="1811" w:type="dxa"/>
            <w:vAlign w:val="center"/>
          </w:tcPr>
          <w:p w14:paraId="6480E9A1">
            <w:pPr>
              <w:adjustRightInd w:val="0"/>
              <w:snapToGrid w:val="0"/>
              <w:jc w:val="center"/>
              <w:rPr>
                <w:rFonts w:ascii="宋体" w:cs="Times New Roman"/>
              </w:rPr>
            </w:pPr>
          </w:p>
        </w:tc>
      </w:tr>
      <w:tr w14:paraId="7466F6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Borders>
              <w:bottom w:val="single" w:color="auto" w:sz="12" w:space="0"/>
            </w:tcBorders>
            <w:tcMar>
              <w:top w:w="80" w:type="dxa"/>
              <w:left w:w="80" w:type="dxa"/>
              <w:bottom w:w="80" w:type="dxa"/>
              <w:right w:w="80" w:type="dxa"/>
            </w:tcMar>
            <w:vAlign w:val="center"/>
          </w:tcPr>
          <w:p w14:paraId="329BAE72">
            <w:pPr>
              <w:pStyle w:val="51"/>
              <w:adjustRightInd w:val="0"/>
              <w:snapToGrid w:val="0"/>
              <w:ind w:firstLine="281" w:firstLineChars="134"/>
              <w:rPr>
                <w:rFonts w:hint="eastAsia" w:ascii="宋体" w:hAnsi="宋体" w:eastAsia="宋体" w:cs="Times New Roman"/>
                <w:color w:val="auto"/>
              </w:rPr>
            </w:pPr>
            <w:r>
              <w:rPr>
                <w:rFonts w:hint="eastAsia" w:ascii="宋体" w:hAnsi="宋体" w:eastAsia="宋体" w:cs="宋体"/>
                <w:color w:val="auto"/>
                <w:kern w:val="0"/>
              </w:rPr>
              <w:t>6.</w:t>
            </w:r>
            <w:r>
              <w:rPr>
                <w:rFonts w:hint="eastAsia" w:ascii="宋体" w:hAnsi="宋体" w:eastAsia="宋体" w:cs="宋体"/>
                <w:color w:val="auto"/>
                <w:kern w:val="0"/>
                <w:lang w:val="zh-TW" w:eastAsia="zh-TW"/>
              </w:rPr>
              <w:t>速动比率</w:t>
            </w:r>
          </w:p>
        </w:tc>
        <w:tc>
          <w:tcPr>
            <w:tcW w:w="1265" w:type="dxa"/>
            <w:tcBorders>
              <w:bottom w:val="single" w:color="auto" w:sz="12" w:space="0"/>
            </w:tcBorders>
            <w:vAlign w:val="center"/>
          </w:tcPr>
          <w:p w14:paraId="465EFD76">
            <w:pPr>
              <w:pStyle w:val="51"/>
              <w:adjustRightInd w:val="0"/>
              <w:snapToGrid w:val="0"/>
              <w:jc w:val="center"/>
              <w:rPr>
                <w:rFonts w:hint="eastAsia" w:ascii="宋体" w:hAnsi="宋体" w:eastAsia="宋体" w:cs="Times New Roman"/>
                <w:color w:val="auto"/>
              </w:rPr>
            </w:pPr>
            <w:r>
              <w:rPr>
                <w:rFonts w:hint="eastAsia" w:ascii="宋体" w:hAnsi="宋体" w:eastAsia="宋体" w:cs="宋体"/>
                <w:color w:val="auto"/>
                <w:kern w:val="0"/>
                <w:lang w:val="zh-TW" w:eastAsia="zh-TW"/>
              </w:rPr>
              <w:t>％</w:t>
            </w:r>
          </w:p>
        </w:tc>
        <w:tc>
          <w:tcPr>
            <w:tcW w:w="1810" w:type="dxa"/>
            <w:tcBorders>
              <w:bottom w:val="single" w:color="auto" w:sz="12" w:space="0"/>
            </w:tcBorders>
            <w:vAlign w:val="center"/>
          </w:tcPr>
          <w:p w14:paraId="4075D85E">
            <w:pPr>
              <w:adjustRightInd w:val="0"/>
              <w:snapToGrid w:val="0"/>
              <w:jc w:val="center"/>
              <w:rPr>
                <w:rFonts w:ascii="宋体" w:cs="Times New Roman"/>
              </w:rPr>
            </w:pPr>
          </w:p>
        </w:tc>
        <w:tc>
          <w:tcPr>
            <w:tcW w:w="1811" w:type="dxa"/>
            <w:tcBorders>
              <w:bottom w:val="single" w:color="auto" w:sz="12" w:space="0"/>
            </w:tcBorders>
            <w:vAlign w:val="center"/>
          </w:tcPr>
          <w:p w14:paraId="10EBFB0D">
            <w:pPr>
              <w:adjustRightInd w:val="0"/>
              <w:snapToGrid w:val="0"/>
              <w:jc w:val="center"/>
              <w:rPr>
                <w:rFonts w:ascii="宋体" w:cs="Times New Roman"/>
              </w:rPr>
            </w:pPr>
          </w:p>
        </w:tc>
        <w:tc>
          <w:tcPr>
            <w:tcW w:w="1811" w:type="dxa"/>
            <w:tcBorders>
              <w:bottom w:val="single" w:color="auto" w:sz="12" w:space="0"/>
            </w:tcBorders>
            <w:vAlign w:val="center"/>
          </w:tcPr>
          <w:p w14:paraId="455FA1AB">
            <w:pPr>
              <w:adjustRightInd w:val="0"/>
              <w:snapToGrid w:val="0"/>
              <w:jc w:val="center"/>
              <w:rPr>
                <w:rFonts w:ascii="宋体" w:cs="Times New Roman"/>
              </w:rPr>
            </w:pPr>
          </w:p>
        </w:tc>
      </w:tr>
    </w:tbl>
    <w:p w14:paraId="2FF8A6FF">
      <w:pPr>
        <w:pStyle w:val="51"/>
        <w:adjustRightInd w:val="0"/>
        <w:snapToGrid w:val="0"/>
        <w:spacing w:before="157" w:beforeLines="50" w:line="360" w:lineRule="auto"/>
        <w:ind w:firstLine="464"/>
        <w:rPr>
          <w:rFonts w:hint="eastAsia" w:ascii="宋体" w:hAnsi="宋体" w:eastAsia="宋体" w:cs="Times New Roman"/>
          <w:color w:val="auto"/>
          <w:lang w:val="zh-TW"/>
        </w:rPr>
      </w:pPr>
      <w:r>
        <w:rPr>
          <w:rFonts w:hint="eastAsia" w:ascii="宋体" w:hAnsi="宋体" w:eastAsia="宋体" w:cs="宋体"/>
          <w:color w:val="auto"/>
          <w:lang w:val="zh-TW"/>
        </w:rPr>
        <w:t>备注：</w:t>
      </w:r>
    </w:p>
    <w:p w14:paraId="648065BE">
      <w:pPr>
        <w:pStyle w:val="51"/>
        <w:adjustRightInd w:val="0"/>
        <w:snapToGrid w:val="0"/>
        <w:spacing w:line="360" w:lineRule="auto"/>
        <w:ind w:firstLine="420" w:firstLineChars="200"/>
        <w:rPr>
          <w:rFonts w:hint="eastAsia" w:ascii="宋体" w:hAnsi="宋体" w:eastAsia="宋体" w:cs="Times New Roman"/>
          <w:color w:val="auto"/>
        </w:rPr>
      </w:pPr>
      <w:r>
        <w:rPr>
          <w:rFonts w:ascii="宋体" w:hAnsi="宋体" w:eastAsia="宋体" w:cs="宋体"/>
          <w:color w:val="auto"/>
        </w:rPr>
        <w:t>1</w:t>
      </w:r>
      <w:r>
        <w:rPr>
          <w:rFonts w:hint="eastAsia" w:ascii="宋体" w:hAnsi="宋体" w:eastAsia="宋体" w:cs="宋体"/>
          <w:color w:val="auto"/>
          <w:lang w:val="zh-TW"/>
        </w:rPr>
        <w:t>.本表后附经会计师事务所或审计机构审计的财务会计报表原件扫描件，具体年份要求见第二章</w:t>
      </w:r>
      <w:r>
        <w:rPr>
          <w:rFonts w:hint="eastAsia" w:ascii="宋体" w:hAnsi="宋体" w:eastAsia="宋体" w:cs="宋体"/>
          <w:color w:val="auto"/>
        </w:rPr>
        <w:t>“</w:t>
      </w:r>
      <w:r>
        <w:rPr>
          <w:rFonts w:hint="eastAsia" w:ascii="宋体" w:hAnsi="宋体" w:eastAsia="宋体" w:cs="宋体"/>
          <w:color w:val="auto"/>
          <w:lang w:val="zh-TW"/>
        </w:rPr>
        <w:t>投标人须知</w:t>
      </w:r>
      <w:r>
        <w:rPr>
          <w:rFonts w:hint="eastAsia" w:ascii="宋体" w:hAnsi="宋体" w:eastAsia="宋体" w:cs="宋体"/>
          <w:color w:val="auto"/>
        </w:rPr>
        <w:t>”</w:t>
      </w:r>
      <w:r>
        <w:rPr>
          <w:rFonts w:hint="eastAsia" w:ascii="宋体" w:hAnsi="宋体" w:eastAsia="宋体" w:cs="宋体"/>
          <w:color w:val="auto"/>
          <w:lang w:val="zh-TW"/>
        </w:rPr>
        <w:t>的规定。</w:t>
      </w:r>
    </w:p>
    <w:p w14:paraId="33D4D565">
      <w:pPr>
        <w:pStyle w:val="51"/>
        <w:adjustRightInd w:val="0"/>
        <w:snapToGrid w:val="0"/>
        <w:spacing w:line="360" w:lineRule="auto"/>
        <w:ind w:firstLine="420" w:firstLineChars="200"/>
        <w:rPr>
          <w:rFonts w:hint="eastAsia" w:ascii="宋体" w:hAnsi="宋体" w:eastAsia="宋体" w:cs="Times New Roman"/>
          <w:color w:val="auto"/>
        </w:rPr>
      </w:pPr>
      <w:r>
        <w:rPr>
          <w:rFonts w:ascii="宋体" w:hAnsi="宋体" w:eastAsia="宋体" w:cs="宋体"/>
          <w:color w:val="auto"/>
        </w:rPr>
        <w:t>2</w:t>
      </w:r>
      <w:r>
        <w:rPr>
          <w:rFonts w:hint="eastAsia" w:ascii="宋体" w:hAnsi="宋体" w:eastAsia="宋体" w:cs="宋体"/>
          <w:color w:val="auto"/>
          <w:lang w:val="zh-TW"/>
        </w:rPr>
        <w:t>.如为联合体投标，则联合体</w:t>
      </w:r>
      <w:r>
        <w:rPr>
          <w:rFonts w:hint="eastAsia" w:ascii="宋体" w:hAnsi="宋体" w:eastAsia="宋体" w:cs="宋体"/>
          <w:color w:val="auto"/>
        </w:rPr>
        <w:t>牵头人</w:t>
      </w:r>
      <w:r>
        <w:rPr>
          <w:rFonts w:hint="eastAsia" w:ascii="宋体" w:hAnsi="宋体" w:eastAsia="宋体" w:cs="宋体"/>
          <w:color w:val="auto"/>
          <w:lang w:val="zh-TW"/>
        </w:rPr>
        <w:t>填写和附相关资料</w:t>
      </w:r>
      <w:r>
        <w:rPr>
          <w:rFonts w:hint="eastAsia" w:ascii="宋体" w:hAnsi="宋体" w:eastAsia="宋体" w:cs="宋体"/>
          <w:color w:val="auto"/>
        </w:rPr>
        <w:t>原件</w:t>
      </w:r>
      <w:r>
        <w:rPr>
          <w:rFonts w:hint="eastAsia" w:ascii="宋体" w:hAnsi="宋体" w:eastAsia="宋体" w:cs="宋体"/>
          <w:color w:val="auto"/>
          <w:lang w:val="zh-TW"/>
        </w:rPr>
        <w:t>扫描件。</w:t>
      </w:r>
    </w:p>
    <w:p w14:paraId="557B4D89">
      <w:pPr>
        <w:pStyle w:val="4"/>
        <w:ind w:firstLine="0" w:firstLineChars="0"/>
        <w:jc w:val="center"/>
        <w:rPr>
          <w:rFonts w:hint="eastAsia"/>
          <w:sz w:val="32"/>
          <w:szCs w:val="32"/>
        </w:rPr>
      </w:pPr>
      <w:bookmarkStart w:id="1961" w:name="_Toc20019"/>
      <w:bookmarkEnd w:id="1961"/>
      <w:r>
        <w:rPr>
          <w:rFonts w:hint="eastAsia"/>
          <w:sz w:val="32"/>
          <w:szCs w:val="32"/>
        </w:rPr>
        <w:t>三、信誉承诺</w:t>
      </w:r>
    </w:p>
    <w:p w14:paraId="10AC0452">
      <w:pPr>
        <w:pStyle w:val="46"/>
        <w:adjustRightInd w:val="0"/>
        <w:snapToGrid w:val="0"/>
        <w:spacing w:after="200" w:line="360" w:lineRule="auto"/>
        <w:jc w:val="center"/>
        <w:outlineLvl w:val="4"/>
        <w:rPr>
          <w:rStyle w:val="48"/>
          <w:rFonts w:ascii="宋体" w:cs="Times New Roman"/>
          <w:b/>
          <w:bCs/>
          <w:kern w:val="2"/>
          <w:sz w:val="28"/>
          <w:szCs w:val="28"/>
        </w:rPr>
      </w:pPr>
      <w:r>
        <w:rPr>
          <w:rStyle w:val="48"/>
          <w:rFonts w:hint="eastAsia" w:ascii="宋体" w:hAnsi="宋体" w:cs="宋体"/>
          <w:b/>
          <w:bCs/>
          <w:kern w:val="2"/>
          <w:sz w:val="28"/>
          <w:szCs w:val="28"/>
        </w:rPr>
        <w:t>（符合第二章“投标人须知前附表”</w:t>
      </w:r>
      <w:r>
        <w:rPr>
          <w:rStyle w:val="48"/>
          <w:rFonts w:ascii="宋体" w:hAnsi="宋体" w:cs="宋体"/>
          <w:b/>
          <w:bCs/>
          <w:kern w:val="2"/>
          <w:sz w:val="28"/>
          <w:szCs w:val="28"/>
        </w:rPr>
        <w:t>1.4.1</w:t>
      </w:r>
      <w:r>
        <w:rPr>
          <w:rStyle w:val="48"/>
          <w:rFonts w:hint="eastAsia" w:ascii="宋体" w:hAnsi="宋体" w:cs="宋体"/>
          <w:b/>
          <w:bCs/>
          <w:kern w:val="2"/>
          <w:sz w:val="28"/>
          <w:szCs w:val="28"/>
        </w:rPr>
        <w:t>项规定）</w:t>
      </w:r>
    </w:p>
    <w:p w14:paraId="3C592603">
      <w:pPr>
        <w:pStyle w:val="28"/>
        <w:spacing w:line="360" w:lineRule="auto"/>
        <w:rPr>
          <w:rFonts w:hint="eastAsia"/>
          <w:lang w:val="zh-CN"/>
        </w:rPr>
      </w:pPr>
      <w:bookmarkStart w:id="1962" w:name="_Toc45897177"/>
      <w:bookmarkEnd w:id="1962"/>
      <w:r>
        <w:rPr>
          <w:rFonts w:hint="eastAsia"/>
        </w:rPr>
        <w:t>1.</w:t>
      </w:r>
      <w:r>
        <w:rPr>
          <w:rFonts w:hint="eastAsia"/>
          <w:lang w:val="zh-CN"/>
        </w:rPr>
        <w:t>投标人当前没有处于被责令停产、投标资格取消、财产被接管或冻结、破产等状态；投标人未曾骗取中标或严重违约或发生重大工程质量、安全事故，没有被建设行政主管部门列入黑名单的情况（如未出现上述情况，投标人须作出承诺，若为联合体投标的，联合体投标的各成员均须作出承诺，并对其真实性负责）；</w:t>
      </w:r>
    </w:p>
    <w:p w14:paraId="7C68893B">
      <w:pPr>
        <w:pStyle w:val="28"/>
        <w:spacing w:line="360" w:lineRule="auto"/>
        <w:rPr>
          <w:rFonts w:hint="eastAsia"/>
        </w:rPr>
      </w:pPr>
    </w:p>
    <w:p w14:paraId="1CA31906">
      <w:pPr>
        <w:pStyle w:val="28"/>
        <w:spacing w:line="360" w:lineRule="auto"/>
        <w:rPr>
          <w:rFonts w:hint="eastAsia"/>
          <w:lang w:val="zh-CN"/>
        </w:rPr>
      </w:pPr>
      <w:r>
        <w:rPr>
          <w:rFonts w:hint="eastAsia"/>
        </w:rPr>
        <w:t>2.</w:t>
      </w:r>
      <w:r>
        <w:rPr>
          <w:rFonts w:hint="eastAsia"/>
          <w:lang w:val="zh-CN"/>
        </w:rPr>
        <w:t>近三年（</w:t>
      </w:r>
      <w:r>
        <w:rPr>
          <w:rFonts w:hint="eastAsia"/>
        </w:rPr>
        <w:t>2023</w:t>
      </w:r>
      <w:r>
        <w:rPr>
          <w:rFonts w:hint="eastAsia"/>
          <w:lang w:val="zh-CN"/>
        </w:rPr>
        <w:t>年至今）企业、企业法定代表人及拟派项目负责人无行贿犯罪记录（投标人自行在中国裁判文书网查询，提供查询结果截图原件扫描件，若为联合体投标的，联合体投标的各成员均须提供）；</w:t>
      </w:r>
    </w:p>
    <w:p w14:paraId="7AB16872">
      <w:pPr>
        <w:pStyle w:val="28"/>
        <w:spacing w:line="360" w:lineRule="auto"/>
        <w:rPr>
          <w:rFonts w:hint="eastAsia"/>
        </w:rPr>
      </w:pPr>
    </w:p>
    <w:p w14:paraId="007298DF">
      <w:pPr>
        <w:pStyle w:val="28"/>
        <w:spacing w:line="360" w:lineRule="auto"/>
        <w:rPr>
          <w:rFonts w:hint="eastAsia"/>
        </w:rPr>
      </w:pPr>
      <w:r>
        <w:rPr>
          <w:rFonts w:hint="eastAsia"/>
        </w:rPr>
        <w:t>3.</w:t>
      </w:r>
      <w:r>
        <w:rPr>
          <w:rFonts w:hint="eastAsia"/>
          <w:lang w:val="zh-CN"/>
        </w:rPr>
        <w:t>近三年</w:t>
      </w:r>
      <w:r>
        <w:rPr>
          <w:rFonts w:hint="eastAsia"/>
        </w:rPr>
        <w:t>（2023年至今）</w:t>
      </w:r>
      <w:r>
        <w:rPr>
          <w:rFonts w:hint="eastAsia"/>
          <w:lang w:val="zh-CN"/>
        </w:rPr>
        <w:t>企业、企业法定代表人及拟派项目负责人未被列为失信被执行人</w:t>
      </w:r>
      <w:r>
        <w:rPr>
          <w:rFonts w:hint="eastAsia"/>
        </w:rPr>
        <w:t>（</w:t>
      </w:r>
      <w:r>
        <w:rPr>
          <w:rFonts w:hint="eastAsia"/>
          <w:lang w:val="zh-CN"/>
        </w:rPr>
        <w:t>投标人自行在</w:t>
      </w:r>
      <w:r>
        <w:rPr>
          <w:rFonts w:hint="eastAsia"/>
        </w:rPr>
        <w:t>“</w:t>
      </w:r>
      <w:r>
        <w:rPr>
          <w:rFonts w:hint="eastAsia"/>
          <w:lang w:val="zh-CN"/>
        </w:rPr>
        <w:t>信用中国</w:t>
      </w:r>
      <w:r>
        <w:rPr>
          <w:rFonts w:hint="eastAsia"/>
        </w:rPr>
        <w:t>”（www.creditchina.gov.cn）</w:t>
      </w:r>
      <w:r>
        <w:rPr>
          <w:rFonts w:hint="eastAsia"/>
          <w:lang w:val="zh-CN"/>
        </w:rPr>
        <w:t>网站</w:t>
      </w:r>
      <w:r>
        <w:rPr>
          <w:rFonts w:hint="eastAsia"/>
        </w:rPr>
        <w:t>或</w:t>
      </w:r>
      <w:r>
        <w:rPr>
          <w:rFonts w:hint="eastAsia"/>
          <w:lang w:val="zh-CN"/>
        </w:rPr>
        <w:t>中国执行信息公开网查询</w:t>
      </w:r>
      <w:r>
        <w:rPr>
          <w:rFonts w:hint="eastAsia"/>
        </w:rPr>
        <w:t>，</w:t>
      </w:r>
      <w:r>
        <w:rPr>
          <w:rFonts w:hint="eastAsia"/>
          <w:lang w:val="zh-CN"/>
        </w:rPr>
        <w:t>提供查询结果截图原件扫描件</w:t>
      </w:r>
      <w:r>
        <w:rPr>
          <w:rFonts w:hint="eastAsia"/>
        </w:rPr>
        <w:t>，</w:t>
      </w:r>
      <w:r>
        <w:rPr>
          <w:rFonts w:hint="eastAsia"/>
          <w:lang w:val="zh-CN"/>
        </w:rPr>
        <w:t>若为联合体投标的</w:t>
      </w:r>
      <w:r>
        <w:rPr>
          <w:rFonts w:hint="eastAsia"/>
        </w:rPr>
        <w:t>，</w:t>
      </w:r>
      <w:r>
        <w:rPr>
          <w:rFonts w:hint="eastAsia"/>
          <w:lang w:val="zh-CN"/>
        </w:rPr>
        <w:t>联合体投标的各成员均须提供</w:t>
      </w:r>
      <w:r>
        <w:rPr>
          <w:rFonts w:hint="eastAsia"/>
        </w:rPr>
        <w:t>）；</w:t>
      </w:r>
    </w:p>
    <w:p w14:paraId="3BC4F675">
      <w:pPr>
        <w:pStyle w:val="28"/>
        <w:spacing w:line="360" w:lineRule="auto"/>
        <w:rPr>
          <w:rFonts w:hint="eastAsia"/>
        </w:rPr>
      </w:pPr>
    </w:p>
    <w:p w14:paraId="1F1C9D3F">
      <w:pPr>
        <w:pStyle w:val="28"/>
        <w:spacing w:line="360" w:lineRule="auto"/>
        <w:rPr>
          <w:rFonts w:hint="eastAsia"/>
          <w:lang w:val="zh-CN"/>
        </w:rPr>
      </w:pPr>
      <w:r>
        <w:rPr>
          <w:rFonts w:hint="eastAsia"/>
        </w:rPr>
        <w:t>4.</w:t>
      </w:r>
      <w:r>
        <w:rPr>
          <w:rFonts w:hint="eastAsia"/>
          <w:lang w:val="zh-CN"/>
        </w:rPr>
        <w:t>投标人（联合体投标的由牵头人提供）近3年（</w:t>
      </w:r>
      <w:r>
        <w:rPr>
          <w:rFonts w:hint="eastAsia"/>
        </w:rPr>
        <w:t>2023</w:t>
      </w:r>
      <w:r>
        <w:rPr>
          <w:rFonts w:hint="eastAsia"/>
          <w:lang w:val="zh-CN"/>
        </w:rPr>
        <w:t>年至今）未出现拖欠农民工工资情况，投标人应自行到工商注册地人力资源和社会保障部门劳动监察机构进行查询“农民工工资支付信用记录”，并提供查询结果原件扫描件，省外企业可提供工商注册地人力资源和社会保障部门劳动监察机构出具的无拖欠农民工工资记录证明或未出现拖欠农民工工资情况的承诺；</w:t>
      </w:r>
    </w:p>
    <w:p w14:paraId="070EB69F">
      <w:pPr>
        <w:pStyle w:val="28"/>
        <w:spacing w:line="360" w:lineRule="auto"/>
        <w:rPr>
          <w:rFonts w:hint="eastAsia"/>
          <w:kern w:val="0"/>
        </w:rPr>
      </w:pPr>
    </w:p>
    <w:p w14:paraId="2DD3C538">
      <w:pPr>
        <w:pStyle w:val="28"/>
        <w:spacing w:line="360" w:lineRule="auto"/>
        <w:rPr>
          <w:rFonts w:hint="eastAsia"/>
        </w:rPr>
      </w:pPr>
      <w:r>
        <w:rPr>
          <w:rFonts w:hint="eastAsia"/>
          <w:kern w:val="0"/>
        </w:rPr>
        <w:t>5.</w:t>
      </w:r>
      <w:r>
        <w:rPr>
          <w:rFonts w:hint="eastAsia"/>
        </w:rPr>
        <w:t>未发生安全事故说明（联合体投标的各成员均须提供，格式投标人自拟）。</w:t>
      </w:r>
    </w:p>
    <w:p w14:paraId="21AA321C">
      <w:pPr>
        <w:pStyle w:val="46"/>
        <w:widowControl/>
        <w:adjustRightInd w:val="0"/>
        <w:snapToGrid w:val="0"/>
        <w:spacing w:line="360" w:lineRule="auto"/>
        <w:ind w:left="420" w:hanging="420" w:hangingChars="200"/>
        <w:rPr>
          <w:rFonts w:hint="eastAsia" w:ascii="宋体" w:hAnsi="宋体" w:cs="宋体"/>
          <w:kern w:val="2"/>
          <w:sz w:val="21"/>
          <w:szCs w:val="21"/>
        </w:rPr>
      </w:pPr>
    </w:p>
    <w:p w14:paraId="5B430353">
      <w:pPr>
        <w:pStyle w:val="46"/>
        <w:widowControl/>
        <w:adjustRightInd w:val="0"/>
        <w:snapToGrid w:val="0"/>
        <w:spacing w:line="360" w:lineRule="auto"/>
        <w:ind w:left="422" w:hanging="422" w:hangingChars="200"/>
        <w:rPr>
          <w:rFonts w:hint="eastAsia" w:ascii="宋体" w:hAnsi="宋体" w:cs="宋体"/>
          <w:b/>
          <w:bCs/>
          <w:kern w:val="2"/>
          <w:sz w:val="21"/>
          <w:szCs w:val="21"/>
        </w:rPr>
      </w:pPr>
      <w:r>
        <w:rPr>
          <w:rFonts w:hint="eastAsia" w:ascii="宋体" w:hAnsi="宋体" w:cs="宋体"/>
          <w:b/>
          <w:bCs/>
          <w:kern w:val="2"/>
          <w:sz w:val="21"/>
          <w:szCs w:val="21"/>
        </w:rPr>
        <w:t>注：以上截图查询时间须为本项目发布公告之日起至投标截止时间前。</w:t>
      </w:r>
    </w:p>
    <w:p w14:paraId="799BA6D3">
      <w:pPr>
        <w:pStyle w:val="46"/>
        <w:spacing w:after="200" w:line="276" w:lineRule="auto"/>
        <w:jc w:val="both"/>
        <w:rPr>
          <w:rStyle w:val="48"/>
          <w:rFonts w:ascii="宋体" w:cs="Times New Roman"/>
          <w:b/>
          <w:bCs/>
          <w:kern w:val="2"/>
          <w:sz w:val="32"/>
          <w:szCs w:val="32"/>
        </w:rPr>
      </w:pPr>
    </w:p>
    <w:p w14:paraId="5A218F69">
      <w:pPr>
        <w:pStyle w:val="46"/>
        <w:spacing w:after="200" w:line="276" w:lineRule="auto"/>
        <w:jc w:val="center"/>
        <w:rPr>
          <w:rStyle w:val="48"/>
          <w:rFonts w:ascii="宋体" w:cs="Times New Roman"/>
          <w:b/>
          <w:bCs/>
          <w:kern w:val="2"/>
          <w:sz w:val="32"/>
          <w:szCs w:val="32"/>
        </w:rPr>
      </w:pPr>
    </w:p>
    <w:p w14:paraId="350F6A87">
      <w:pPr>
        <w:pStyle w:val="46"/>
        <w:spacing w:after="200" w:line="276" w:lineRule="auto"/>
        <w:jc w:val="center"/>
        <w:rPr>
          <w:rStyle w:val="48"/>
          <w:rFonts w:ascii="宋体" w:cs="Times New Roman"/>
          <w:b/>
          <w:bCs/>
          <w:kern w:val="2"/>
          <w:sz w:val="32"/>
          <w:szCs w:val="32"/>
        </w:rPr>
      </w:pPr>
    </w:p>
    <w:p w14:paraId="3EFFEC3B">
      <w:pPr>
        <w:pStyle w:val="4"/>
        <w:numPr>
          <w:ilvl w:val="0"/>
          <w:numId w:val="11"/>
        </w:numPr>
        <w:ind w:firstLine="0" w:firstLineChars="0"/>
        <w:jc w:val="center"/>
        <w:rPr>
          <w:rFonts w:hint="eastAsia"/>
          <w:sz w:val="32"/>
          <w:szCs w:val="32"/>
        </w:rPr>
      </w:pPr>
      <w:bookmarkStart w:id="1963" w:name="_Toc3610"/>
      <w:bookmarkEnd w:id="1963"/>
      <w:r>
        <w:rPr>
          <w:rFonts w:hint="eastAsia"/>
          <w:sz w:val="32"/>
          <w:szCs w:val="32"/>
        </w:rPr>
        <w:t>相关承诺书</w:t>
      </w:r>
    </w:p>
    <w:p w14:paraId="28115FDF">
      <w:pPr>
        <w:adjustRightInd w:val="0"/>
        <w:snapToGrid w:val="0"/>
        <w:spacing w:line="360" w:lineRule="auto"/>
        <w:jc w:val="center"/>
        <w:outlineLvl w:val="4"/>
        <w:rPr>
          <w:rFonts w:ascii="宋体" w:cs="Times New Roman"/>
          <w:b/>
          <w:bCs/>
          <w:sz w:val="28"/>
          <w:szCs w:val="28"/>
        </w:rPr>
      </w:pPr>
      <w:r>
        <w:rPr>
          <w:rFonts w:hint="eastAsia" w:ascii="宋体" w:hAnsi="宋体" w:cs="宋体"/>
          <w:b/>
          <w:bCs/>
          <w:sz w:val="28"/>
          <w:szCs w:val="28"/>
        </w:rPr>
        <w:t>投标承诺书</w:t>
      </w:r>
    </w:p>
    <w:p w14:paraId="1B7EF812">
      <w:pPr>
        <w:snapToGrid w:val="0"/>
        <w:spacing w:before="314" w:beforeLines="100" w:after="157" w:afterLines="50" w:line="360" w:lineRule="auto"/>
        <w:rPr>
          <w:rFonts w:ascii="宋体" w:cs="Times New Roman"/>
          <w:b/>
          <w:bCs/>
        </w:rPr>
      </w:pPr>
      <w:r>
        <w:rPr>
          <w:rFonts w:hint="eastAsia" w:ascii="宋体" w:hAnsi="宋体" w:cs="宋体"/>
          <w:b/>
          <w:bCs/>
        </w:rPr>
        <w:t>本公司承诺：</w:t>
      </w:r>
    </w:p>
    <w:p w14:paraId="3840D8F9">
      <w:pPr>
        <w:snapToGrid w:val="0"/>
        <w:spacing w:line="360" w:lineRule="auto"/>
        <w:ind w:firstLine="420" w:firstLineChars="200"/>
        <w:rPr>
          <w:rFonts w:ascii="宋体" w:cs="Times New Roman"/>
        </w:rPr>
      </w:pPr>
      <w:r>
        <w:rPr>
          <w:rFonts w:hint="eastAsia" w:ascii="宋体" w:hAnsi="宋体" w:cs="宋体"/>
        </w:rPr>
        <w:t>遵循公开、公平、公正和诚实守信的原则，参加</w:t>
      </w:r>
      <w:r>
        <w:rPr>
          <w:rFonts w:ascii="宋体" w:hAnsi="宋体" w:cs="宋体"/>
        </w:rPr>
        <w:t>_________________________</w:t>
      </w:r>
      <w:r>
        <w:rPr>
          <w:rFonts w:hint="eastAsia" w:ascii="宋体" w:hAnsi="宋体" w:cs="宋体"/>
        </w:rPr>
        <w:t>项目设计施工总承包(EPC）的投标。</w:t>
      </w:r>
    </w:p>
    <w:p w14:paraId="642C1494">
      <w:pPr>
        <w:snapToGrid w:val="0"/>
        <w:spacing w:line="360" w:lineRule="auto"/>
        <w:ind w:firstLine="420" w:firstLineChars="200"/>
        <w:outlineLvl w:val="3"/>
        <w:rPr>
          <w:rFonts w:ascii="宋体" w:cs="Times New Roman"/>
        </w:rPr>
      </w:pPr>
      <w:r>
        <w:rPr>
          <w:rFonts w:hint="eastAsia" w:ascii="宋体" w:hAnsi="宋体" w:cs="宋体"/>
        </w:rPr>
        <w:t>一、不提供有违真实的材料。</w:t>
      </w:r>
    </w:p>
    <w:p w14:paraId="49658E0F">
      <w:pPr>
        <w:snapToGrid w:val="0"/>
        <w:spacing w:line="360" w:lineRule="auto"/>
        <w:ind w:firstLine="420" w:firstLineChars="200"/>
        <w:rPr>
          <w:rFonts w:ascii="宋体" w:cs="Times New Roman"/>
        </w:rPr>
      </w:pPr>
      <w:r>
        <w:rPr>
          <w:rFonts w:hint="eastAsia" w:ascii="宋体" w:hAnsi="宋体" w:cs="宋体"/>
        </w:rPr>
        <w:t>二、不与招标人或其他投标人串通投标，损害国家利益、社会利益或他人的合法权益。</w:t>
      </w:r>
    </w:p>
    <w:p w14:paraId="68ED0A33">
      <w:pPr>
        <w:snapToGrid w:val="0"/>
        <w:spacing w:line="360" w:lineRule="auto"/>
        <w:ind w:firstLine="420" w:firstLineChars="200"/>
        <w:rPr>
          <w:rFonts w:ascii="宋体" w:cs="Times New Roman"/>
        </w:rPr>
      </w:pPr>
      <w:r>
        <w:rPr>
          <w:rFonts w:hint="eastAsia" w:ascii="宋体" w:hAnsi="宋体" w:cs="宋体"/>
        </w:rPr>
        <w:t>三、不向招标人或评标委员会成员行贿，以谋取中标。</w:t>
      </w:r>
    </w:p>
    <w:p w14:paraId="7D6EDA96">
      <w:pPr>
        <w:snapToGrid w:val="0"/>
        <w:spacing w:line="360" w:lineRule="auto"/>
        <w:ind w:firstLine="420" w:firstLineChars="200"/>
        <w:rPr>
          <w:rFonts w:ascii="宋体" w:cs="Times New Roman"/>
        </w:rPr>
      </w:pPr>
      <w:r>
        <w:rPr>
          <w:rFonts w:hint="eastAsia" w:ascii="宋体" w:hAnsi="宋体" w:cs="宋体"/>
        </w:rPr>
        <w:t>四、不以他人名义投标或者其他方式弄虚作假，骗取中标。</w:t>
      </w:r>
    </w:p>
    <w:p w14:paraId="52DC041E">
      <w:pPr>
        <w:snapToGrid w:val="0"/>
        <w:spacing w:line="360" w:lineRule="auto"/>
        <w:ind w:firstLine="420" w:firstLineChars="200"/>
        <w:rPr>
          <w:rFonts w:ascii="宋体" w:cs="Times New Roman"/>
        </w:rPr>
      </w:pPr>
      <w:r>
        <w:rPr>
          <w:rFonts w:hint="eastAsia" w:ascii="宋体" w:hAnsi="宋体" w:cs="宋体"/>
        </w:rPr>
        <w:t>五、不进行缺乏事实根据或者法律依据的投诉。</w:t>
      </w:r>
    </w:p>
    <w:p w14:paraId="7DBD6941">
      <w:pPr>
        <w:snapToGrid w:val="0"/>
        <w:spacing w:line="360" w:lineRule="auto"/>
        <w:ind w:firstLine="420" w:firstLineChars="200"/>
        <w:rPr>
          <w:rFonts w:ascii="宋体" w:cs="Times New Roman"/>
        </w:rPr>
      </w:pPr>
      <w:r>
        <w:rPr>
          <w:rFonts w:hint="eastAsia" w:ascii="宋体" w:hAnsi="宋体" w:cs="宋体"/>
        </w:rPr>
        <w:t>六、不在投标中哄抬价格或恶意压价。</w:t>
      </w:r>
    </w:p>
    <w:p w14:paraId="375846EB">
      <w:pPr>
        <w:snapToGrid w:val="0"/>
        <w:spacing w:line="360" w:lineRule="auto"/>
        <w:ind w:firstLine="420" w:firstLineChars="200"/>
        <w:rPr>
          <w:rFonts w:ascii="宋体" w:cs="Times New Roman"/>
        </w:rPr>
      </w:pPr>
      <w:r>
        <w:rPr>
          <w:rFonts w:hint="eastAsia" w:ascii="宋体" w:hAnsi="宋体" w:cs="宋体"/>
        </w:rPr>
        <w:t>七、不违反相关法律法规，注册建造师不同时在两个及两个以上的建设项目上担任施工项目负责人。</w:t>
      </w:r>
    </w:p>
    <w:p w14:paraId="29439436">
      <w:pPr>
        <w:snapToGrid w:val="0"/>
        <w:spacing w:line="360" w:lineRule="auto"/>
        <w:ind w:firstLine="420" w:firstLineChars="200"/>
        <w:rPr>
          <w:rFonts w:ascii="宋体" w:cs="Times New Roman"/>
        </w:rPr>
      </w:pPr>
      <w:r>
        <w:rPr>
          <w:rFonts w:hint="eastAsia" w:ascii="宋体" w:hAnsi="宋体" w:cs="宋体"/>
        </w:rPr>
        <w:t>八、遵守国家和本市安全、质量有关法律法规和规范性文件中关于质量员、安全员的数量和人选的相关规定。</w:t>
      </w:r>
    </w:p>
    <w:p w14:paraId="1E67734A">
      <w:pPr>
        <w:snapToGrid w:val="0"/>
        <w:spacing w:line="360" w:lineRule="auto"/>
        <w:ind w:firstLine="420" w:firstLineChars="200"/>
        <w:rPr>
          <w:rFonts w:ascii="宋体" w:cs="Times New Roman"/>
        </w:rPr>
      </w:pPr>
      <w:r>
        <w:rPr>
          <w:rFonts w:hint="eastAsia" w:ascii="宋体" w:hAnsi="宋体" w:cs="宋体"/>
        </w:rPr>
        <w:t>九、加强分包和劳务分包管理，对所分包工程的安全、质量和进度承担责任，不拖欠农民工工资，按时将分包合同报行政部门备案。</w:t>
      </w:r>
    </w:p>
    <w:p w14:paraId="67CD48B7">
      <w:pPr>
        <w:snapToGrid w:val="0"/>
        <w:spacing w:line="360" w:lineRule="auto"/>
        <w:ind w:firstLine="420" w:firstLineChars="200"/>
        <w:outlineLvl w:val="3"/>
        <w:rPr>
          <w:rFonts w:ascii="宋体" w:cs="Times New Roman"/>
        </w:rPr>
      </w:pPr>
      <w:r>
        <w:rPr>
          <w:rFonts w:hint="eastAsia" w:ascii="宋体" w:hAnsi="宋体" w:cs="宋体"/>
        </w:rPr>
        <w:t>十、按照招标文件规定及合同约定，执行承诺的施工工期。</w:t>
      </w:r>
    </w:p>
    <w:p w14:paraId="63650EBF">
      <w:pPr>
        <w:snapToGrid w:val="0"/>
        <w:spacing w:line="360" w:lineRule="auto"/>
        <w:ind w:firstLine="420" w:firstLineChars="200"/>
        <w:rPr>
          <w:rFonts w:ascii="宋体" w:cs="Times New Roman"/>
        </w:rPr>
      </w:pPr>
      <w:r>
        <w:rPr>
          <w:rFonts w:hint="eastAsia" w:ascii="宋体" w:hAnsi="宋体" w:cs="宋体"/>
        </w:rPr>
        <w:t>十一、保证建筑材料符合相关标准和设计、施工要求，不使用未经检测或者检测质量不合格的建筑材料。</w:t>
      </w:r>
    </w:p>
    <w:p w14:paraId="2B80AA31">
      <w:pPr>
        <w:snapToGrid w:val="0"/>
        <w:spacing w:line="360" w:lineRule="auto"/>
        <w:ind w:firstLine="420" w:firstLineChars="200"/>
        <w:outlineLvl w:val="3"/>
        <w:rPr>
          <w:rFonts w:ascii="宋体" w:cs="Times New Roman"/>
        </w:rPr>
      </w:pPr>
      <w:r>
        <w:rPr>
          <w:rFonts w:hint="eastAsia" w:ascii="宋体" w:hAnsi="宋体" w:cs="宋体"/>
        </w:rPr>
        <w:t>十二、本公司若违反本投标承诺，愿承担相应的法律责任。</w:t>
      </w:r>
    </w:p>
    <w:p w14:paraId="6BCCF804">
      <w:pPr>
        <w:snapToGrid w:val="0"/>
        <w:spacing w:line="360" w:lineRule="auto"/>
        <w:ind w:firstLine="420" w:firstLineChars="200"/>
        <w:rPr>
          <w:rFonts w:ascii="宋体" w:cs="Times New Roman"/>
        </w:rPr>
      </w:pPr>
      <w:r>
        <w:rPr>
          <w:rFonts w:hint="eastAsia" w:ascii="宋体" w:hAnsi="宋体" w:cs="宋体"/>
        </w:rPr>
        <w:t>十三、其他承诺：</w:t>
      </w:r>
      <w:r>
        <w:rPr>
          <w:rFonts w:ascii="宋体" w:hAnsi="宋体" w:cs="宋体"/>
        </w:rPr>
        <w:t>______________________________________</w:t>
      </w:r>
      <w:r>
        <w:rPr>
          <w:rFonts w:hint="eastAsia" w:ascii="宋体" w:hAnsi="宋体" w:cs="宋体"/>
        </w:rPr>
        <w:t>。</w:t>
      </w:r>
    </w:p>
    <w:p w14:paraId="1643C9AD">
      <w:pPr>
        <w:snapToGrid w:val="0"/>
        <w:spacing w:line="360" w:lineRule="auto"/>
        <w:ind w:firstLine="420" w:firstLineChars="200"/>
        <w:jc w:val="right"/>
        <w:rPr>
          <w:rFonts w:ascii="宋体" w:cs="Times New Roman"/>
        </w:rPr>
      </w:pPr>
    </w:p>
    <w:p w14:paraId="7D7E983D">
      <w:pPr>
        <w:snapToGrid w:val="0"/>
        <w:spacing w:line="360" w:lineRule="auto"/>
        <w:ind w:firstLine="420" w:firstLineChars="200"/>
        <w:jc w:val="right"/>
        <w:rPr>
          <w:rFonts w:ascii="宋体" w:cs="Times New Roman"/>
        </w:rPr>
      </w:pPr>
    </w:p>
    <w:p w14:paraId="1FE82F47">
      <w:pPr>
        <w:snapToGrid w:val="0"/>
        <w:spacing w:line="360" w:lineRule="auto"/>
        <w:ind w:right="840" w:firstLine="420" w:firstLineChars="200"/>
        <w:outlineLvl w:val="4"/>
        <w:rPr>
          <w:rFonts w:ascii="宋体" w:cs="Times New Roman"/>
        </w:rPr>
      </w:pPr>
      <w:r>
        <w:rPr>
          <w:rFonts w:hint="eastAsia" w:ascii="宋体" w:hAnsi="宋体" w:cs="宋体"/>
        </w:rPr>
        <w:t>投标单位（牵头人单位）：</w:t>
      </w:r>
      <w:r>
        <w:rPr>
          <w:rFonts w:ascii="宋体" w:hAnsi="宋体" w:cs="宋体"/>
        </w:rPr>
        <w:t>___________________</w:t>
      </w:r>
      <w:r>
        <w:rPr>
          <w:rFonts w:hint="eastAsia" w:ascii="宋体" w:hAnsi="宋体" w:cs="宋体"/>
        </w:rPr>
        <w:t>（电子签章）</w:t>
      </w:r>
    </w:p>
    <w:p w14:paraId="41E0C1C7">
      <w:pPr>
        <w:snapToGrid w:val="0"/>
        <w:spacing w:line="360" w:lineRule="auto"/>
        <w:ind w:firstLine="420" w:firstLineChars="200"/>
        <w:rPr>
          <w:rFonts w:ascii="宋体" w:cs="Times New Roman"/>
        </w:rPr>
      </w:pPr>
      <w:r>
        <w:rPr>
          <w:rFonts w:hint="eastAsia" w:ascii="宋体" w:hAnsi="宋体" w:cs="宋体"/>
        </w:rPr>
        <w:t>法定代表人</w:t>
      </w:r>
      <w:r>
        <w:rPr>
          <w:rFonts w:hint="eastAsia" w:cs="宋体"/>
        </w:rPr>
        <w:t>或其委托代理人</w:t>
      </w:r>
      <w:r>
        <w:rPr>
          <w:rFonts w:hint="eastAsia" w:ascii="宋体" w:hAnsi="宋体" w:cs="宋体"/>
        </w:rPr>
        <w:t>：</w:t>
      </w:r>
      <w:r>
        <w:rPr>
          <w:rFonts w:ascii="宋体" w:hAnsi="宋体" w:cs="宋体"/>
        </w:rPr>
        <w:t>___________________</w:t>
      </w:r>
      <w:r>
        <w:rPr>
          <w:rFonts w:hint="eastAsia" w:ascii="宋体" w:hAnsi="宋体" w:cs="宋体"/>
        </w:rPr>
        <w:t>（电子签章）</w:t>
      </w:r>
    </w:p>
    <w:p w14:paraId="6F72190E">
      <w:pPr>
        <w:snapToGrid w:val="0"/>
        <w:spacing w:line="360" w:lineRule="auto"/>
        <w:ind w:left="420" w:leftChars="200" w:firstLine="630" w:firstLineChars="300"/>
        <w:jc w:val="left"/>
        <w:rPr>
          <w:rFonts w:ascii="宋体" w:cs="Times New Roman"/>
        </w:rPr>
      </w:pPr>
      <w:r>
        <w:rPr>
          <w:rFonts w:hint="eastAsia" w:ascii="宋体" w:cs="宋体"/>
        </w:rPr>
        <w:t xml:space="preserve">年 </w:t>
      </w:r>
      <w:r>
        <w:rPr>
          <w:rFonts w:ascii="宋体" w:cs="Times New Roman"/>
        </w:rPr>
        <w:t> </w:t>
      </w:r>
      <w:r>
        <w:rPr>
          <w:rFonts w:hint="eastAsia" w:ascii="宋体" w:cs="Times New Roman"/>
        </w:rPr>
        <w:t xml:space="preserve"> </w:t>
      </w:r>
      <w:r>
        <w:rPr>
          <w:rFonts w:hint="eastAsia" w:ascii="宋体" w:cs="宋体"/>
        </w:rPr>
        <w:t>月</w:t>
      </w:r>
      <w:r>
        <w:rPr>
          <w:rFonts w:ascii="宋体" w:cs="Times New Roman"/>
        </w:rPr>
        <w:t> </w:t>
      </w:r>
      <w:r>
        <w:rPr>
          <w:rFonts w:hint="eastAsia" w:ascii="宋体" w:cs="Times New Roman"/>
        </w:rPr>
        <w:t xml:space="preserve">  </w:t>
      </w:r>
      <w:r>
        <w:rPr>
          <w:rFonts w:hint="eastAsia" w:ascii="宋体" w:cs="宋体"/>
        </w:rPr>
        <w:t>日</w:t>
      </w:r>
    </w:p>
    <w:p w14:paraId="749E517B">
      <w:pPr>
        <w:pStyle w:val="49"/>
        <w:snapToGrid w:val="0"/>
        <w:spacing w:before="157" w:beforeLines="50" w:after="314" w:afterLines="100" w:line="360" w:lineRule="auto"/>
        <w:ind w:left="0" w:firstLine="0"/>
        <w:rPr>
          <w:rFonts w:ascii="宋体" w:cs="Times New Roman"/>
        </w:rPr>
      </w:pPr>
    </w:p>
    <w:p w14:paraId="382B0D4F">
      <w:pPr>
        <w:pStyle w:val="49"/>
        <w:snapToGrid w:val="0"/>
        <w:spacing w:before="157" w:beforeLines="50" w:after="314" w:afterLines="100" w:line="360" w:lineRule="auto"/>
        <w:ind w:left="0" w:firstLine="0"/>
        <w:rPr>
          <w:rFonts w:ascii="宋体" w:cs="Times New Roman"/>
        </w:rPr>
        <w:sectPr>
          <w:pgSz w:w="11905" w:h="16838"/>
          <w:pgMar w:top="1417" w:right="1417" w:bottom="1304" w:left="1417" w:header="850" w:footer="992" w:gutter="0"/>
          <w:cols w:space="0" w:num="1"/>
          <w:docGrid w:type="lines" w:linePitch="314" w:charSpace="0"/>
        </w:sectPr>
      </w:pPr>
      <w:r>
        <w:rPr>
          <w:rFonts w:hint="eastAsia" w:ascii="宋体" w:cs="Times New Roman"/>
        </w:rPr>
        <w:t>注：以联合体形式参加投标的，由联合体牵头单位提供。</w:t>
      </w:r>
    </w:p>
    <w:p w14:paraId="6E342ECA">
      <w:pPr>
        <w:adjustRightInd w:val="0"/>
        <w:snapToGrid w:val="0"/>
        <w:spacing w:line="360" w:lineRule="auto"/>
        <w:jc w:val="center"/>
        <w:rPr>
          <w:rStyle w:val="48"/>
          <w:rFonts w:hint="eastAsia" w:ascii="宋体" w:hAnsi="宋体" w:cs="宋体"/>
          <w:b/>
          <w:bCs/>
          <w:sz w:val="28"/>
          <w:szCs w:val="28"/>
        </w:rPr>
      </w:pPr>
    </w:p>
    <w:p w14:paraId="08BAE6C4">
      <w:pPr>
        <w:adjustRightInd w:val="0"/>
        <w:snapToGrid w:val="0"/>
        <w:spacing w:line="360" w:lineRule="auto"/>
        <w:jc w:val="center"/>
        <w:rPr>
          <w:rStyle w:val="48"/>
          <w:rFonts w:hint="eastAsia" w:ascii="宋体" w:hAnsi="宋体" w:cs="宋体"/>
          <w:b/>
          <w:bCs/>
          <w:sz w:val="28"/>
          <w:szCs w:val="28"/>
        </w:rPr>
      </w:pPr>
      <w:r>
        <w:rPr>
          <w:rStyle w:val="48"/>
          <w:rFonts w:hint="eastAsia" w:ascii="宋体" w:hAnsi="宋体" w:cs="宋体"/>
          <w:b/>
          <w:bCs/>
          <w:sz w:val="28"/>
          <w:szCs w:val="28"/>
        </w:rPr>
        <w:t>诚信投标承诺书</w:t>
      </w:r>
    </w:p>
    <w:p w14:paraId="0E8F5B84"/>
    <w:p w14:paraId="3FE75EC6">
      <w:pPr>
        <w:snapToGrid w:val="0"/>
        <w:spacing w:line="360" w:lineRule="auto"/>
        <w:ind w:firstLine="420" w:firstLineChars="200"/>
        <w:rPr>
          <w:rFonts w:hint="eastAsia" w:ascii="宋体" w:hAnsi="宋体" w:cs="宋体"/>
        </w:rPr>
      </w:pPr>
      <w:r>
        <w:rPr>
          <w:rFonts w:hint="eastAsia" w:ascii="宋体" w:hAnsi="宋体" w:cs="宋体"/>
        </w:rPr>
        <w:t>我方郑重承诺：</w:t>
      </w:r>
    </w:p>
    <w:p w14:paraId="369FFAF7">
      <w:pPr>
        <w:snapToGrid w:val="0"/>
        <w:spacing w:line="360" w:lineRule="auto"/>
        <w:ind w:firstLine="420" w:firstLineChars="200"/>
        <w:rPr>
          <w:rFonts w:hint="eastAsia" w:ascii="宋体" w:hAnsi="宋体" w:cs="宋体"/>
        </w:rPr>
      </w:pPr>
      <w:r>
        <w:rPr>
          <w:rFonts w:hint="eastAsia" w:ascii="宋体" w:hAnsi="宋体" w:cs="宋体"/>
        </w:rPr>
        <w:t>我方已仔细阅读招标公告及招标文件，理解且认可其告知的诚信投标的相关内容，并承诺按照招标文件的有关要求，遵守投标纪律，保证电子投标文件提交的所有材料和填报的信息是真实、准确、有效和完整的，无弄虚作假行为，对违反以上承诺所造成的后果，愿意接受有关法律法规规定的任何处罚。</w:t>
      </w:r>
    </w:p>
    <w:p w14:paraId="52E985CD">
      <w:pPr>
        <w:snapToGrid w:val="0"/>
        <w:spacing w:line="360" w:lineRule="auto"/>
        <w:ind w:firstLine="420" w:firstLineChars="200"/>
        <w:rPr>
          <w:rFonts w:hint="eastAsia" w:ascii="宋体" w:hAnsi="宋体" w:cs="宋体"/>
        </w:rPr>
      </w:pPr>
    </w:p>
    <w:p w14:paraId="5C62A820"/>
    <w:p w14:paraId="6109816B"/>
    <w:p w14:paraId="4987E8E2"/>
    <w:p w14:paraId="723100D0">
      <w:pPr>
        <w:ind w:firstLine="2730" w:firstLineChars="1300"/>
      </w:pPr>
      <w:r>
        <w:rPr>
          <w:rFonts w:hint="eastAsia"/>
        </w:rPr>
        <w:t>投标人（牵头单位）：（电子签章）</w:t>
      </w:r>
    </w:p>
    <w:p w14:paraId="28A45ACB">
      <w:pPr>
        <w:pStyle w:val="28"/>
        <w:rPr>
          <w:rFonts w:hint="eastAsia"/>
        </w:rPr>
      </w:pPr>
    </w:p>
    <w:p w14:paraId="4B4672A0">
      <w:pPr>
        <w:ind w:firstLine="2730" w:firstLineChars="1300"/>
      </w:pPr>
      <w:r>
        <w:rPr>
          <w:rFonts w:hint="eastAsia"/>
        </w:rPr>
        <w:t>法定代表人（电子签章）：</w:t>
      </w:r>
    </w:p>
    <w:p w14:paraId="7D28A38F">
      <w:pPr>
        <w:pStyle w:val="28"/>
        <w:rPr>
          <w:rFonts w:hint="eastAsia"/>
        </w:rPr>
      </w:pPr>
    </w:p>
    <w:p w14:paraId="34EC777F">
      <w:pPr>
        <w:ind w:firstLine="3360" w:firstLineChars="1600"/>
      </w:pPr>
      <w:r>
        <w:rPr>
          <w:rFonts w:hint="eastAsia"/>
        </w:rPr>
        <w:t>年   月    日</w:t>
      </w:r>
    </w:p>
    <w:p w14:paraId="4334D760"/>
    <w:p w14:paraId="4578522B"/>
    <w:p w14:paraId="290A4801">
      <w:pPr>
        <w:pStyle w:val="46"/>
        <w:adjustRightInd w:val="0"/>
        <w:snapToGrid w:val="0"/>
        <w:spacing w:after="100" w:line="380" w:lineRule="exact"/>
        <w:jc w:val="center"/>
        <w:rPr>
          <w:rStyle w:val="48"/>
          <w:rFonts w:hint="eastAsia" w:ascii="宋体" w:hAnsi="宋体" w:cs="宋体"/>
          <w:b/>
          <w:bCs/>
          <w:kern w:val="2"/>
          <w:sz w:val="28"/>
          <w:szCs w:val="28"/>
        </w:rPr>
      </w:pPr>
    </w:p>
    <w:p w14:paraId="2049AA50">
      <w:pPr>
        <w:pStyle w:val="46"/>
        <w:adjustRightInd w:val="0"/>
        <w:snapToGrid w:val="0"/>
        <w:spacing w:after="100" w:line="380" w:lineRule="exact"/>
        <w:jc w:val="center"/>
        <w:rPr>
          <w:rStyle w:val="48"/>
          <w:rFonts w:hint="eastAsia" w:ascii="宋体" w:hAnsi="宋体" w:cs="宋体"/>
          <w:b/>
          <w:bCs/>
          <w:kern w:val="2"/>
          <w:sz w:val="28"/>
          <w:szCs w:val="28"/>
        </w:rPr>
      </w:pPr>
    </w:p>
    <w:p w14:paraId="59A53BB9">
      <w:pPr>
        <w:pStyle w:val="46"/>
        <w:adjustRightInd w:val="0"/>
        <w:snapToGrid w:val="0"/>
        <w:spacing w:after="100" w:line="380" w:lineRule="exact"/>
        <w:jc w:val="center"/>
        <w:rPr>
          <w:rStyle w:val="48"/>
          <w:rFonts w:hint="eastAsia" w:ascii="宋体" w:hAnsi="宋体" w:cs="宋体"/>
          <w:b/>
          <w:bCs/>
          <w:kern w:val="2"/>
          <w:sz w:val="28"/>
          <w:szCs w:val="28"/>
        </w:rPr>
      </w:pPr>
    </w:p>
    <w:p w14:paraId="461084F2">
      <w:r>
        <w:rPr>
          <w:rFonts w:hint="eastAsia"/>
        </w:rPr>
        <w:t>注：以联合体形式参加投标的，由联合体牵头单位提供。</w:t>
      </w:r>
    </w:p>
    <w:p w14:paraId="25A96912">
      <w:pPr>
        <w:pStyle w:val="46"/>
        <w:adjustRightInd w:val="0"/>
        <w:snapToGrid w:val="0"/>
        <w:spacing w:after="100" w:line="380" w:lineRule="exact"/>
        <w:jc w:val="center"/>
        <w:rPr>
          <w:rStyle w:val="48"/>
          <w:rFonts w:hint="eastAsia" w:ascii="宋体" w:hAnsi="宋体" w:cs="宋体"/>
          <w:b/>
          <w:bCs/>
          <w:kern w:val="2"/>
          <w:sz w:val="28"/>
          <w:szCs w:val="28"/>
        </w:rPr>
      </w:pPr>
    </w:p>
    <w:p w14:paraId="132F393B">
      <w:pPr>
        <w:pStyle w:val="46"/>
        <w:adjustRightInd w:val="0"/>
        <w:snapToGrid w:val="0"/>
        <w:spacing w:after="100" w:line="380" w:lineRule="exact"/>
        <w:jc w:val="center"/>
        <w:rPr>
          <w:rStyle w:val="48"/>
          <w:rFonts w:hint="eastAsia" w:ascii="宋体" w:hAnsi="宋体" w:cs="宋体"/>
          <w:b/>
          <w:bCs/>
          <w:kern w:val="2"/>
          <w:sz w:val="28"/>
          <w:szCs w:val="28"/>
        </w:rPr>
      </w:pPr>
    </w:p>
    <w:p w14:paraId="741F0EF2">
      <w:pPr>
        <w:pStyle w:val="46"/>
        <w:adjustRightInd w:val="0"/>
        <w:snapToGrid w:val="0"/>
        <w:spacing w:after="100" w:line="380" w:lineRule="exact"/>
        <w:jc w:val="center"/>
        <w:rPr>
          <w:rStyle w:val="48"/>
          <w:rFonts w:hint="eastAsia" w:ascii="宋体" w:hAnsi="宋体" w:cs="宋体"/>
          <w:b/>
          <w:bCs/>
          <w:kern w:val="2"/>
          <w:sz w:val="28"/>
          <w:szCs w:val="28"/>
        </w:rPr>
      </w:pPr>
    </w:p>
    <w:p w14:paraId="42BF062C">
      <w:pPr>
        <w:pStyle w:val="46"/>
        <w:adjustRightInd w:val="0"/>
        <w:snapToGrid w:val="0"/>
        <w:spacing w:after="100" w:line="380" w:lineRule="exact"/>
        <w:jc w:val="center"/>
        <w:rPr>
          <w:rStyle w:val="48"/>
          <w:rFonts w:hint="eastAsia" w:ascii="宋体" w:hAnsi="宋体" w:cs="宋体"/>
          <w:b/>
          <w:bCs/>
          <w:kern w:val="2"/>
          <w:sz w:val="28"/>
          <w:szCs w:val="28"/>
        </w:rPr>
      </w:pPr>
    </w:p>
    <w:p w14:paraId="5180084D">
      <w:pPr>
        <w:pStyle w:val="46"/>
        <w:adjustRightInd w:val="0"/>
        <w:snapToGrid w:val="0"/>
        <w:spacing w:after="100" w:line="380" w:lineRule="exact"/>
        <w:jc w:val="center"/>
        <w:rPr>
          <w:rStyle w:val="48"/>
          <w:rFonts w:hint="eastAsia" w:ascii="宋体" w:hAnsi="宋体" w:cs="宋体"/>
          <w:b/>
          <w:bCs/>
          <w:kern w:val="2"/>
          <w:sz w:val="28"/>
          <w:szCs w:val="28"/>
        </w:rPr>
      </w:pPr>
    </w:p>
    <w:p w14:paraId="4B0F78D1">
      <w:pPr>
        <w:pStyle w:val="46"/>
        <w:adjustRightInd w:val="0"/>
        <w:snapToGrid w:val="0"/>
        <w:spacing w:after="100" w:line="380" w:lineRule="exact"/>
        <w:jc w:val="center"/>
        <w:rPr>
          <w:rStyle w:val="48"/>
          <w:rFonts w:hint="eastAsia" w:ascii="宋体" w:hAnsi="宋体" w:cs="宋体"/>
          <w:b/>
          <w:bCs/>
          <w:kern w:val="2"/>
          <w:sz w:val="28"/>
          <w:szCs w:val="28"/>
        </w:rPr>
      </w:pPr>
    </w:p>
    <w:p w14:paraId="569A4BC5">
      <w:pPr>
        <w:pStyle w:val="46"/>
        <w:adjustRightInd w:val="0"/>
        <w:snapToGrid w:val="0"/>
        <w:spacing w:after="100" w:line="380" w:lineRule="exact"/>
        <w:jc w:val="center"/>
        <w:rPr>
          <w:rStyle w:val="48"/>
          <w:rFonts w:hint="eastAsia" w:ascii="宋体" w:hAnsi="宋体" w:cs="宋体"/>
          <w:b/>
          <w:bCs/>
          <w:kern w:val="2"/>
          <w:sz w:val="28"/>
          <w:szCs w:val="28"/>
        </w:rPr>
      </w:pPr>
    </w:p>
    <w:p w14:paraId="58E17FCD">
      <w:pPr>
        <w:pStyle w:val="46"/>
        <w:adjustRightInd w:val="0"/>
        <w:snapToGrid w:val="0"/>
        <w:spacing w:after="100" w:line="380" w:lineRule="exact"/>
        <w:jc w:val="center"/>
        <w:rPr>
          <w:rStyle w:val="48"/>
          <w:rFonts w:hint="eastAsia" w:ascii="宋体" w:hAnsi="宋体" w:cs="宋体"/>
          <w:b/>
          <w:bCs/>
          <w:kern w:val="2"/>
          <w:sz w:val="28"/>
          <w:szCs w:val="28"/>
        </w:rPr>
      </w:pPr>
    </w:p>
    <w:p w14:paraId="2E4354AD">
      <w:pPr>
        <w:pStyle w:val="46"/>
        <w:adjustRightInd w:val="0"/>
        <w:snapToGrid w:val="0"/>
        <w:spacing w:after="100" w:line="380" w:lineRule="exact"/>
        <w:jc w:val="center"/>
        <w:rPr>
          <w:rStyle w:val="48"/>
          <w:rFonts w:hint="eastAsia" w:ascii="宋体" w:hAnsi="宋体" w:cs="宋体"/>
          <w:b/>
          <w:bCs/>
          <w:kern w:val="2"/>
          <w:sz w:val="28"/>
          <w:szCs w:val="28"/>
        </w:rPr>
      </w:pPr>
    </w:p>
    <w:p w14:paraId="37DDC9DA">
      <w:pPr>
        <w:pStyle w:val="46"/>
        <w:adjustRightInd w:val="0"/>
        <w:snapToGrid w:val="0"/>
        <w:spacing w:after="100" w:line="380" w:lineRule="exact"/>
        <w:rPr>
          <w:rStyle w:val="48"/>
          <w:rFonts w:hint="eastAsia" w:ascii="宋体" w:hAnsi="宋体" w:cs="宋体"/>
          <w:b/>
          <w:bCs/>
          <w:kern w:val="2"/>
          <w:sz w:val="28"/>
          <w:szCs w:val="28"/>
        </w:rPr>
      </w:pPr>
    </w:p>
    <w:p w14:paraId="764718D5">
      <w:pPr>
        <w:pStyle w:val="46"/>
        <w:adjustRightInd w:val="0"/>
        <w:snapToGrid w:val="0"/>
        <w:spacing w:after="100" w:line="380" w:lineRule="exact"/>
        <w:jc w:val="center"/>
        <w:rPr>
          <w:rStyle w:val="48"/>
          <w:rFonts w:ascii="宋体" w:cs="Times New Roman"/>
          <w:b/>
          <w:bCs/>
          <w:kern w:val="2"/>
          <w:sz w:val="28"/>
          <w:szCs w:val="28"/>
        </w:rPr>
      </w:pPr>
      <w:r>
        <w:rPr>
          <w:rStyle w:val="48"/>
          <w:rFonts w:hint="eastAsia" w:ascii="宋体" w:hAnsi="宋体" w:cs="宋体"/>
          <w:b/>
          <w:bCs/>
          <w:kern w:val="2"/>
          <w:sz w:val="28"/>
          <w:szCs w:val="28"/>
        </w:rPr>
        <w:t>建设工程投标人依法依规参加投标活动</w:t>
      </w:r>
    </w:p>
    <w:p w14:paraId="782F40FD">
      <w:pPr>
        <w:pStyle w:val="46"/>
        <w:adjustRightInd w:val="0"/>
        <w:snapToGrid w:val="0"/>
        <w:spacing w:after="100" w:line="380" w:lineRule="exact"/>
        <w:jc w:val="center"/>
        <w:rPr>
          <w:rStyle w:val="48"/>
          <w:rFonts w:ascii="宋体" w:cs="Times New Roman"/>
          <w:b/>
          <w:bCs/>
          <w:kern w:val="2"/>
          <w:sz w:val="28"/>
          <w:szCs w:val="28"/>
        </w:rPr>
      </w:pPr>
      <w:r>
        <w:rPr>
          <w:rStyle w:val="48"/>
          <w:rFonts w:hint="eastAsia" w:ascii="宋体" w:hAnsi="宋体" w:cs="宋体"/>
          <w:b/>
          <w:bCs/>
          <w:kern w:val="2"/>
          <w:sz w:val="28"/>
          <w:szCs w:val="28"/>
        </w:rPr>
        <w:t>承诺书</w:t>
      </w:r>
    </w:p>
    <w:p w14:paraId="5B71AEE7">
      <w:pPr>
        <w:snapToGrid w:val="0"/>
        <w:spacing w:line="360" w:lineRule="auto"/>
        <w:ind w:firstLine="420" w:firstLineChars="200"/>
        <w:rPr>
          <w:rFonts w:ascii="宋体" w:cs="Times New Roman"/>
        </w:rPr>
      </w:pPr>
    </w:p>
    <w:p w14:paraId="64ACC3D9">
      <w:pPr>
        <w:snapToGrid w:val="0"/>
        <w:spacing w:line="360" w:lineRule="auto"/>
        <w:ind w:firstLine="420" w:firstLineChars="200"/>
        <w:rPr>
          <w:rFonts w:ascii="宋体" w:cs="Times New Roman"/>
        </w:rPr>
      </w:pP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作为项目的投标人，现作出如下承诺：</w:t>
      </w:r>
    </w:p>
    <w:p w14:paraId="4B5F7CBC">
      <w:pPr>
        <w:snapToGrid w:val="0"/>
        <w:spacing w:line="360" w:lineRule="auto"/>
        <w:ind w:firstLine="420" w:firstLineChars="200"/>
        <w:rPr>
          <w:rFonts w:ascii="宋体" w:cs="Times New Roman"/>
        </w:rPr>
      </w:pPr>
      <w:r>
        <w:rPr>
          <w:rFonts w:ascii="宋体" w:hAnsi="宋体" w:cs="宋体"/>
        </w:rPr>
        <w:t>1.</w:t>
      </w:r>
      <w:r>
        <w:rPr>
          <w:rFonts w:hint="eastAsia" w:ascii="宋体" w:hAnsi="宋体" w:cs="宋体"/>
        </w:rPr>
        <w:t>坚决贯彻落实习近平总书记关于扫黑除恶专项斗争的重要指示精神，按照党中央、国务院、省委、省政府、州委、州政府的决策部署，严格遵守《住房和城乡建设部关于进一步加强房屋建筑和市政基础设施工程招标投标监管的指导意见》</w:t>
      </w:r>
      <w:r>
        <w:rPr>
          <w:rFonts w:ascii="宋体" w:hAnsi="宋体" w:cs="宋体"/>
        </w:rPr>
        <w:t>(</w:t>
      </w:r>
      <w:r>
        <w:rPr>
          <w:rFonts w:hint="eastAsia" w:ascii="宋体" w:hAnsi="宋体" w:cs="宋体"/>
        </w:rPr>
        <w:t>建市规〔2019〕11号）文件要求，扎实开展好全省住建系统扫黑除恶专项斗争，营造良好的建筑市场秩序，促进建筑业高质量发展；</w:t>
      </w:r>
    </w:p>
    <w:p w14:paraId="6D1C5014">
      <w:pPr>
        <w:snapToGrid w:val="0"/>
        <w:spacing w:line="360" w:lineRule="auto"/>
        <w:ind w:firstLine="420" w:firstLineChars="200"/>
        <w:rPr>
          <w:rFonts w:ascii="宋体" w:cs="Times New Roman"/>
        </w:rPr>
      </w:pPr>
      <w:r>
        <w:rPr>
          <w:rFonts w:ascii="宋体" w:hAnsi="宋体" w:cs="宋体"/>
        </w:rPr>
        <w:t>2.</w:t>
      </w:r>
      <w:r>
        <w:rPr>
          <w:rFonts w:hint="eastAsia" w:ascii="宋体" w:hAnsi="宋体" w:cs="宋体"/>
        </w:rPr>
        <w:t>严格遵守《中华人民共和国招标投标法》等有关法律法规，公开、公平、公正和诚实信用参加工程项目投标；</w:t>
      </w:r>
    </w:p>
    <w:p w14:paraId="35A6F86A">
      <w:pPr>
        <w:snapToGrid w:val="0"/>
        <w:spacing w:line="360" w:lineRule="auto"/>
        <w:ind w:firstLine="420" w:firstLineChars="200"/>
        <w:rPr>
          <w:rFonts w:ascii="宋体" w:cs="Times New Roman"/>
        </w:rPr>
      </w:pPr>
      <w:r>
        <w:rPr>
          <w:rFonts w:ascii="宋体" w:hAnsi="宋体" w:cs="宋体"/>
        </w:rPr>
        <w:t>3.</w:t>
      </w:r>
      <w:r>
        <w:rPr>
          <w:rFonts w:hint="eastAsia" w:ascii="宋体" w:hAnsi="宋体" w:cs="宋体"/>
        </w:rPr>
        <w:t>不与其他投标人相互串通投标或者与招标人、招标代理机构串通投标；</w:t>
      </w:r>
    </w:p>
    <w:p w14:paraId="5B976391">
      <w:pPr>
        <w:snapToGrid w:val="0"/>
        <w:spacing w:line="360" w:lineRule="auto"/>
        <w:ind w:firstLine="420" w:firstLineChars="200"/>
        <w:outlineLvl w:val="4"/>
        <w:rPr>
          <w:rFonts w:ascii="宋体" w:cs="Times New Roman"/>
        </w:rPr>
      </w:pPr>
      <w:r>
        <w:rPr>
          <w:rFonts w:ascii="宋体" w:hAnsi="宋体" w:cs="宋体"/>
        </w:rPr>
        <w:t>4.</w:t>
      </w:r>
      <w:r>
        <w:rPr>
          <w:rFonts w:hint="eastAsia" w:ascii="宋体" w:hAnsi="宋体" w:cs="宋体"/>
        </w:rPr>
        <w:t>不向招标人、招标代理机构或者评标委员会成员行贿谋取中标；</w:t>
      </w:r>
    </w:p>
    <w:p w14:paraId="5D75D727">
      <w:pPr>
        <w:snapToGrid w:val="0"/>
        <w:spacing w:line="360" w:lineRule="auto"/>
        <w:ind w:firstLine="420" w:firstLineChars="200"/>
        <w:rPr>
          <w:rFonts w:ascii="宋体" w:cs="Times New Roman"/>
        </w:rPr>
      </w:pPr>
      <w:r>
        <w:rPr>
          <w:rFonts w:ascii="宋体" w:hAnsi="宋体" w:cs="宋体"/>
        </w:rPr>
        <w:t>5.</w:t>
      </w:r>
      <w:r>
        <w:rPr>
          <w:rFonts w:hint="eastAsia" w:ascii="宋体" w:hAnsi="宋体" w:cs="宋体"/>
        </w:rPr>
        <w:t>不以他人名义投标，挂靠、借用资质投标或者以其他方式弄虚作假，骗取中标；</w:t>
      </w:r>
    </w:p>
    <w:p w14:paraId="7A2B2371">
      <w:pPr>
        <w:snapToGrid w:val="0"/>
        <w:spacing w:line="360" w:lineRule="auto"/>
        <w:ind w:firstLine="420" w:firstLineChars="200"/>
        <w:rPr>
          <w:rFonts w:ascii="宋体" w:cs="Times New Roman"/>
        </w:rPr>
      </w:pPr>
      <w:r>
        <w:rPr>
          <w:rFonts w:ascii="宋体" w:hAnsi="宋体" w:cs="宋体"/>
        </w:rPr>
        <w:t>6.</w:t>
      </w:r>
      <w:r>
        <w:rPr>
          <w:rFonts w:hint="eastAsia" w:ascii="宋体" w:hAnsi="宋体" w:cs="宋体"/>
        </w:rPr>
        <w:t>不以暴力手段胁迫其他潜在投标人放弃投标，或胁迫中标人放弃中标，强揽工程；</w:t>
      </w:r>
    </w:p>
    <w:p w14:paraId="30C10E94">
      <w:pPr>
        <w:snapToGrid w:val="0"/>
        <w:spacing w:line="360" w:lineRule="auto"/>
        <w:ind w:firstLine="420" w:firstLineChars="200"/>
        <w:rPr>
          <w:rFonts w:ascii="宋体" w:cs="Times New Roman"/>
        </w:rPr>
      </w:pPr>
      <w:r>
        <w:rPr>
          <w:rFonts w:ascii="宋体" w:hAnsi="宋体" w:cs="宋体"/>
        </w:rPr>
        <w:t>7.</w:t>
      </w:r>
      <w:r>
        <w:rPr>
          <w:rFonts w:hint="eastAsia" w:ascii="宋体" w:hAnsi="宋体" w:cs="宋体"/>
        </w:rPr>
        <w:t>不恶意举报投诉中标人或其他潜在投标人，干扰招标投标正常秩序；</w:t>
      </w:r>
    </w:p>
    <w:p w14:paraId="0B66AAC3">
      <w:pPr>
        <w:snapToGrid w:val="0"/>
        <w:spacing w:line="360" w:lineRule="auto"/>
        <w:ind w:firstLine="420" w:firstLineChars="200"/>
        <w:rPr>
          <w:rFonts w:ascii="宋体" w:cs="Times New Roman"/>
        </w:rPr>
      </w:pPr>
      <w:r>
        <w:rPr>
          <w:rFonts w:ascii="宋体" w:hAnsi="宋体" w:cs="宋体"/>
        </w:rPr>
        <w:t>8.</w:t>
      </w:r>
      <w:r>
        <w:rPr>
          <w:rFonts w:hint="eastAsia" w:ascii="宋体" w:hAnsi="宋体" w:cs="宋体"/>
        </w:rPr>
        <w:t>不将中标项目转让给他人，不将中标项目肢解分别转让给他人，不将中标项目违法分包给他人；</w:t>
      </w:r>
    </w:p>
    <w:p w14:paraId="2AEF9791">
      <w:pPr>
        <w:snapToGrid w:val="0"/>
        <w:spacing w:line="360" w:lineRule="auto"/>
        <w:ind w:firstLine="420" w:firstLineChars="200"/>
        <w:rPr>
          <w:rFonts w:ascii="宋体" w:cs="Times New Roman"/>
        </w:rPr>
      </w:pPr>
      <w:r>
        <w:rPr>
          <w:rFonts w:ascii="宋体" w:hAnsi="宋体" w:cs="宋体"/>
        </w:rPr>
        <w:t>4.</w:t>
      </w:r>
      <w:r>
        <w:rPr>
          <w:rFonts w:hint="eastAsia" w:ascii="宋体" w:hAnsi="宋体" w:cs="宋体"/>
        </w:rPr>
        <w:t>在投标过程中，秉承诚实、信用、公平、公正的原则开展工作，出具的各类书面文件、证件及资料均真实、有效不弄虚作假。</w:t>
      </w:r>
    </w:p>
    <w:p w14:paraId="4B069B9A">
      <w:pPr>
        <w:snapToGrid w:val="0"/>
        <w:spacing w:line="360" w:lineRule="auto"/>
        <w:ind w:firstLine="420" w:firstLineChars="200"/>
        <w:rPr>
          <w:rFonts w:ascii="宋体" w:cs="Times New Roman"/>
        </w:rPr>
      </w:pPr>
    </w:p>
    <w:p w14:paraId="057DDBD2">
      <w:pPr>
        <w:snapToGrid w:val="0"/>
        <w:spacing w:line="360" w:lineRule="auto"/>
        <w:ind w:firstLine="420" w:firstLineChars="200"/>
        <w:rPr>
          <w:rFonts w:ascii="宋体" w:cs="Times New Roman"/>
        </w:rPr>
      </w:pPr>
      <w:r>
        <w:rPr>
          <w:rFonts w:hint="eastAsia" w:ascii="宋体" w:hAnsi="宋体" w:cs="宋体"/>
        </w:rPr>
        <w:t>若违反上述行为，本投标人自愿承担相关责任，接受招标投标监督管理部门、纪检国家监察委员会或司法机关调查处理。接受相应刑事纪律和行政处罚以及失信惩戒。</w:t>
      </w:r>
    </w:p>
    <w:p w14:paraId="0446CA4A">
      <w:pPr>
        <w:snapToGrid w:val="0"/>
        <w:spacing w:line="360" w:lineRule="auto"/>
        <w:ind w:firstLine="420" w:firstLineChars="200"/>
        <w:rPr>
          <w:rFonts w:ascii="宋体" w:cs="Times New Roman"/>
        </w:rPr>
      </w:pPr>
    </w:p>
    <w:p w14:paraId="205AFA1B">
      <w:pPr>
        <w:snapToGrid w:val="0"/>
        <w:spacing w:line="360" w:lineRule="auto"/>
        <w:ind w:firstLine="420" w:firstLineChars="200"/>
        <w:rPr>
          <w:rFonts w:ascii="宋体" w:cs="Times New Roman"/>
        </w:rPr>
      </w:pPr>
    </w:p>
    <w:p w14:paraId="6751B71C">
      <w:pPr>
        <w:pStyle w:val="53"/>
        <w:adjustRightInd w:val="0"/>
        <w:snapToGrid w:val="0"/>
        <w:spacing w:after="200" w:line="360" w:lineRule="auto"/>
        <w:ind w:firstLine="2100" w:firstLineChars="1000"/>
        <w:outlineLvl w:val="2"/>
        <w:rPr>
          <w:rStyle w:val="48"/>
          <w:rFonts w:ascii="宋体" w:hAnsi="Times New Roman" w:cs="Times New Roman"/>
          <w:sz w:val="21"/>
          <w:szCs w:val="21"/>
        </w:rPr>
      </w:pPr>
      <w:r>
        <w:rPr>
          <w:rStyle w:val="48"/>
          <w:rFonts w:hint="eastAsia" w:ascii="宋体" w:hAnsi="宋体" w:cs="宋体"/>
          <w:sz w:val="21"/>
          <w:szCs w:val="21"/>
        </w:rPr>
        <w:t>投标人（牵头单位）：（电子签章）</w:t>
      </w:r>
    </w:p>
    <w:p w14:paraId="1DD22725">
      <w:pPr>
        <w:pStyle w:val="53"/>
        <w:adjustRightInd w:val="0"/>
        <w:snapToGrid w:val="0"/>
        <w:spacing w:after="200" w:line="360" w:lineRule="auto"/>
        <w:ind w:firstLine="2100" w:firstLineChars="1000"/>
        <w:rPr>
          <w:rStyle w:val="48"/>
          <w:rFonts w:ascii="宋体" w:hAnsi="Times New Roman" w:cs="Times New Roman"/>
          <w:sz w:val="21"/>
          <w:szCs w:val="21"/>
        </w:rPr>
      </w:pPr>
      <w:r>
        <w:rPr>
          <w:rStyle w:val="48"/>
          <w:rFonts w:hint="eastAsia" w:ascii="宋体" w:hAnsi="宋体" w:cs="宋体"/>
          <w:sz w:val="21"/>
          <w:szCs w:val="21"/>
        </w:rPr>
        <w:t>法定代表人（电子签章）：</w:t>
      </w:r>
    </w:p>
    <w:p w14:paraId="4275C0D5">
      <w:pPr>
        <w:pStyle w:val="46"/>
        <w:spacing w:after="200" w:line="276" w:lineRule="auto"/>
        <w:ind w:firstLine="3614" w:firstLineChars="1721"/>
        <w:rPr>
          <w:rStyle w:val="48"/>
          <w:rFonts w:ascii="宋体" w:cs="Times New Roman"/>
          <w:sz w:val="21"/>
          <w:szCs w:val="21"/>
        </w:rPr>
      </w:pPr>
      <w:r>
        <w:rPr>
          <w:rStyle w:val="48"/>
          <w:rFonts w:hint="eastAsia" w:ascii="宋体" w:hAnsi="宋体" w:cs="宋体"/>
          <w:sz w:val="21"/>
          <w:szCs w:val="21"/>
        </w:rPr>
        <w:t>年    月   日</w:t>
      </w:r>
    </w:p>
    <w:p w14:paraId="4BB2ABE4">
      <w:pPr>
        <w:pStyle w:val="13"/>
      </w:pPr>
    </w:p>
    <w:p w14:paraId="0CDA3A17">
      <w:r>
        <w:rPr>
          <w:rFonts w:hint="eastAsia"/>
        </w:rPr>
        <w:t>注：以联合体形式参加投标的，由联合体牵头单位提供。</w:t>
      </w:r>
    </w:p>
    <w:p w14:paraId="55E57A6E"/>
    <w:p w14:paraId="0A62585E">
      <w:pPr>
        <w:pStyle w:val="28"/>
        <w:rPr>
          <w:rFonts w:hint="eastAsia"/>
        </w:rPr>
      </w:pPr>
    </w:p>
    <w:p w14:paraId="64AC8333"/>
    <w:p w14:paraId="429521A8">
      <w:pPr>
        <w:pStyle w:val="46"/>
        <w:widowControl/>
        <w:spacing w:after="200" w:line="276" w:lineRule="auto"/>
        <w:jc w:val="center"/>
        <w:rPr>
          <w:rStyle w:val="48"/>
          <w:rFonts w:cs="Times New Roman"/>
          <w:b/>
          <w:bCs/>
          <w:kern w:val="2"/>
          <w:sz w:val="28"/>
          <w:szCs w:val="28"/>
        </w:rPr>
      </w:pPr>
      <w:r>
        <w:rPr>
          <w:rStyle w:val="48"/>
          <w:rFonts w:hint="eastAsia" w:ascii="宋体" w:hAnsi="宋体" w:cs="宋体"/>
          <w:b/>
          <w:bCs/>
          <w:kern w:val="2"/>
          <w:sz w:val="28"/>
          <w:szCs w:val="28"/>
        </w:rPr>
        <w:t>中标后不转包、违法分包承诺书</w:t>
      </w:r>
    </w:p>
    <w:p w14:paraId="02A365D7">
      <w:pPr>
        <w:pStyle w:val="46"/>
        <w:widowControl/>
        <w:spacing w:after="200" w:line="276" w:lineRule="auto"/>
        <w:jc w:val="both"/>
        <w:rPr>
          <w:rStyle w:val="48"/>
          <w:rFonts w:cs="Times New Roman"/>
          <w:sz w:val="21"/>
          <w:szCs w:val="21"/>
        </w:rPr>
      </w:pPr>
      <w:r>
        <w:rPr>
          <w:rStyle w:val="48"/>
          <w:rFonts w:hint="eastAsia" w:ascii="宋体" w:hAnsi="宋体" w:cs="宋体"/>
          <w:sz w:val="21"/>
          <w:szCs w:val="21"/>
          <w:u w:val="single"/>
        </w:rPr>
        <w:t>（招标人名称）</w:t>
      </w:r>
      <w:r>
        <w:rPr>
          <w:rStyle w:val="48"/>
          <w:rFonts w:hint="eastAsia" w:ascii="宋体" w:hAnsi="宋体" w:cs="宋体"/>
          <w:sz w:val="21"/>
          <w:szCs w:val="21"/>
        </w:rPr>
        <w:t>：</w:t>
      </w:r>
    </w:p>
    <w:p w14:paraId="304F125F">
      <w:pPr>
        <w:pStyle w:val="46"/>
        <w:widowControl/>
        <w:spacing w:after="200" w:line="276" w:lineRule="auto"/>
        <w:ind w:firstLine="424" w:firstLineChars="202"/>
        <w:rPr>
          <w:rStyle w:val="48"/>
          <w:rFonts w:cs="Times New Roman"/>
          <w:kern w:val="2"/>
          <w:sz w:val="21"/>
          <w:szCs w:val="21"/>
        </w:rPr>
      </w:pPr>
      <w:r>
        <w:rPr>
          <w:rStyle w:val="48"/>
          <w:rFonts w:hint="eastAsia" w:ascii="宋体" w:hAnsi="宋体" w:cs="宋体"/>
          <w:kern w:val="2"/>
          <w:sz w:val="21"/>
          <w:szCs w:val="21"/>
        </w:rPr>
        <w:t>我方参与了</w:t>
      </w:r>
      <w:r>
        <w:rPr>
          <w:rStyle w:val="48"/>
          <w:rFonts w:hint="eastAsia" w:ascii="宋体" w:hAnsi="宋体" w:cs="宋体"/>
          <w:kern w:val="2"/>
          <w:sz w:val="21"/>
          <w:szCs w:val="21"/>
          <w:u w:val="single"/>
        </w:rPr>
        <w:t xml:space="preserve">（项目名称）   </w:t>
      </w:r>
      <w:r>
        <w:rPr>
          <w:rStyle w:val="48"/>
          <w:rFonts w:hint="eastAsia" w:ascii="宋体" w:hAnsi="宋体" w:cs="宋体"/>
          <w:kern w:val="2"/>
          <w:sz w:val="21"/>
          <w:szCs w:val="21"/>
        </w:rPr>
        <w:t>的投标活动，若我方有幸中标，我方郑重承诺：</w:t>
      </w:r>
    </w:p>
    <w:p w14:paraId="666DB572">
      <w:pPr>
        <w:pStyle w:val="46"/>
        <w:widowControl/>
        <w:spacing w:after="200" w:line="276" w:lineRule="auto"/>
        <w:ind w:firstLine="424" w:firstLineChars="202"/>
        <w:rPr>
          <w:rStyle w:val="48"/>
          <w:rFonts w:cs="Times New Roman"/>
          <w:kern w:val="2"/>
          <w:sz w:val="21"/>
          <w:szCs w:val="21"/>
        </w:rPr>
      </w:pPr>
      <w:r>
        <w:rPr>
          <w:rStyle w:val="48"/>
          <w:rFonts w:hint="eastAsia" w:ascii="宋体" w:hAnsi="宋体" w:cs="宋体"/>
          <w:kern w:val="2"/>
          <w:sz w:val="21"/>
          <w:szCs w:val="21"/>
        </w:rPr>
        <w:t>在项目实施过程中严格按照国家、省、州、市相关法律法规要求，严格履行招标文件、投标文件及施工合同中约定的各项义务。保证不转包、不违法分包，并随时接受业主及相关行政单位的监督和检查。若出现转包或违法分包行为，我单位愿意接受处罚并赔偿业主相关损失。</w:t>
      </w:r>
    </w:p>
    <w:p w14:paraId="26EA81E2">
      <w:pPr>
        <w:pStyle w:val="46"/>
        <w:widowControl/>
        <w:spacing w:after="200" w:line="276" w:lineRule="auto"/>
        <w:ind w:firstLine="424" w:firstLineChars="202"/>
        <w:rPr>
          <w:rStyle w:val="48"/>
          <w:kern w:val="2"/>
          <w:sz w:val="21"/>
          <w:szCs w:val="21"/>
        </w:rPr>
      </w:pPr>
    </w:p>
    <w:p w14:paraId="67984091">
      <w:pPr>
        <w:pStyle w:val="46"/>
        <w:widowControl/>
        <w:spacing w:after="200" w:line="276" w:lineRule="auto"/>
        <w:ind w:firstLine="424" w:firstLineChars="202"/>
        <w:rPr>
          <w:rStyle w:val="48"/>
          <w:rFonts w:cs="Times New Roman"/>
          <w:kern w:val="2"/>
          <w:sz w:val="21"/>
          <w:szCs w:val="21"/>
        </w:rPr>
      </w:pPr>
      <w:r>
        <w:rPr>
          <w:rStyle w:val="48"/>
          <w:rFonts w:hint="eastAsia" w:ascii="宋体" w:hAnsi="宋体" w:cs="宋体"/>
          <w:kern w:val="2"/>
          <w:sz w:val="21"/>
          <w:szCs w:val="21"/>
        </w:rPr>
        <w:t>特此承诺</w:t>
      </w:r>
    </w:p>
    <w:p w14:paraId="6B27D174">
      <w:pPr>
        <w:pStyle w:val="53"/>
        <w:adjustRightInd w:val="0"/>
        <w:snapToGrid w:val="0"/>
        <w:spacing w:after="200" w:line="360" w:lineRule="auto"/>
        <w:ind w:firstLine="2100" w:firstLineChars="1000"/>
        <w:rPr>
          <w:rStyle w:val="48"/>
          <w:rFonts w:ascii="宋体" w:hAnsi="Times New Roman" w:cs="Times New Roman"/>
          <w:sz w:val="21"/>
          <w:szCs w:val="21"/>
        </w:rPr>
      </w:pPr>
      <w:r>
        <w:rPr>
          <w:rStyle w:val="48"/>
          <w:rFonts w:hint="eastAsia" w:ascii="宋体" w:hAnsi="宋体" w:cs="宋体"/>
          <w:sz w:val="21"/>
          <w:szCs w:val="21"/>
        </w:rPr>
        <w:t>投标人（牵头单位）：（电子签章）</w:t>
      </w:r>
    </w:p>
    <w:p w14:paraId="3C95B126">
      <w:pPr>
        <w:pStyle w:val="53"/>
        <w:adjustRightInd w:val="0"/>
        <w:snapToGrid w:val="0"/>
        <w:spacing w:after="200" w:line="360" w:lineRule="auto"/>
        <w:ind w:firstLine="3150" w:firstLineChars="1500"/>
        <w:rPr>
          <w:rStyle w:val="48"/>
          <w:rFonts w:ascii="宋体" w:hAnsi="Times New Roman" w:cs="Times New Roman"/>
          <w:sz w:val="21"/>
          <w:szCs w:val="21"/>
        </w:rPr>
      </w:pPr>
      <w:r>
        <w:rPr>
          <w:rStyle w:val="48"/>
          <w:rFonts w:hint="eastAsia" w:ascii="宋体" w:hAnsi="宋体" w:cs="宋体"/>
          <w:sz w:val="21"/>
          <w:szCs w:val="21"/>
        </w:rPr>
        <w:t>法定代表人（电子签章）：</w:t>
      </w:r>
    </w:p>
    <w:p w14:paraId="2F013304">
      <w:pPr>
        <w:pStyle w:val="46"/>
        <w:spacing w:after="200" w:line="276" w:lineRule="auto"/>
        <w:ind w:firstLine="3614" w:firstLineChars="1721"/>
        <w:rPr>
          <w:rStyle w:val="48"/>
          <w:rFonts w:hint="eastAsia" w:ascii="宋体" w:hAnsi="宋体" w:cs="宋体"/>
          <w:sz w:val="21"/>
          <w:szCs w:val="21"/>
        </w:rPr>
      </w:pPr>
      <w:r>
        <w:rPr>
          <w:rStyle w:val="48"/>
          <w:rFonts w:hint="eastAsia" w:ascii="宋体" w:hAnsi="宋体" w:cs="宋体"/>
          <w:sz w:val="21"/>
          <w:szCs w:val="21"/>
        </w:rPr>
        <w:t>年  月   日</w:t>
      </w:r>
    </w:p>
    <w:p w14:paraId="3502CB1F">
      <w:pPr>
        <w:pStyle w:val="46"/>
        <w:spacing w:after="200" w:line="276" w:lineRule="auto"/>
        <w:ind w:firstLine="3614" w:firstLineChars="1721"/>
        <w:rPr>
          <w:rStyle w:val="48"/>
          <w:rFonts w:hint="eastAsia" w:ascii="宋体" w:hAnsi="宋体" w:cs="宋体"/>
          <w:sz w:val="21"/>
          <w:szCs w:val="21"/>
        </w:rPr>
      </w:pPr>
    </w:p>
    <w:p w14:paraId="222B61DC">
      <w:pPr>
        <w:adjustRightInd w:val="0"/>
        <w:snapToGrid w:val="0"/>
        <w:spacing w:line="360" w:lineRule="auto"/>
        <w:jc w:val="left"/>
        <w:rPr>
          <w:rFonts w:ascii="宋体" w:cs="Times New Roman"/>
        </w:rPr>
      </w:pPr>
      <w:r>
        <w:rPr>
          <w:rFonts w:hint="eastAsia" w:ascii="宋体" w:cs="Times New Roman"/>
        </w:rPr>
        <w:t>注：以联合体形式参加投标的，由联合体牵头单位提供。</w:t>
      </w:r>
    </w:p>
    <w:p w14:paraId="2B34870D">
      <w:pPr>
        <w:pStyle w:val="46"/>
        <w:widowControl/>
        <w:spacing w:after="200" w:line="276" w:lineRule="auto"/>
        <w:ind w:firstLine="565" w:firstLineChars="202"/>
        <w:jc w:val="both"/>
        <w:rPr>
          <w:rStyle w:val="48"/>
          <w:rFonts w:ascii="宋体" w:cs="Times New Roman"/>
          <w:kern w:val="2"/>
          <w:sz w:val="28"/>
          <w:szCs w:val="28"/>
        </w:rPr>
      </w:pPr>
    </w:p>
    <w:p w14:paraId="57666DC7">
      <w:pPr>
        <w:pStyle w:val="46"/>
        <w:widowControl/>
        <w:spacing w:after="200" w:line="276" w:lineRule="auto"/>
        <w:jc w:val="center"/>
        <w:rPr>
          <w:rStyle w:val="48"/>
          <w:rFonts w:ascii="宋体" w:cs="Times New Roman"/>
          <w:b/>
          <w:bCs/>
          <w:kern w:val="2"/>
          <w:sz w:val="28"/>
          <w:szCs w:val="28"/>
        </w:rPr>
      </w:pPr>
    </w:p>
    <w:p w14:paraId="40EC6694">
      <w:pPr>
        <w:pStyle w:val="46"/>
        <w:widowControl/>
        <w:spacing w:after="200" w:line="276" w:lineRule="auto"/>
        <w:rPr>
          <w:rStyle w:val="48"/>
          <w:rFonts w:ascii="宋体" w:cs="Times New Roman"/>
          <w:b/>
          <w:bCs/>
          <w:kern w:val="2"/>
          <w:sz w:val="28"/>
          <w:szCs w:val="28"/>
        </w:rPr>
      </w:pPr>
    </w:p>
    <w:p w14:paraId="093E6971">
      <w:pPr>
        <w:pStyle w:val="46"/>
        <w:widowControl/>
        <w:spacing w:after="200" w:line="276" w:lineRule="auto"/>
        <w:jc w:val="center"/>
        <w:rPr>
          <w:rStyle w:val="48"/>
          <w:rFonts w:ascii="宋体" w:cs="Times New Roman"/>
          <w:b/>
          <w:bCs/>
          <w:kern w:val="2"/>
          <w:sz w:val="28"/>
          <w:szCs w:val="28"/>
        </w:rPr>
      </w:pPr>
    </w:p>
    <w:p w14:paraId="0CCCDE03">
      <w:pPr>
        <w:pStyle w:val="46"/>
        <w:widowControl/>
        <w:spacing w:after="200" w:line="276" w:lineRule="auto"/>
        <w:jc w:val="center"/>
        <w:rPr>
          <w:rStyle w:val="48"/>
          <w:rFonts w:ascii="宋体" w:cs="Times New Roman"/>
          <w:b/>
          <w:bCs/>
          <w:kern w:val="2"/>
          <w:sz w:val="28"/>
          <w:szCs w:val="28"/>
        </w:rPr>
      </w:pPr>
    </w:p>
    <w:p w14:paraId="3F695B3C">
      <w:pPr>
        <w:pStyle w:val="46"/>
        <w:widowControl/>
        <w:spacing w:after="200" w:line="276" w:lineRule="auto"/>
        <w:jc w:val="center"/>
        <w:rPr>
          <w:rStyle w:val="48"/>
          <w:rFonts w:ascii="宋体" w:cs="Times New Roman"/>
          <w:b/>
          <w:bCs/>
          <w:kern w:val="2"/>
          <w:sz w:val="28"/>
          <w:szCs w:val="28"/>
        </w:rPr>
      </w:pPr>
    </w:p>
    <w:p w14:paraId="45E1FAEF">
      <w:pPr>
        <w:pStyle w:val="46"/>
        <w:widowControl/>
        <w:spacing w:after="200" w:line="276" w:lineRule="auto"/>
        <w:jc w:val="center"/>
        <w:rPr>
          <w:rStyle w:val="48"/>
          <w:rFonts w:ascii="宋体" w:cs="Times New Roman"/>
          <w:b/>
          <w:bCs/>
          <w:kern w:val="2"/>
          <w:sz w:val="28"/>
          <w:szCs w:val="28"/>
        </w:rPr>
      </w:pPr>
    </w:p>
    <w:p w14:paraId="2D7A28F3">
      <w:pPr>
        <w:pStyle w:val="46"/>
        <w:widowControl/>
        <w:spacing w:after="200" w:line="276" w:lineRule="auto"/>
        <w:jc w:val="center"/>
        <w:rPr>
          <w:rStyle w:val="48"/>
          <w:rFonts w:cs="Times New Roman"/>
          <w:b/>
          <w:bCs/>
          <w:kern w:val="2"/>
          <w:sz w:val="28"/>
          <w:szCs w:val="28"/>
        </w:rPr>
      </w:pPr>
      <w:r>
        <w:rPr>
          <w:rStyle w:val="48"/>
          <w:rFonts w:hint="eastAsia" w:ascii="宋体" w:hAnsi="宋体" w:cs="宋体"/>
          <w:b/>
          <w:bCs/>
          <w:kern w:val="2"/>
          <w:sz w:val="28"/>
          <w:szCs w:val="28"/>
        </w:rPr>
        <w:t>按时支付农民工工资承诺书</w:t>
      </w:r>
    </w:p>
    <w:p w14:paraId="374A58FF">
      <w:pPr>
        <w:pStyle w:val="52"/>
        <w:adjustRightInd w:val="0"/>
        <w:snapToGrid w:val="0"/>
        <w:spacing w:after="200" w:line="360" w:lineRule="auto"/>
        <w:rPr>
          <w:rStyle w:val="48"/>
          <w:rFonts w:ascii="宋体" w:cs="Times New Roman"/>
          <w:kern w:val="2"/>
          <w:sz w:val="21"/>
          <w:szCs w:val="21"/>
        </w:rPr>
      </w:pPr>
      <w:r>
        <w:rPr>
          <w:rStyle w:val="48"/>
          <w:rFonts w:hint="eastAsia" w:ascii="宋体" w:hAnsi="宋体" w:cs="宋体"/>
          <w:kern w:val="2"/>
          <w:sz w:val="21"/>
          <w:szCs w:val="21"/>
          <w:u w:val="single"/>
        </w:rPr>
        <w:t>（招标人名称）</w:t>
      </w:r>
      <w:r>
        <w:rPr>
          <w:rStyle w:val="48"/>
          <w:rFonts w:hint="eastAsia" w:ascii="宋体" w:hAnsi="宋体" w:cs="宋体"/>
          <w:kern w:val="2"/>
          <w:sz w:val="21"/>
          <w:szCs w:val="21"/>
        </w:rPr>
        <w:t>：</w:t>
      </w:r>
    </w:p>
    <w:p w14:paraId="5481410A">
      <w:pPr>
        <w:pStyle w:val="46"/>
        <w:widowControl/>
        <w:snapToGrid w:val="0"/>
        <w:spacing w:after="200" w:line="360" w:lineRule="auto"/>
        <w:ind w:firstLine="424" w:firstLineChars="202"/>
        <w:rPr>
          <w:rStyle w:val="48"/>
          <w:rFonts w:ascii="宋体" w:cs="Times New Roman"/>
          <w:sz w:val="21"/>
          <w:szCs w:val="21"/>
        </w:rPr>
      </w:pPr>
      <w:r>
        <w:rPr>
          <w:rStyle w:val="48"/>
          <w:rFonts w:hint="eastAsia" w:ascii="宋体" w:hAnsi="宋体" w:cs="宋体"/>
          <w:kern w:val="2"/>
          <w:sz w:val="21"/>
          <w:szCs w:val="21"/>
        </w:rPr>
        <w:t>我方参加贵方组织的</w:t>
      </w:r>
      <w:r>
        <w:rPr>
          <w:rStyle w:val="48"/>
          <w:rFonts w:hint="eastAsia" w:ascii="宋体" w:hAnsi="宋体" w:cs="宋体"/>
          <w:kern w:val="2"/>
          <w:sz w:val="21"/>
          <w:szCs w:val="21"/>
          <w:u w:val="single"/>
        </w:rPr>
        <w:t xml:space="preserve">（项目名称）   </w:t>
      </w:r>
      <w:r>
        <w:rPr>
          <w:rFonts w:hint="eastAsia" w:cs="宋体"/>
          <w:sz w:val="21"/>
          <w:szCs w:val="21"/>
        </w:rPr>
        <w:t>的投标活动</w:t>
      </w:r>
      <w:r>
        <w:rPr>
          <w:rStyle w:val="48"/>
          <w:rFonts w:hint="eastAsia" w:ascii="宋体" w:hAnsi="宋体" w:cs="宋体"/>
          <w:kern w:val="2"/>
          <w:sz w:val="21"/>
          <w:szCs w:val="21"/>
        </w:rPr>
        <w:t>，若我方有幸中标，我方将严格</w:t>
      </w:r>
      <w:r>
        <w:rPr>
          <w:rStyle w:val="48"/>
          <w:rFonts w:hint="eastAsia" w:ascii="宋体" w:hAnsi="宋体" w:cs="宋体"/>
          <w:sz w:val="21"/>
          <w:szCs w:val="21"/>
        </w:rPr>
        <w:t>执行《云南省工程建设项目农民工工资支付日常监督管理办法》（省</w:t>
      </w:r>
      <w:r>
        <w:rPr>
          <w:rStyle w:val="48"/>
          <w:rFonts w:ascii="宋体" w:hAnsi="宋体" w:cs="宋体"/>
          <w:sz w:val="21"/>
          <w:szCs w:val="21"/>
        </w:rPr>
        <w:t>10</w:t>
      </w:r>
      <w:r>
        <w:rPr>
          <w:rStyle w:val="48"/>
          <w:rFonts w:hint="eastAsia" w:ascii="宋体" w:hAnsi="宋体" w:cs="宋体"/>
          <w:sz w:val="21"/>
          <w:szCs w:val="21"/>
        </w:rPr>
        <w:t>部门公告第</w:t>
      </w:r>
      <w:r>
        <w:rPr>
          <w:rStyle w:val="48"/>
          <w:rFonts w:ascii="宋体" w:hAnsi="宋体" w:cs="宋体"/>
          <w:sz w:val="21"/>
          <w:szCs w:val="21"/>
        </w:rPr>
        <w:t>8</w:t>
      </w:r>
      <w:r>
        <w:rPr>
          <w:rStyle w:val="48"/>
          <w:rFonts w:hint="eastAsia" w:ascii="宋体" w:hAnsi="宋体" w:cs="宋体"/>
          <w:sz w:val="21"/>
          <w:szCs w:val="21"/>
        </w:rPr>
        <w:t>号）、《云南省工程建设项目农民工工资（劳务费）专用账户管理暂行办法》（省</w:t>
      </w:r>
      <w:r>
        <w:rPr>
          <w:rStyle w:val="48"/>
          <w:rFonts w:ascii="宋体" w:hAnsi="宋体" w:cs="宋体"/>
          <w:sz w:val="21"/>
          <w:szCs w:val="21"/>
        </w:rPr>
        <w:t>10</w:t>
      </w:r>
      <w:r>
        <w:rPr>
          <w:rStyle w:val="48"/>
          <w:rFonts w:hint="eastAsia" w:ascii="宋体" w:hAnsi="宋体" w:cs="宋体"/>
          <w:sz w:val="21"/>
          <w:szCs w:val="21"/>
        </w:rPr>
        <w:t>部门公告第</w:t>
      </w:r>
      <w:r>
        <w:rPr>
          <w:rStyle w:val="48"/>
          <w:rFonts w:ascii="宋体" w:hAnsi="宋体" w:cs="宋体"/>
          <w:sz w:val="21"/>
          <w:szCs w:val="21"/>
        </w:rPr>
        <w:t>9</w:t>
      </w:r>
      <w:r>
        <w:rPr>
          <w:rStyle w:val="48"/>
          <w:rFonts w:hint="eastAsia" w:ascii="宋体" w:hAnsi="宋体" w:cs="宋体"/>
          <w:sz w:val="21"/>
          <w:szCs w:val="21"/>
        </w:rPr>
        <w:t>号）及《楚雄市住建局关于对房屋建筑工程和市政基础设施工程建设项目劳务用工推行实名制管理的通知》（楚住建发〔</w:t>
      </w:r>
      <w:r>
        <w:rPr>
          <w:rStyle w:val="48"/>
          <w:rFonts w:ascii="宋体" w:hAnsi="宋体" w:cs="宋体"/>
          <w:sz w:val="21"/>
          <w:szCs w:val="21"/>
        </w:rPr>
        <w:t>2015</w:t>
      </w:r>
      <w:r>
        <w:rPr>
          <w:rStyle w:val="48"/>
          <w:rFonts w:hint="eastAsia" w:ascii="宋体" w:hAnsi="宋体" w:cs="宋体"/>
          <w:sz w:val="21"/>
          <w:szCs w:val="21"/>
        </w:rPr>
        <w:t>〕</w:t>
      </w:r>
      <w:r>
        <w:rPr>
          <w:rStyle w:val="48"/>
          <w:rFonts w:ascii="宋体" w:hAnsi="宋体" w:cs="宋体"/>
          <w:sz w:val="21"/>
          <w:szCs w:val="21"/>
        </w:rPr>
        <w:t>8</w:t>
      </w:r>
      <w:r>
        <w:rPr>
          <w:rStyle w:val="48"/>
          <w:rFonts w:hint="eastAsia" w:ascii="宋体" w:hAnsi="宋体" w:cs="宋体"/>
          <w:sz w:val="21"/>
          <w:szCs w:val="21"/>
        </w:rPr>
        <w:t>号文件）的有关规定，严格进行本项目劳务用工的管理，并承诺：①按规定</w:t>
      </w:r>
      <w:r>
        <w:rPr>
          <w:rStyle w:val="48"/>
          <w:rFonts w:hint="eastAsia" w:ascii="宋体" w:hAnsi="宋体" w:cs="宋体"/>
          <w:sz w:val="21"/>
          <w:szCs w:val="21"/>
          <w:lang w:eastAsia="zh-CN"/>
        </w:rPr>
        <w:t>缴存</w:t>
      </w:r>
      <w:r>
        <w:rPr>
          <w:rStyle w:val="48"/>
          <w:rFonts w:hint="eastAsia" w:ascii="宋体" w:hAnsi="宋体" w:cs="宋体"/>
          <w:sz w:val="21"/>
          <w:szCs w:val="21"/>
        </w:rPr>
        <w:t>农民工工资保证金；②实行人工费用与其他工程款分账管理，在银行开设农民工工资（劳务费）专用账户，并按月按时足额通过银行支付农民工工资；③实行农民工实名管理，在施工现场设立维权信息告示牌和进行用工管理信息公示。</w:t>
      </w:r>
    </w:p>
    <w:p w14:paraId="25166810">
      <w:pPr>
        <w:pStyle w:val="46"/>
        <w:widowControl/>
        <w:snapToGrid w:val="0"/>
        <w:spacing w:after="200" w:line="360" w:lineRule="auto"/>
        <w:ind w:firstLine="424" w:firstLineChars="202"/>
        <w:rPr>
          <w:rStyle w:val="48"/>
          <w:rFonts w:ascii="宋体" w:cs="Times New Roman"/>
          <w:sz w:val="21"/>
          <w:szCs w:val="21"/>
        </w:rPr>
      </w:pPr>
    </w:p>
    <w:p w14:paraId="0D37A856">
      <w:pPr>
        <w:pStyle w:val="53"/>
        <w:adjustRightInd w:val="0"/>
        <w:snapToGrid w:val="0"/>
        <w:spacing w:after="200" w:line="360" w:lineRule="auto"/>
        <w:ind w:firstLine="420" w:firstLineChars="200"/>
        <w:rPr>
          <w:rStyle w:val="48"/>
          <w:rFonts w:ascii="宋体" w:hAnsi="Times New Roman" w:cs="Times New Roman"/>
          <w:sz w:val="21"/>
          <w:szCs w:val="21"/>
        </w:rPr>
      </w:pPr>
      <w:r>
        <w:rPr>
          <w:rStyle w:val="48"/>
          <w:rFonts w:hint="eastAsia" w:ascii="宋体" w:hAnsi="宋体" w:cs="宋体"/>
          <w:sz w:val="21"/>
          <w:szCs w:val="21"/>
        </w:rPr>
        <w:t>特此承诺</w:t>
      </w:r>
      <w:r>
        <w:rPr>
          <w:rStyle w:val="48"/>
          <w:rFonts w:ascii="宋体" w:hAnsi="Times New Roman" w:cs="Times New Roman"/>
          <w:sz w:val="21"/>
          <w:szCs w:val="21"/>
        </w:rPr>
        <w:tab/>
      </w:r>
    </w:p>
    <w:p w14:paraId="2189D65C">
      <w:pPr>
        <w:pStyle w:val="53"/>
        <w:adjustRightInd w:val="0"/>
        <w:snapToGrid w:val="0"/>
        <w:spacing w:after="200" w:line="360" w:lineRule="auto"/>
        <w:ind w:firstLine="3150" w:firstLineChars="1500"/>
        <w:rPr>
          <w:rStyle w:val="48"/>
          <w:rFonts w:ascii="宋体" w:hAnsi="Times New Roman" w:cs="Times New Roman"/>
          <w:sz w:val="21"/>
          <w:szCs w:val="21"/>
        </w:rPr>
      </w:pPr>
    </w:p>
    <w:p w14:paraId="73D70238">
      <w:pPr>
        <w:pStyle w:val="53"/>
        <w:adjustRightInd w:val="0"/>
        <w:snapToGrid w:val="0"/>
        <w:spacing w:after="200" w:line="360" w:lineRule="auto"/>
        <w:ind w:firstLine="2100" w:firstLineChars="1000"/>
        <w:rPr>
          <w:rStyle w:val="48"/>
          <w:rFonts w:ascii="宋体" w:hAnsi="Times New Roman" w:cs="Times New Roman"/>
          <w:sz w:val="21"/>
          <w:szCs w:val="21"/>
        </w:rPr>
      </w:pPr>
      <w:r>
        <w:rPr>
          <w:rStyle w:val="48"/>
          <w:rFonts w:hint="eastAsia" w:ascii="宋体" w:hAnsi="宋体" w:cs="宋体"/>
          <w:sz w:val="21"/>
          <w:szCs w:val="21"/>
        </w:rPr>
        <w:t>投标人（牵头单位）：（电子签章）</w:t>
      </w:r>
    </w:p>
    <w:p w14:paraId="6D5D084A">
      <w:pPr>
        <w:pStyle w:val="53"/>
        <w:adjustRightInd w:val="0"/>
        <w:snapToGrid w:val="0"/>
        <w:spacing w:after="200" w:line="360" w:lineRule="auto"/>
        <w:ind w:firstLine="2100" w:firstLineChars="1000"/>
        <w:rPr>
          <w:rStyle w:val="48"/>
          <w:rFonts w:ascii="宋体" w:hAnsi="Times New Roman" w:cs="Times New Roman"/>
          <w:sz w:val="21"/>
          <w:szCs w:val="21"/>
        </w:rPr>
      </w:pPr>
      <w:r>
        <w:rPr>
          <w:rStyle w:val="48"/>
          <w:rFonts w:hint="eastAsia" w:ascii="宋体" w:hAnsi="宋体" w:cs="宋体"/>
          <w:sz w:val="21"/>
          <w:szCs w:val="21"/>
        </w:rPr>
        <w:t>法定代表人（电子签章）：</w:t>
      </w:r>
    </w:p>
    <w:p w14:paraId="02BE2FDC">
      <w:pPr>
        <w:pStyle w:val="46"/>
        <w:spacing w:after="200" w:line="276" w:lineRule="auto"/>
        <w:ind w:firstLine="3614" w:firstLineChars="1721"/>
        <w:rPr>
          <w:rStyle w:val="48"/>
          <w:rFonts w:hint="eastAsia" w:ascii="宋体" w:hAnsi="宋体" w:cs="宋体"/>
          <w:sz w:val="21"/>
          <w:szCs w:val="21"/>
        </w:rPr>
      </w:pPr>
      <w:r>
        <w:rPr>
          <w:rStyle w:val="48"/>
          <w:rFonts w:hint="eastAsia" w:ascii="宋体" w:hAnsi="宋体" w:cs="宋体"/>
          <w:sz w:val="21"/>
          <w:szCs w:val="21"/>
        </w:rPr>
        <w:t>年   月   日</w:t>
      </w:r>
    </w:p>
    <w:p w14:paraId="29749898">
      <w:pPr>
        <w:pStyle w:val="46"/>
        <w:spacing w:after="200" w:line="276" w:lineRule="auto"/>
        <w:ind w:firstLine="3614" w:firstLineChars="1721"/>
        <w:rPr>
          <w:rStyle w:val="48"/>
          <w:rFonts w:hint="eastAsia" w:ascii="宋体" w:hAnsi="宋体" w:cs="宋体"/>
          <w:sz w:val="21"/>
          <w:szCs w:val="21"/>
        </w:rPr>
      </w:pPr>
    </w:p>
    <w:p w14:paraId="3B2138C3">
      <w:pPr>
        <w:adjustRightInd w:val="0"/>
        <w:snapToGrid w:val="0"/>
        <w:spacing w:line="360" w:lineRule="auto"/>
        <w:jc w:val="left"/>
        <w:rPr>
          <w:rFonts w:ascii="宋体" w:cs="Times New Roman"/>
          <w:b/>
          <w:bCs/>
        </w:rPr>
      </w:pPr>
      <w:r>
        <w:rPr>
          <w:rFonts w:hint="eastAsia" w:ascii="宋体" w:cs="Times New Roman"/>
        </w:rPr>
        <w:t>注：以联合体形式参加投标的，由联合体牵头单位提供。</w:t>
      </w:r>
    </w:p>
    <w:p w14:paraId="4E08879C">
      <w:pPr>
        <w:pStyle w:val="55"/>
        <w:widowControl/>
        <w:spacing w:after="200" w:line="276" w:lineRule="auto"/>
        <w:jc w:val="center"/>
        <w:rPr>
          <w:rStyle w:val="48"/>
          <w:b/>
          <w:bCs/>
          <w:kern w:val="2"/>
          <w:sz w:val="28"/>
          <w:szCs w:val="28"/>
        </w:rPr>
      </w:pPr>
      <w:r>
        <w:rPr>
          <w:rFonts w:cs="Times New Roman"/>
          <w:b/>
          <w:bCs/>
          <w:kern w:val="2"/>
          <w:sz w:val="32"/>
          <w:szCs w:val="32"/>
        </w:rPr>
        <w:br w:type="page"/>
      </w:r>
      <w:r>
        <w:rPr>
          <w:rStyle w:val="48"/>
          <w:rFonts w:hint="eastAsia" w:ascii="宋体" w:hAnsi="宋体" w:cs="宋体"/>
          <w:b/>
          <w:bCs/>
          <w:kern w:val="2"/>
          <w:sz w:val="28"/>
          <w:szCs w:val="28"/>
        </w:rPr>
        <w:t>不拖延工期承诺书</w:t>
      </w:r>
    </w:p>
    <w:p w14:paraId="4515B704">
      <w:pPr>
        <w:pStyle w:val="52"/>
        <w:adjustRightInd w:val="0"/>
        <w:snapToGrid w:val="0"/>
        <w:spacing w:after="200" w:line="360" w:lineRule="auto"/>
        <w:jc w:val="both"/>
        <w:rPr>
          <w:rStyle w:val="48"/>
          <w:rFonts w:ascii="宋体" w:cs="Times New Roman"/>
          <w:kern w:val="2"/>
          <w:sz w:val="21"/>
          <w:szCs w:val="21"/>
        </w:rPr>
      </w:pPr>
      <w:r>
        <w:rPr>
          <w:rStyle w:val="48"/>
          <w:rFonts w:hint="eastAsia" w:ascii="宋体" w:hAnsi="宋体" w:cs="宋体"/>
          <w:kern w:val="2"/>
          <w:sz w:val="21"/>
          <w:szCs w:val="21"/>
          <w:u w:val="single"/>
        </w:rPr>
        <w:t>（招标人名称）</w:t>
      </w:r>
      <w:r>
        <w:rPr>
          <w:rStyle w:val="48"/>
          <w:rFonts w:hint="eastAsia" w:ascii="宋体" w:hAnsi="宋体" w:cs="宋体"/>
          <w:kern w:val="2"/>
          <w:sz w:val="21"/>
          <w:szCs w:val="21"/>
        </w:rPr>
        <w:t>：</w:t>
      </w:r>
    </w:p>
    <w:p w14:paraId="7404F594">
      <w:pPr>
        <w:pStyle w:val="55"/>
        <w:widowControl/>
        <w:adjustRightInd w:val="0"/>
        <w:snapToGrid w:val="0"/>
        <w:spacing w:after="200" w:line="360" w:lineRule="auto"/>
        <w:ind w:firstLine="420" w:firstLineChars="200"/>
        <w:jc w:val="both"/>
        <w:rPr>
          <w:rStyle w:val="48"/>
          <w:rFonts w:cs="Times New Roman"/>
          <w:kern w:val="2"/>
          <w:sz w:val="21"/>
          <w:szCs w:val="21"/>
        </w:rPr>
      </w:pPr>
      <w:r>
        <w:rPr>
          <w:rStyle w:val="48"/>
          <w:rFonts w:hint="eastAsia" w:ascii="宋体" w:hAnsi="宋体" w:cs="宋体"/>
          <w:kern w:val="2"/>
          <w:sz w:val="21"/>
          <w:szCs w:val="21"/>
        </w:rPr>
        <w:t>我方参加贵方组织的</w:t>
      </w:r>
      <w:r>
        <w:rPr>
          <w:rStyle w:val="48"/>
          <w:rFonts w:hint="eastAsia" w:ascii="宋体" w:hAnsi="宋体" w:cs="宋体"/>
          <w:kern w:val="2"/>
          <w:sz w:val="21"/>
          <w:szCs w:val="21"/>
          <w:u w:val="single"/>
        </w:rPr>
        <w:t xml:space="preserve">（项目名称）     </w:t>
      </w:r>
      <w:r>
        <w:rPr>
          <w:rFonts w:hint="eastAsia" w:cs="宋体"/>
          <w:sz w:val="21"/>
          <w:szCs w:val="21"/>
        </w:rPr>
        <w:t>的投标活动</w:t>
      </w:r>
      <w:r>
        <w:rPr>
          <w:rStyle w:val="48"/>
          <w:rFonts w:hint="eastAsia" w:ascii="宋体" w:hAnsi="宋体" w:cs="宋体"/>
          <w:kern w:val="2"/>
          <w:sz w:val="21"/>
          <w:szCs w:val="21"/>
        </w:rPr>
        <w:t>，若我方中标，我方将严格按照约定工期完成设计、施工的全部工作内容，并承诺不因我方原因拖延工期并在规定工期内完工。因我方原因造成工期延误的，可以按中标后签订的合同条款中约定逾期竣工违约金的计算方法支付逾期竣工违约金，我方支付逾期竣工违约金后，不免除我方继续完成工程及修补缺陷的义务。</w:t>
      </w:r>
    </w:p>
    <w:p w14:paraId="38112553">
      <w:pPr>
        <w:pStyle w:val="55"/>
        <w:widowControl/>
        <w:spacing w:after="200" w:line="276" w:lineRule="auto"/>
        <w:jc w:val="both"/>
        <w:rPr>
          <w:rStyle w:val="48"/>
          <w:b/>
          <w:bCs/>
          <w:kern w:val="2"/>
          <w:sz w:val="21"/>
          <w:szCs w:val="21"/>
        </w:rPr>
      </w:pPr>
    </w:p>
    <w:p w14:paraId="3E5DE8DA">
      <w:pPr>
        <w:pStyle w:val="53"/>
        <w:adjustRightInd w:val="0"/>
        <w:snapToGrid w:val="0"/>
        <w:spacing w:after="200" w:line="360" w:lineRule="auto"/>
        <w:ind w:firstLine="420" w:firstLineChars="200"/>
        <w:rPr>
          <w:rStyle w:val="48"/>
          <w:rFonts w:ascii="宋体" w:hAnsi="Times New Roman" w:cs="Times New Roman"/>
          <w:sz w:val="21"/>
          <w:szCs w:val="21"/>
        </w:rPr>
      </w:pPr>
      <w:r>
        <w:rPr>
          <w:rStyle w:val="48"/>
          <w:rFonts w:hint="eastAsia" w:ascii="宋体" w:hAnsi="宋体" w:cs="宋体"/>
          <w:sz w:val="21"/>
          <w:szCs w:val="21"/>
        </w:rPr>
        <w:t>特此承诺</w:t>
      </w:r>
    </w:p>
    <w:p w14:paraId="03FDA269">
      <w:pPr>
        <w:pStyle w:val="53"/>
        <w:adjustRightInd w:val="0"/>
        <w:snapToGrid w:val="0"/>
        <w:spacing w:after="200" w:line="360" w:lineRule="auto"/>
        <w:ind w:firstLine="3150" w:firstLineChars="1500"/>
        <w:rPr>
          <w:rStyle w:val="48"/>
          <w:rFonts w:ascii="宋体" w:hAnsi="Times New Roman" w:cs="Times New Roman"/>
          <w:sz w:val="21"/>
          <w:szCs w:val="21"/>
        </w:rPr>
      </w:pPr>
    </w:p>
    <w:p w14:paraId="0EB76762">
      <w:pPr>
        <w:pStyle w:val="53"/>
        <w:adjustRightInd w:val="0"/>
        <w:snapToGrid w:val="0"/>
        <w:spacing w:after="200" w:line="360" w:lineRule="auto"/>
        <w:ind w:firstLine="2100" w:firstLineChars="1000"/>
        <w:rPr>
          <w:rStyle w:val="48"/>
          <w:rFonts w:ascii="宋体" w:hAnsi="Times New Roman" w:cs="Times New Roman"/>
          <w:sz w:val="21"/>
          <w:szCs w:val="21"/>
        </w:rPr>
      </w:pPr>
      <w:r>
        <w:rPr>
          <w:rStyle w:val="48"/>
          <w:rFonts w:hint="eastAsia" w:ascii="宋体" w:hAnsi="宋体" w:cs="宋体"/>
          <w:sz w:val="21"/>
          <w:szCs w:val="21"/>
        </w:rPr>
        <w:t>投标人（牵头单位）：（电子签章）</w:t>
      </w:r>
    </w:p>
    <w:p w14:paraId="10624EE5">
      <w:pPr>
        <w:pStyle w:val="53"/>
        <w:adjustRightInd w:val="0"/>
        <w:snapToGrid w:val="0"/>
        <w:spacing w:after="200" w:line="360" w:lineRule="auto"/>
        <w:ind w:firstLine="2100" w:firstLineChars="1000"/>
        <w:rPr>
          <w:rStyle w:val="48"/>
          <w:rFonts w:ascii="宋体" w:hAnsi="Times New Roman" w:cs="Times New Roman"/>
          <w:sz w:val="21"/>
          <w:szCs w:val="21"/>
        </w:rPr>
      </w:pPr>
      <w:r>
        <w:rPr>
          <w:rStyle w:val="48"/>
          <w:rFonts w:hint="eastAsia" w:ascii="宋体" w:hAnsi="宋体" w:cs="宋体"/>
          <w:sz w:val="21"/>
          <w:szCs w:val="21"/>
        </w:rPr>
        <w:t>法定代表人（电子签章）：</w:t>
      </w:r>
    </w:p>
    <w:p w14:paraId="5D157AD1">
      <w:pPr>
        <w:pStyle w:val="46"/>
        <w:spacing w:after="200" w:line="276" w:lineRule="auto"/>
        <w:ind w:firstLine="3614" w:firstLineChars="1721"/>
        <w:rPr>
          <w:rStyle w:val="48"/>
          <w:rFonts w:ascii="宋体" w:cs="Times New Roman"/>
          <w:sz w:val="21"/>
          <w:szCs w:val="21"/>
        </w:rPr>
      </w:pPr>
      <w:r>
        <w:rPr>
          <w:rStyle w:val="48"/>
          <w:rFonts w:hint="eastAsia" w:ascii="宋体" w:hAnsi="宋体" w:cs="宋体"/>
          <w:sz w:val="21"/>
          <w:szCs w:val="21"/>
        </w:rPr>
        <w:t xml:space="preserve">  年   月   日</w:t>
      </w:r>
    </w:p>
    <w:p w14:paraId="45679252">
      <w:pPr>
        <w:pStyle w:val="55"/>
        <w:widowControl/>
        <w:spacing w:after="200" w:line="276" w:lineRule="auto"/>
        <w:jc w:val="center"/>
        <w:rPr>
          <w:rFonts w:cs="Times New Roman"/>
          <w:b/>
          <w:bCs/>
          <w:kern w:val="2"/>
          <w:sz w:val="32"/>
          <w:szCs w:val="32"/>
        </w:rPr>
      </w:pPr>
    </w:p>
    <w:p w14:paraId="7AD56B9C">
      <w:pPr>
        <w:adjustRightInd w:val="0"/>
        <w:snapToGrid w:val="0"/>
        <w:spacing w:line="360" w:lineRule="auto"/>
        <w:jc w:val="left"/>
        <w:rPr>
          <w:rFonts w:ascii="宋体" w:cs="Times New Roman"/>
        </w:rPr>
      </w:pPr>
      <w:r>
        <w:rPr>
          <w:rFonts w:hint="eastAsia" w:ascii="宋体" w:cs="Times New Roman"/>
        </w:rPr>
        <w:t>注：以联合体形式参加投标的，由联合体牵头单位提供。</w:t>
      </w:r>
    </w:p>
    <w:p w14:paraId="16C23E91">
      <w:pPr>
        <w:pStyle w:val="4"/>
        <w:ind w:firstLine="0" w:firstLineChars="0"/>
        <w:jc w:val="center"/>
        <w:rPr>
          <w:rFonts w:hint="eastAsia"/>
          <w:sz w:val="32"/>
          <w:szCs w:val="32"/>
        </w:rPr>
      </w:pPr>
      <w:bookmarkStart w:id="1964" w:name="_Toc4368"/>
      <w:bookmarkEnd w:id="1964"/>
      <w:r>
        <w:rPr>
          <w:rFonts w:cs="Times New Roman"/>
          <w:b/>
          <w:bCs/>
          <w:sz w:val="32"/>
          <w:szCs w:val="32"/>
        </w:rPr>
        <w:br w:type="page"/>
      </w:r>
      <w:r>
        <w:rPr>
          <w:rFonts w:hint="eastAsia"/>
          <w:sz w:val="32"/>
          <w:szCs w:val="32"/>
        </w:rPr>
        <w:t>五、投标人认为还需提供的其他资料</w:t>
      </w:r>
      <w:r>
        <w:rPr>
          <w:rFonts w:hint="eastAsia"/>
          <w:sz w:val="32"/>
          <w:szCs w:val="32"/>
        </w:rPr>
        <w:br w:type="textWrapping"/>
      </w:r>
      <w:r>
        <w:rPr>
          <w:rFonts w:hint="eastAsia"/>
          <w:sz w:val="32"/>
          <w:szCs w:val="32"/>
        </w:rPr>
        <w:t>（格式自拟）</w:t>
      </w:r>
    </w:p>
    <w:p w14:paraId="04420CA5">
      <w:pPr>
        <w:pStyle w:val="4"/>
        <w:ind w:firstLine="0" w:firstLineChars="0"/>
        <w:jc w:val="center"/>
        <w:rPr>
          <w:rFonts w:hint="eastAsia"/>
          <w:sz w:val="32"/>
          <w:szCs w:val="32"/>
        </w:rPr>
      </w:pPr>
    </w:p>
    <w:p w14:paraId="4A2E8142">
      <w:pPr>
        <w:rPr>
          <w:rFonts w:cs="Times New Roman"/>
          <w:b/>
          <w:bCs/>
          <w:sz w:val="32"/>
          <w:szCs w:val="32"/>
        </w:rPr>
      </w:pPr>
    </w:p>
    <w:p w14:paraId="5A62A0AA">
      <w:pPr>
        <w:rPr>
          <w:rFonts w:hint="eastAsia" w:ascii="宋体" w:hAnsi="宋体" w:cs="宋体"/>
          <w:b/>
          <w:bCs/>
          <w:sz w:val="30"/>
          <w:szCs w:val="30"/>
        </w:rPr>
      </w:pPr>
      <w:r>
        <w:rPr>
          <w:rFonts w:hint="eastAsia" w:ascii="宋体" w:hAnsi="宋体" w:cs="宋体"/>
          <w:b/>
          <w:bCs/>
          <w:sz w:val="30"/>
          <w:szCs w:val="30"/>
        </w:rPr>
        <w:br w:type="page"/>
      </w:r>
    </w:p>
    <w:p w14:paraId="7474D42B">
      <w:pPr>
        <w:pStyle w:val="55"/>
        <w:widowControl/>
        <w:spacing w:after="200" w:line="276" w:lineRule="auto"/>
        <w:jc w:val="center"/>
        <w:outlineLvl w:val="2"/>
        <w:rPr>
          <w:rFonts w:hint="eastAsia" w:ascii="宋体" w:hAnsi="宋体" w:cs="宋体"/>
          <w:b/>
          <w:bCs/>
          <w:sz w:val="30"/>
          <w:szCs w:val="30"/>
        </w:rPr>
      </w:pPr>
      <w:r>
        <w:rPr>
          <w:rFonts w:hint="eastAsia" w:ascii="宋体" w:hAnsi="宋体" w:cs="宋体"/>
          <w:b/>
          <w:bCs/>
          <w:kern w:val="2"/>
          <w:sz w:val="30"/>
          <w:szCs w:val="30"/>
        </w:rPr>
        <w:t>第三部分    商务部分</w:t>
      </w:r>
    </w:p>
    <w:p w14:paraId="6E852AF6">
      <w:pPr>
        <w:pStyle w:val="49"/>
        <w:snapToGrid w:val="0"/>
        <w:spacing w:before="157" w:beforeLines="50" w:after="314" w:afterLines="100" w:line="360" w:lineRule="auto"/>
        <w:ind w:left="0" w:firstLine="0"/>
        <w:jc w:val="center"/>
        <w:outlineLvl w:val="3"/>
        <w:rPr>
          <w:rFonts w:cs="Times New Roman"/>
          <w:b/>
          <w:bCs/>
          <w:sz w:val="28"/>
          <w:szCs w:val="28"/>
        </w:rPr>
      </w:pPr>
      <w:r>
        <w:rPr>
          <w:rFonts w:hint="eastAsia" w:cs="宋体"/>
          <w:b/>
          <w:bCs/>
          <w:sz w:val="28"/>
          <w:szCs w:val="28"/>
        </w:rPr>
        <w:t>投标报价一览表</w:t>
      </w:r>
    </w:p>
    <w:tbl>
      <w:tblPr>
        <w:tblStyle w:val="25"/>
        <w:tblW w:w="9345" w:type="dxa"/>
        <w:tblInd w:w="108" w:type="dxa"/>
        <w:tblLayout w:type="fixed"/>
        <w:tblCellMar>
          <w:top w:w="0" w:type="dxa"/>
          <w:left w:w="108" w:type="dxa"/>
          <w:bottom w:w="0" w:type="dxa"/>
          <w:right w:w="108" w:type="dxa"/>
        </w:tblCellMar>
      </w:tblPr>
      <w:tblGrid>
        <w:gridCol w:w="1054"/>
        <w:gridCol w:w="3789"/>
        <w:gridCol w:w="4502"/>
      </w:tblGrid>
      <w:tr w14:paraId="44E031CB">
        <w:tblPrEx>
          <w:tblCellMar>
            <w:top w:w="0" w:type="dxa"/>
            <w:left w:w="108" w:type="dxa"/>
            <w:bottom w:w="0" w:type="dxa"/>
            <w:right w:w="108" w:type="dxa"/>
          </w:tblCellMar>
        </w:tblPrEx>
        <w:trPr>
          <w:trHeight w:val="672"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224BD9C1">
            <w:pPr>
              <w:spacing w:line="360" w:lineRule="auto"/>
              <w:jc w:val="center"/>
              <w:rPr>
                <w:rFonts w:cs="Times New Roman"/>
              </w:rPr>
            </w:pPr>
            <w:r>
              <w:rPr>
                <w:rFonts w:hint="eastAsia" w:cs="宋体"/>
              </w:rPr>
              <w:t>序号</w:t>
            </w:r>
          </w:p>
        </w:tc>
        <w:tc>
          <w:tcPr>
            <w:tcW w:w="3789" w:type="dxa"/>
            <w:tcBorders>
              <w:top w:val="single" w:color="000000" w:sz="4" w:space="0"/>
              <w:bottom w:val="single" w:color="000000" w:sz="4" w:space="0"/>
              <w:right w:val="single" w:color="000000" w:sz="4" w:space="0"/>
            </w:tcBorders>
            <w:vAlign w:val="center"/>
          </w:tcPr>
          <w:p w14:paraId="37B5DE61">
            <w:pPr>
              <w:spacing w:line="360" w:lineRule="auto"/>
              <w:jc w:val="center"/>
              <w:rPr>
                <w:rFonts w:cs="Times New Roman"/>
              </w:rPr>
            </w:pPr>
            <w:r>
              <w:rPr>
                <w:rFonts w:hint="eastAsia" w:cs="宋体"/>
              </w:rPr>
              <w:t>项目</w:t>
            </w:r>
          </w:p>
        </w:tc>
        <w:tc>
          <w:tcPr>
            <w:tcW w:w="4502" w:type="dxa"/>
            <w:tcBorders>
              <w:top w:val="single" w:color="000000" w:sz="4" w:space="0"/>
              <w:bottom w:val="single" w:color="000000" w:sz="4" w:space="0"/>
              <w:right w:val="single" w:color="000000" w:sz="4" w:space="0"/>
            </w:tcBorders>
            <w:vAlign w:val="center"/>
          </w:tcPr>
          <w:p w14:paraId="448DA0E0">
            <w:pPr>
              <w:spacing w:line="360" w:lineRule="auto"/>
              <w:jc w:val="center"/>
              <w:rPr>
                <w:rFonts w:cs="Times New Roman"/>
              </w:rPr>
            </w:pPr>
            <w:r>
              <w:rPr>
                <w:rFonts w:hint="eastAsia" w:cs="宋体"/>
              </w:rPr>
              <w:t>填报内容</w:t>
            </w:r>
          </w:p>
        </w:tc>
      </w:tr>
      <w:tr w14:paraId="4C433A68">
        <w:tblPrEx>
          <w:tblCellMar>
            <w:top w:w="0" w:type="dxa"/>
            <w:left w:w="108" w:type="dxa"/>
            <w:bottom w:w="0" w:type="dxa"/>
            <w:right w:w="108" w:type="dxa"/>
          </w:tblCellMar>
        </w:tblPrEx>
        <w:trPr>
          <w:trHeight w:val="820"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5BBF7EFE">
            <w:pPr>
              <w:spacing w:line="360" w:lineRule="auto"/>
              <w:jc w:val="center"/>
            </w:pPr>
            <w:r>
              <w:rPr>
                <w:rFonts w:hint="eastAsia"/>
              </w:rPr>
              <w:t>1</w:t>
            </w:r>
          </w:p>
        </w:tc>
        <w:tc>
          <w:tcPr>
            <w:tcW w:w="3789" w:type="dxa"/>
            <w:tcBorders>
              <w:top w:val="single" w:color="000000" w:sz="4" w:space="0"/>
              <w:bottom w:val="single" w:color="000000" w:sz="4" w:space="0"/>
              <w:right w:val="single" w:color="000000" w:sz="4" w:space="0"/>
            </w:tcBorders>
            <w:vAlign w:val="center"/>
          </w:tcPr>
          <w:p w14:paraId="2DD89637">
            <w:pPr>
              <w:spacing w:line="360" w:lineRule="auto"/>
              <w:jc w:val="center"/>
              <w:rPr>
                <w:rFonts w:ascii="宋体" w:cs="Times New Roman"/>
                <w:b/>
                <w:bCs/>
              </w:rPr>
            </w:pPr>
            <w:r>
              <w:rPr>
                <w:rFonts w:hint="eastAsia" w:ascii="宋体" w:hAnsi="宋体" w:cs="宋体"/>
              </w:rPr>
              <w:t>工程设计费投标报价</w:t>
            </w:r>
          </w:p>
        </w:tc>
        <w:tc>
          <w:tcPr>
            <w:tcW w:w="4502" w:type="dxa"/>
            <w:tcBorders>
              <w:top w:val="single" w:color="000000" w:sz="4" w:space="0"/>
              <w:bottom w:val="single" w:color="000000" w:sz="4" w:space="0"/>
              <w:right w:val="single" w:color="000000" w:sz="4" w:space="0"/>
            </w:tcBorders>
            <w:vAlign w:val="center"/>
          </w:tcPr>
          <w:p w14:paraId="3ED3E2E0">
            <w:pPr>
              <w:spacing w:line="360" w:lineRule="auto"/>
              <w:ind w:firstLine="1050" w:firstLineChars="500"/>
              <w:jc w:val="left"/>
              <w:rPr>
                <w:rFonts w:cs="Times New Roman"/>
              </w:rPr>
            </w:pPr>
            <w:r>
              <w:rPr>
                <w:rFonts w:hint="eastAsia" w:ascii="宋体" w:hAnsi="宋体" w:cs="宋体"/>
              </w:rPr>
              <w:t>元</w:t>
            </w:r>
          </w:p>
        </w:tc>
      </w:tr>
      <w:tr w14:paraId="7D88E0A1">
        <w:tblPrEx>
          <w:tblCellMar>
            <w:top w:w="0" w:type="dxa"/>
            <w:left w:w="108" w:type="dxa"/>
            <w:bottom w:w="0" w:type="dxa"/>
            <w:right w:w="108" w:type="dxa"/>
          </w:tblCellMar>
        </w:tblPrEx>
        <w:trPr>
          <w:trHeight w:val="820"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1AEA3E93">
            <w:pPr>
              <w:spacing w:line="360" w:lineRule="auto"/>
              <w:jc w:val="center"/>
            </w:pPr>
            <w:r>
              <w:rPr>
                <w:rFonts w:hint="eastAsia"/>
              </w:rPr>
              <w:t>2</w:t>
            </w:r>
          </w:p>
        </w:tc>
        <w:tc>
          <w:tcPr>
            <w:tcW w:w="3789" w:type="dxa"/>
            <w:tcBorders>
              <w:top w:val="single" w:color="000000" w:sz="4" w:space="0"/>
              <w:bottom w:val="single" w:color="000000" w:sz="4" w:space="0"/>
              <w:right w:val="single" w:color="000000" w:sz="4" w:space="0"/>
            </w:tcBorders>
            <w:vAlign w:val="center"/>
          </w:tcPr>
          <w:p w14:paraId="518B21EC">
            <w:pPr>
              <w:spacing w:line="360" w:lineRule="auto"/>
              <w:jc w:val="center"/>
              <w:rPr>
                <w:rFonts w:hint="eastAsia" w:ascii="宋体" w:hAnsi="宋体" w:cs="宋体"/>
              </w:rPr>
            </w:pPr>
            <w:r>
              <w:rPr>
                <w:rFonts w:hint="eastAsia" w:ascii="宋体" w:hAnsi="宋体" w:cs="宋体"/>
              </w:rPr>
              <w:t>建安工程费下浮率投标报价</w:t>
            </w:r>
          </w:p>
        </w:tc>
        <w:tc>
          <w:tcPr>
            <w:tcW w:w="4502" w:type="dxa"/>
            <w:tcBorders>
              <w:top w:val="single" w:color="000000" w:sz="4" w:space="0"/>
              <w:bottom w:val="single" w:color="000000" w:sz="4" w:space="0"/>
              <w:right w:val="single" w:color="000000" w:sz="4" w:space="0"/>
            </w:tcBorders>
            <w:vAlign w:val="center"/>
          </w:tcPr>
          <w:p w14:paraId="421E06DF">
            <w:pPr>
              <w:spacing w:line="360" w:lineRule="auto"/>
              <w:ind w:firstLine="1050" w:firstLineChars="500"/>
              <w:jc w:val="left"/>
              <w:rPr>
                <w:rFonts w:hint="eastAsia" w:ascii="宋体" w:hAnsi="宋体" w:cs="宋体"/>
              </w:rPr>
            </w:pPr>
            <w:r>
              <w:rPr>
                <w:rFonts w:hint="eastAsia" w:ascii="宋体" w:hAnsi="宋体" w:cs="宋体"/>
              </w:rPr>
              <w:t xml:space="preserve">% </w:t>
            </w:r>
          </w:p>
        </w:tc>
      </w:tr>
      <w:tr w14:paraId="5EF6A286">
        <w:tblPrEx>
          <w:tblCellMar>
            <w:top w:w="0" w:type="dxa"/>
            <w:left w:w="108" w:type="dxa"/>
            <w:bottom w:w="0" w:type="dxa"/>
            <w:right w:w="108" w:type="dxa"/>
          </w:tblCellMar>
        </w:tblPrEx>
        <w:trPr>
          <w:trHeight w:val="732"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04897872">
            <w:pPr>
              <w:spacing w:line="360" w:lineRule="auto"/>
              <w:jc w:val="center"/>
            </w:pPr>
            <w:r>
              <w:rPr>
                <w:rFonts w:hint="eastAsia"/>
              </w:rPr>
              <w:t>3</w:t>
            </w:r>
          </w:p>
        </w:tc>
        <w:tc>
          <w:tcPr>
            <w:tcW w:w="3789" w:type="dxa"/>
            <w:tcBorders>
              <w:top w:val="single" w:color="000000" w:sz="4" w:space="0"/>
              <w:bottom w:val="single" w:color="000000" w:sz="4" w:space="0"/>
              <w:right w:val="single" w:color="000000" w:sz="4" w:space="0"/>
            </w:tcBorders>
            <w:vAlign w:val="center"/>
          </w:tcPr>
          <w:p w14:paraId="789785E8">
            <w:pPr>
              <w:spacing w:line="240" w:lineRule="exact"/>
              <w:jc w:val="center"/>
              <w:rPr>
                <w:rFonts w:ascii="宋体" w:cs="Times New Roman"/>
                <w:b/>
                <w:bCs/>
              </w:rPr>
            </w:pPr>
            <w:r>
              <w:rPr>
                <w:rFonts w:hint="eastAsia" w:cs="宋体"/>
              </w:rPr>
              <w:t>质量承诺</w:t>
            </w:r>
          </w:p>
        </w:tc>
        <w:tc>
          <w:tcPr>
            <w:tcW w:w="4502" w:type="dxa"/>
            <w:tcBorders>
              <w:top w:val="single" w:color="000000" w:sz="4" w:space="0"/>
              <w:bottom w:val="single" w:color="000000" w:sz="4" w:space="0"/>
              <w:right w:val="single" w:color="000000" w:sz="4" w:space="0"/>
            </w:tcBorders>
            <w:vAlign w:val="center"/>
          </w:tcPr>
          <w:p w14:paraId="166F32E6">
            <w:pPr>
              <w:tabs>
                <w:tab w:val="left" w:pos="312"/>
              </w:tabs>
              <w:spacing w:line="240" w:lineRule="exact"/>
            </w:pPr>
            <w:r>
              <w:rPr>
                <w:rFonts w:hint="eastAsia" w:cs="宋体"/>
              </w:rPr>
              <w:t>工程设计质量承诺：</w:t>
            </w:r>
          </w:p>
          <w:p w14:paraId="40570762">
            <w:pPr>
              <w:tabs>
                <w:tab w:val="left" w:pos="312"/>
              </w:tabs>
              <w:spacing w:line="240" w:lineRule="exact"/>
              <w:rPr>
                <w:rFonts w:cs="Times New Roman"/>
              </w:rPr>
            </w:pPr>
            <w:r>
              <w:rPr>
                <w:rFonts w:hint="eastAsia" w:cs="宋体"/>
              </w:rPr>
              <w:t>工程施工质量承诺：</w:t>
            </w:r>
          </w:p>
          <w:p w14:paraId="2471CEA2">
            <w:pPr>
              <w:tabs>
                <w:tab w:val="left" w:pos="312"/>
              </w:tabs>
              <w:spacing w:line="240" w:lineRule="exact"/>
              <w:rPr>
                <w:rFonts w:cs="Times New Roman"/>
              </w:rPr>
            </w:pPr>
            <w:r>
              <w:rPr>
                <w:rFonts w:hint="eastAsia" w:cs="宋体"/>
              </w:rPr>
              <w:t>总承包质量承诺：</w:t>
            </w:r>
          </w:p>
        </w:tc>
      </w:tr>
      <w:tr w14:paraId="1822C455">
        <w:tblPrEx>
          <w:tblCellMar>
            <w:top w:w="0" w:type="dxa"/>
            <w:left w:w="108" w:type="dxa"/>
            <w:bottom w:w="0" w:type="dxa"/>
            <w:right w:w="108" w:type="dxa"/>
          </w:tblCellMar>
        </w:tblPrEx>
        <w:trPr>
          <w:trHeight w:val="712"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7A023F37">
            <w:pPr>
              <w:spacing w:line="360" w:lineRule="auto"/>
              <w:jc w:val="center"/>
            </w:pPr>
            <w:r>
              <w:rPr>
                <w:rFonts w:hint="eastAsia"/>
              </w:rPr>
              <w:t>4</w:t>
            </w:r>
          </w:p>
        </w:tc>
        <w:tc>
          <w:tcPr>
            <w:tcW w:w="3789" w:type="dxa"/>
            <w:tcBorders>
              <w:top w:val="single" w:color="000000" w:sz="4" w:space="0"/>
              <w:bottom w:val="single" w:color="000000" w:sz="4" w:space="0"/>
              <w:right w:val="single" w:color="000000" w:sz="4" w:space="0"/>
            </w:tcBorders>
            <w:vAlign w:val="center"/>
          </w:tcPr>
          <w:p w14:paraId="5DE90FF8">
            <w:pPr>
              <w:spacing w:line="240" w:lineRule="exact"/>
              <w:jc w:val="center"/>
              <w:rPr>
                <w:rFonts w:ascii="宋体" w:cs="Times New Roman"/>
              </w:rPr>
            </w:pPr>
            <w:r>
              <w:rPr>
                <w:rFonts w:hint="eastAsia" w:cs="宋体"/>
              </w:rPr>
              <w:t>项目负责人</w:t>
            </w:r>
          </w:p>
        </w:tc>
        <w:tc>
          <w:tcPr>
            <w:tcW w:w="4502" w:type="dxa"/>
            <w:tcBorders>
              <w:top w:val="single" w:color="000000" w:sz="4" w:space="0"/>
              <w:bottom w:val="single" w:color="000000" w:sz="4" w:space="0"/>
              <w:right w:val="single" w:color="000000" w:sz="4" w:space="0"/>
            </w:tcBorders>
            <w:vAlign w:val="center"/>
          </w:tcPr>
          <w:p w14:paraId="5FE3D5F2">
            <w:pPr>
              <w:tabs>
                <w:tab w:val="left" w:pos="312"/>
              </w:tabs>
              <w:spacing w:line="240" w:lineRule="exact"/>
              <w:rPr>
                <w:rFonts w:cs="宋体"/>
              </w:rPr>
            </w:pPr>
            <w:r>
              <w:rPr>
                <w:rFonts w:hint="eastAsia" w:cs="宋体"/>
              </w:rPr>
              <w:t>总承包项目负责人：</w:t>
            </w:r>
          </w:p>
          <w:p w14:paraId="1454898F">
            <w:pPr>
              <w:tabs>
                <w:tab w:val="left" w:pos="312"/>
              </w:tabs>
              <w:spacing w:line="240" w:lineRule="exact"/>
              <w:rPr>
                <w:rFonts w:cs="宋体"/>
              </w:rPr>
            </w:pPr>
            <w:r>
              <w:rPr>
                <w:rFonts w:hint="eastAsia" w:cs="宋体"/>
              </w:rPr>
              <w:t>设计负责人：</w:t>
            </w:r>
          </w:p>
          <w:p w14:paraId="55C7DCE9">
            <w:pPr>
              <w:pStyle w:val="18"/>
              <w:ind w:left="420" w:hanging="420"/>
              <w:rPr>
                <w:rFonts w:ascii="宋体" w:cs="Times New Roman"/>
              </w:rPr>
            </w:pPr>
            <w:r>
              <w:rPr>
                <w:rFonts w:hint="eastAsia" w:cs="宋体"/>
              </w:rPr>
              <w:t>施工项目负责人：</w:t>
            </w:r>
          </w:p>
        </w:tc>
      </w:tr>
      <w:tr w14:paraId="3470CE11">
        <w:tblPrEx>
          <w:tblCellMar>
            <w:top w:w="0" w:type="dxa"/>
            <w:left w:w="108" w:type="dxa"/>
            <w:bottom w:w="0" w:type="dxa"/>
            <w:right w:w="108" w:type="dxa"/>
          </w:tblCellMar>
        </w:tblPrEx>
        <w:trPr>
          <w:trHeight w:val="974" w:hRule="exact"/>
        </w:trPr>
        <w:tc>
          <w:tcPr>
            <w:tcW w:w="1054" w:type="dxa"/>
            <w:tcBorders>
              <w:top w:val="single" w:color="000000" w:sz="4" w:space="0"/>
              <w:left w:val="single" w:color="000000" w:sz="4" w:space="0"/>
              <w:bottom w:val="single" w:color="000000" w:sz="4" w:space="0"/>
              <w:right w:val="single" w:color="000000" w:sz="4" w:space="0"/>
            </w:tcBorders>
            <w:vAlign w:val="center"/>
          </w:tcPr>
          <w:p w14:paraId="0D381B95">
            <w:pPr>
              <w:spacing w:line="360" w:lineRule="auto"/>
              <w:jc w:val="center"/>
            </w:pPr>
            <w:r>
              <w:rPr>
                <w:rFonts w:hint="eastAsia"/>
              </w:rPr>
              <w:t>5</w:t>
            </w:r>
          </w:p>
        </w:tc>
        <w:tc>
          <w:tcPr>
            <w:tcW w:w="3789" w:type="dxa"/>
            <w:tcBorders>
              <w:top w:val="single" w:color="000000" w:sz="4" w:space="0"/>
              <w:bottom w:val="single" w:color="000000" w:sz="4" w:space="0"/>
              <w:right w:val="single" w:color="000000" w:sz="4" w:space="0"/>
            </w:tcBorders>
            <w:vAlign w:val="center"/>
          </w:tcPr>
          <w:p w14:paraId="20B900EB">
            <w:pPr>
              <w:spacing w:line="240" w:lineRule="exact"/>
              <w:jc w:val="center"/>
              <w:rPr>
                <w:rFonts w:cs="Times New Roman"/>
              </w:rPr>
            </w:pPr>
            <w:r>
              <w:rPr>
                <w:rFonts w:hint="eastAsia" w:cs="宋体"/>
              </w:rPr>
              <w:t>工期承诺</w:t>
            </w:r>
          </w:p>
        </w:tc>
        <w:tc>
          <w:tcPr>
            <w:tcW w:w="4502" w:type="dxa"/>
            <w:tcBorders>
              <w:top w:val="single" w:color="000000" w:sz="4" w:space="0"/>
              <w:bottom w:val="single" w:color="000000" w:sz="4" w:space="0"/>
              <w:right w:val="single" w:color="000000" w:sz="4" w:space="0"/>
            </w:tcBorders>
            <w:vAlign w:val="center"/>
          </w:tcPr>
          <w:p w14:paraId="41BD08AD">
            <w:pPr>
              <w:tabs>
                <w:tab w:val="left" w:pos="312"/>
              </w:tabs>
              <w:spacing w:line="240" w:lineRule="exact"/>
            </w:pPr>
            <w:r>
              <w:rPr>
                <w:rFonts w:hint="eastAsia" w:cs="宋体"/>
              </w:rPr>
              <w:t>总工期：</w:t>
            </w:r>
            <w:r>
              <w:rPr>
                <w:rFonts w:hint="eastAsia" w:cs="宋体"/>
                <w:u w:val="single"/>
              </w:rPr>
              <w:t xml:space="preserve">   </w:t>
            </w:r>
            <w:r>
              <w:rPr>
                <w:rFonts w:hint="eastAsia" w:cs="宋体"/>
              </w:rPr>
              <w:t>日历天</w:t>
            </w:r>
          </w:p>
        </w:tc>
      </w:tr>
      <w:tr w14:paraId="49372800">
        <w:tblPrEx>
          <w:tblCellMar>
            <w:top w:w="0" w:type="dxa"/>
            <w:left w:w="108" w:type="dxa"/>
            <w:bottom w:w="0" w:type="dxa"/>
            <w:right w:w="108" w:type="dxa"/>
          </w:tblCellMar>
        </w:tblPrEx>
        <w:trPr>
          <w:trHeight w:val="567" w:hRule="exact"/>
        </w:trPr>
        <w:tc>
          <w:tcPr>
            <w:tcW w:w="1054" w:type="dxa"/>
            <w:tcBorders>
              <w:top w:val="single" w:color="000000" w:sz="4" w:space="0"/>
              <w:left w:val="single" w:color="000000" w:sz="4" w:space="0"/>
              <w:bottom w:val="single" w:color="000000" w:sz="4" w:space="0"/>
              <w:right w:val="single" w:color="000000" w:sz="4" w:space="0"/>
            </w:tcBorders>
            <w:vAlign w:val="center"/>
          </w:tcPr>
          <w:p w14:paraId="0A7BD5BB">
            <w:pPr>
              <w:spacing w:line="360" w:lineRule="auto"/>
              <w:jc w:val="center"/>
            </w:pPr>
            <w:r>
              <w:rPr>
                <w:rFonts w:hint="eastAsia"/>
              </w:rPr>
              <w:t>6</w:t>
            </w:r>
          </w:p>
        </w:tc>
        <w:tc>
          <w:tcPr>
            <w:tcW w:w="3789" w:type="dxa"/>
            <w:tcBorders>
              <w:top w:val="single" w:color="000000" w:sz="4" w:space="0"/>
              <w:bottom w:val="single" w:color="000000" w:sz="4" w:space="0"/>
              <w:right w:val="single" w:color="000000" w:sz="4" w:space="0"/>
            </w:tcBorders>
            <w:vAlign w:val="center"/>
          </w:tcPr>
          <w:p w14:paraId="2846A38E">
            <w:pPr>
              <w:spacing w:line="240" w:lineRule="exact"/>
              <w:jc w:val="center"/>
              <w:rPr>
                <w:rFonts w:cs="Times New Roman"/>
              </w:rPr>
            </w:pPr>
            <w:r>
              <w:rPr>
                <w:rFonts w:hint="eastAsia" w:cs="宋体"/>
              </w:rPr>
              <w:t>投标保证金（元）</w:t>
            </w:r>
          </w:p>
        </w:tc>
        <w:tc>
          <w:tcPr>
            <w:tcW w:w="4502" w:type="dxa"/>
            <w:tcBorders>
              <w:top w:val="single" w:color="000000" w:sz="4" w:space="0"/>
              <w:bottom w:val="single" w:color="000000" w:sz="4" w:space="0"/>
              <w:right w:val="single" w:color="000000" w:sz="4" w:space="0"/>
            </w:tcBorders>
            <w:vAlign w:val="center"/>
          </w:tcPr>
          <w:p w14:paraId="18B2002F">
            <w:pPr>
              <w:spacing w:line="240" w:lineRule="exact"/>
              <w:rPr>
                <w:rFonts w:cs="Times New Roman"/>
              </w:rPr>
            </w:pPr>
            <w:r>
              <w:rPr>
                <w:rFonts w:hint="eastAsia" w:cs="Times New Roman"/>
                <w:u w:val="single"/>
              </w:rPr>
              <w:t xml:space="preserve">      </w:t>
            </w:r>
            <w:r>
              <w:rPr>
                <w:rFonts w:hint="eastAsia" w:cs="Times New Roman"/>
              </w:rPr>
              <w:t>元</w:t>
            </w:r>
          </w:p>
        </w:tc>
      </w:tr>
      <w:tr w14:paraId="4F76DF54">
        <w:tblPrEx>
          <w:tblCellMar>
            <w:top w:w="0" w:type="dxa"/>
            <w:left w:w="108" w:type="dxa"/>
            <w:bottom w:w="0" w:type="dxa"/>
            <w:right w:w="108" w:type="dxa"/>
          </w:tblCellMar>
        </w:tblPrEx>
        <w:trPr>
          <w:trHeight w:val="567" w:hRule="exact"/>
        </w:trPr>
        <w:tc>
          <w:tcPr>
            <w:tcW w:w="1054" w:type="dxa"/>
            <w:tcBorders>
              <w:top w:val="single" w:color="000000" w:sz="4" w:space="0"/>
              <w:left w:val="single" w:color="000000" w:sz="4" w:space="0"/>
              <w:bottom w:val="single" w:color="000000" w:sz="4" w:space="0"/>
              <w:right w:val="single" w:color="000000" w:sz="4" w:space="0"/>
            </w:tcBorders>
            <w:vAlign w:val="center"/>
          </w:tcPr>
          <w:p w14:paraId="52429090">
            <w:pPr>
              <w:spacing w:line="360" w:lineRule="auto"/>
              <w:jc w:val="center"/>
            </w:pPr>
            <w:r>
              <w:rPr>
                <w:rFonts w:hint="eastAsia"/>
              </w:rPr>
              <w:t>7</w:t>
            </w:r>
          </w:p>
        </w:tc>
        <w:tc>
          <w:tcPr>
            <w:tcW w:w="3789" w:type="dxa"/>
            <w:tcBorders>
              <w:top w:val="single" w:color="000000" w:sz="4" w:space="0"/>
              <w:bottom w:val="single" w:color="000000" w:sz="4" w:space="0"/>
              <w:right w:val="single" w:color="000000" w:sz="4" w:space="0"/>
            </w:tcBorders>
            <w:vAlign w:val="center"/>
          </w:tcPr>
          <w:p w14:paraId="1F34ECEC">
            <w:pPr>
              <w:spacing w:line="360" w:lineRule="auto"/>
              <w:jc w:val="center"/>
              <w:rPr>
                <w:rFonts w:cs="Times New Roman"/>
              </w:rPr>
            </w:pPr>
            <w:r>
              <w:rPr>
                <w:rFonts w:hint="eastAsia" w:cs="宋体"/>
              </w:rPr>
              <w:t>说明</w:t>
            </w:r>
          </w:p>
        </w:tc>
        <w:tc>
          <w:tcPr>
            <w:tcW w:w="4502" w:type="dxa"/>
            <w:tcBorders>
              <w:top w:val="single" w:color="000000" w:sz="4" w:space="0"/>
              <w:bottom w:val="single" w:color="000000" w:sz="4" w:space="0"/>
              <w:right w:val="single" w:color="000000" w:sz="4" w:space="0"/>
            </w:tcBorders>
            <w:vAlign w:val="center"/>
          </w:tcPr>
          <w:p w14:paraId="661B46D7">
            <w:pPr>
              <w:spacing w:line="360" w:lineRule="auto"/>
              <w:rPr>
                <w:rFonts w:cs="Times New Roman"/>
              </w:rPr>
            </w:pPr>
          </w:p>
        </w:tc>
      </w:tr>
      <w:tr w14:paraId="7F366318">
        <w:tblPrEx>
          <w:tblCellMar>
            <w:top w:w="0" w:type="dxa"/>
            <w:left w:w="108" w:type="dxa"/>
            <w:bottom w:w="0" w:type="dxa"/>
            <w:right w:w="108" w:type="dxa"/>
          </w:tblCellMar>
        </w:tblPrEx>
        <w:trPr>
          <w:trHeight w:val="453" w:hRule="exact"/>
        </w:trPr>
        <w:tc>
          <w:tcPr>
            <w:tcW w:w="1054" w:type="dxa"/>
            <w:tcBorders>
              <w:top w:val="single" w:color="000000" w:sz="4" w:space="0"/>
              <w:left w:val="single" w:color="000000" w:sz="4" w:space="0"/>
              <w:bottom w:val="single" w:color="000000" w:sz="4" w:space="0"/>
              <w:right w:val="single" w:color="000000" w:sz="4" w:space="0"/>
            </w:tcBorders>
            <w:vAlign w:val="center"/>
          </w:tcPr>
          <w:p w14:paraId="5F0D0B3A">
            <w:pPr>
              <w:spacing w:line="360" w:lineRule="auto"/>
              <w:jc w:val="center"/>
              <w:rPr>
                <w:rFonts w:cs="Times New Roman"/>
              </w:rPr>
            </w:pPr>
            <w:r>
              <w:rPr>
                <w:rFonts w:hint="eastAsia"/>
              </w:rPr>
              <w:t>1</w:t>
            </w:r>
          </w:p>
        </w:tc>
        <w:tc>
          <w:tcPr>
            <w:tcW w:w="3789" w:type="dxa"/>
            <w:tcBorders>
              <w:top w:val="single" w:color="000000" w:sz="4" w:space="0"/>
              <w:bottom w:val="single" w:color="000000" w:sz="4" w:space="0"/>
              <w:right w:val="single" w:color="000000" w:sz="4" w:space="0"/>
            </w:tcBorders>
            <w:vAlign w:val="center"/>
          </w:tcPr>
          <w:p w14:paraId="213B0EB2">
            <w:pPr>
              <w:spacing w:line="360" w:lineRule="auto"/>
              <w:jc w:val="center"/>
              <w:rPr>
                <w:rFonts w:cs="Times New Roman"/>
              </w:rPr>
            </w:pPr>
          </w:p>
        </w:tc>
        <w:tc>
          <w:tcPr>
            <w:tcW w:w="4502" w:type="dxa"/>
            <w:tcBorders>
              <w:top w:val="single" w:color="000000" w:sz="4" w:space="0"/>
              <w:bottom w:val="single" w:color="000000" w:sz="4" w:space="0"/>
              <w:right w:val="single" w:color="000000" w:sz="4" w:space="0"/>
            </w:tcBorders>
            <w:vAlign w:val="center"/>
          </w:tcPr>
          <w:p w14:paraId="2FD1AE33">
            <w:pPr>
              <w:spacing w:line="360" w:lineRule="auto"/>
              <w:ind w:firstLine="1050" w:firstLineChars="500"/>
              <w:jc w:val="left"/>
              <w:rPr>
                <w:rFonts w:cs="Times New Roman"/>
              </w:rPr>
            </w:pPr>
          </w:p>
        </w:tc>
      </w:tr>
    </w:tbl>
    <w:p w14:paraId="098FAD27">
      <w:pPr>
        <w:spacing w:line="300" w:lineRule="auto"/>
        <w:rPr>
          <w:rFonts w:ascii="宋体" w:cs="Times New Roman"/>
        </w:rPr>
      </w:pPr>
    </w:p>
    <w:p w14:paraId="37889EC8">
      <w:pPr>
        <w:spacing w:line="300" w:lineRule="auto"/>
        <w:ind w:firstLine="490"/>
        <w:rPr>
          <w:rFonts w:ascii="宋体" w:cs="Times New Roman"/>
        </w:rPr>
      </w:pPr>
      <w:r>
        <w:rPr>
          <w:rFonts w:hint="eastAsia" w:ascii="宋体" w:hAnsi="宋体" w:cs="宋体"/>
        </w:rPr>
        <w:t>投标人（牵头人单位）：（电子签章）</w:t>
      </w:r>
    </w:p>
    <w:p w14:paraId="4AD2D762">
      <w:pPr>
        <w:spacing w:line="300" w:lineRule="auto"/>
        <w:ind w:firstLine="490"/>
        <w:rPr>
          <w:rFonts w:ascii="宋体" w:cs="Times New Roman"/>
        </w:rPr>
      </w:pPr>
    </w:p>
    <w:p w14:paraId="3C47C07D">
      <w:pPr>
        <w:spacing w:line="300" w:lineRule="auto"/>
        <w:ind w:firstLine="490"/>
        <w:rPr>
          <w:rFonts w:ascii="宋体" w:cs="Times New Roman"/>
        </w:rPr>
      </w:pPr>
      <w:r>
        <w:rPr>
          <w:rFonts w:hint="eastAsia" w:ascii="宋体" w:hAnsi="宋体" w:cs="宋体"/>
        </w:rPr>
        <w:t>法定代表人或</w:t>
      </w:r>
      <w:r>
        <w:rPr>
          <w:rFonts w:hint="eastAsia" w:cs="宋体"/>
        </w:rPr>
        <w:t>其委托代理人</w:t>
      </w:r>
      <w:r>
        <w:rPr>
          <w:rFonts w:hint="eastAsia" w:ascii="宋体" w:hAnsi="宋体" w:cs="宋体"/>
        </w:rPr>
        <w:t>：（电子签章）</w:t>
      </w:r>
    </w:p>
    <w:p w14:paraId="22F188A2">
      <w:pPr>
        <w:spacing w:line="300" w:lineRule="auto"/>
        <w:ind w:firstLine="490"/>
        <w:rPr>
          <w:rFonts w:ascii="宋体" w:cs="Times New Roman"/>
        </w:rPr>
      </w:pPr>
    </w:p>
    <w:p w14:paraId="4396F9FE">
      <w:pPr>
        <w:spacing w:line="300" w:lineRule="auto"/>
        <w:ind w:firstLine="490"/>
        <w:rPr>
          <w:rFonts w:hint="eastAsia" w:ascii="宋体" w:hAnsi="宋体" w:cs="宋体"/>
        </w:rPr>
      </w:pPr>
      <w:r>
        <w:rPr>
          <w:rFonts w:hint="eastAsia" w:ascii="宋体" w:hAnsi="宋体" w:cs="宋体"/>
        </w:rPr>
        <w:t>日期：</w:t>
      </w:r>
    </w:p>
    <w:p w14:paraId="4C74DB9C">
      <w:pPr>
        <w:pStyle w:val="29"/>
        <w:rPr>
          <w:color w:val="auto"/>
        </w:rPr>
      </w:pPr>
    </w:p>
    <w:p w14:paraId="778B03A5">
      <w:pPr>
        <w:spacing w:line="300" w:lineRule="auto"/>
        <w:ind w:firstLine="490"/>
        <w:rPr>
          <w:rFonts w:ascii="宋体" w:cs="Times New Roman"/>
        </w:rPr>
      </w:pPr>
    </w:p>
    <w:p w14:paraId="2E3D4D78">
      <w:pPr>
        <w:spacing w:line="360" w:lineRule="auto"/>
        <w:ind w:firstLine="420" w:firstLineChars="200"/>
      </w:pPr>
      <w:bookmarkStart w:id="1965" w:name="_Toc45897182"/>
    </w:p>
    <w:p w14:paraId="4B2E9FB0">
      <w:pPr>
        <w:ind w:left="418" w:hanging="417" w:hangingChars="199"/>
        <w:jc w:val="center"/>
        <w:rPr>
          <w:rFonts w:hint="eastAsia" w:ascii="宋体" w:hAnsi="宋体" w:cs="宋体"/>
        </w:rPr>
      </w:pPr>
      <w:bookmarkStart w:id="1966" w:name="_Toc100498021"/>
      <w:bookmarkEnd w:id="1966"/>
      <w:bookmarkStart w:id="1967" w:name="_Toc462577150"/>
      <w:bookmarkEnd w:id="1967"/>
      <w:bookmarkStart w:id="1968" w:name="_Toc493496912"/>
      <w:bookmarkEnd w:id="1968"/>
      <w:bookmarkStart w:id="1969" w:name="_Toc384807816"/>
      <w:bookmarkEnd w:id="1969"/>
      <w:r>
        <w:rPr>
          <w:rFonts w:hint="eastAsia" w:ascii="宋体" w:hAnsi="宋体" w:cs="宋体"/>
        </w:rPr>
        <w:t>投标报价说明及填报须知</w:t>
      </w:r>
    </w:p>
    <w:p w14:paraId="28F3C05A">
      <w:pPr>
        <w:spacing w:line="360" w:lineRule="auto"/>
        <w:ind w:firstLine="420" w:firstLineChars="200"/>
        <w:outlineLvl w:val="3"/>
        <w:rPr>
          <w:rFonts w:hint="eastAsia" w:ascii="宋体" w:hAnsi="宋体" w:cs="宋体"/>
        </w:rPr>
      </w:pPr>
      <w:r>
        <w:rPr>
          <w:rFonts w:hint="eastAsia" w:ascii="宋体" w:hAnsi="宋体" w:cs="宋体"/>
        </w:rPr>
        <w:t>1.报价依据本工程投标人须知和招标文件的有关条款进行编制。</w:t>
      </w:r>
    </w:p>
    <w:p w14:paraId="52227D5E">
      <w:pPr>
        <w:spacing w:line="360" w:lineRule="auto"/>
        <w:ind w:firstLine="420" w:firstLineChars="200"/>
      </w:pPr>
      <w:r>
        <w:rPr>
          <w:rFonts w:hint="eastAsia" w:ascii="宋体" w:hAnsi="宋体" w:cs="宋体"/>
        </w:rPr>
        <w:t>2.投标人应将投标报价需要说明的其他事项，用文字书写与投标报价表一并报送</w:t>
      </w:r>
      <w:r>
        <w:t>。</w:t>
      </w:r>
    </w:p>
    <w:p w14:paraId="4C3B75A4">
      <w:pPr>
        <w:pStyle w:val="22"/>
        <w:spacing w:line="380" w:lineRule="exact"/>
        <w:rPr>
          <w:rFonts w:hint="eastAsia"/>
        </w:rPr>
      </w:pPr>
    </w:p>
    <w:bookmarkEnd w:id="1965"/>
    <w:p w14:paraId="429FBAEB">
      <w:pPr>
        <w:pStyle w:val="4"/>
        <w:keepNext w:val="0"/>
        <w:keepLines w:val="0"/>
        <w:ind w:firstLine="138"/>
        <w:jc w:val="center"/>
        <w:rPr>
          <w:rFonts w:hint="eastAsia" w:ascii="宋体" w:eastAsia="宋体" w:cs="宋体"/>
          <w:b/>
          <w:bCs/>
        </w:rPr>
      </w:pPr>
      <w:bookmarkStart w:id="1970" w:name="_Toc20642"/>
      <w:bookmarkEnd w:id="1970"/>
      <w:bookmarkStart w:id="1971" w:name="_Toc14189"/>
      <w:r>
        <w:rPr>
          <w:rFonts w:hint="eastAsia" w:ascii="宋体" w:eastAsia="宋体" w:cs="宋体"/>
          <w:b/>
          <w:bCs/>
        </w:rPr>
        <w:t>第四部分  技术标部分</w:t>
      </w:r>
    </w:p>
    <w:p w14:paraId="4D0F7927">
      <w:pPr>
        <w:spacing w:line="360" w:lineRule="auto"/>
        <w:rPr>
          <w:rFonts w:hint="eastAsia" w:ascii="宋体" w:hAnsi="宋体" w:cs="宋体"/>
          <w:sz w:val="24"/>
          <w:szCs w:val="24"/>
        </w:rPr>
      </w:pPr>
      <w:bookmarkStart w:id="1972" w:name="_Toc320288105"/>
      <w:bookmarkEnd w:id="1972"/>
      <w:bookmarkStart w:id="1973" w:name="_Toc315681795"/>
      <w:bookmarkEnd w:id="1973"/>
      <w:bookmarkStart w:id="1974" w:name="_Toc26615_WPSOffice_Level1"/>
      <w:bookmarkStart w:id="1975" w:name="_Toc13549_WPSOffice_Level1"/>
      <w:r>
        <w:rPr>
          <w:rFonts w:hint="eastAsia" w:ascii="宋体" w:hAnsi="宋体" w:cs="宋体"/>
          <w:sz w:val="24"/>
          <w:szCs w:val="24"/>
        </w:rPr>
        <w:t>包括但不限于下列内容（无格式，由投标人根据评标办法要求自行编制）：</w:t>
      </w:r>
      <w:bookmarkEnd w:id="1971"/>
      <w:bookmarkEnd w:id="1974"/>
      <w:bookmarkEnd w:id="1975"/>
    </w:p>
    <w:p w14:paraId="3CDF698A">
      <w:pPr>
        <w:spacing w:line="360" w:lineRule="auto"/>
        <w:rPr>
          <w:rFonts w:hint="eastAsia" w:ascii="宋体" w:hAnsi="宋体" w:cs="宋体"/>
          <w:sz w:val="24"/>
          <w:szCs w:val="24"/>
        </w:rPr>
      </w:pPr>
      <w:r>
        <w:rPr>
          <w:rFonts w:hint="eastAsia" w:ascii="宋体" w:hAnsi="宋体" w:cs="宋体"/>
          <w:sz w:val="24"/>
          <w:szCs w:val="24"/>
        </w:rPr>
        <w:t>一、总承包管理方案</w:t>
      </w:r>
    </w:p>
    <w:p w14:paraId="01EE7B6F">
      <w:pPr>
        <w:spacing w:line="360" w:lineRule="auto"/>
        <w:rPr>
          <w:rFonts w:hint="eastAsia" w:ascii="宋体" w:hAnsi="宋体" w:cs="宋体"/>
          <w:sz w:val="24"/>
          <w:szCs w:val="24"/>
        </w:rPr>
      </w:pPr>
      <w:r>
        <w:rPr>
          <w:rFonts w:hint="eastAsia" w:ascii="宋体" w:hAnsi="宋体" w:cs="宋体"/>
          <w:sz w:val="24"/>
          <w:szCs w:val="24"/>
        </w:rPr>
        <w:t>二、设计工作大纲</w:t>
      </w:r>
    </w:p>
    <w:p w14:paraId="5E596594">
      <w:pPr>
        <w:spacing w:line="360" w:lineRule="auto"/>
        <w:rPr>
          <w:rFonts w:hint="eastAsia" w:ascii="宋体" w:hAnsi="宋体" w:cs="宋体"/>
          <w:sz w:val="24"/>
          <w:szCs w:val="24"/>
        </w:rPr>
      </w:pPr>
      <w:r>
        <w:rPr>
          <w:rFonts w:hint="eastAsia" w:ascii="宋体" w:hAnsi="宋体" w:cs="宋体"/>
          <w:sz w:val="24"/>
          <w:szCs w:val="24"/>
        </w:rPr>
        <w:t>三、施工方案评审</w:t>
      </w:r>
    </w:p>
    <w:p w14:paraId="0AFFB904">
      <w:pPr>
        <w:spacing w:line="360" w:lineRule="auto"/>
        <w:rPr>
          <w:rFonts w:hint="eastAsia" w:ascii="宋体" w:hAnsi="宋体" w:cs="宋体"/>
          <w:sz w:val="24"/>
          <w:szCs w:val="24"/>
        </w:rPr>
      </w:pPr>
      <w:r>
        <w:rPr>
          <w:rFonts w:hint="eastAsia" w:ascii="宋体" w:hAnsi="宋体" w:cs="宋体"/>
          <w:sz w:val="24"/>
          <w:szCs w:val="24"/>
        </w:rPr>
        <w:t>四、投标人认为需要补充的其他材料</w:t>
      </w:r>
    </w:p>
    <w:sectPr>
      <w:headerReference r:id="rId7" w:type="default"/>
      <w:footerReference r:id="rId8" w:type="default"/>
      <w:pgSz w:w="11905" w:h="16838"/>
      <w:pgMar w:top="1417" w:right="1417" w:bottom="1304" w:left="1417" w:header="850" w:footer="992" w:gutter="0"/>
      <w:cols w:space="0" w:num="1"/>
      <w:docGrid w:type="lines" w:linePitch="31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6955B3A1-2EA5-422A-AFAB-CDC027690908}"/>
  </w:font>
  <w:font w:name="黑体">
    <w:panose1 w:val="02010609060101010101"/>
    <w:charset w:val="86"/>
    <w:family w:val="auto"/>
    <w:pitch w:val="default"/>
    <w:sig w:usb0="800002BF" w:usb1="38CF7CFA" w:usb2="00000016" w:usb3="00000000" w:csb0="00040001" w:csb1="00000000"/>
    <w:embedRegular r:id="rId2" w:fontKey="{3133C182-5CDB-4E6A-A165-B9A756096F4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3" w:fontKey="{DE4FBECF-2899-4596-8120-E8F8D97103FF}"/>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embedRegular r:id="rId4" w:fontKey="{D2C871D8-4C69-4726-BF20-0517AB3163E7}"/>
  </w:font>
  <w:font w:name="Times">
    <w:altName w:val="Times New Roman"/>
    <w:panose1 w:val="02020603050405020304"/>
    <w:charset w:val="00"/>
    <w:family w:val="roman"/>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603F01FF" w:csb1="FFFF0000"/>
    <w:embedRegular r:id="rId5" w:fontKey="{ABA1FB98-E5CD-4F2D-ACB5-3B90F7403D67}"/>
  </w:font>
  <w:font w:name="汉仪雅酷黑简">
    <w:panose1 w:val="00020600040101010101"/>
    <w:charset w:val="86"/>
    <w:family w:val="auto"/>
    <w:pitch w:val="default"/>
    <w:sig w:usb0="A00002BF" w:usb1="1AC17CFA" w:usb2="00000016" w:usb3="00000000" w:csb0="0004009F" w:csb1="DFD70000"/>
    <w:embedRegular r:id="rId6" w:fontKey="{695D6872-9420-4314-A82D-D1EED2E34DCA}"/>
  </w:font>
  <w:font w:name="等线">
    <w:panose1 w:val="02010600030101010101"/>
    <w:charset w:val="86"/>
    <w:family w:val="auto"/>
    <w:pitch w:val="default"/>
    <w:sig w:usb0="A00002BF" w:usb1="38CF7CFA" w:usb2="00000016" w:usb3="00000000" w:csb0="0004000F" w:csb1="00000000"/>
    <w:embedRegular r:id="rId7" w:fontKey="{A543DEA2-20FA-4487-9282-AA6318FCE6D4}"/>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WPSEMBED1">
    <w:panose1 w:val="02010609030101010101"/>
    <w:charset w:val="86"/>
    <w:family w:val="auto"/>
    <w:pitch w:val="default"/>
    <w:sig w:usb0="00000001" w:usb1="080E0000" w:usb2="00000000" w:usb3="00000000" w:csb0="00040000" w:csb1="00000000"/>
  </w:font>
  <w:font w:name="WPSEMBED2">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E6846">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5B734B">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105B734B">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CFF5F">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0EFF53">
                          <w:pPr>
                            <w:pStyle w:val="1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230EFF53">
                    <w:pPr>
                      <w:pStyle w:val="1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B3E4D">
    <w:pPr>
      <w:pStyle w:val="15"/>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1994C1">
                          <w:pPr>
                            <w:pStyle w:val="15"/>
                          </w:pPr>
                          <w:r>
                            <w:fldChar w:fldCharType="begin"/>
                          </w:r>
                          <w:r>
                            <w:instrText xml:space="preserve"> PAGE  \* MERGEFORMAT </w:instrText>
                          </w:r>
                          <w:r>
                            <w:fldChar w:fldCharType="separate"/>
                          </w:r>
                          <w:r>
                            <w:t>183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091994C1">
                    <w:pPr>
                      <w:pStyle w:val="15"/>
                    </w:pPr>
                    <w:r>
                      <w:fldChar w:fldCharType="begin"/>
                    </w:r>
                    <w:r>
                      <w:instrText xml:space="preserve"> PAGE  \* MERGEFORMAT </w:instrText>
                    </w:r>
                    <w:r>
                      <w:fldChar w:fldCharType="separate"/>
                    </w:r>
                    <w:r>
                      <w:t>183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98528">
    <w:pPr>
      <w:pStyle w:val="16"/>
      <w:ind w:firstLine="540" w:firstLineChars="300"/>
    </w:pPr>
    <w:r>
      <w:rPr>
        <w:rFonts w:hint="eastAsia"/>
      </w:rPr>
      <w:drawing>
        <wp:anchor distT="0" distB="0" distL="114300" distR="114300" simplePos="0" relativeHeight="251660288" behindDoc="1" locked="0" layoutInCell="1" allowOverlap="1">
          <wp:simplePos x="0" y="0"/>
          <wp:positionH relativeFrom="column">
            <wp:posOffset>34925</wp:posOffset>
          </wp:positionH>
          <wp:positionV relativeFrom="paragraph">
            <wp:posOffset>-95885</wp:posOffset>
          </wp:positionV>
          <wp:extent cx="287020" cy="253365"/>
          <wp:effectExtent l="0" t="0" r="17780" b="13335"/>
          <wp:wrapNone/>
          <wp:docPr id="5" name="图片 3" descr="09dbbfe6feaede2e87be633f965be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09dbbfe6feaede2e87be633f965bec4"/>
                  <pic:cNvPicPr>
                    <a:picLocks noChangeAspect="1"/>
                  </pic:cNvPicPr>
                </pic:nvPicPr>
                <pic:blipFill>
                  <a:blip r:embed="rId1"/>
                  <a:stretch>
                    <a:fillRect/>
                  </a:stretch>
                </pic:blipFill>
                <pic:spPr>
                  <a:xfrm>
                    <a:off x="0" y="0"/>
                    <a:ext cx="287020" cy="253365"/>
                  </a:xfrm>
                  <a:prstGeom prst="rect">
                    <a:avLst/>
                  </a:prstGeom>
                </pic:spPr>
              </pic:pic>
            </a:graphicData>
          </a:graphic>
        </wp:anchor>
      </w:drawing>
    </w:r>
    <w:r>
      <w:rPr>
        <w:rFonts w:hint="eastAsia" w:ascii="汉仪雅酷黑简" w:hAnsi="汉仪雅酷黑简" w:eastAsia="汉仪雅酷黑简" w:cs="汉仪雅酷黑简"/>
        <w:color w:val="002060"/>
      </w:rPr>
      <w:t xml:space="preserve">云南策澜工程管理服务有限公司               </w:t>
    </w:r>
    <w:r>
      <w:rPr>
        <w:rFonts w:hint="eastAsia" w:ascii="宋体" w:hAnsi="宋体" w:cs="宋体"/>
        <w:bCs/>
        <w:szCs w:val="18"/>
      </w:rPr>
      <w:t>姚安县官屯加油站建设项目设计施工总承包（EPC）</w:t>
    </w:r>
  </w:p>
  <w:p w14:paraId="6E934857">
    <w:pPr>
      <w:pStyle w:val="1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7155F">
    <w:pPr>
      <w:pStyle w:val="16"/>
      <w:ind w:firstLine="540" w:firstLineChars="300"/>
    </w:pPr>
    <w:r>
      <w:rPr>
        <w:rFonts w:hint="eastAsia"/>
      </w:rPr>
      <w:drawing>
        <wp:anchor distT="0" distB="0" distL="114300" distR="114300" simplePos="0" relativeHeight="251661312" behindDoc="1" locked="0" layoutInCell="1" allowOverlap="1">
          <wp:simplePos x="0" y="0"/>
          <wp:positionH relativeFrom="column">
            <wp:posOffset>34925</wp:posOffset>
          </wp:positionH>
          <wp:positionV relativeFrom="paragraph">
            <wp:posOffset>-95885</wp:posOffset>
          </wp:positionV>
          <wp:extent cx="287020" cy="253365"/>
          <wp:effectExtent l="0" t="0" r="17780" b="13335"/>
          <wp:wrapNone/>
          <wp:docPr id="8" name="图片 5" descr="09dbbfe6feaede2e87be633f965be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09dbbfe6feaede2e87be633f965bec4"/>
                  <pic:cNvPicPr>
                    <a:picLocks noChangeAspect="1"/>
                  </pic:cNvPicPr>
                </pic:nvPicPr>
                <pic:blipFill>
                  <a:blip r:embed="rId1"/>
                  <a:stretch>
                    <a:fillRect/>
                  </a:stretch>
                </pic:blipFill>
                <pic:spPr>
                  <a:xfrm>
                    <a:off x="0" y="0"/>
                    <a:ext cx="287020" cy="253365"/>
                  </a:xfrm>
                  <a:prstGeom prst="rect">
                    <a:avLst/>
                  </a:prstGeom>
                </pic:spPr>
              </pic:pic>
            </a:graphicData>
          </a:graphic>
        </wp:anchor>
      </w:drawing>
    </w:r>
    <w:r>
      <w:rPr>
        <w:rFonts w:hint="eastAsia" w:ascii="汉仪雅酷黑简" w:hAnsi="汉仪雅酷黑简" w:eastAsia="汉仪雅酷黑简" w:cs="汉仪雅酷黑简"/>
        <w:color w:val="002060"/>
      </w:rPr>
      <w:t xml:space="preserve">云南策澜工程管理服务有限公司               </w:t>
    </w:r>
    <w:r>
      <w:rPr>
        <w:rFonts w:hint="eastAsia" w:ascii="宋体" w:hAnsi="宋体" w:cs="宋体"/>
        <w:bCs/>
        <w:szCs w:val="18"/>
      </w:rPr>
      <w:t>姚安县官屯加油站建设项目设计施工总承包（EPC）</w:t>
    </w:r>
  </w:p>
  <w:p w14:paraId="2756BC88">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28B73">
    <w:pPr>
      <w:widowControl/>
      <w:tabs>
        <w:tab w:val="left" w:pos="142"/>
      </w:tabs>
      <w:autoSpaceDE w:val="0"/>
      <w:autoSpaceDN w:val="0"/>
      <w:rPr>
        <w:rFonts w:cs="Times New Roman"/>
        <w:sz w:val="18"/>
        <w:szCs w:val="18"/>
      </w:rPr>
    </w:pPr>
  </w:p>
  <w:p w14:paraId="7BD1FB67">
    <w:pPr>
      <w:pStyle w:val="16"/>
      <w:ind w:firstLine="540" w:firstLineChars="300"/>
    </w:pPr>
    <w:r>
      <w:rPr>
        <w:rFonts w:hint="eastAsia"/>
      </w:rPr>
      <w:drawing>
        <wp:anchor distT="0" distB="0" distL="114300" distR="114300" simplePos="0" relativeHeight="251663360" behindDoc="1" locked="0" layoutInCell="1" allowOverlap="1">
          <wp:simplePos x="0" y="0"/>
          <wp:positionH relativeFrom="column">
            <wp:posOffset>34925</wp:posOffset>
          </wp:positionH>
          <wp:positionV relativeFrom="paragraph">
            <wp:posOffset>-95885</wp:posOffset>
          </wp:positionV>
          <wp:extent cx="287020" cy="253365"/>
          <wp:effectExtent l="0" t="0" r="17780" b="13335"/>
          <wp:wrapNone/>
          <wp:docPr id="9" name="图片 6" descr="09dbbfe6feaede2e87be633f965be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09dbbfe6feaede2e87be633f965bec4"/>
                  <pic:cNvPicPr>
                    <a:picLocks noChangeAspect="1"/>
                  </pic:cNvPicPr>
                </pic:nvPicPr>
                <pic:blipFill>
                  <a:blip r:embed="rId1"/>
                  <a:stretch>
                    <a:fillRect/>
                  </a:stretch>
                </pic:blipFill>
                <pic:spPr>
                  <a:xfrm>
                    <a:off x="0" y="0"/>
                    <a:ext cx="287020" cy="253365"/>
                  </a:xfrm>
                  <a:prstGeom prst="rect">
                    <a:avLst/>
                  </a:prstGeom>
                </pic:spPr>
              </pic:pic>
            </a:graphicData>
          </a:graphic>
        </wp:anchor>
      </w:drawing>
    </w:r>
    <w:r>
      <w:rPr>
        <w:rFonts w:hint="eastAsia" w:ascii="汉仪雅酷黑简" w:hAnsi="汉仪雅酷黑简" w:eastAsia="汉仪雅酷黑简" w:cs="汉仪雅酷黑简"/>
        <w:color w:val="002060"/>
      </w:rPr>
      <w:t xml:space="preserve">云南策澜工程管理服务有限公司               </w:t>
    </w:r>
    <w:r>
      <w:rPr>
        <w:rFonts w:hint="eastAsia" w:ascii="宋体" w:hAnsi="宋体" w:cs="宋体"/>
        <w:bCs/>
        <w:szCs w:val="18"/>
      </w:rPr>
      <w:t>姚安县官屯加油站建设项目设计施工总承包（EPC）</w:t>
    </w:r>
  </w:p>
  <w:p w14:paraId="34292549">
    <w:pPr>
      <w:widowControl/>
      <w:tabs>
        <w:tab w:val="left" w:pos="142"/>
      </w:tabs>
      <w:autoSpaceDE w:val="0"/>
      <w:autoSpaceDN w:val="0"/>
      <w:rPr>
        <w:rFonts w:cs="Times New Roman"/>
        <w:sz w:val="18"/>
        <w:szCs w:val="18"/>
      </w:rPr>
    </w:pPr>
  </w:p>
  <w:p w14:paraId="292E2E6F">
    <w:pPr>
      <w:widowControl/>
      <w:tabs>
        <w:tab w:val="left" w:pos="142"/>
      </w:tabs>
      <w:autoSpaceDE w:val="0"/>
      <w:autoSpaceDN w:val="0"/>
      <w:rPr>
        <w:rFonts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733C27"/>
    <w:multiLevelType w:val="singleLevel"/>
    <w:tmpl w:val="C7733C27"/>
    <w:lvl w:ilvl="0" w:tentative="0">
      <w:start w:val="1"/>
      <w:numFmt w:val="decimal"/>
      <w:lvlText w:val="%1."/>
      <w:lvlJc w:val="left"/>
      <w:pPr>
        <w:tabs>
          <w:tab w:val="left" w:pos="312"/>
        </w:tabs>
      </w:pPr>
    </w:lvl>
  </w:abstractNum>
  <w:abstractNum w:abstractNumId="1">
    <w:nsid w:val="D922E384"/>
    <w:multiLevelType w:val="singleLevel"/>
    <w:tmpl w:val="D922E384"/>
    <w:lvl w:ilvl="0" w:tentative="0">
      <w:start w:val="4"/>
      <w:numFmt w:val="chineseCounting"/>
      <w:suff w:val="nothing"/>
      <w:lvlText w:val="%1、"/>
      <w:lvlJc w:val="left"/>
      <w:rPr>
        <w:rFonts w:hint="eastAsia"/>
      </w:rPr>
    </w:lvl>
  </w:abstractNum>
  <w:abstractNum w:abstractNumId="2">
    <w:nsid w:val="ECA353C4"/>
    <w:multiLevelType w:val="singleLevel"/>
    <w:tmpl w:val="ECA353C4"/>
    <w:lvl w:ilvl="0" w:tentative="0">
      <w:start w:val="1"/>
      <w:numFmt w:val="decimal"/>
      <w:lvlText w:val="%1."/>
      <w:lvlJc w:val="left"/>
      <w:pPr>
        <w:tabs>
          <w:tab w:val="left" w:pos="312"/>
        </w:tabs>
      </w:pPr>
    </w:lvl>
  </w:abstractNum>
  <w:abstractNum w:abstractNumId="3">
    <w:nsid w:val="F59BB7FA"/>
    <w:multiLevelType w:val="singleLevel"/>
    <w:tmpl w:val="F59BB7FA"/>
    <w:lvl w:ilvl="0" w:tentative="0">
      <w:start w:val="15"/>
      <w:numFmt w:val="decimal"/>
      <w:suff w:val="nothing"/>
      <w:lvlText w:val="%1．"/>
      <w:lvlJc w:val="left"/>
    </w:lvl>
  </w:abstractNum>
  <w:abstractNum w:abstractNumId="4">
    <w:nsid w:val="20A46C26"/>
    <w:multiLevelType w:val="multilevel"/>
    <w:tmpl w:val="20A46C26"/>
    <w:lvl w:ilvl="0" w:tentative="0">
      <w:start w:val="1"/>
      <w:numFmt w:val="none"/>
      <w:suff w:val="space"/>
      <w:lvlText w:val="%1"/>
      <w:lvlJc w:val="left"/>
      <w:rPr>
        <w:rFonts w:hint="eastAsia"/>
      </w:rPr>
    </w:lvl>
    <w:lvl w:ilvl="1" w:tentative="0">
      <w:start w:val="1"/>
      <w:numFmt w:val="chineseCountingThousand"/>
      <w:suff w:val="space"/>
      <w:lvlText w:val="%2."/>
      <w:lvlJc w:val="left"/>
      <w:pPr>
        <w:ind w:left="142"/>
      </w:pPr>
      <w:rPr>
        <w:rFonts w:hint="eastAsia"/>
      </w:rPr>
    </w:lvl>
    <w:lvl w:ilvl="2" w:tentative="0">
      <w:start w:val="1"/>
      <w:numFmt w:val="chineseCountingThousand"/>
      <w:suff w:val="space"/>
      <w:lvlText w:val="(%3)"/>
      <w:lvlJc w:val="left"/>
      <w:pPr>
        <w:ind w:left="2552"/>
      </w:pPr>
      <w:rPr>
        <w:rFonts w:hint="eastAsia" w:ascii="宋体" w:hAnsi="宋体" w:eastAsia="宋体"/>
        <w:b/>
        <w:bCs/>
        <w:sz w:val="28"/>
        <w:szCs w:val="28"/>
      </w:rPr>
    </w:lvl>
    <w:lvl w:ilvl="3" w:tentative="0">
      <w:start w:val="1"/>
      <w:numFmt w:val="lowerLetter"/>
      <w:lvlText w:val="%4."/>
      <w:lvlJc w:val="left"/>
      <w:pPr>
        <w:tabs>
          <w:tab w:val="left" w:pos="0"/>
        </w:tabs>
        <w:ind w:left="2551"/>
      </w:pPr>
      <w:rPr>
        <w:rFonts w:hint="default" w:ascii="宋体" w:hAnsi="宋体" w:eastAsia="宋体"/>
      </w:rPr>
    </w:lvl>
    <w:lvl w:ilvl="4" w:tentative="0">
      <w:start w:val="1"/>
      <w:numFmt w:val="lowerRoman"/>
      <w:suff w:val="space"/>
      <w:lvlText w:val="%5."/>
      <w:lvlJc w:val="left"/>
      <w:pPr>
        <w:ind w:left="3402"/>
      </w:pPr>
      <w:rPr>
        <w:rFonts w:hint="eastAsia"/>
      </w:rPr>
    </w:lvl>
    <w:lvl w:ilvl="5" w:tentative="0">
      <w:start w:val="1"/>
      <w:numFmt w:val="lowerRoman"/>
      <w:lvlText w:val="(%6)"/>
      <w:lvlJc w:val="left"/>
      <w:pPr>
        <w:tabs>
          <w:tab w:val="left" w:pos="4677"/>
        </w:tabs>
        <w:ind w:left="4252"/>
      </w:pPr>
      <w:rPr>
        <w:rFonts w:hint="eastAsia"/>
      </w:rPr>
    </w:lvl>
    <w:lvl w:ilvl="6" w:tentative="0">
      <w:start w:val="1"/>
      <w:numFmt w:val="lowerRoman"/>
      <w:lvlText w:val="(%7)"/>
      <w:lvlJc w:val="left"/>
      <w:pPr>
        <w:tabs>
          <w:tab w:val="left" w:pos="5528"/>
        </w:tabs>
        <w:ind w:left="5102"/>
      </w:pPr>
      <w:rPr>
        <w:rFonts w:hint="eastAsia"/>
      </w:rPr>
    </w:lvl>
    <w:lvl w:ilvl="7" w:tentative="0">
      <w:start w:val="1"/>
      <w:numFmt w:val="lowerLetter"/>
      <w:lvlText w:val="(%8)"/>
      <w:lvlJc w:val="left"/>
      <w:pPr>
        <w:tabs>
          <w:tab w:val="left" w:pos="6378"/>
        </w:tabs>
        <w:ind w:left="5953"/>
      </w:pPr>
      <w:rPr>
        <w:rFonts w:hint="eastAsia"/>
      </w:rPr>
    </w:lvl>
    <w:lvl w:ilvl="8" w:tentative="0">
      <w:start w:val="1"/>
      <w:numFmt w:val="lowerRoman"/>
      <w:lvlText w:val="(%9)"/>
      <w:lvlJc w:val="left"/>
      <w:pPr>
        <w:tabs>
          <w:tab w:val="left" w:pos="7228"/>
        </w:tabs>
        <w:ind w:left="6803"/>
      </w:pPr>
      <w:rPr>
        <w:rFonts w:hint="eastAsia"/>
      </w:rPr>
    </w:lvl>
  </w:abstractNum>
  <w:abstractNum w:abstractNumId="5">
    <w:nsid w:val="214971CE"/>
    <w:multiLevelType w:val="singleLevel"/>
    <w:tmpl w:val="214971CE"/>
    <w:lvl w:ilvl="0" w:tentative="0">
      <w:start w:val="1"/>
      <w:numFmt w:val="decimal"/>
      <w:lvlText w:val="%1."/>
      <w:lvlJc w:val="left"/>
      <w:pPr>
        <w:tabs>
          <w:tab w:val="left" w:pos="312"/>
        </w:tabs>
      </w:pPr>
    </w:lvl>
  </w:abstractNum>
  <w:abstractNum w:abstractNumId="6">
    <w:nsid w:val="3AA800C6"/>
    <w:multiLevelType w:val="multilevel"/>
    <w:tmpl w:val="3AA800C6"/>
    <w:lvl w:ilvl="0" w:tentative="0">
      <w:start w:val="1"/>
      <w:numFmt w:val="decimal"/>
      <w:pStyle w:val="36"/>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rPr>
        <w:rFonts w:hint="eastAsia" w:ascii="仿宋_GB2312" w:eastAsia="仿宋_GB2312"/>
      </w:r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7">
    <w:nsid w:val="3CE9390D"/>
    <w:multiLevelType w:val="singleLevel"/>
    <w:tmpl w:val="3CE9390D"/>
    <w:lvl w:ilvl="0" w:tentative="0">
      <w:start w:val="1"/>
      <w:numFmt w:val="decimal"/>
      <w:lvlText w:val="%1."/>
      <w:lvlJc w:val="left"/>
      <w:pPr>
        <w:tabs>
          <w:tab w:val="left" w:pos="312"/>
        </w:tabs>
      </w:pPr>
    </w:lvl>
  </w:abstractNum>
  <w:abstractNum w:abstractNumId="8">
    <w:nsid w:val="47F0D2D9"/>
    <w:multiLevelType w:val="singleLevel"/>
    <w:tmpl w:val="47F0D2D9"/>
    <w:lvl w:ilvl="0" w:tentative="0">
      <w:start w:val="3"/>
      <w:numFmt w:val="chineseCounting"/>
      <w:suff w:val="space"/>
      <w:lvlText w:val="第%1部分"/>
      <w:lvlJc w:val="left"/>
      <w:rPr>
        <w:rFonts w:hint="eastAsia"/>
      </w:rPr>
    </w:lvl>
  </w:abstractNum>
  <w:abstractNum w:abstractNumId="9">
    <w:nsid w:val="62687BB6"/>
    <w:multiLevelType w:val="multilevel"/>
    <w:tmpl w:val="62687BB6"/>
    <w:lvl w:ilvl="0" w:tentative="0">
      <w:start w:val="1"/>
      <w:numFmt w:val="decimal"/>
      <w:pStyle w:val="44"/>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10">
    <w:nsid w:val="6E87019F"/>
    <w:multiLevelType w:val="multilevel"/>
    <w:tmpl w:val="6E87019F"/>
    <w:lvl w:ilvl="0" w:tentative="0">
      <w:start w:val="1"/>
      <w:numFmt w:val="chineseCountingThousand"/>
      <w:pStyle w:val="37"/>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6"/>
  </w:num>
  <w:num w:numId="2">
    <w:abstractNumId w:val="10"/>
  </w:num>
  <w:num w:numId="3">
    <w:abstractNumId w:val="9"/>
  </w:num>
  <w:num w:numId="4">
    <w:abstractNumId w:val="2"/>
  </w:num>
  <w:num w:numId="5">
    <w:abstractNumId w:val="5"/>
  </w:num>
  <w:num w:numId="6">
    <w:abstractNumId w:val="3"/>
  </w:num>
  <w:num w:numId="7">
    <w:abstractNumId w:val="8"/>
  </w:num>
  <w:num w:numId="8">
    <w:abstractNumId w:val="0"/>
  </w:num>
  <w:num w:numId="9">
    <w:abstractNumId w:val="4"/>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embedTrueTypeFonts/>
  <w:saveSubsetFonts/>
  <w:bordersDoNotSurroundHeader w:val="0"/>
  <w:bordersDoNotSurroundFooter w:val="0"/>
  <w:documentProtection w:enforcement="0"/>
  <w:defaultTabStop w:val="420"/>
  <w:drawingGridHorizontalSpacing w:val="210"/>
  <w:drawingGridVerticalSpacing w:val="157"/>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IxZmU2YTBlZTg5NzlhMWIzMjYyN2Q3YzdkMzA1Y2IifQ=="/>
  </w:docVars>
  <w:rsids>
    <w:rsidRoot w:val="2C6D3CD1"/>
    <w:rsid w:val="00067DF3"/>
    <w:rsid w:val="004B0D73"/>
    <w:rsid w:val="005569F8"/>
    <w:rsid w:val="008625F7"/>
    <w:rsid w:val="00961913"/>
    <w:rsid w:val="00ED6CA2"/>
    <w:rsid w:val="00F87520"/>
    <w:rsid w:val="014F0D21"/>
    <w:rsid w:val="01EA0118"/>
    <w:rsid w:val="01EA195C"/>
    <w:rsid w:val="02461362"/>
    <w:rsid w:val="02941DC5"/>
    <w:rsid w:val="02B16063"/>
    <w:rsid w:val="02BC3E14"/>
    <w:rsid w:val="034F748D"/>
    <w:rsid w:val="035C5045"/>
    <w:rsid w:val="037C517E"/>
    <w:rsid w:val="043F76D9"/>
    <w:rsid w:val="04987CE8"/>
    <w:rsid w:val="05614B95"/>
    <w:rsid w:val="05917228"/>
    <w:rsid w:val="05DC6E04"/>
    <w:rsid w:val="05FD2B10"/>
    <w:rsid w:val="067B57E2"/>
    <w:rsid w:val="07140111"/>
    <w:rsid w:val="074B2987"/>
    <w:rsid w:val="083D2CAF"/>
    <w:rsid w:val="086F0EE1"/>
    <w:rsid w:val="08733E40"/>
    <w:rsid w:val="09011381"/>
    <w:rsid w:val="093525C0"/>
    <w:rsid w:val="0935436E"/>
    <w:rsid w:val="09C33728"/>
    <w:rsid w:val="09F63AFE"/>
    <w:rsid w:val="0A033D49"/>
    <w:rsid w:val="0A173A74"/>
    <w:rsid w:val="0B466756"/>
    <w:rsid w:val="0B925AA8"/>
    <w:rsid w:val="0B984EA0"/>
    <w:rsid w:val="0C2A3F33"/>
    <w:rsid w:val="0C776A4C"/>
    <w:rsid w:val="0D142104"/>
    <w:rsid w:val="0D5A43A4"/>
    <w:rsid w:val="0D7479D2"/>
    <w:rsid w:val="0D766D35"/>
    <w:rsid w:val="0DB717F6"/>
    <w:rsid w:val="0DDA653B"/>
    <w:rsid w:val="0DF72D4B"/>
    <w:rsid w:val="0DF91E0E"/>
    <w:rsid w:val="0EBC43EC"/>
    <w:rsid w:val="0ED23960"/>
    <w:rsid w:val="0ED37E3B"/>
    <w:rsid w:val="0F4B669A"/>
    <w:rsid w:val="0F5F0397"/>
    <w:rsid w:val="0F9A317D"/>
    <w:rsid w:val="0FDA7A1E"/>
    <w:rsid w:val="0FED14FF"/>
    <w:rsid w:val="109A0F5B"/>
    <w:rsid w:val="10B22749"/>
    <w:rsid w:val="113223FE"/>
    <w:rsid w:val="115630D4"/>
    <w:rsid w:val="116003F7"/>
    <w:rsid w:val="11803EC2"/>
    <w:rsid w:val="12D746E8"/>
    <w:rsid w:val="13D6477D"/>
    <w:rsid w:val="14D0319D"/>
    <w:rsid w:val="14F212EA"/>
    <w:rsid w:val="1517045B"/>
    <w:rsid w:val="15AC00AC"/>
    <w:rsid w:val="15DB004C"/>
    <w:rsid w:val="15FB249C"/>
    <w:rsid w:val="163B60AC"/>
    <w:rsid w:val="166A7E15"/>
    <w:rsid w:val="16CA07EC"/>
    <w:rsid w:val="17416DB6"/>
    <w:rsid w:val="179E3A27"/>
    <w:rsid w:val="17FF4914"/>
    <w:rsid w:val="182B350C"/>
    <w:rsid w:val="185B5474"/>
    <w:rsid w:val="18972950"/>
    <w:rsid w:val="189E29EE"/>
    <w:rsid w:val="18BA4890"/>
    <w:rsid w:val="18FE29CF"/>
    <w:rsid w:val="196842EC"/>
    <w:rsid w:val="197B5DCD"/>
    <w:rsid w:val="1A742CED"/>
    <w:rsid w:val="1ACB232E"/>
    <w:rsid w:val="1B154000"/>
    <w:rsid w:val="1B71019B"/>
    <w:rsid w:val="1B7927E1"/>
    <w:rsid w:val="1B83047A"/>
    <w:rsid w:val="1BE41FCD"/>
    <w:rsid w:val="1BEA53DC"/>
    <w:rsid w:val="1BEF5665"/>
    <w:rsid w:val="1BFC2ACA"/>
    <w:rsid w:val="1C1555B5"/>
    <w:rsid w:val="1C8D55CF"/>
    <w:rsid w:val="1CC06C7F"/>
    <w:rsid w:val="1D64013C"/>
    <w:rsid w:val="1DAF6046"/>
    <w:rsid w:val="1E4B0C91"/>
    <w:rsid w:val="1E63196B"/>
    <w:rsid w:val="1E832A83"/>
    <w:rsid w:val="1EB8409A"/>
    <w:rsid w:val="1EC87808"/>
    <w:rsid w:val="1EF34658"/>
    <w:rsid w:val="1EFC175F"/>
    <w:rsid w:val="1F185E6D"/>
    <w:rsid w:val="1F5F5356"/>
    <w:rsid w:val="1F6A31B5"/>
    <w:rsid w:val="1F7854E2"/>
    <w:rsid w:val="1FCC7B23"/>
    <w:rsid w:val="1FD44489"/>
    <w:rsid w:val="203D202F"/>
    <w:rsid w:val="20B47E17"/>
    <w:rsid w:val="210112AE"/>
    <w:rsid w:val="21157E5B"/>
    <w:rsid w:val="21366A7E"/>
    <w:rsid w:val="21E12EE9"/>
    <w:rsid w:val="22E16C8A"/>
    <w:rsid w:val="22EE13BE"/>
    <w:rsid w:val="231150AD"/>
    <w:rsid w:val="23CD5D46"/>
    <w:rsid w:val="23ED1676"/>
    <w:rsid w:val="24061333"/>
    <w:rsid w:val="24186AB2"/>
    <w:rsid w:val="2424304F"/>
    <w:rsid w:val="245461EC"/>
    <w:rsid w:val="248F4E23"/>
    <w:rsid w:val="24C31D0B"/>
    <w:rsid w:val="256F255E"/>
    <w:rsid w:val="25B91365"/>
    <w:rsid w:val="26372DC2"/>
    <w:rsid w:val="264869FC"/>
    <w:rsid w:val="26492DAF"/>
    <w:rsid w:val="268D5392"/>
    <w:rsid w:val="2721686C"/>
    <w:rsid w:val="27DB3EDB"/>
    <w:rsid w:val="28275C5B"/>
    <w:rsid w:val="289E722C"/>
    <w:rsid w:val="28A40771"/>
    <w:rsid w:val="28D93D8C"/>
    <w:rsid w:val="290F1C39"/>
    <w:rsid w:val="29693E94"/>
    <w:rsid w:val="29E76B67"/>
    <w:rsid w:val="29F43A2A"/>
    <w:rsid w:val="29F64FFC"/>
    <w:rsid w:val="2A1B4A63"/>
    <w:rsid w:val="2A3F69A3"/>
    <w:rsid w:val="2AB54EB7"/>
    <w:rsid w:val="2B02634F"/>
    <w:rsid w:val="2BB86A0D"/>
    <w:rsid w:val="2BCA6741"/>
    <w:rsid w:val="2BD733BF"/>
    <w:rsid w:val="2C0F4E06"/>
    <w:rsid w:val="2C322466"/>
    <w:rsid w:val="2C5275BD"/>
    <w:rsid w:val="2C6D3CD1"/>
    <w:rsid w:val="2CC02656"/>
    <w:rsid w:val="2D7E2F11"/>
    <w:rsid w:val="2DDE64D3"/>
    <w:rsid w:val="2DF31078"/>
    <w:rsid w:val="2E7806D6"/>
    <w:rsid w:val="2EBF6E07"/>
    <w:rsid w:val="2EC35A37"/>
    <w:rsid w:val="2F3E7229"/>
    <w:rsid w:val="2F6955FB"/>
    <w:rsid w:val="2F9C03F4"/>
    <w:rsid w:val="2FA21EAE"/>
    <w:rsid w:val="2FAB0637"/>
    <w:rsid w:val="2FD933F6"/>
    <w:rsid w:val="2FE774BA"/>
    <w:rsid w:val="304B70B5"/>
    <w:rsid w:val="306564EB"/>
    <w:rsid w:val="306E48EA"/>
    <w:rsid w:val="30A6777C"/>
    <w:rsid w:val="30D862EC"/>
    <w:rsid w:val="310A57DB"/>
    <w:rsid w:val="32AD79CC"/>
    <w:rsid w:val="33A523DD"/>
    <w:rsid w:val="33C70135"/>
    <w:rsid w:val="33E91A1A"/>
    <w:rsid w:val="3413690A"/>
    <w:rsid w:val="341D7D55"/>
    <w:rsid w:val="346239BA"/>
    <w:rsid w:val="34FF6028"/>
    <w:rsid w:val="35044A71"/>
    <w:rsid w:val="353D5303"/>
    <w:rsid w:val="35D34D79"/>
    <w:rsid w:val="36107446"/>
    <w:rsid w:val="36266C44"/>
    <w:rsid w:val="365C5755"/>
    <w:rsid w:val="37272F47"/>
    <w:rsid w:val="379245B6"/>
    <w:rsid w:val="37A34A15"/>
    <w:rsid w:val="38946681"/>
    <w:rsid w:val="390F1C37"/>
    <w:rsid w:val="395A28A0"/>
    <w:rsid w:val="399A1E48"/>
    <w:rsid w:val="39B76556"/>
    <w:rsid w:val="39E26742"/>
    <w:rsid w:val="39FF0F74"/>
    <w:rsid w:val="3A8B1791"/>
    <w:rsid w:val="3B031181"/>
    <w:rsid w:val="3B783AC3"/>
    <w:rsid w:val="3C3C4794"/>
    <w:rsid w:val="3C8F37BA"/>
    <w:rsid w:val="3D74650C"/>
    <w:rsid w:val="3DA459AD"/>
    <w:rsid w:val="3DCB6289"/>
    <w:rsid w:val="3DE96EFA"/>
    <w:rsid w:val="3E467EA9"/>
    <w:rsid w:val="3E8804C1"/>
    <w:rsid w:val="3EC915C5"/>
    <w:rsid w:val="3ECD4C5C"/>
    <w:rsid w:val="3F230944"/>
    <w:rsid w:val="3F492BBD"/>
    <w:rsid w:val="3F724CCD"/>
    <w:rsid w:val="3FDD2A8F"/>
    <w:rsid w:val="3FE72906"/>
    <w:rsid w:val="3FEB1BCE"/>
    <w:rsid w:val="40A95F62"/>
    <w:rsid w:val="40F576DF"/>
    <w:rsid w:val="40F736DC"/>
    <w:rsid w:val="41205F04"/>
    <w:rsid w:val="418C651A"/>
    <w:rsid w:val="41A73354"/>
    <w:rsid w:val="41A97F78"/>
    <w:rsid w:val="41DC56B1"/>
    <w:rsid w:val="4256644E"/>
    <w:rsid w:val="425A03C6"/>
    <w:rsid w:val="429A3840"/>
    <w:rsid w:val="42A142B5"/>
    <w:rsid w:val="42E67EAC"/>
    <w:rsid w:val="434370AD"/>
    <w:rsid w:val="43A748A2"/>
    <w:rsid w:val="43F52D8C"/>
    <w:rsid w:val="44A771C7"/>
    <w:rsid w:val="450B0849"/>
    <w:rsid w:val="457B0D80"/>
    <w:rsid w:val="45810DBE"/>
    <w:rsid w:val="45992FB4"/>
    <w:rsid w:val="45BF0294"/>
    <w:rsid w:val="45C64F3E"/>
    <w:rsid w:val="460C19D8"/>
    <w:rsid w:val="468772B0"/>
    <w:rsid w:val="46E003B6"/>
    <w:rsid w:val="46E5060E"/>
    <w:rsid w:val="47545E09"/>
    <w:rsid w:val="4785159F"/>
    <w:rsid w:val="479E4939"/>
    <w:rsid w:val="47D33BBB"/>
    <w:rsid w:val="480A63EB"/>
    <w:rsid w:val="480D3950"/>
    <w:rsid w:val="48521F67"/>
    <w:rsid w:val="48D82045"/>
    <w:rsid w:val="49D7054F"/>
    <w:rsid w:val="49E8576A"/>
    <w:rsid w:val="4A225C6E"/>
    <w:rsid w:val="4A7B712C"/>
    <w:rsid w:val="4A9D3546"/>
    <w:rsid w:val="4A9F72BE"/>
    <w:rsid w:val="4ADA311C"/>
    <w:rsid w:val="4B06733D"/>
    <w:rsid w:val="4B5F4186"/>
    <w:rsid w:val="4B895879"/>
    <w:rsid w:val="4BA6467C"/>
    <w:rsid w:val="4C47748C"/>
    <w:rsid w:val="4C60482B"/>
    <w:rsid w:val="4C6A38FC"/>
    <w:rsid w:val="4CF84A64"/>
    <w:rsid w:val="4D7D140D"/>
    <w:rsid w:val="4DDA685F"/>
    <w:rsid w:val="4E047B7B"/>
    <w:rsid w:val="4E75016C"/>
    <w:rsid w:val="4EEC7719"/>
    <w:rsid w:val="4EF2304E"/>
    <w:rsid w:val="4F68340D"/>
    <w:rsid w:val="504C794A"/>
    <w:rsid w:val="5085262C"/>
    <w:rsid w:val="51122012"/>
    <w:rsid w:val="518B6F82"/>
    <w:rsid w:val="522A2B01"/>
    <w:rsid w:val="526A2026"/>
    <w:rsid w:val="53682217"/>
    <w:rsid w:val="537B7570"/>
    <w:rsid w:val="53B05165"/>
    <w:rsid w:val="54120B01"/>
    <w:rsid w:val="545453E2"/>
    <w:rsid w:val="54D07574"/>
    <w:rsid w:val="554D76FA"/>
    <w:rsid w:val="55855729"/>
    <w:rsid w:val="55B90765"/>
    <w:rsid w:val="55CA4B9D"/>
    <w:rsid w:val="566B410B"/>
    <w:rsid w:val="56EC3BB2"/>
    <w:rsid w:val="571E77BD"/>
    <w:rsid w:val="57607DD5"/>
    <w:rsid w:val="57D65228"/>
    <w:rsid w:val="57E24C8E"/>
    <w:rsid w:val="58795E8A"/>
    <w:rsid w:val="58953AAF"/>
    <w:rsid w:val="58F36E55"/>
    <w:rsid w:val="58FB08C5"/>
    <w:rsid w:val="59162714"/>
    <w:rsid w:val="59A479EE"/>
    <w:rsid w:val="59BB5797"/>
    <w:rsid w:val="5A0C1B4F"/>
    <w:rsid w:val="5B092532"/>
    <w:rsid w:val="5B914A01"/>
    <w:rsid w:val="5BF3746A"/>
    <w:rsid w:val="5CDB4FE6"/>
    <w:rsid w:val="5D027239"/>
    <w:rsid w:val="5D3120A8"/>
    <w:rsid w:val="5D425C81"/>
    <w:rsid w:val="5D6B75D3"/>
    <w:rsid w:val="5D9407D9"/>
    <w:rsid w:val="5DEC4171"/>
    <w:rsid w:val="5DF04F57"/>
    <w:rsid w:val="5E1B2CA8"/>
    <w:rsid w:val="5E3D49CC"/>
    <w:rsid w:val="5F3F203F"/>
    <w:rsid w:val="5F4B3119"/>
    <w:rsid w:val="5F5A3869"/>
    <w:rsid w:val="5F6E604F"/>
    <w:rsid w:val="5FB962D5"/>
    <w:rsid w:val="608F34D9"/>
    <w:rsid w:val="6098238E"/>
    <w:rsid w:val="60E15B0B"/>
    <w:rsid w:val="61306A6A"/>
    <w:rsid w:val="6170330B"/>
    <w:rsid w:val="617157B4"/>
    <w:rsid w:val="61750921"/>
    <w:rsid w:val="62B9034A"/>
    <w:rsid w:val="63212B0F"/>
    <w:rsid w:val="6381535B"/>
    <w:rsid w:val="63CB65D6"/>
    <w:rsid w:val="640A35A3"/>
    <w:rsid w:val="64932341"/>
    <w:rsid w:val="64D77620"/>
    <w:rsid w:val="64DA601B"/>
    <w:rsid w:val="653F727C"/>
    <w:rsid w:val="66081D64"/>
    <w:rsid w:val="662D6CA5"/>
    <w:rsid w:val="668E32C6"/>
    <w:rsid w:val="669B5082"/>
    <w:rsid w:val="66D9725C"/>
    <w:rsid w:val="66E05560"/>
    <w:rsid w:val="671940B4"/>
    <w:rsid w:val="67EB5499"/>
    <w:rsid w:val="683F384C"/>
    <w:rsid w:val="68C53F3C"/>
    <w:rsid w:val="698F62F8"/>
    <w:rsid w:val="6994277F"/>
    <w:rsid w:val="69C73CE4"/>
    <w:rsid w:val="69DD6B98"/>
    <w:rsid w:val="6A522AB5"/>
    <w:rsid w:val="6A665F39"/>
    <w:rsid w:val="6A6C5EDD"/>
    <w:rsid w:val="6A9A6FCF"/>
    <w:rsid w:val="6AA87B5B"/>
    <w:rsid w:val="6AD541DF"/>
    <w:rsid w:val="6AE1287C"/>
    <w:rsid w:val="6B6A0DCB"/>
    <w:rsid w:val="6B945E48"/>
    <w:rsid w:val="6BAC3191"/>
    <w:rsid w:val="6C0407D9"/>
    <w:rsid w:val="6C2544BB"/>
    <w:rsid w:val="6C6128CD"/>
    <w:rsid w:val="6C9F0B0C"/>
    <w:rsid w:val="6D146923"/>
    <w:rsid w:val="6D2B65E5"/>
    <w:rsid w:val="6DF10D7F"/>
    <w:rsid w:val="6DF37070"/>
    <w:rsid w:val="6E8012D9"/>
    <w:rsid w:val="6EA207FA"/>
    <w:rsid w:val="6EA91C0A"/>
    <w:rsid w:val="6EF54E4F"/>
    <w:rsid w:val="6FAA3E8C"/>
    <w:rsid w:val="70B86135"/>
    <w:rsid w:val="70FE623D"/>
    <w:rsid w:val="71241F46"/>
    <w:rsid w:val="713559D7"/>
    <w:rsid w:val="71997D14"/>
    <w:rsid w:val="71A375BB"/>
    <w:rsid w:val="71CA611F"/>
    <w:rsid w:val="722A3062"/>
    <w:rsid w:val="72A157D4"/>
    <w:rsid w:val="73261574"/>
    <w:rsid w:val="73B453C7"/>
    <w:rsid w:val="741632FA"/>
    <w:rsid w:val="75AF653F"/>
    <w:rsid w:val="76810643"/>
    <w:rsid w:val="76EC7930"/>
    <w:rsid w:val="776B221F"/>
    <w:rsid w:val="77A534A0"/>
    <w:rsid w:val="78401767"/>
    <w:rsid w:val="785131CE"/>
    <w:rsid w:val="78801C2E"/>
    <w:rsid w:val="78C7785D"/>
    <w:rsid w:val="78CA4C57"/>
    <w:rsid w:val="78D45AD6"/>
    <w:rsid w:val="78F47F26"/>
    <w:rsid w:val="791800B8"/>
    <w:rsid w:val="7973634F"/>
    <w:rsid w:val="79BF6786"/>
    <w:rsid w:val="7A4B626B"/>
    <w:rsid w:val="7A690A6D"/>
    <w:rsid w:val="7A8D0632"/>
    <w:rsid w:val="7A9674E6"/>
    <w:rsid w:val="7AD959D2"/>
    <w:rsid w:val="7B503B39"/>
    <w:rsid w:val="7B8637EC"/>
    <w:rsid w:val="7B944CB6"/>
    <w:rsid w:val="7BCC6F38"/>
    <w:rsid w:val="7BF00E78"/>
    <w:rsid w:val="7DE052D0"/>
    <w:rsid w:val="7E5F4093"/>
    <w:rsid w:val="7E75366D"/>
    <w:rsid w:val="7EF67423"/>
    <w:rsid w:val="7F196E48"/>
    <w:rsid w:val="7FEC7B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uiPriority="99" w:name="heading 5"/>
    <w:lsdException w:uiPriority="99"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99" w:semiHidden="0" w:name="toc 4"/>
    <w:lsdException w:qFormat="1" w:unhideWhenUsed="0" w:uiPriority="0"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99" w:semiHidden="0" w:name="Normal Indent"/>
    <w:lsdException w:unhideWhenUsed="0" w:uiPriority="99"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qFormat="1" w:unhideWhenUsed="0" w:uiPriority="0" w:semiHidden="0" w:name="endnote text"/>
    <w:lsdException w:unhideWhenUsed="0" w:uiPriority="99" w:semiHidden="0" w:name="table of authorities"/>
    <w:lsdException w:unhideWhenUsed="0" w:uiPriority="99" w:semiHidden="0" w:name="macro"/>
    <w:lsdException w:unhideWhenUsed="0" w:uiPriority="99" w:semiHidden="0" w:name="toa heading"/>
    <w:lsdException w:qFormat="1"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qFormat="1" w:unhideWhenUsed="0" w:uiPriority="99"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qFormat="1" w:unhideWhenUsed="0" w:uiPriority="0"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qFormat="1" w:uiPriority="99" w:semiHidden="0" w:name="Block Text"/>
    <w:lsdException w:unhideWhenUsed="0" w:uiPriority="99" w:semiHidden="0" w:name="Hyperlink"/>
    <w:lsdException w:unhideWhenUsed="0" w:uiPriority="99" w:semiHidden="0" w:name="FollowedHyperlink"/>
    <w:lsdException w:qFormat="1" w:unhideWhenUsed="0" w:uiPriority="99" w:semiHidden="0" w:name="Strong"/>
    <w:lsdException w:unhideWhenUsed="0" w:uiPriority="99" w:semiHidden="0" w:name="Emphasis"/>
    <w:lsdException w:unhideWhenUsed="0" w:uiPriority="99" w:semiHidden="0" w:name="Document Map"/>
    <w:lsdException w:qFormat="1" w:unhideWhenUsed="0" w:uiPriority="99"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Calibri"/>
      <w:kern w:val="2"/>
      <w:sz w:val="21"/>
      <w:szCs w:val="21"/>
      <w:lang w:val="en-US" w:eastAsia="zh-CN" w:bidi="ar-SA"/>
    </w:rPr>
  </w:style>
  <w:style w:type="paragraph" w:styleId="2">
    <w:name w:val="heading 1"/>
    <w:basedOn w:val="1"/>
    <w:next w:val="1"/>
    <w:qFormat/>
    <w:uiPriority w:val="99"/>
    <w:pPr>
      <w:keepNext/>
      <w:keepLines/>
      <w:spacing w:before="340" w:after="330" w:line="576" w:lineRule="auto"/>
      <w:outlineLvl w:val="0"/>
    </w:pPr>
    <w:rPr>
      <w:b/>
      <w:bCs/>
      <w:kern w:val="44"/>
      <w:sz w:val="44"/>
      <w:szCs w:val="44"/>
    </w:rPr>
  </w:style>
  <w:style w:type="paragraph" w:styleId="3">
    <w:name w:val="heading 2"/>
    <w:basedOn w:val="1"/>
    <w:next w:val="1"/>
    <w:qFormat/>
    <w:uiPriority w:val="99"/>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qFormat/>
    <w:uiPriority w:val="99"/>
    <w:pPr>
      <w:keepNext/>
      <w:keepLines/>
      <w:spacing w:before="260" w:after="260" w:line="415" w:lineRule="auto"/>
      <w:ind w:firstLine="137" w:firstLineChars="49"/>
      <w:outlineLvl w:val="2"/>
    </w:pPr>
    <w:rPr>
      <w:rFonts w:ascii="黑体" w:hAnsi="宋体" w:eastAsia="黑体" w:cs="黑体"/>
      <w:sz w:val="28"/>
      <w:szCs w:val="28"/>
    </w:rPr>
  </w:style>
  <w:style w:type="paragraph" w:styleId="5">
    <w:name w:val="heading 4"/>
    <w:basedOn w:val="1"/>
    <w:next w:val="1"/>
    <w:qFormat/>
    <w:uiPriority w:val="99"/>
    <w:pPr>
      <w:keepNext/>
      <w:keepLines/>
      <w:spacing w:before="280" w:after="290" w:line="374" w:lineRule="auto"/>
      <w:outlineLvl w:val="3"/>
    </w:pPr>
    <w:rPr>
      <w:rFonts w:ascii="Arial" w:hAnsi="Arial" w:eastAsia="黑体" w:cs="Arial"/>
      <w:b/>
      <w:bCs/>
      <w:sz w:val="28"/>
      <w:szCs w:val="28"/>
    </w:rPr>
  </w:style>
  <w:style w:type="character" w:default="1" w:styleId="26">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99"/>
    <w:pPr>
      <w:ind w:firstLine="420" w:firstLineChars="200"/>
    </w:pPr>
    <w:rPr>
      <w:rFonts w:cs="Times New Roman"/>
      <w:sz w:val="24"/>
      <w:szCs w:val="24"/>
    </w:rPr>
  </w:style>
  <w:style w:type="paragraph" w:styleId="7">
    <w:name w:val="annotation text"/>
    <w:basedOn w:val="1"/>
    <w:qFormat/>
    <w:uiPriority w:val="99"/>
    <w:pPr>
      <w:jc w:val="left"/>
    </w:pPr>
  </w:style>
  <w:style w:type="paragraph" w:styleId="8">
    <w:name w:val="Body Text"/>
    <w:basedOn w:val="1"/>
    <w:next w:val="9"/>
    <w:qFormat/>
    <w:uiPriority w:val="99"/>
    <w:pPr>
      <w:spacing w:after="120"/>
    </w:pPr>
    <w:rPr>
      <w:rFonts w:cs="Times New Roman"/>
      <w:sz w:val="24"/>
      <w:szCs w:val="24"/>
    </w:rPr>
  </w:style>
  <w:style w:type="paragraph" w:styleId="9">
    <w:name w:val="toc 5"/>
    <w:basedOn w:val="1"/>
    <w:next w:val="1"/>
    <w:qFormat/>
    <w:uiPriority w:val="0"/>
    <w:pPr>
      <w:ind w:left="1680"/>
    </w:pPr>
  </w:style>
  <w:style w:type="paragraph" w:styleId="10">
    <w:name w:val="Body Text Indent"/>
    <w:basedOn w:val="1"/>
    <w:qFormat/>
    <w:uiPriority w:val="0"/>
    <w:pPr>
      <w:spacing w:after="120"/>
      <w:ind w:left="420" w:leftChars="200"/>
    </w:pPr>
  </w:style>
  <w:style w:type="paragraph" w:styleId="11">
    <w:name w:val="Block Text"/>
    <w:basedOn w:val="1"/>
    <w:next w:val="1"/>
    <w:unhideWhenUsed/>
    <w:qFormat/>
    <w:uiPriority w:val="99"/>
    <w:pPr>
      <w:spacing w:after="120"/>
      <w:ind w:left="1440" w:leftChars="700" w:right="1440" w:rightChars="700"/>
    </w:pPr>
  </w:style>
  <w:style w:type="paragraph" w:styleId="12">
    <w:name w:val="toc 3"/>
    <w:basedOn w:val="1"/>
    <w:next w:val="1"/>
    <w:qFormat/>
    <w:uiPriority w:val="39"/>
    <w:pPr>
      <w:ind w:left="420"/>
      <w:jc w:val="left"/>
    </w:pPr>
    <w:rPr>
      <w:sz w:val="20"/>
      <w:szCs w:val="20"/>
    </w:rPr>
  </w:style>
  <w:style w:type="paragraph" w:styleId="13">
    <w:name w:val="Plain Text"/>
    <w:basedOn w:val="1"/>
    <w:qFormat/>
    <w:uiPriority w:val="99"/>
    <w:rPr>
      <w:rFonts w:ascii="宋体" w:hAnsi="Courier New" w:cs="Times New Roman"/>
    </w:rPr>
  </w:style>
  <w:style w:type="paragraph" w:styleId="14">
    <w:name w:val="endnote text"/>
    <w:basedOn w:val="1"/>
    <w:next w:val="1"/>
    <w:qFormat/>
    <w:uiPriority w:val="0"/>
    <w:pPr>
      <w:widowControl/>
    </w:pPr>
    <w:rPr>
      <w:sz w:val="20"/>
    </w:rPr>
  </w:style>
  <w:style w:type="paragraph" w:styleId="15">
    <w:name w:val="footer"/>
    <w:basedOn w:val="1"/>
    <w:qFormat/>
    <w:uiPriority w:val="99"/>
    <w:pPr>
      <w:tabs>
        <w:tab w:val="center" w:pos="4153"/>
        <w:tab w:val="right" w:pos="8306"/>
      </w:tabs>
      <w:snapToGrid w:val="0"/>
      <w:jc w:val="left"/>
    </w:pPr>
    <w:rPr>
      <w:rFonts w:cs="Times New Roman"/>
      <w:sz w:val="18"/>
      <w:szCs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qFormat/>
    <w:uiPriority w:val="39"/>
    <w:pPr>
      <w:spacing w:before="120" w:after="120"/>
      <w:jc w:val="left"/>
    </w:pPr>
    <w:rPr>
      <w:b/>
      <w:bCs/>
      <w:caps/>
      <w:sz w:val="20"/>
      <w:szCs w:val="20"/>
    </w:rPr>
  </w:style>
  <w:style w:type="paragraph" w:styleId="18">
    <w:name w:val="List"/>
    <w:basedOn w:val="1"/>
    <w:qFormat/>
    <w:uiPriority w:val="99"/>
    <w:pPr>
      <w:ind w:left="200" w:hanging="200" w:hangingChars="200"/>
    </w:pPr>
  </w:style>
  <w:style w:type="paragraph" w:styleId="19">
    <w:name w:val="List 5"/>
    <w:basedOn w:val="1"/>
    <w:next w:val="20"/>
    <w:semiHidden/>
    <w:qFormat/>
    <w:uiPriority w:val="99"/>
    <w:pPr>
      <w:ind w:left="2100" w:hanging="420"/>
    </w:pPr>
  </w:style>
  <w:style w:type="paragraph" w:customStyle="1" w:styleId="20">
    <w:name w:val="目录 51"/>
    <w:basedOn w:val="1"/>
    <w:next w:val="1"/>
    <w:qFormat/>
    <w:uiPriority w:val="0"/>
    <w:pPr>
      <w:ind w:left="630"/>
    </w:pPr>
    <w:rPr>
      <w:sz w:val="20"/>
    </w:rPr>
  </w:style>
  <w:style w:type="paragraph" w:styleId="21">
    <w:name w:val="toc 2"/>
    <w:basedOn w:val="1"/>
    <w:next w:val="1"/>
    <w:qFormat/>
    <w:uiPriority w:val="39"/>
    <w:pPr>
      <w:ind w:left="210"/>
      <w:jc w:val="left"/>
    </w:pPr>
    <w:rPr>
      <w:sz w:val="20"/>
      <w:szCs w:val="20"/>
    </w:rPr>
  </w:style>
  <w:style w:type="paragraph" w:styleId="22">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3">
    <w:name w:val="Body Text First Indent"/>
    <w:basedOn w:val="8"/>
    <w:next w:val="24"/>
    <w:qFormat/>
    <w:uiPriority w:val="0"/>
    <w:pPr>
      <w:autoSpaceDE w:val="0"/>
      <w:autoSpaceDN w:val="0"/>
      <w:adjustRightInd w:val="0"/>
      <w:ind w:firstLine="420"/>
    </w:pPr>
    <w:rPr>
      <w:rFonts w:ascii="宋体"/>
      <w:kern w:val="0"/>
    </w:rPr>
  </w:style>
  <w:style w:type="paragraph" w:styleId="24">
    <w:name w:val="Body Text First Indent 2"/>
    <w:basedOn w:val="23"/>
    <w:next w:val="23"/>
    <w:qFormat/>
    <w:uiPriority w:val="0"/>
    <w:pPr>
      <w:ind w:firstLineChars="200"/>
    </w:pPr>
  </w:style>
  <w:style w:type="character" w:styleId="27">
    <w:name w:val="Strong"/>
    <w:basedOn w:val="26"/>
    <w:qFormat/>
    <w:uiPriority w:val="99"/>
    <w:rPr>
      <w:b/>
    </w:rPr>
  </w:style>
  <w:style w:type="paragraph" w:customStyle="1" w:styleId="28">
    <w:name w:val="正文（标准）"/>
    <w:basedOn w:val="1"/>
    <w:next w:val="1"/>
    <w:semiHidden/>
    <w:qFormat/>
    <w:uiPriority w:val="99"/>
    <w:pPr>
      <w:ind w:firstLine="525"/>
    </w:pPr>
    <w:rPr>
      <w:rFonts w:ascii="宋体" w:hAnsi="宋体" w:cs="宋体"/>
    </w:rPr>
  </w:style>
  <w:style w:type="paragraph" w:customStyle="1" w:styleId="29">
    <w:name w:val="Default"/>
    <w:next w:val="30"/>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0">
    <w:name w:val="正文缩进1"/>
    <w:basedOn w:val="1"/>
    <w:next w:val="19"/>
    <w:qFormat/>
    <w:uiPriority w:val="99"/>
    <w:pPr>
      <w:ind w:firstLine="420"/>
    </w:pPr>
  </w:style>
  <w:style w:type="paragraph" w:customStyle="1" w:styleId="31">
    <w:name w:val="正文首行缩进1"/>
    <w:basedOn w:val="8"/>
    <w:qFormat/>
    <w:uiPriority w:val="0"/>
    <w:pPr>
      <w:ind w:firstLine="420" w:firstLineChars="100"/>
    </w:pPr>
  </w:style>
  <w:style w:type="paragraph" w:customStyle="1" w:styleId="32">
    <w:name w:val="TOC 标题1"/>
    <w:basedOn w:val="2"/>
    <w:qFormat/>
    <w:uiPriority w:val="99"/>
    <w:pPr>
      <w:widowControl/>
      <w:spacing w:before="480" w:after="0" w:line="276" w:lineRule="auto"/>
      <w:jc w:val="left"/>
      <w:outlineLvl w:val="9"/>
    </w:pPr>
    <w:rPr>
      <w:rFonts w:ascii="Cambria" w:hAnsi="Cambria" w:cs="Cambria"/>
      <w:color w:val="365F91"/>
      <w:kern w:val="0"/>
      <w:sz w:val="28"/>
      <w:szCs w:val="28"/>
    </w:rPr>
  </w:style>
  <w:style w:type="paragraph" w:customStyle="1" w:styleId="33">
    <w:name w:val="目录"/>
    <w:basedOn w:val="1"/>
    <w:qFormat/>
    <w:uiPriority w:val="99"/>
    <w:pPr>
      <w:tabs>
        <w:tab w:val="left" w:pos="2880"/>
      </w:tabs>
      <w:spacing w:line="240" w:lineRule="atLeast"/>
      <w:jc w:val="center"/>
    </w:pPr>
    <w:rPr>
      <w:b/>
      <w:bCs/>
      <w:sz w:val="36"/>
      <w:szCs w:val="36"/>
    </w:rPr>
  </w:style>
  <w:style w:type="paragraph" w:customStyle="1" w:styleId="34">
    <w:name w:val="p2"/>
    <w:basedOn w:val="1"/>
    <w:qFormat/>
    <w:uiPriority w:val="99"/>
    <w:pPr>
      <w:widowControl/>
      <w:spacing w:line="480" w:lineRule="auto"/>
      <w:ind w:firstLine="420"/>
      <w:jc w:val="left"/>
    </w:pPr>
    <w:rPr>
      <w:rFonts w:ascii="宋体" w:hAnsi="宋体" w:cs="宋体"/>
      <w:kern w:val="0"/>
    </w:rPr>
  </w:style>
  <w:style w:type="paragraph" w:customStyle="1" w:styleId="35">
    <w:name w:val="表格样式2"/>
    <w:basedOn w:val="1"/>
    <w:qFormat/>
    <w:uiPriority w:val="99"/>
    <w:pPr>
      <w:widowControl/>
      <w:spacing w:line="276" w:lineRule="auto"/>
      <w:jc w:val="left"/>
    </w:pPr>
    <w:rPr>
      <w:rFonts w:ascii="仿宋_GB2312" w:hAnsi="宋体" w:eastAsia="仿宋_GB2312" w:cs="仿宋_GB2312"/>
      <w:kern w:val="0"/>
      <w:sz w:val="18"/>
      <w:szCs w:val="18"/>
      <w:lang w:val="zh-CN"/>
    </w:rPr>
  </w:style>
  <w:style w:type="paragraph" w:customStyle="1" w:styleId="36">
    <w:name w:val="通用标题2"/>
    <w:basedOn w:val="3"/>
    <w:qFormat/>
    <w:uiPriority w:val="0"/>
    <w:pPr>
      <w:keepNext w:val="0"/>
      <w:keepLines w:val="0"/>
      <w:numPr>
        <w:ilvl w:val="0"/>
        <w:numId w:val="1"/>
      </w:numPr>
      <w:tabs>
        <w:tab w:val="left" w:pos="993"/>
      </w:tabs>
      <w:spacing w:line="360" w:lineRule="auto"/>
    </w:pPr>
    <w:rPr>
      <w:rFonts w:ascii="黑体" w:hAnsi="黑体"/>
    </w:rPr>
  </w:style>
  <w:style w:type="paragraph" w:customStyle="1" w:styleId="37">
    <w:name w:val="协议书标题2"/>
    <w:basedOn w:val="3"/>
    <w:qFormat/>
    <w:uiPriority w:val="0"/>
    <w:pPr>
      <w:keepNext w:val="0"/>
      <w:keepLines w:val="0"/>
      <w:numPr>
        <w:ilvl w:val="0"/>
        <w:numId w:val="2"/>
      </w:numPr>
      <w:tabs>
        <w:tab w:val="left" w:pos="567"/>
      </w:tabs>
      <w:spacing w:line="360" w:lineRule="auto"/>
      <w:ind w:firstLine="0"/>
      <w:jc w:val="left"/>
    </w:pPr>
    <w:rPr>
      <w:rFonts w:ascii="宋体" w:hAnsi="宋体" w:eastAsia="宋体"/>
      <w:sz w:val="24"/>
    </w:rPr>
  </w:style>
  <w:style w:type="paragraph" w:customStyle="1" w:styleId="38">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39">
    <w:name w:val="通用标题3"/>
    <w:qFormat/>
    <w:uiPriority w:val="0"/>
    <w:pPr>
      <w:widowControl w:val="0"/>
      <w:tabs>
        <w:tab w:val="left" w:pos="851"/>
      </w:tabs>
      <w:adjustRightInd w:val="0"/>
      <w:snapToGrid w:val="0"/>
      <w:spacing w:afterLines="50" w:line="360" w:lineRule="auto"/>
      <w:ind w:left="1843"/>
      <w:jc w:val="both"/>
      <w:outlineLvl w:val="2"/>
    </w:pPr>
    <w:rPr>
      <w:rFonts w:ascii="黑体" w:hAnsi="黑体" w:eastAsia="黑体" w:cs="Times New Roman"/>
      <w:b/>
      <w:kern w:val="2"/>
      <w:sz w:val="24"/>
      <w:szCs w:val="24"/>
      <w:lang w:val="en-US" w:eastAsia="zh-CN" w:bidi="ar-SA"/>
    </w:rPr>
  </w:style>
  <w:style w:type="paragraph" w:customStyle="1" w:styleId="40">
    <w:name w:val="通用标题4"/>
    <w:qFormat/>
    <w:uiPriority w:val="0"/>
    <w:pPr>
      <w:tabs>
        <w:tab w:val="left" w:pos="851"/>
      </w:tabs>
      <w:adjustRightInd w:val="0"/>
      <w:snapToGrid w:val="0"/>
      <w:spacing w:afterLines="50" w:line="360" w:lineRule="auto"/>
      <w:ind w:left="2126"/>
      <w:jc w:val="both"/>
      <w:outlineLvl w:val="3"/>
    </w:pPr>
    <w:rPr>
      <w:rFonts w:ascii="宋体" w:hAnsi="宋体" w:eastAsia="宋体" w:cs="Times New Roman"/>
      <w:kern w:val="2"/>
      <w:sz w:val="24"/>
      <w:szCs w:val="21"/>
      <w:lang w:val="en-US" w:eastAsia="zh-CN" w:bidi="ar-SA"/>
    </w:rPr>
  </w:style>
  <w:style w:type="paragraph" w:customStyle="1" w:styleId="41">
    <w:name w:val="通用标题5"/>
    <w:qFormat/>
    <w:uiPriority w:val="0"/>
    <w:pPr>
      <w:widowControl w:val="0"/>
      <w:tabs>
        <w:tab w:val="left" w:pos="1134"/>
      </w:tabs>
      <w:autoSpaceDE w:val="0"/>
      <w:autoSpaceDN w:val="0"/>
      <w:adjustRightInd w:val="0"/>
      <w:snapToGrid w:val="0"/>
      <w:spacing w:afterLines="50" w:line="360" w:lineRule="auto"/>
      <w:ind w:left="710"/>
      <w:jc w:val="both"/>
    </w:pPr>
    <w:rPr>
      <w:rFonts w:ascii="宋体" w:hAnsi="宋体" w:eastAsia="宋体" w:cs="Times New Roman"/>
      <w:kern w:val="2"/>
      <w:sz w:val="24"/>
      <w:szCs w:val="21"/>
      <w:lang w:val="en-US" w:eastAsia="zh-CN" w:bidi="ar-SA"/>
    </w:rPr>
  </w:style>
  <w:style w:type="paragraph" w:customStyle="1" w:styleId="42">
    <w:name w:val="通用标题6"/>
    <w:basedOn w:val="1"/>
    <w:qFormat/>
    <w:uiPriority w:val="0"/>
    <w:pPr>
      <w:tabs>
        <w:tab w:val="left" w:pos="993"/>
      </w:tabs>
      <w:ind w:left="310"/>
    </w:pPr>
  </w:style>
  <w:style w:type="paragraph" w:customStyle="1" w:styleId="43">
    <w:name w:val="专用标题2"/>
    <w:basedOn w:val="3"/>
    <w:qFormat/>
    <w:uiPriority w:val="0"/>
    <w:pPr>
      <w:keepNext w:val="0"/>
      <w:keepLines w:val="0"/>
      <w:tabs>
        <w:tab w:val="left" w:pos="993"/>
      </w:tabs>
      <w:spacing w:line="360" w:lineRule="auto"/>
    </w:pPr>
    <w:rPr>
      <w:rFonts w:ascii="宋体" w:hAnsi="宋体" w:eastAsia="宋体" w:cs="Times"/>
    </w:rPr>
  </w:style>
  <w:style w:type="paragraph" w:customStyle="1" w:styleId="44">
    <w:name w:val="附件标题"/>
    <w:basedOn w:val="3"/>
    <w:qFormat/>
    <w:uiPriority w:val="0"/>
    <w:pPr>
      <w:numPr>
        <w:ilvl w:val="0"/>
        <w:numId w:val="3"/>
      </w:numPr>
      <w:tabs>
        <w:tab w:val="left" w:pos="1134"/>
      </w:tabs>
      <w:spacing w:line="360" w:lineRule="auto"/>
      <w:ind w:firstLine="0"/>
      <w:jc w:val="center"/>
    </w:pPr>
    <w:rPr>
      <w:rFonts w:ascii="黑体" w:hAnsi="黑体"/>
      <w:sz w:val="30"/>
      <w:szCs w:val="30"/>
    </w:rPr>
  </w:style>
  <w:style w:type="paragraph" w:customStyle="1" w:styleId="45">
    <w:name w:val="列出段落2"/>
    <w:basedOn w:val="1"/>
    <w:qFormat/>
    <w:uiPriority w:val="99"/>
    <w:pPr>
      <w:ind w:firstLine="420" w:firstLineChars="200"/>
    </w:pPr>
  </w:style>
  <w:style w:type="paragraph" w:customStyle="1" w:styleId="46">
    <w:name w:val="Normal_0_0_0"/>
    <w:basedOn w:val="47"/>
    <w:qFormat/>
    <w:uiPriority w:val="99"/>
    <w:pPr>
      <w:jc w:val="left"/>
    </w:pPr>
    <w:rPr>
      <w:sz w:val="24"/>
      <w:szCs w:val="24"/>
    </w:rPr>
  </w:style>
  <w:style w:type="paragraph" w:customStyle="1" w:styleId="47">
    <w:name w:val="Normal_4"/>
    <w:qFormat/>
    <w:uiPriority w:val="99"/>
    <w:pPr>
      <w:widowControl w:val="0"/>
      <w:jc w:val="both"/>
    </w:pPr>
    <w:rPr>
      <w:rFonts w:ascii="Times New Roman" w:hAnsi="Times New Roman" w:eastAsia="宋体" w:cs="Calibri"/>
      <w:lang w:val="en-US" w:eastAsia="zh-CN" w:bidi="ar-SA"/>
    </w:rPr>
  </w:style>
  <w:style w:type="character" w:customStyle="1" w:styleId="48">
    <w:name w:val="10"/>
    <w:qFormat/>
    <w:uiPriority w:val="99"/>
    <w:rPr>
      <w:rFonts w:ascii="Calibri" w:hAnsi="Calibri" w:eastAsia="宋体" w:cs="Calibri"/>
    </w:rPr>
  </w:style>
  <w:style w:type="paragraph" w:customStyle="1" w:styleId="49">
    <w:name w:val="副标题1"/>
    <w:basedOn w:val="1"/>
    <w:qFormat/>
    <w:uiPriority w:val="99"/>
    <w:pPr>
      <w:tabs>
        <w:tab w:val="left" w:pos="1440"/>
        <w:tab w:val="left" w:pos="1620"/>
      </w:tabs>
      <w:ind w:left="142" w:hanging="360"/>
    </w:pPr>
  </w:style>
  <w:style w:type="paragraph" w:customStyle="1" w:styleId="50">
    <w:name w:val="副标题2"/>
    <w:basedOn w:val="1"/>
    <w:qFormat/>
    <w:uiPriority w:val="99"/>
    <w:pPr>
      <w:tabs>
        <w:tab w:val="left" w:pos="1620"/>
        <w:tab w:val="left" w:pos="2160"/>
      </w:tabs>
      <w:ind w:left="2552" w:hanging="360"/>
    </w:pPr>
  </w:style>
  <w:style w:type="paragraph" w:customStyle="1" w:styleId="51">
    <w:name w:val="正文 A"/>
    <w:qFormat/>
    <w:uiPriority w:val="99"/>
    <w:pPr>
      <w:widowControl w:val="0"/>
      <w:jc w:val="both"/>
    </w:pPr>
    <w:rPr>
      <w:rFonts w:ascii="Times New Roman" w:hAnsi="Arial Unicode MS" w:eastAsia="Times New Roman" w:cs="Calibri"/>
      <w:color w:val="000000"/>
      <w:kern w:val="2"/>
      <w:sz w:val="21"/>
      <w:szCs w:val="21"/>
      <w:lang w:val="en-US" w:eastAsia="zh-CN" w:bidi="ar-SA"/>
    </w:rPr>
  </w:style>
  <w:style w:type="paragraph" w:customStyle="1" w:styleId="52">
    <w:name w:val="正文1_0"/>
    <w:basedOn w:val="47"/>
    <w:qFormat/>
    <w:uiPriority w:val="99"/>
    <w:pPr>
      <w:jc w:val="left"/>
    </w:pPr>
    <w:rPr>
      <w:sz w:val="24"/>
      <w:szCs w:val="24"/>
    </w:rPr>
  </w:style>
  <w:style w:type="paragraph" w:customStyle="1" w:styleId="53">
    <w:name w:val="Normal_0_1"/>
    <w:basedOn w:val="47"/>
    <w:qFormat/>
    <w:uiPriority w:val="99"/>
    <w:pPr>
      <w:jc w:val="left"/>
    </w:pPr>
    <w:rPr>
      <w:sz w:val="24"/>
      <w:szCs w:val="24"/>
    </w:rPr>
  </w:style>
  <w:style w:type="paragraph" w:customStyle="1" w:styleId="54">
    <w:name w:val="Table Paragraph"/>
    <w:basedOn w:val="1"/>
    <w:qFormat/>
    <w:uiPriority w:val="99"/>
    <w:pPr>
      <w:autoSpaceDE w:val="0"/>
      <w:autoSpaceDN w:val="0"/>
      <w:adjustRightInd w:val="0"/>
      <w:spacing w:after="200" w:line="276" w:lineRule="auto"/>
      <w:jc w:val="left"/>
    </w:pPr>
    <w:rPr>
      <w:kern w:val="0"/>
      <w:sz w:val="24"/>
      <w:szCs w:val="24"/>
    </w:rPr>
  </w:style>
  <w:style w:type="paragraph" w:customStyle="1" w:styleId="55">
    <w:name w:val="Normal_2_1"/>
    <w:basedOn w:val="47"/>
    <w:qFormat/>
    <w:uiPriority w:val="99"/>
    <w:pPr>
      <w:jc w:val="left"/>
    </w:pPr>
    <w:rPr>
      <w:sz w:val="24"/>
      <w:szCs w:val="24"/>
    </w:rPr>
  </w:style>
  <w:style w:type="table" w:customStyle="1" w:styleId="56">
    <w:name w:val="Table Normal_0"/>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4.png"/><Relationship Id="rId11" Type="http://schemas.openxmlformats.org/officeDocument/2006/relationships/image" Target="media/image3.wmf"/><Relationship Id="rId10" Type="http://schemas.openxmlformats.org/officeDocument/2006/relationships/image" Target="media/image2.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3b46e1bb-918b-4670-9a89-73b83a2dea2d</errorID>
      <errorWord>号文件</errorWord>
      <group>L1_AI</group>
      <groupName>深度校对</groupName>
      <ability>L2_AI_Grammar</ability>
      <abilityName>语法纠错</abilityName>
      <candidateList>
        <item>号</item>
      </candidateList>
      <explain/>
      <paraID>2EFA79FB</paraID>
      <start>76</start>
      <end>77</end>
      <status>modified</status>
      <modifiedWord>号</modifiedWord>
      <trackRevisions>false</trackRevisions>
    </reviewItem>
    <reviewItem>
      <errorID>a4ea117a-ccab-4711-bc3c-813c4843053a</errorID>
      <errorWord>对</errorWord>
      <group>L1_AI</group>
      <groupName>深度校对</groupName>
      <ability>L2_AI_Punc</ability>
      <abilityName>标点纠错</abilityName>
      <candidateList>
        <item>，对</item>
      </candidateList>
      <explain/>
      <paraID>77003E3C</paraID>
      <start>65</start>
      <end>67</end>
      <status>modified</status>
      <modifiedWord>，对</modifiedWord>
      <trackRevisions>false</trackRevisions>
    </reviewItem>
    <reviewItem>
      <errorID>1075ca1e-78a8-4f64-b758-9edf44835221</errorID>
      <errorWord>责任事故的生产经营单位，</errorWord>
      <group>L1_AI</group>
      <groupName>深度校对</groupName>
      <ability>L2_AI_Grammar</ability>
      <abilityName>语法纠错</abilityName>
      <candidateList>
        <item>责任事故</item>
      </candidateList>
      <explain/>
      <paraID>77003E3C</paraID>
      <start>78</start>
      <end>90</end>
      <status>ignored</status>
      <modifiedWord/>
      <trackRevisions>false</trackRevisions>
    </reviewItem>
    <reviewItem>
      <errorID>6dba3f29-69ea-490d-9439-6b95d50b3030</errorID>
      <errorWord>，</errorWord>
      <group>L1_AI</group>
      <groupName>深度校对</groupName>
      <ability>L2_AI_Grammar</ability>
      <abilityName>语法纠错</abilityName>
      <candidateList>
        <item>生产经营单位，</item>
      </candidateList>
      <explain/>
      <paraID>77003E3C</paraID>
      <start>101</start>
      <end>102</end>
      <status>ignored</status>
      <modifiedWord/>
      <trackRevisions>false</trackRevisions>
    </reviewItem>
    <reviewItem>
      <errorID>90910b55-e28a-456e-8d6b-109f69b3a6da</errorID>
      <errorWord>，</errorWord>
      <group>L1_AI</group>
      <groupName>深度校对</groupName>
      <ability>L2_AI_Punc</ability>
      <abilityName>标点纠错</abilityName>
      <candidateList>
        <item>。</item>
      </candidateList>
      <explain/>
      <paraID>77003E3C</paraID>
      <start>124</start>
      <end>125</end>
      <status>ignored</status>
      <modifiedWord/>
      <trackRevisions>false</trackRevisions>
    </reviewItem>
    <reviewItem>
      <errorID>8975f9ae-f1b9-4f25-a6b7-882701f362d3</errorID>
      <errorWord>单位</errorWord>
      <group>L1_AI</group>
      <groupName>深度校对</groupName>
      <ability>L2_AI_Punc</ability>
      <abilityName>标点纠错</abilityName>
      <candidateList>
        <item>。单位</item>
      </candidateList>
      <explain/>
      <paraID>21069EFF</paraID>
      <start>43</start>
      <end>46</end>
      <status>modified</status>
      <modifiedWord>。单位</modifiedWord>
      <trackRevisions>false</trackRevisions>
    </reviewItem>
    <reviewItem>
      <errorID>a575e802-b4e9-4d79-88c6-69eeb6515293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2CFF6C7E</paraID>
      <start>170</start>
      <end>171</end>
      <status>ignored</status>
      <modifiedWord/>
      <trackRevisions>false</trackRevisions>
    </reviewItem>
    <reviewItem>
      <errorID>f26b0d09-0b0c-42bf-9ed1-a7a3db7efcf3</errorID>
      <errorWord>)</errorWord>
      <group>L1_Format</group>
      <groupName>格式问题</groupName>
      <ability>L2_HalfPunc</ability>
      <abilityName>全半角检查</abilityName>
      <candidateList>
        <item>）</item>
      </candidateList>
      <explain>文本全半角错误。</explain>
      <paraID>13ED8469</paraID>
      <start>103</start>
      <end>104</end>
      <status>modified</status>
      <modifiedWord>）</modifiedWord>
      <trackRevisions>false</trackRevisions>
    </reviewItem>
    <reviewItem>
      <errorID>0cba1f33-7097-406f-af36-267e5cb4a884</errorID>
      <errorWord>)</errorWord>
      <group>L1_Format</group>
      <groupName>格式问题</groupName>
      <ability>L2_HalfPunc</ability>
      <abilityName>全半角检查</abilityName>
      <candidateList>
        <item>）</item>
      </candidateList>
      <explain>文本全半角错误。</explain>
      <paraID>13ED8469</paraID>
      <start>115</start>
      <end>116</end>
      <status>modified</status>
      <modifiedWord>）</modifiedWord>
      <trackRevisions>false</trackRevisions>
    </reviewItem>
    <reviewItem>
      <errorID>30c28e21-5793-4a47-926c-41d1cda6d469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2C277379</paraID>
      <start>283</start>
      <end>284</end>
      <status>ignored</status>
      <modifiedWord/>
      <trackRevisions>false</trackRevisions>
    </reviewItem>
    <reviewItem>
      <errorID>2f93ae0a-ee6a-4f0f-93ab-9055a12c5bbb</errorID>
      <errorWord>[2019]62号</errorWord>
      <group>L1_Knowledge</group>
      <groupName>知识性问题</groupName>
      <ability>L2_Knowledge</ability>
      <abilityName>其他知识</abilityName>
      <candidateList>
        <item>〔2019〕62号</item>
      </candidateList>
      <explain>发文字号格式错误。</explain>
      <paraID>2C277379</paraID>
      <start>365</start>
      <end>374</end>
      <status>modified</status>
      <modifiedWord>〔2019〕62号</modifiedWord>
      <trackRevisions>false</trackRevisions>
    </reviewItem>
    <reviewItem>
      <errorID>daf60f06-ef17-4f79-b08b-4187b6301ef8</errorID>
      <errorWord>[2023]54号</errorWord>
      <group>L1_Knowledge</group>
      <groupName>知识性问题</groupName>
      <ability>L2_Knowledge</ability>
      <abilityName>其他知识</abilityName>
      <candidateList>
        <item>〔2023〕54号</item>
      </candidateList>
      <explain>发文字号格式错误。</explain>
      <paraID>2C277379</paraID>
      <start>416</start>
      <end>425</end>
      <status>modified</status>
      <modifiedWord>〔2023〕54号</modifiedWord>
      <trackRevisions>false</trackRevisions>
    </reviewItem>
    <reviewItem>
      <errorID>a58146c6-1ddb-4451-9e2a-54fcfe6eeb7d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4FFC01D6</paraID>
      <start>0</start>
      <end>2</end>
      <status>ignored</status>
      <modifiedWord/>
      <trackRevisions>false</trackRevisions>
    </reviewItem>
    <reviewItem>
      <errorID>8e5f0e73-b08a-4385-bc0a-86b40594eb27</errorID>
      <errorWord>编制标</errorWord>
      <group>L1_Word</group>
      <groupName>字词问题</groupName>
      <ability>L2_Typo</ability>
      <abilityName>字词错误</abilityName>
      <candidateList>
        <item>编制</item>
      </candidateList>
      <explain>❶〈动〉把细长的东西交叉组织起来，制成器物：用柳条～的筐子。❷〈动〉根据资料做出（规程、方案、计划等）：～教学方案。❸〈名〉组织机构的设置及其人员数量的定额和职务的分配：扩大～。</explain>
      <paraID>776D9C35</paraID>
      <start>4</start>
      <end>6</end>
      <status>modified</status>
      <modifiedWord>编制</modifiedWord>
      <trackRevisions>false</trackRevisions>
    </reviewItem>
    <reviewItem>
      <errorID>f0ccce7f-6422-4d05-8efc-a645a5b23375</errorID>
      <errorWord>间</errorWord>
      <group>L1_Word</group>
      <groupName>字词问题</groupName>
      <ability>L2_Typo</ability>
      <abilityName>字词错误</abilityName>
      <candidateList>
        <item>间内</item>
      </candidateList>
      <explain/>
      <paraID>6944B48A</paraID>
      <start>181</start>
      <end>183</end>
      <status>modified</status>
      <modifiedWord>间内</modifiedWord>
      <trackRevisions>false</trackRevisions>
    </reviewItem>
    <reviewItem>
      <errorID>4821e313-447f-441c-8200-05893514e3f1</errorID>
      <errorWord>)</errorWord>
      <group>L1_Format</group>
      <groupName>格式问题</groupName>
      <ability>L2_HalfPunc</ability>
      <abilityName>全半角检查</abilityName>
      <candidateList>
        <item>）</item>
      </candidateList>
      <explain>文本全半角错误。</explain>
      <paraID>28C7542B</paraID>
      <start>19</start>
      <end>20</end>
      <status>modified</status>
      <modifiedWord>）</modifiedWord>
      <trackRevisions>false</trackRevisions>
    </reviewItem>
    <reviewItem>
      <errorID>5ea69eb9-b492-4e8a-8f21-c0ea60a428f1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8E1E756</paraID>
      <start>283</start>
      <end>284</end>
      <status>ignored</status>
      <modifiedWord/>
      <trackRevisions>false</trackRevisions>
    </reviewItem>
    <reviewItem>
      <errorID>74b6dea3-21e5-483f-b3ef-6f37f198cbf8</errorID>
      <errorWord>[2019]62号</errorWord>
      <group>L1_Knowledge</group>
      <groupName>知识性问题</groupName>
      <ability>L2_Knowledge</ability>
      <abilityName>其他知识</abilityName>
      <candidateList>
        <item>〔2019〕62号</item>
      </candidateList>
      <explain>发文字号格式错误。</explain>
      <paraID> 8E1E756</paraID>
      <start>365</start>
      <end>374</end>
      <status>modified</status>
      <modifiedWord>〔2019〕62号</modifiedWord>
      <trackRevisions>false</trackRevisions>
    </reviewItem>
    <reviewItem>
      <errorID>f8c4b3c3-abc6-4999-b077-92442fec06a0</errorID>
      <errorWord>[2023]54号</errorWord>
      <group>L1_Knowledge</group>
      <groupName>知识性问题</groupName>
      <ability>L2_Knowledge</ability>
      <abilityName>其他知识</abilityName>
      <candidateList>
        <item>〔2023〕54号</item>
      </candidateList>
      <explain>发文字号格式错误。</explain>
      <paraID> 8E1E756</paraID>
      <start>416</start>
      <end>425</end>
      <status>modified</status>
      <modifiedWord>〔2023〕54号</modifiedWord>
      <trackRevisions>false</trackRevisions>
    </reviewItem>
    <reviewItem>
      <errorID>2a94ec5a-b5ba-4dc5-a9e1-d2fb0592004a</errorID>
      <errorWord>间</errorWord>
      <group>L1_Word</group>
      <groupName>字词问题</groupName>
      <ability>L2_Typo</ability>
      <abilityName>字词错误</abilityName>
      <candidateList>
        <item>间内</item>
      </candidateList>
      <explain/>
      <paraID>2D3977E3</paraID>
      <start>183</start>
      <end>185</end>
      <status>modified</status>
      <modifiedWord>间内</modifiedWord>
      <trackRevisions>false</trackRevisions>
    </reviewItem>
    <reviewItem>
      <errorID>daac62ba-ca6f-4025-93a7-b1ba667f3404</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2A806978</paraID>
      <start>62</start>
      <end>63</end>
      <status>modified</status>
      <modifiedWord>或</modifiedWord>
      <trackRevisions>false</trackRevisions>
    </reviewItem>
    <reviewItem>
      <errorID>f5ff6e33-e6a5-4403-8c46-651263c264d6</errorID>
      <errorWord>有</errorWord>
      <group>L1_Word</group>
      <groupName>字词问题</groupName>
      <ability>L2_Typo</ability>
      <abilityName>字词错误</abilityName>
      <candidateList>
        <item>有良</item>
      </candidateList>
      <explain/>
      <paraID>5E199CEA</paraID>
      <start>31</start>
      <end>32</end>
      <status>ignored</status>
      <modifiedWord/>
      <trackRevisions>false</trackRevisions>
    </reviewItem>
    <reviewItem>
      <errorID>89130943-23ab-4f3d-805d-26f2dfec5cdb</errorID>
      <errorWord>，</errorWord>
      <group>L1_Word</group>
      <groupName>字词问题</groupName>
      <ability>L2_Typo</ability>
      <abilityName>字词错误</abilityName>
      <candidateList>
        <item>，具</item>
      </candidateList>
      <explain/>
      <paraID>64AA058F</paraID>
      <start>22</start>
      <end>23</end>
      <status>ignored</status>
      <modifiedWord/>
      <trackRevisions>false</trackRevisions>
    </reviewItem>
    <reviewItem>
      <errorID>f8d2cd70-74c9-4273-bb19-09d02467f756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4860075B</paraID>
      <start>29</start>
      <end>30</end>
      <status>ignored</status>
      <modifiedWord/>
      <trackRevisions>false</trackRevisions>
    </reviewItem>
    <reviewItem>
      <errorID>ebcb0c6f-dc4f-4eca-aaf0-f84018fdbb12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7F0967D3</paraID>
      <start>32</start>
      <end>33</end>
      <status>ignored</status>
      <modifiedWord/>
      <trackRevisions>false</trackRevisions>
    </reviewItem>
    <reviewItem>
      <errorID>615042f5-94d1-428d-9d2b-e5ec71f55535</errorID>
      <errorWord>委员会并</errorWord>
      <group>L1_Word</group>
      <groupName>字词问题</groupName>
      <ability>L2_Typo</ability>
      <abilityName>字词错误</abilityName>
      <candidateList>
        <item>委员会</item>
      </candidateList>
      <explain/>
      <paraID>600FC4D5</paraID>
      <start>5</start>
      <end>8</end>
      <status>modified</status>
      <modifiedWord>委员会</modifiedWord>
      <trackRevisions>false</trackRevisions>
    </reviewItem>
    <reviewItem>
      <errorID>fabfbe3d-0b62-4dc7-b940-4c2b83f83a4b</errorID>
      <errorWord>，</errorWord>
      <group>L1_Word</group>
      <groupName>字词问题</groupName>
      <ability>L2_Typo</ability>
      <abilityName>字词错误</abilityName>
      <candidateList>
        <item>，对</item>
      </candidateList>
      <explain/>
      <paraID>1CDEB526</paraID>
      <start>62</start>
      <end>64</end>
      <status>modified</status>
      <modifiedWord>，对</modifiedWord>
      <trackRevisions>false</trackRevisions>
    </reviewItem>
    <reviewItem>
      <errorID>8343a2d3-ca97-425f-955d-a2c24b0a5223</errorID>
      <errorWord>，</errorWord>
      <group>L1_Word</group>
      <groupName>字词问题</groupName>
      <ability>L2_Typo</ability>
      <abilityName>字词错误</abilityName>
      <candidateList>
        <item>，对</item>
      </candidateList>
      <explain/>
      <paraID>309D6B0E</paraID>
      <start>68</start>
      <end>70</end>
      <status>modified</status>
      <modifiedWord>，对</modifiedWord>
      <trackRevisions>false</trackRevisions>
    </reviewItem>
    <reviewItem>
      <errorID>e6815968-57cf-4692-ae93-536fdad2194d</errorID>
      <errorWord>项目中</errorWord>
      <group>L1_Word</group>
      <groupName>字词问题</groupName>
      <ability>L2_Typo</ability>
      <abilityName>字词错误</abilityName>
      <candidateList>
        <item>项目</item>
      </candidateList>
      <explain>〈名〉事物分成的门类：服务～｜体育～｜建设～。</explain>
      <paraID>7032D30A</paraID>
      <start>2</start>
      <end>4</end>
      <status>modified</status>
      <modifiedWord>项目</modifiedWord>
      <trackRevisions>false</trackRevisions>
    </reviewItem>
    <reviewItem>
      <errorID>8c19c0cb-f83d-4332-a78e-c49ff60f8ac6</errorID>
      <errorWord>支解</errorWord>
      <group>L1_Word</group>
      <groupName>字词问题</groupName>
      <ability>L2_Variant</ability>
      <abilityName>异形词</abilityName>
      <candidateList>
        <item>肢解</item>
      </candidateList>
      <explain>词汇[支解]的规范词形写作[肢解]。</explain>
      <paraID>1CC433DF</paraID>
      <start>31</start>
      <end>33</end>
      <status>modified</status>
      <modifiedWord>肢解</modifiedWord>
      <trackRevisions>false</trackRevisions>
    </reviewItem>
    <reviewItem>
      <errorID>3b0af980-e945-4e00-a27f-9f577a6cbef4</errorID>
      <errorWord>作</errorWord>
      <group>L1_Word</group>
      <groupName>字词问题</groupName>
      <ability>L2_Typo</ability>
      <abilityName>字词错误</abilityName>
      <candidateList>
        <item>做</item>
      </candidateList>
      <explain>存在发音相同字词的误用。</explain>
      <paraID>4FC9357C</paraID>
      <start>150</start>
      <end>151</end>
      <status>modified</status>
      <modifiedWord>做</modifiedWord>
      <trackRevisions>false</trackRevisions>
    </reviewItem>
    <reviewItem>
      <errorID>2f3e2d0a-3fbd-4546-933a-d855675da8ea</errorID>
      <errorWord>矫正</errorWord>
      <group>L1_Word</group>
      <groupName>字词问题</groupName>
      <ability>L2_Typo</ability>
      <abilityName>字词错误</abilityName>
      <candidateList>
        <item>校正</item>
      </candidateList>
      <explain/>
      <paraID> ACE83FC</paraID>
      <start>59</start>
      <end>61</end>
      <status>modified</status>
      <modifiedWord>校正</modifiedWord>
      <trackRevisions>false</trackRevisions>
    </reviewItem>
    <reviewItem>
      <errorID>eb2f3cbb-d1b4-4e12-aed7-a8a368eba8f5</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549E7702</paraID>
      <start>7</start>
      <end>8</end>
      <status>modified</status>
      <modifiedWord>对</modifiedWord>
      <trackRevisions>false</trackRevisions>
    </reviewItem>
    <reviewItem>
      <errorID>8dfe39a2-4818-4409-92d7-8e715f967742</errorID>
      <errorWord>共同协商</errorWord>
      <group>L1_Grammar</group>
      <groupName>语法问题</groupName>
      <ability>L2_Grammar</ability>
      <abilityName>语法错误</abilityName>
      <candidateList>
        <item>协商</item>
      </candidateList>
      <explain/>
      <paraID>2391FF6B</paraID>
      <start>32</start>
      <end>34</end>
      <status>modified</status>
      <modifiedWord>协商</modifiedWord>
      <trackRevisions>false</trackRevisions>
    </reviewItem>
    <reviewItem>
      <errorID>35824e1d-2b4f-42ac-8291-19a36fdf2843</errorID>
      <errorWord>共同协商</errorWord>
      <group>L1_Grammar</group>
      <groupName>语法问题</groupName>
      <ability>L2_Grammar</ability>
      <abilityName>语法错误</abilityName>
      <candidateList>
        <item>协商</item>
      </candidateList>
      <explain/>
      <paraID>39C3A39D</paraID>
      <start>31</start>
      <end>33</end>
      <status>modified</status>
      <modifiedWord>协商</modifiedWord>
      <trackRevisions>false</trackRevisions>
    </reviewItem>
    <reviewItem>
      <errorID>43848202-bbdc-4c4b-adac-397f6685da3e</errorID>
      <errorWord>限</errorWord>
      <group>L1_Word</group>
      <groupName>字词问题</groupName>
      <ability>L2_Typo</ability>
      <abilityName>字词错误</abilityName>
      <candidateList>
        <item>限内</item>
      </candidateList>
      <explain/>
      <paraID>61C226A8</paraID>
      <start>25</start>
      <end>27</end>
      <status>modified</status>
      <modifiedWord>限内</modifiedWord>
      <trackRevisions>false</trackRevisions>
    </reviewItem>
    <reviewItem>
      <errorID>83bc792f-955a-4856-b7db-8f3a45dfd295</errorID>
      <errorWord>松赔</errorWord>
      <group>L1_Word</group>
      <groupName>字词问题</groupName>
      <ability>L2_Typo</ability>
      <abilityName>字词错误</abilityName>
      <candidateList>
        <item>索赔</item>
      </candidateList>
      <explain/>
      <paraID>5A90C938</paraID>
      <start>93</start>
      <end>95</end>
      <status>modified</status>
      <modifiedWord>索赔</modifiedWord>
      <trackRevisions>false</trackRevisions>
    </reviewItem>
    <reviewItem>
      <errorID>7592bda7-ac8a-4a82-b58c-e0d3ceb98fbd</errorID>
      <errorWord>接受</errorWord>
      <group>L1_Word</group>
      <groupName>字词问题</groupName>
      <ability>L2_Typo</ability>
      <abilityName>字词错误</abilityName>
      <candidateList>
        <item>接收</item>
      </candidateList>
      <explain>存在发音相同字词的误用。</explain>
      <paraID>2B54626F</paraID>
      <start>7</start>
      <end>9</end>
      <status>modified</status>
      <modifiedWord>接收</modifiedWord>
      <trackRevisions>false</trackRevisions>
    </reviewItem>
    <reviewItem>
      <errorID>75da0067-4a0b-48a0-aeec-e2c4a80a04c0</errorID>
      <errorWord>成员的</errorWord>
      <group>L1_Word</group>
      <groupName>字词问题</groupName>
      <ability>L2_Typo</ability>
      <abilityName>字词错误</abilityName>
      <candidateList>
        <item>成员</item>
      </candidateList>
      <explain/>
      <paraID>3676A2A1</paraID>
      <start>6</start>
      <end>8</end>
      <status>modified</status>
      <modifiedWord>成员</modifiedWord>
      <trackRevisions>false</trackRevisions>
    </reviewItem>
    <reviewItem>
      <errorID>7ca6cc46-3b5c-4c06-b08f-708c386c24a9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241B8E4B</paraID>
      <start>115</start>
      <end>116</end>
      <status>ignored</status>
      <modifiedWord/>
      <trackRevisions>false</trackRevisions>
    </reviewItem>
    <reviewItem>
      <errorID>ead6f585-b6fd-4b63-8082-1f42ff8ed2bd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61E619C2</paraID>
      <start>0</start>
      <end>2</end>
      <status>modified</status>
      <modifiedWord>1.</modifiedWord>
      <trackRevisions>false</trackRevisions>
    </reviewItem>
    <reviewItem>
      <errorID>71a6de51-8c0c-409f-89bf-f792be4c5de4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45636325</paraID>
      <start>0</start>
      <end>2</end>
      <status>modified</status>
      <modifiedWord>2.</modifiedWord>
      <trackRevisions>false</trackRevisions>
    </reviewItem>
    <reviewItem>
      <errorID>4b2b3bcc-d27f-4f5a-88da-1642d84878b2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3028E045</paraID>
      <start>0</start>
      <end>2</end>
      <status>modified</status>
      <modifiedWord>3.</modifiedWord>
      <trackRevisions>false</trackRevisions>
    </reviewItem>
    <reviewItem>
      <errorID>3cc4bb75-e3d0-4bad-ab40-9f2a14ca757c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7E96A6FD</paraID>
      <start>0</start>
      <end>2</end>
      <status>modified</status>
      <modifiedWord>4.</modifiedWord>
      <trackRevisions>false</trackRevisions>
    </reviewItem>
    <reviewItem>
      <errorID>a2660958-100e-4a85-b322-48381d9f3f32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9B33F47</paraID>
      <start>0</start>
      <end>2</end>
      <status>modified</status>
      <modifiedWord>5.</modifiedWord>
      <trackRevisions>false</trackRevisions>
    </reviewItem>
    <reviewItem>
      <errorID>10a8683c-7e51-43cf-8414-64c5f9c3339b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43117404</paraID>
      <start>0</start>
      <end>2</end>
      <status>modified</status>
      <modifiedWord>6.</modifiedWord>
      <trackRevisions>false</trackRevisions>
    </reviewItem>
    <reviewItem>
      <errorID>b653b54f-df3e-4acd-946d-2bffd4f5417a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6786780</paraID>
      <start>0</start>
      <end>2</end>
      <status>modified</status>
      <modifiedWord>7.</modifiedWord>
      <trackRevisions>false</trackRevisions>
    </reviewItem>
    <reviewItem>
      <errorID>e1d3841e-1a0c-472c-b5b2-b5999148007e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58BA7CA6</paraID>
      <start>0</start>
      <end>2</end>
      <status>modified</status>
      <modifiedWord>8.</modifiedWord>
      <trackRevisions>false</trackRevisions>
    </reviewItem>
    <reviewItem>
      <errorID>a0e86658-076f-476a-8a4b-56bae55180ca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7BCE8BF4</paraID>
      <start>0</start>
      <end>2</end>
      <status>modified</status>
      <modifiedWord>9.</modifiedWord>
      <trackRevisions>false</trackRevisions>
    </reviewItem>
    <reviewItem>
      <errorID>02af64f2-4df1-4961-b75e-1db0af9ec514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4C2E0F08</paraID>
      <start>0</start>
      <end>3</end>
      <status>modified</status>
      <modifiedWord>10.</modifiedWord>
      <trackRevisions>false</trackRevisions>
    </reviewItem>
    <reviewItem>
      <errorID>47fa2978-c07c-4f64-b49b-889228932661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657BBD3F</paraID>
      <start>0</start>
      <end>3</end>
      <status>modified</status>
      <modifiedWord>11.</modifiedWord>
      <trackRevisions>false</trackRevisions>
    </reviewItem>
    <reviewItem>
      <errorID>82a83228-e32e-406e-bdb6-5d8b9893f5d1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3C071AF7</paraID>
      <start>0</start>
      <end>3</end>
      <status>modified</status>
      <modifiedWord>12.</modifiedWord>
      <trackRevisions>false</trackRevisions>
    </reviewItem>
    <reviewItem>
      <errorID>d49bf600-bc65-433c-adc0-402b4f0e858d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2386AE37</paraID>
      <start>0</start>
      <end>3</end>
      <status>modified</status>
      <modifiedWord>13.</modifiedWord>
      <trackRevisions>false</trackRevisions>
    </reviewItem>
    <reviewItem>
      <errorID>14e968d3-1c71-41fd-90e9-9055cefe442d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781EF31C</paraID>
      <start>0</start>
      <end>3</end>
      <status>modified</status>
      <modifiedWord>14.</modifiedWord>
      <trackRevisions>false</trackRevisions>
    </reviewItem>
    <reviewItem>
      <errorID>415f83dc-eb9d-4031-9ab4-051fa2651e31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6EEBE595</paraID>
      <start>0</start>
      <end>3</end>
      <status>modified</status>
      <modifiedWord>15.</modifiedWord>
      <trackRevisions>false</trackRevisions>
    </reviewItem>
    <reviewItem>
      <errorID>0860d114-4bc8-40c1-a309-714b1d0de330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25B2E8F1</paraID>
      <start>0</start>
      <end>3</end>
      <status>modified</status>
      <modifiedWord>16.</modifiedWord>
      <trackRevisions>false</trackRevisions>
    </reviewItem>
    <reviewItem>
      <errorID>887498b6-914e-489e-a279-5aa7ea4e7dac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2AC9769C</paraID>
      <start>0</start>
      <end>3</end>
      <status>modified</status>
      <modifiedWord>17.</modifiedWord>
      <trackRevisions>false</trackRevisions>
    </reviewItem>
    <reviewItem>
      <errorID>20386328-7bef-4e62-b531-1fb0257fe688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68CA42D</paraID>
      <start>0</start>
      <end>3</end>
      <status>modified</status>
      <modifiedWord>18.</modifiedWord>
      <trackRevisions>false</trackRevisions>
    </reviewItem>
    <reviewItem>
      <errorID>6762bb2d-24ec-4213-bd55-2b79c96224e5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15F57EF</paraID>
      <start>0</start>
      <end>3</end>
      <status>modified</status>
      <modifiedWord>19.</modifiedWord>
      <trackRevisions>false</trackRevisions>
    </reviewItem>
    <reviewItem>
      <errorID>b2716ff5-d5b1-4018-91fa-908e59105841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6AC55EF5</paraID>
      <start>0</start>
      <end>3</end>
      <status>modified</status>
      <modifiedWord>20.</modifiedWord>
      <trackRevisions>false</trackRevisions>
    </reviewItem>
    <reviewItem>
      <errorID>95220384-80bd-4cc0-bcad-79db8d146f04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43DB1C16</paraID>
      <start>0</start>
      <end>3</end>
      <status>modified</status>
      <modifiedWord>21.</modifiedWord>
      <trackRevisions>false</trackRevisions>
    </reviewItem>
    <reviewItem>
      <errorID>6ef51700-a275-4562-977c-d4fd6dc2d09c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1DFE4242</paraID>
      <start>0</start>
      <end>3</end>
      <status>modified</status>
      <modifiedWord>22.</modifiedWord>
      <trackRevisions>false</trackRevisions>
    </reviewItem>
    <reviewItem>
      <errorID>fd785b8d-0461-4b71-ae05-febe7284ad36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7373440C</paraID>
      <start>0</start>
      <end>3</end>
      <status>modified</status>
      <modifiedWord>23.</modifiedWord>
      <trackRevisions>false</trackRevisions>
    </reviewItem>
    <reviewItem>
      <errorID>ddb98089-5070-4c1a-aa33-244dc3b68f78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344127BE</paraID>
      <start>0</start>
      <end>3</end>
      <status>modified</status>
      <modifiedWord>24.</modifiedWord>
      <trackRevisions>false</trackRevisions>
    </reviewItem>
    <reviewItem>
      <errorID>ec60e1cc-e6e6-4944-84e0-6cd4824aea19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2A96657E</paraID>
      <start>0</start>
      <end>3</end>
      <status>modified</status>
      <modifiedWord>25.</modifiedWord>
      <trackRevisions>false</trackRevisions>
    </reviewItem>
    <reviewItem>
      <errorID>de046d32-a986-400c-b1ce-75c0034e9dab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7319F0F1</paraID>
      <start>0</start>
      <end>3</end>
      <status>modified</status>
      <modifiedWord>26.</modifiedWord>
      <trackRevisions>false</trackRevisions>
    </reviewItem>
    <reviewItem>
      <errorID>f60aa21f-1e07-4fd9-a358-22581935ce9c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2D37963B</paraID>
      <start>0</start>
      <end>3</end>
      <status>modified</status>
      <modifiedWord>27.</modifiedWord>
      <trackRevisions>false</trackRevisions>
    </reviewItem>
    <reviewItem>
      <errorID>269cf3c6-e2c7-4924-8dcd-080d33ca3edd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39850928</paraID>
      <start>0</start>
      <end>3</end>
      <status>modified</status>
      <modifiedWord>28.</modifiedWord>
      <trackRevisions>false</trackRevisions>
    </reviewItem>
    <reviewItem>
      <errorID>db9cf672-b331-4636-a63f-64e7eed1c690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47B186F6</paraID>
      <start>0</start>
      <end>3</end>
      <status>modified</status>
      <modifiedWord>29.</modifiedWord>
      <trackRevisions>false</trackRevisions>
    </reviewItem>
    <reviewItem>
      <errorID>66095a48-6db1-4e20-8896-d3779bd384c1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4021F7CB</paraID>
      <start>0</start>
      <end>3</end>
      <status>modified</status>
      <modifiedWord>30.</modifiedWord>
      <trackRevisions>false</trackRevisions>
    </reviewItem>
    <reviewItem>
      <errorID>63e24b18-72b8-4449-8019-38b9ea51ef0a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3B1AA5CF</paraID>
      <start>0</start>
      <end>3</end>
      <status>modified</status>
      <modifiedWord>31.</modifiedWord>
      <trackRevisions>false</trackRevisions>
    </reviewItem>
    <reviewItem>
      <errorID>b174a229-abc8-4527-a696-03d6807d7ed7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AA20D21</paraID>
      <start>0</start>
      <end>3</end>
      <status>modified</status>
      <modifiedWord>32.</modifiedWord>
      <trackRevisions>false</trackRevisions>
    </reviewItem>
    <reviewItem>
      <errorID>34a1bb08-5b3d-4663-a609-9e15762b8cad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5AE0A442</paraID>
      <start>0</start>
      <end>3</end>
      <status>modified</status>
      <modifiedWord>33.</modifiedWord>
      <trackRevisions>false</trackRevisions>
    </reviewItem>
    <reviewItem>
      <errorID>0b38320c-5315-4319-a2e8-3ff4d2f6a74d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33ABA5D9</paraID>
      <start>0</start>
      <end>3</end>
      <status>modified</status>
      <modifiedWord>34.</modifiedWord>
      <trackRevisions>false</trackRevisions>
    </reviewItem>
    <reviewItem>
      <errorID>2f23bc43-62d6-4ef2-9494-53315c5f6aca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24FA7D11</paraID>
      <start>0</start>
      <end>3</end>
      <status>modified</status>
      <modifiedWord>35.</modifiedWord>
      <trackRevisions>false</trackRevisions>
    </reviewItem>
    <reviewItem>
      <errorID>79ba96e0-d9b7-45fa-b33f-25b323badbb0</errorID>
      <errorWord>（</errorWord>
      <group>L1_Punc</group>
      <groupName>标点问题</groupName>
      <ability>L2_Punc</ability>
      <abilityName>标点符号检查</abilityName>
      <candidateList/>
      <explain>同一形式括号套用。</explain>
      <paraID>  7298DF</paraID>
      <start>55</start>
      <end>56</end>
      <status>ignored</status>
      <modifiedWord/>
      <trackRevisions>false</trackRevisions>
    </reviewItem>
    <reviewItem>
      <errorID>baad5416-8a7e-4a5e-b2f7-5dbbc760e972</errorID>
      <errorWord>）</errorWord>
      <group>L1_Punc</group>
      <groupName>标点问题</groupName>
      <ability>L2_Punc</ability>
      <abilityName>标点符号检查</abilityName>
      <candidateList/>
      <explain>同一形式括号套用。</explain>
      <paraID>  7298DF</paraID>
      <start>78</start>
      <end>79</end>
      <status>ignored</status>
      <modifiedWord/>
      <trackRevisions>false</trackRevisions>
    </reviewItem>
    <reviewItem>
      <errorID>ccc34679-7113-4585-b187-e8bc38fadddf</errorID>
      <errorWord>交存</errorWord>
      <group>L1_Word</group>
      <groupName>字词问题</groupName>
      <ability>L2_Typo</ability>
      <abilityName>字词错误</abilityName>
      <candidateList>
        <item>缴存</item>
      </candidateList>
      <explain/>
      <paraID>5481410A</paraID>
      <start>211</start>
      <end>213</end>
      <status>modified</status>
      <modifiedWord>缴存</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6674cd-cee7-4243-b38c-86bbaf582ace}">
  <ds:schemaRefs/>
</ds:datastoreItem>
</file>

<file path=docProps/app.xml><?xml version="1.0" encoding="utf-8"?>
<Properties xmlns="http://schemas.openxmlformats.org/officeDocument/2006/extended-properties" xmlns:vt="http://schemas.openxmlformats.org/officeDocument/2006/docPropsVTypes">
  <Template>Normal</Template>
  <Pages>189</Pages>
  <Words>18388</Words>
  <Characters>20071</Characters>
  <Lines>966</Lines>
  <Paragraphs>272</Paragraphs>
  <TotalTime>0</TotalTime>
  <ScaleCrop>false</ScaleCrop>
  <LinksUpToDate>false</LinksUpToDate>
  <CharactersWithSpaces>20298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2026-03-10T01:09:00Z</dcterms:created>
  <dc:creator>双柏县自然资源局</dc:creator>
  <cp:lastModifiedBy>2025-whj</cp:lastModifiedBy>
  <cp:lastPrinted>2025-10-24T02:45:00Z</cp:lastPrinted>
  <dcterms:modified xsi:type="dcterms:W3CDTF">2026-03-27T03:19:02Z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BEF18E95D720416C8BB03628548ECB43_13</vt:lpwstr>
  </property>
  <property fmtid="{D5CDD505-2E9C-101B-9397-08002B2CF9AE}" pid="3" name="KSOProductBuildVer">
    <vt:lpwstr>2052-12.1.0.25225</vt:lpwstr>
  </property>
  <property fmtid="{D5CDD505-2E9C-101B-9397-08002B2CF9AE}" pid="4" name="KSOTemplateDocerSaveRecord">
    <vt:lpwstr>eyJoZGlkIjoiNTk0NTlkZDViN2IxNzBjYzM5MGZkMWI1ZWE5ZjY5YTkiLCJ1c2VySWQiOiI0OTU5NTIifQ==</vt:lpwstr>
  </property>
</Properties>
</file>