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D15EBAB">
      <w:pPr>
        <w:spacing w:line="360" w:lineRule="auto"/>
        <w:jc w:val="center"/>
        <w:rPr>
          <w:rFonts w:hint="eastAsia" w:ascii="宋体" w:hAnsi="宋体"/>
          <w:sz w:val="100"/>
          <w:szCs w:val="32"/>
        </w:rPr>
      </w:pPr>
      <w:r>
        <w:rPr>
          <w:rFonts w:hint="eastAsia" w:hAnsi="宋体"/>
          <w:b/>
          <w:bCs/>
          <w:sz w:val="48"/>
          <w:szCs w:val="48"/>
          <w:lang w:eastAsia="zh-CN"/>
        </w:rPr>
        <w:t>云南省盐津县普洱集镇山洪沟治理工程</w:t>
      </w:r>
    </w:p>
    <w:p w14:paraId="1392171D">
      <w:pPr>
        <w:spacing w:line="360" w:lineRule="auto"/>
        <w:jc w:val="center"/>
        <w:rPr>
          <w:rFonts w:hint="eastAsia" w:ascii="宋体" w:hAnsi="宋体"/>
          <w:sz w:val="100"/>
          <w:szCs w:val="32"/>
        </w:rPr>
      </w:pPr>
    </w:p>
    <w:p w14:paraId="00D1E423">
      <w:pPr>
        <w:spacing w:line="360" w:lineRule="auto"/>
        <w:jc w:val="center"/>
        <w:rPr>
          <w:rFonts w:ascii="宋体" w:hAnsi="宋体"/>
          <w:sz w:val="100"/>
          <w:szCs w:val="32"/>
        </w:rPr>
      </w:pPr>
      <w:r>
        <w:rPr>
          <w:rFonts w:hint="eastAsia" w:ascii="宋体" w:hAnsi="宋体"/>
          <w:sz w:val="100"/>
          <w:szCs w:val="32"/>
        </w:rPr>
        <w:t>招 标 文 件</w:t>
      </w:r>
    </w:p>
    <w:p w14:paraId="6013B9E0">
      <w:pPr>
        <w:spacing w:line="360" w:lineRule="auto"/>
        <w:jc w:val="center"/>
        <w:rPr>
          <w:rFonts w:ascii="宋体" w:hAnsi="宋体"/>
          <w:sz w:val="28"/>
          <w:szCs w:val="32"/>
        </w:rPr>
      </w:pPr>
    </w:p>
    <w:p w14:paraId="1D757859">
      <w:pPr>
        <w:spacing w:line="360" w:lineRule="auto"/>
        <w:jc w:val="center"/>
        <w:rPr>
          <w:rFonts w:ascii="宋体" w:hAnsi="宋体"/>
          <w:sz w:val="28"/>
          <w:szCs w:val="32"/>
        </w:rPr>
      </w:pPr>
      <w:r>
        <w:rPr>
          <w:rFonts w:hint="eastAsia" w:ascii="宋体" w:hAnsi="宋体"/>
          <w:sz w:val="28"/>
          <w:szCs w:val="32"/>
        </w:rPr>
        <w:t>招标编号：</w:t>
      </w:r>
    </w:p>
    <w:p w14:paraId="136759F2">
      <w:pPr>
        <w:spacing w:line="360" w:lineRule="auto"/>
        <w:jc w:val="center"/>
        <w:rPr>
          <w:rFonts w:ascii="宋体" w:hAnsi="宋体"/>
          <w:sz w:val="28"/>
          <w:szCs w:val="32"/>
        </w:rPr>
      </w:pPr>
    </w:p>
    <w:p w14:paraId="5F753E6B">
      <w:pPr>
        <w:spacing w:line="360" w:lineRule="auto"/>
        <w:rPr>
          <w:rFonts w:ascii="宋体" w:hAnsi="宋体"/>
          <w:sz w:val="28"/>
          <w:szCs w:val="32"/>
        </w:rPr>
      </w:pPr>
    </w:p>
    <w:p w14:paraId="237F823A">
      <w:pPr>
        <w:spacing w:line="480" w:lineRule="auto"/>
        <w:ind w:firstLine="720" w:firstLineChars="200"/>
        <w:rPr>
          <w:rFonts w:hint="eastAsia" w:ascii="宋体" w:hAnsi="宋体"/>
          <w:bCs/>
          <w:sz w:val="36"/>
          <w:szCs w:val="36"/>
        </w:rPr>
      </w:pPr>
    </w:p>
    <w:p w14:paraId="506E56A3">
      <w:pPr>
        <w:spacing w:line="480" w:lineRule="auto"/>
        <w:ind w:firstLine="720" w:firstLineChars="200"/>
        <w:rPr>
          <w:rFonts w:hint="eastAsia" w:ascii="宋体" w:hAnsi="宋体"/>
          <w:bCs/>
          <w:sz w:val="36"/>
          <w:szCs w:val="36"/>
        </w:rPr>
      </w:pPr>
    </w:p>
    <w:p w14:paraId="0F743C69">
      <w:pPr>
        <w:spacing w:line="480" w:lineRule="auto"/>
        <w:ind w:firstLine="720" w:firstLineChars="200"/>
        <w:rPr>
          <w:rFonts w:hint="eastAsia" w:ascii="宋体" w:hAnsi="宋体" w:eastAsia="宋体"/>
          <w:bCs/>
          <w:sz w:val="32"/>
          <w:szCs w:val="32"/>
          <w:lang w:eastAsia="zh-CN"/>
        </w:rPr>
      </w:pPr>
      <w:r>
        <w:rPr>
          <w:rFonts w:hint="eastAsia" w:ascii="宋体" w:hAnsi="宋体"/>
          <w:bCs/>
          <w:sz w:val="36"/>
          <w:szCs w:val="36"/>
        </w:rPr>
        <w:t>招标人：</w:t>
      </w:r>
      <w:r>
        <w:rPr>
          <w:rFonts w:hint="eastAsia" w:ascii="宋体" w:hAnsi="宋体"/>
          <w:sz w:val="32"/>
          <w:szCs w:val="32"/>
          <w:u w:val="single"/>
          <w:lang w:eastAsia="zh-CN"/>
        </w:rPr>
        <w:t>盐津县江河治理工程管理局</w:t>
      </w:r>
    </w:p>
    <w:p w14:paraId="7F0B0DF9">
      <w:pPr>
        <w:spacing w:line="480" w:lineRule="auto"/>
        <w:ind w:firstLine="540" w:firstLineChars="150"/>
        <w:rPr>
          <w:rFonts w:hint="eastAsia" w:ascii="宋体" w:hAnsi="宋体" w:eastAsia="宋体"/>
          <w:bCs/>
          <w:sz w:val="32"/>
          <w:szCs w:val="32"/>
          <w:lang w:eastAsia="zh-CN"/>
        </w:rPr>
      </w:pPr>
      <w:r>
        <w:rPr>
          <w:rFonts w:hint="eastAsia" w:ascii="宋体" w:hAnsi="宋体"/>
          <w:bCs/>
          <w:sz w:val="36"/>
          <w:szCs w:val="36"/>
        </w:rPr>
        <w:t>招标代理机构：</w:t>
      </w:r>
      <w:r>
        <w:rPr>
          <w:rFonts w:hint="eastAsia" w:ascii="宋体" w:hAnsi="宋体"/>
          <w:sz w:val="32"/>
          <w:szCs w:val="32"/>
          <w:u w:val="single"/>
          <w:lang w:eastAsia="zh-CN"/>
        </w:rPr>
        <w:t>云南众创益工程项目管理有限公司</w:t>
      </w:r>
    </w:p>
    <w:p w14:paraId="4FABB84B">
      <w:pPr>
        <w:rPr>
          <w:rFonts w:ascii="宋体" w:hAnsi="宋体"/>
          <w:bCs/>
          <w:sz w:val="36"/>
          <w:szCs w:val="36"/>
        </w:rPr>
      </w:pPr>
    </w:p>
    <w:p w14:paraId="3FA6E56D">
      <w:pPr>
        <w:jc w:val="center"/>
        <w:rPr>
          <w:rFonts w:hint="default" w:ascii="宋体" w:hAnsi="宋体" w:eastAsia="宋体"/>
          <w:sz w:val="44"/>
          <w:szCs w:val="44"/>
          <w:lang w:val="en-US" w:eastAsia="zh-CN"/>
        </w:rPr>
      </w:pPr>
      <w:r>
        <w:rPr>
          <w:rFonts w:hint="eastAsia" w:ascii="宋体" w:hAnsi="宋体"/>
          <w:sz w:val="32"/>
          <w:szCs w:val="32"/>
        </w:rPr>
        <w:t xml:space="preserve">  202</w:t>
      </w:r>
      <w:r>
        <w:rPr>
          <w:rFonts w:hint="eastAsia" w:ascii="宋体" w:hAnsi="宋体"/>
          <w:sz w:val="32"/>
          <w:szCs w:val="32"/>
          <w:lang w:val="en-US" w:eastAsia="zh-CN"/>
        </w:rPr>
        <w:t>5</w:t>
      </w:r>
      <w:r>
        <w:rPr>
          <w:rFonts w:hint="eastAsia" w:ascii="宋体" w:hAnsi="宋体"/>
          <w:sz w:val="32"/>
          <w:szCs w:val="32"/>
        </w:rPr>
        <w:t xml:space="preserve">年 </w:t>
      </w:r>
      <w:r>
        <w:rPr>
          <w:rFonts w:hint="eastAsia" w:ascii="宋体" w:hAnsi="宋体"/>
          <w:sz w:val="32"/>
          <w:szCs w:val="32"/>
          <w:lang w:val="en-US" w:eastAsia="zh-CN"/>
        </w:rPr>
        <w:t>12</w:t>
      </w:r>
      <w:r>
        <w:rPr>
          <w:rFonts w:hint="eastAsia" w:ascii="宋体" w:hAnsi="宋体"/>
          <w:sz w:val="32"/>
          <w:szCs w:val="32"/>
        </w:rPr>
        <w:t>月</w:t>
      </w:r>
      <w:bookmarkStart w:id="0" w:name="_Toc97752010"/>
      <w:bookmarkStart w:id="1" w:name="_Toc85443474"/>
      <w:bookmarkStart w:id="2" w:name="_Toc45189776"/>
      <w:bookmarkStart w:id="3" w:name="_Toc42100811"/>
      <w:bookmarkStart w:id="4" w:name="_Toc3708"/>
      <w:bookmarkStart w:id="5" w:name="_Toc38873756"/>
    </w:p>
    <w:p w14:paraId="6F8F1A0F">
      <w:pPr>
        <w:rPr>
          <w:rFonts w:hint="eastAsia" w:ascii="宋体" w:hAnsi="宋体" w:eastAsia="宋体"/>
          <w:sz w:val="44"/>
          <w:szCs w:val="44"/>
        </w:rPr>
      </w:pPr>
      <w:r>
        <w:rPr>
          <w:rFonts w:hint="eastAsia" w:ascii="宋体" w:hAnsi="宋体" w:eastAsia="宋体"/>
          <w:sz w:val="44"/>
          <w:szCs w:val="44"/>
        </w:rPr>
        <w:br w:type="page"/>
      </w:r>
    </w:p>
    <w:p w14:paraId="693FA544">
      <w:pPr>
        <w:pStyle w:val="590"/>
        <w:spacing w:line="360" w:lineRule="auto"/>
        <w:rPr>
          <w:rFonts w:ascii="宋体" w:hAnsi="宋体" w:eastAsia="宋体"/>
          <w:sz w:val="44"/>
          <w:szCs w:val="44"/>
        </w:rPr>
      </w:pPr>
      <w:r>
        <w:rPr>
          <w:rFonts w:hint="eastAsia" w:ascii="宋体" w:hAnsi="宋体" w:eastAsia="宋体"/>
          <w:sz w:val="44"/>
          <w:szCs w:val="44"/>
        </w:rPr>
        <w:t>注意事项</w:t>
      </w:r>
      <w:bookmarkEnd w:id="0"/>
      <w:bookmarkEnd w:id="1"/>
      <w:bookmarkEnd w:id="2"/>
      <w:bookmarkEnd w:id="3"/>
      <w:bookmarkEnd w:id="4"/>
      <w:bookmarkEnd w:id="5"/>
    </w:p>
    <w:p w14:paraId="749CA8D5">
      <w:pPr>
        <w:spacing w:line="500" w:lineRule="exact"/>
        <w:ind w:firstLine="420" w:firstLineChars="200"/>
      </w:pPr>
      <w:r>
        <w:rPr>
          <w:rFonts w:hint="eastAsia"/>
        </w:rPr>
        <w:t>1、申请人原则上采用网上远程解密方式参与投标。如有特殊情况，也可以选择在投标文件递交截止时间前，持加密资投标文件的CA数字证书到招标公告中明确的开标地点进行现场解密，招标文件其他要求不变。如因申请人自身原因导致所递交的投标文件无法解密的，后果及责任由投标人自行负责。</w:t>
      </w:r>
    </w:p>
    <w:p w14:paraId="05851160">
      <w:pPr>
        <w:spacing w:line="500" w:lineRule="exact"/>
        <w:ind w:firstLine="420" w:firstLineChars="200"/>
      </w:pPr>
      <w:r>
        <w:rPr>
          <w:rFonts w:hint="eastAsia"/>
        </w:rPr>
        <w:t>2、针对网上远程解密方式开标的项目，申请人登录云南省公共资源交易信息网，按照《云南省公共资源交易电子化平台电子交易系统2.0培训教材》，在截标时间前提前进入到“网上开标室”，根据网上远程解密、开标要求，在下达投标文件解密指令后30分钟内完成远程解密、查看开标一览表和签名确认等相关操作。若投标人没有在规定时间完成以上相关操作，则视为其撤销投标文件，放弃投标。开标过程中如有疑问，可以在线提出异议，由代理机构（招标人）回复。在规定的签名确认时间内不进行开标一览表确认的，视为对开标结果无异议。</w:t>
      </w:r>
    </w:p>
    <w:p w14:paraId="3251F17F">
      <w:pPr>
        <w:spacing w:line="500" w:lineRule="exact"/>
        <w:ind w:firstLine="420" w:firstLineChars="200"/>
      </w:pPr>
      <w:r>
        <w:rPr>
          <w:rFonts w:hint="eastAsia"/>
        </w:rPr>
        <w:t>技术操作咨询：北京筑龙信息技术有限责任公司</w:t>
      </w:r>
    </w:p>
    <w:p w14:paraId="5BDAC9C6">
      <w:pPr>
        <w:spacing w:line="500" w:lineRule="exact"/>
        <w:ind w:firstLine="420" w:firstLineChars="200"/>
      </w:pPr>
      <w:r>
        <w:rPr>
          <w:rFonts w:hint="eastAsia"/>
        </w:rPr>
        <w:t>服务热线：</w:t>
      </w:r>
      <w:r>
        <w:t xml:space="preserve">0870-2221602 </w:t>
      </w:r>
    </w:p>
    <w:p w14:paraId="235CAFE4">
      <w:pPr>
        <w:spacing w:line="500" w:lineRule="exact"/>
        <w:ind w:firstLine="420" w:firstLineChars="200"/>
      </w:pPr>
      <w:r>
        <w:rPr>
          <w:rFonts w:hint="eastAsia"/>
        </w:rPr>
        <w:t>注：上传投标文件时加密使用的CA数字证书是开标时对投标文件进行解密的必要工具，否则将不能解密。因投标人自身原因导致所递交的投标文件无法解密、导入失败的，均视为其撤销投标文件，后果及责任由投标人自行承担。</w:t>
      </w:r>
    </w:p>
    <w:p w14:paraId="6D667336">
      <w:pPr>
        <w:spacing w:line="500" w:lineRule="exact"/>
        <w:ind w:firstLine="420" w:firstLineChars="200"/>
        <w:rPr>
          <w:rFonts w:ascii="宋体" w:hAnsi="宋体"/>
        </w:rPr>
      </w:pPr>
    </w:p>
    <w:p w14:paraId="70B50C7F"/>
    <w:p w14:paraId="51BCE491">
      <w:pPr>
        <w:rPr>
          <w:rFonts w:ascii="宋体" w:hAnsi="宋体"/>
        </w:rPr>
      </w:pPr>
    </w:p>
    <w:p w14:paraId="61821F16"/>
    <w:p w14:paraId="414804D4">
      <w:pPr>
        <w:rPr>
          <w:rFonts w:ascii="宋体" w:hAnsi="宋体"/>
        </w:rPr>
      </w:pPr>
    </w:p>
    <w:p w14:paraId="285B6D8F"/>
    <w:p w14:paraId="6D3C3516">
      <w:pPr>
        <w:spacing w:before="157" w:beforeLines="50" w:after="157" w:afterLines="50"/>
        <w:jc w:val="center"/>
        <w:rPr>
          <w:rFonts w:ascii="宋体" w:hAnsi="宋体"/>
        </w:rPr>
      </w:pPr>
    </w:p>
    <w:p w14:paraId="401B9484">
      <w:pPr>
        <w:spacing w:before="157" w:beforeLines="50" w:after="157" w:afterLines="50"/>
        <w:jc w:val="center"/>
        <w:rPr>
          <w:rFonts w:ascii="宋体" w:hAnsi="宋体"/>
        </w:rPr>
      </w:pPr>
    </w:p>
    <w:p w14:paraId="5C1F6996">
      <w:pPr>
        <w:spacing w:before="157" w:beforeLines="50" w:after="157" w:afterLines="50"/>
        <w:jc w:val="center"/>
        <w:rPr>
          <w:rFonts w:ascii="宋体" w:hAnsi="宋体"/>
        </w:rPr>
      </w:pPr>
    </w:p>
    <w:p w14:paraId="2EAA3D65"/>
    <w:p w14:paraId="6924DD06"/>
    <w:p w14:paraId="325E0A31">
      <w:pPr>
        <w:spacing w:before="157" w:beforeLines="50" w:after="157" w:afterLines="50"/>
        <w:jc w:val="center"/>
        <w:rPr>
          <w:rFonts w:ascii="宋体" w:hAnsi="宋体"/>
        </w:rPr>
      </w:pPr>
    </w:p>
    <w:p w14:paraId="777A7A4D">
      <w:pPr>
        <w:rPr>
          <w:rFonts w:ascii="宋体" w:hAnsi="宋体"/>
          <w:sz w:val="36"/>
          <w:szCs w:val="36"/>
        </w:rPr>
      </w:pPr>
    </w:p>
    <w:p w14:paraId="2E9709B6">
      <w:pPr>
        <w:rPr>
          <w:rFonts w:hint="eastAsia" w:ascii="宋体" w:hAnsi="宋体"/>
          <w:sz w:val="36"/>
          <w:szCs w:val="36"/>
        </w:rPr>
      </w:pPr>
      <w:r>
        <w:rPr>
          <w:rFonts w:hint="eastAsia" w:ascii="宋体" w:hAnsi="宋体"/>
          <w:sz w:val="36"/>
          <w:szCs w:val="36"/>
        </w:rPr>
        <w:br w:type="page"/>
      </w:r>
    </w:p>
    <w:p w14:paraId="0AA4DBE9">
      <w:pPr>
        <w:spacing w:before="157" w:beforeLines="50" w:after="157" w:afterLines="50"/>
        <w:jc w:val="center"/>
        <w:rPr>
          <w:rFonts w:ascii="宋体" w:hAnsi="宋体"/>
          <w:sz w:val="36"/>
          <w:szCs w:val="36"/>
        </w:rPr>
      </w:pPr>
      <w:r>
        <w:rPr>
          <w:rFonts w:hint="eastAsia" w:ascii="宋体" w:hAnsi="宋体"/>
          <w:sz w:val="36"/>
          <w:szCs w:val="36"/>
        </w:rPr>
        <w:t>电子投标文件编制及报送要求</w:t>
      </w:r>
    </w:p>
    <w:p w14:paraId="32914C21">
      <w:pPr>
        <w:spacing w:line="500" w:lineRule="exact"/>
        <w:ind w:firstLine="482"/>
        <w:rPr>
          <w:rFonts w:ascii="宋体" w:hAnsi="宋体" w:cs="Arial"/>
        </w:rPr>
      </w:pPr>
      <w:r>
        <w:rPr>
          <w:rFonts w:hint="eastAsia" w:ascii="宋体" w:hAnsi="宋体" w:cs="Arial"/>
        </w:rPr>
        <w:t>1、电子投标文件的制作应使用《云南省工程建设模块化投标文件编制系统》，生成电子签名的投标文件，格式为*.</w:t>
      </w:r>
      <w:r>
        <w:rPr>
          <w:rFonts w:ascii="宋体" w:hAnsi="宋体"/>
        </w:rPr>
        <w:t xml:space="preserve"> </w:t>
      </w:r>
      <w:r>
        <w:rPr>
          <w:rFonts w:ascii="宋体" w:hAnsi="宋体" w:cs="Arial"/>
        </w:rPr>
        <w:t>*.BTBJ</w:t>
      </w:r>
      <w:r>
        <w:rPr>
          <w:rFonts w:hint="eastAsia" w:ascii="宋体" w:hAnsi="宋体" w:cs="Arial"/>
        </w:rPr>
        <w:t>（此文件须网上递交）。</w:t>
      </w:r>
    </w:p>
    <w:p w14:paraId="5AB91F8B">
      <w:pPr>
        <w:spacing w:line="500" w:lineRule="exact"/>
        <w:ind w:firstLine="482"/>
        <w:rPr>
          <w:rFonts w:ascii="宋体" w:hAnsi="宋体" w:cs="Arial"/>
        </w:rPr>
      </w:pPr>
      <w:r>
        <w:rPr>
          <w:rFonts w:hint="eastAsia" w:ascii="宋体" w:hAnsi="宋体" w:cs="Arial"/>
        </w:rPr>
        <w:t>2、《云南省工程建设模块化投标文件编制系统》提供数字证书（CA）对投标文件进行加密功能。投标人对网上递交的投标文件应加密，如果投标人使用某个数字证书（CA）对投标文件进行了数字证书（CA）加密，需要在开标会上使用该数字证书（CA）进行远程解密，才能读取或导入投标文件，因投标人原因造成投标文件未解密的，视为撤回其投标文件。</w:t>
      </w:r>
    </w:p>
    <w:p w14:paraId="44B5CBED">
      <w:pPr>
        <w:spacing w:line="500" w:lineRule="exact"/>
        <w:ind w:firstLine="482"/>
        <w:rPr>
          <w:rFonts w:ascii="宋体" w:hAnsi="宋体" w:cs="Arial"/>
        </w:rPr>
      </w:pPr>
      <w:r>
        <w:rPr>
          <w:rFonts w:hint="eastAsia" w:ascii="宋体" w:hAnsi="宋体" w:cs="Arial"/>
        </w:rPr>
        <w:t>3、网上递交投标文件应根据招标文件要求，在投标截止时间前将电子投标文件通过云南省公共资源交易信息网（网址：https://ggzy.yn.gov.cn/）上传至指定的开标项目，并打印“网上递交投标文件回执”，以表明上传成功。同时，应自行核验下载上传成功的投标文件，并进行查看和解密以确保上传投标文件的正确性。</w:t>
      </w:r>
    </w:p>
    <w:p w14:paraId="69BEACC0">
      <w:pPr>
        <w:spacing w:line="500" w:lineRule="exact"/>
        <w:ind w:firstLine="482"/>
        <w:rPr>
          <w:rFonts w:ascii="宋体" w:hAnsi="宋体" w:cs="宋体"/>
          <w:kern w:val="1"/>
        </w:rPr>
      </w:pPr>
      <w:r>
        <w:rPr>
          <w:rFonts w:ascii="宋体" w:hAnsi="宋体" w:cs="Arial"/>
        </w:rPr>
        <w:t>4</w:t>
      </w:r>
      <w:r>
        <w:rPr>
          <w:rFonts w:hint="eastAsia" w:ascii="宋体" w:hAnsi="宋体" w:cs="Arial"/>
        </w:rPr>
        <w:t>、投标人投标时，须按本附件“电子投标文件编制及报送要求”规定编制及网上递交电子投标文件，如果投标人没有按规定网上递交电子投标文件，视为投标无效，现场光盘不再接收。</w:t>
      </w:r>
    </w:p>
    <w:p w14:paraId="2D3D75C1">
      <w:pPr>
        <w:spacing w:line="500" w:lineRule="exact"/>
        <w:ind w:firstLine="482"/>
        <w:rPr>
          <w:rFonts w:ascii="宋体" w:hAnsi="宋体" w:cs="宋体"/>
          <w:kern w:val="1"/>
        </w:rPr>
      </w:pPr>
      <w:r>
        <w:rPr>
          <w:rFonts w:ascii="宋体" w:hAnsi="宋体" w:cs="宋体"/>
          <w:kern w:val="1"/>
        </w:rPr>
        <w:t>5</w:t>
      </w:r>
      <w:r>
        <w:rPr>
          <w:rFonts w:hint="eastAsia" w:ascii="宋体" w:hAnsi="宋体" w:cs="宋体"/>
          <w:kern w:val="1"/>
        </w:rPr>
        <w:t>、该投标文件制作及报送要求如果与招标文件规定不一致，以此投标文件制作及报送要求为准。</w:t>
      </w:r>
    </w:p>
    <w:p w14:paraId="583B706E">
      <w:pPr>
        <w:spacing w:line="500" w:lineRule="exact"/>
        <w:ind w:firstLine="482"/>
        <w:rPr>
          <w:rFonts w:ascii="宋体" w:hAnsi="宋体" w:cs="宋体"/>
          <w:kern w:val="1"/>
        </w:rPr>
      </w:pPr>
      <w:r>
        <w:rPr>
          <w:rFonts w:ascii="宋体" w:hAnsi="宋体" w:cs="宋体"/>
          <w:kern w:val="1"/>
        </w:rPr>
        <w:t>6</w:t>
      </w:r>
      <w:r>
        <w:rPr>
          <w:rFonts w:hint="eastAsia" w:ascii="宋体" w:hAnsi="宋体" w:cs="宋体"/>
          <w:kern w:val="1"/>
        </w:rPr>
        <w:t>、在编制技术标投标文件时，粘贴图片使用JPG格式的文件，并且每张图片的分辩率应小于100dpi。</w:t>
      </w:r>
    </w:p>
    <w:p w14:paraId="19851DD6">
      <w:pPr>
        <w:pStyle w:val="62"/>
      </w:pPr>
    </w:p>
    <w:p w14:paraId="1B9AED0F"/>
    <w:p w14:paraId="3F49F745">
      <w:pPr>
        <w:pStyle w:val="62"/>
      </w:pPr>
    </w:p>
    <w:p w14:paraId="02AC2C53"/>
    <w:p w14:paraId="55AA9702">
      <w:pPr>
        <w:pStyle w:val="62"/>
      </w:pPr>
    </w:p>
    <w:p w14:paraId="4D99B367"/>
    <w:p w14:paraId="68699F7F">
      <w:pPr>
        <w:pStyle w:val="62"/>
      </w:pPr>
    </w:p>
    <w:p w14:paraId="56E42836"/>
    <w:p w14:paraId="66686398">
      <w:pPr>
        <w:pStyle w:val="62"/>
        <w:ind w:left="0"/>
        <w:sectPr>
          <w:headerReference r:id="rId3" w:type="default"/>
          <w:footerReference r:id="rId5" w:type="default"/>
          <w:headerReference r:id="rId4" w:type="even"/>
          <w:footerReference r:id="rId6" w:type="even"/>
          <w:pgSz w:w="11906" w:h="16838"/>
          <w:pgMar w:top="1191" w:right="1020" w:bottom="1191" w:left="1077" w:header="851" w:footer="851" w:gutter="0"/>
          <w:pgNumType w:fmt="decimal" w:start="0"/>
          <w:cols w:space="720" w:num="1"/>
          <w:titlePg/>
          <w:docGrid w:type="lines" w:linePitch="314" w:charSpace="0"/>
        </w:sectPr>
      </w:pPr>
    </w:p>
    <w:p w14:paraId="455148F3">
      <w:pPr>
        <w:spacing w:line="540" w:lineRule="exact"/>
        <w:jc w:val="center"/>
        <w:rPr>
          <w:rFonts w:ascii="宋体" w:hAnsi="宋体"/>
          <w:b/>
          <w:sz w:val="44"/>
          <w:szCs w:val="44"/>
        </w:rPr>
      </w:pPr>
      <w:r>
        <w:rPr>
          <w:rFonts w:hint="eastAsia" w:ascii="宋体" w:hAnsi="宋体"/>
          <w:b/>
          <w:sz w:val="44"/>
          <w:szCs w:val="44"/>
        </w:rPr>
        <w:t>目  录</w:t>
      </w:r>
    </w:p>
    <w:p w14:paraId="77C2ECD7">
      <w:pPr>
        <w:pStyle w:val="62"/>
        <w:rPr>
          <w:rFonts w:ascii="宋体" w:hAnsi="宋体"/>
          <w:sz w:val="24"/>
        </w:rPr>
      </w:pPr>
      <w:r>
        <w:rPr>
          <w:rFonts w:hint="eastAsia" w:ascii="宋体" w:hAnsi="宋体"/>
          <w:sz w:val="24"/>
          <w:szCs w:val="24"/>
        </w:rPr>
        <w:t xml:space="preserve">  </w:t>
      </w:r>
      <w:r>
        <w:rPr>
          <w:rFonts w:ascii="宋体" w:hAnsi="宋体"/>
          <w:sz w:val="24"/>
          <w:szCs w:val="24"/>
        </w:rPr>
        <w:fldChar w:fldCharType="begin"/>
      </w:r>
      <w:r>
        <w:rPr>
          <w:rFonts w:ascii="宋体" w:hAnsi="宋体"/>
          <w:sz w:val="24"/>
          <w:szCs w:val="24"/>
        </w:rPr>
        <w:instrText xml:space="preserve"> TOC \o "1-3" \h \z \u </w:instrText>
      </w:r>
      <w:r>
        <w:rPr>
          <w:rFonts w:ascii="宋体" w:hAnsi="宋体"/>
          <w:sz w:val="24"/>
          <w:szCs w:val="24"/>
        </w:rPr>
        <w:fldChar w:fldCharType="separate"/>
      </w:r>
    </w:p>
    <w:p w14:paraId="228508E9">
      <w:pPr>
        <w:pStyle w:val="49"/>
        <w:tabs>
          <w:tab w:val="right" w:leader="dot" w:pos="9411"/>
          <w:tab w:val="clear" w:pos="9540"/>
        </w:tabs>
        <w:spacing w:before="480" w:after="480" w:line="480" w:lineRule="auto"/>
        <w:rPr>
          <w:sz w:val="32"/>
          <w:szCs w:val="32"/>
        </w:rPr>
      </w:pPr>
      <w:r>
        <w:fldChar w:fldCharType="begin"/>
      </w:r>
      <w:r>
        <w:instrText xml:space="preserve"> HYPERLINK \l "_Toc18996" </w:instrText>
      </w:r>
      <w:r>
        <w:fldChar w:fldCharType="separate"/>
      </w:r>
      <w:r>
        <w:rPr>
          <w:rFonts w:hint="eastAsia" w:hAnsi="宋体"/>
          <w:sz w:val="32"/>
          <w:szCs w:val="52"/>
        </w:rPr>
        <w:t xml:space="preserve">第一章 </w:t>
      </w:r>
      <w:r>
        <w:rPr>
          <w:rFonts w:hint="eastAsia" w:hAnsi="宋体"/>
          <w:sz w:val="28"/>
          <w:szCs w:val="28"/>
        </w:rPr>
        <w:t>招标公告</w:t>
      </w:r>
      <w:r>
        <w:rPr>
          <w:sz w:val="32"/>
          <w:szCs w:val="32"/>
        </w:rPr>
        <w:tab/>
      </w:r>
      <w:r>
        <w:rPr>
          <w:rFonts w:hint="eastAsia"/>
          <w:sz w:val="32"/>
          <w:szCs w:val="32"/>
          <w:lang w:val="en-US" w:eastAsia="zh-CN"/>
        </w:rPr>
        <w:t>1</w:t>
      </w:r>
      <w:r>
        <w:rPr>
          <w:rFonts w:hint="eastAsia"/>
          <w:sz w:val="32"/>
          <w:szCs w:val="32"/>
          <w:lang w:val="en-US" w:eastAsia="zh-CN"/>
        </w:rPr>
        <w:fldChar w:fldCharType="end"/>
      </w:r>
    </w:p>
    <w:p w14:paraId="6B60A2C3">
      <w:pPr>
        <w:pStyle w:val="49"/>
        <w:tabs>
          <w:tab w:val="right" w:leader="dot" w:pos="9411"/>
          <w:tab w:val="clear" w:pos="9540"/>
        </w:tabs>
        <w:spacing w:before="480" w:after="480" w:line="480" w:lineRule="auto"/>
        <w:rPr>
          <w:sz w:val="32"/>
          <w:szCs w:val="32"/>
        </w:rPr>
      </w:pPr>
      <w:r>
        <w:fldChar w:fldCharType="begin"/>
      </w:r>
      <w:r>
        <w:instrText xml:space="preserve"> HYPERLINK \l "_Toc32116" </w:instrText>
      </w:r>
      <w:r>
        <w:fldChar w:fldCharType="separate"/>
      </w:r>
      <w:r>
        <w:rPr>
          <w:rFonts w:hint="eastAsia" w:hAnsi="宋体"/>
          <w:sz w:val="32"/>
          <w:szCs w:val="32"/>
        </w:rPr>
        <w:t>第二章 投</w:t>
      </w:r>
      <w:r>
        <w:rPr>
          <w:rFonts w:hint="eastAsia" w:hAnsi="宋体"/>
          <w:bCs w:val="0"/>
          <w:sz w:val="32"/>
          <w:szCs w:val="32"/>
        </w:rPr>
        <w:t>标须知及投标须知前附表</w:t>
      </w:r>
      <w:r>
        <w:rPr>
          <w:sz w:val="32"/>
          <w:szCs w:val="32"/>
        </w:rPr>
        <w:tab/>
      </w:r>
      <w:r>
        <w:rPr>
          <w:rFonts w:hint="eastAsia"/>
          <w:sz w:val="32"/>
          <w:szCs w:val="32"/>
          <w:lang w:val="en-US" w:eastAsia="zh-CN"/>
        </w:rPr>
        <w:t>8</w:t>
      </w:r>
      <w:r>
        <w:rPr>
          <w:rFonts w:hint="eastAsia"/>
          <w:sz w:val="32"/>
          <w:szCs w:val="32"/>
          <w:lang w:val="en-US" w:eastAsia="zh-CN"/>
        </w:rPr>
        <w:fldChar w:fldCharType="end"/>
      </w:r>
    </w:p>
    <w:p w14:paraId="24F2F218">
      <w:pPr>
        <w:pStyle w:val="49"/>
        <w:tabs>
          <w:tab w:val="right" w:leader="dot" w:pos="9411"/>
          <w:tab w:val="clear" w:pos="9540"/>
        </w:tabs>
        <w:spacing w:before="480" w:after="480" w:line="480" w:lineRule="auto"/>
        <w:rPr>
          <w:rFonts w:hint="eastAsia" w:eastAsia="宋体"/>
          <w:sz w:val="32"/>
          <w:szCs w:val="32"/>
          <w:lang w:eastAsia="zh-CN"/>
        </w:rPr>
      </w:pPr>
      <w:r>
        <w:fldChar w:fldCharType="begin"/>
      </w:r>
      <w:r>
        <w:instrText xml:space="preserve"> HYPERLINK \l "_Toc31245" </w:instrText>
      </w:r>
      <w:r>
        <w:fldChar w:fldCharType="separate"/>
      </w:r>
      <w:r>
        <w:rPr>
          <w:rFonts w:hint="eastAsia" w:hAnsi="宋体"/>
          <w:bCs w:val="0"/>
          <w:sz w:val="32"/>
          <w:szCs w:val="32"/>
        </w:rPr>
        <w:t>第三章 评标办法（综合评估法）</w:t>
      </w:r>
      <w:r>
        <w:rPr>
          <w:sz w:val="32"/>
          <w:szCs w:val="32"/>
        </w:rPr>
        <w:tab/>
      </w:r>
      <w:r>
        <w:rPr>
          <w:rFonts w:hint="eastAsia"/>
          <w:sz w:val="32"/>
          <w:szCs w:val="32"/>
        </w:rPr>
        <w:t>2</w:t>
      </w:r>
      <w:r>
        <w:rPr>
          <w:rFonts w:hint="eastAsia"/>
          <w:sz w:val="32"/>
          <w:szCs w:val="32"/>
        </w:rPr>
        <w:fldChar w:fldCharType="end"/>
      </w:r>
      <w:r>
        <w:rPr>
          <w:rFonts w:hint="eastAsia"/>
          <w:sz w:val="32"/>
          <w:szCs w:val="32"/>
          <w:lang w:val="en-US" w:eastAsia="zh-CN"/>
        </w:rPr>
        <w:t>9</w:t>
      </w:r>
    </w:p>
    <w:p w14:paraId="29BB2A74">
      <w:pPr>
        <w:pStyle w:val="49"/>
        <w:tabs>
          <w:tab w:val="right" w:leader="dot" w:pos="9411"/>
          <w:tab w:val="clear" w:pos="9540"/>
        </w:tabs>
        <w:spacing w:before="480" w:after="480" w:line="480" w:lineRule="auto"/>
        <w:rPr>
          <w:sz w:val="32"/>
          <w:szCs w:val="32"/>
        </w:rPr>
      </w:pPr>
      <w:r>
        <w:fldChar w:fldCharType="begin"/>
      </w:r>
      <w:r>
        <w:instrText xml:space="preserve"> HYPERLINK \l "_Toc10345" </w:instrText>
      </w:r>
      <w:r>
        <w:fldChar w:fldCharType="separate"/>
      </w:r>
      <w:r>
        <w:rPr>
          <w:rFonts w:hint="eastAsia" w:hAnsi="宋体"/>
          <w:bCs w:val="0"/>
          <w:sz w:val="32"/>
          <w:szCs w:val="32"/>
        </w:rPr>
        <w:t>第四章 合同条款及格式</w:t>
      </w:r>
      <w:r>
        <w:rPr>
          <w:sz w:val="32"/>
          <w:szCs w:val="32"/>
        </w:rPr>
        <w:tab/>
      </w:r>
      <w:r>
        <w:rPr>
          <w:sz w:val="32"/>
          <w:szCs w:val="32"/>
        </w:rPr>
        <w:fldChar w:fldCharType="begin"/>
      </w:r>
      <w:r>
        <w:rPr>
          <w:sz w:val="32"/>
          <w:szCs w:val="32"/>
        </w:rPr>
        <w:instrText xml:space="preserve"> PAGEREF _Toc10345 \h </w:instrText>
      </w:r>
      <w:r>
        <w:rPr>
          <w:sz w:val="32"/>
          <w:szCs w:val="32"/>
        </w:rPr>
        <w:fldChar w:fldCharType="separate"/>
      </w:r>
      <w:r>
        <w:rPr>
          <w:sz w:val="32"/>
          <w:szCs w:val="32"/>
        </w:rPr>
        <w:t>36</w:t>
      </w:r>
      <w:r>
        <w:rPr>
          <w:sz w:val="32"/>
          <w:szCs w:val="32"/>
        </w:rPr>
        <w:fldChar w:fldCharType="end"/>
      </w:r>
      <w:r>
        <w:rPr>
          <w:sz w:val="32"/>
          <w:szCs w:val="32"/>
        </w:rPr>
        <w:fldChar w:fldCharType="end"/>
      </w:r>
    </w:p>
    <w:p w14:paraId="496885EE">
      <w:pPr>
        <w:pStyle w:val="49"/>
        <w:tabs>
          <w:tab w:val="right" w:leader="dot" w:pos="9411"/>
          <w:tab w:val="clear" w:pos="9540"/>
        </w:tabs>
        <w:spacing w:before="480" w:after="480" w:line="480" w:lineRule="auto"/>
        <w:rPr>
          <w:rFonts w:hint="eastAsia" w:eastAsia="宋体"/>
          <w:sz w:val="32"/>
          <w:szCs w:val="32"/>
          <w:lang w:val="en-US" w:eastAsia="zh-CN"/>
        </w:rPr>
      </w:pPr>
      <w:r>
        <w:fldChar w:fldCharType="begin"/>
      </w:r>
      <w:r>
        <w:instrText xml:space="preserve"> HYPERLINK \l "_Toc7838" </w:instrText>
      </w:r>
      <w:r>
        <w:fldChar w:fldCharType="separate"/>
      </w:r>
      <w:r>
        <w:rPr>
          <w:rFonts w:hint="eastAsia" w:hAnsi="宋体"/>
          <w:bCs w:val="0"/>
          <w:sz w:val="32"/>
          <w:szCs w:val="32"/>
        </w:rPr>
        <w:t>第五章 投标文件</w:t>
      </w:r>
      <w:r>
        <w:rPr>
          <w:rFonts w:hAnsi="宋体"/>
          <w:bCs w:val="0"/>
          <w:sz w:val="32"/>
          <w:szCs w:val="32"/>
        </w:rPr>
        <w:t>格式</w:t>
      </w:r>
      <w:r>
        <w:rPr>
          <w:sz w:val="32"/>
          <w:szCs w:val="32"/>
        </w:rPr>
        <w:tab/>
      </w:r>
      <w:r>
        <w:rPr>
          <w:sz w:val="32"/>
          <w:szCs w:val="32"/>
        </w:rPr>
        <w:fldChar w:fldCharType="end"/>
      </w:r>
      <w:r>
        <w:rPr>
          <w:rFonts w:hint="eastAsia"/>
          <w:sz w:val="32"/>
          <w:szCs w:val="32"/>
          <w:lang w:val="en-US" w:eastAsia="zh-CN"/>
        </w:rPr>
        <w:t>125</w:t>
      </w:r>
    </w:p>
    <w:p w14:paraId="64A845F1">
      <w:pPr>
        <w:pStyle w:val="62"/>
        <w:tabs>
          <w:tab w:val="right" w:leader="dot" w:pos="9411"/>
          <w:tab w:val="clear" w:pos="9540"/>
        </w:tabs>
      </w:pPr>
    </w:p>
    <w:p w14:paraId="4E50A37F">
      <w:pPr>
        <w:pStyle w:val="49"/>
        <w:spacing w:line="440" w:lineRule="exact"/>
        <w:ind w:firstLine="482" w:firstLineChars="200"/>
        <w:rPr>
          <w:rFonts w:ascii="宋体" w:hAnsi="宋体"/>
        </w:rPr>
        <w:sectPr>
          <w:footerReference r:id="rId7" w:type="default"/>
          <w:footerReference r:id="rId8" w:type="even"/>
          <w:pgSz w:w="11906" w:h="16838"/>
          <w:pgMar w:top="1191" w:right="1191" w:bottom="1191" w:left="1304" w:header="851" w:footer="851" w:gutter="0"/>
          <w:pgNumType w:fmt="decimal"/>
          <w:cols w:space="720" w:num="1"/>
          <w:docGrid w:type="lines" w:linePitch="314" w:charSpace="0"/>
        </w:sectPr>
      </w:pPr>
      <w:r>
        <w:rPr>
          <w:rFonts w:ascii="宋体" w:hAnsi="宋体"/>
          <w:sz w:val="24"/>
        </w:rPr>
        <w:fldChar w:fldCharType="end"/>
      </w:r>
    </w:p>
    <w:p w14:paraId="35B01D6D">
      <w:pPr>
        <w:pStyle w:val="4"/>
        <w:numPr>
          <w:ilvl w:val="0"/>
          <w:numId w:val="0"/>
        </w:numPr>
        <w:spacing w:before="312" w:after="312"/>
        <w:ind w:left="228" w:leftChars="0"/>
        <w:jc w:val="center"/>
        <w:rPr>
          <w:rFonts w:hint="eastAsia" w:hAnsi="宋体"/>
          <w:sz w:val="32"/>
          <w:szCs w:val="32"/>
        </w:rPr>
      </w:pPr>
      <w:bookmarkStart w:id="6" w:name="_Toc18996"/>
      <w:bookmarkStart w:id="7" w:name="_Hlk525828275"/>
      <w:bookmarkStart w:id="8" w:name="_Hlk47531578"/>
      <w:bookmarkStart w:id="9" w:name="_Toc306981297"/>
      <w:bookmarkStart w:id="10" w:name="_Toc32116"/>
      <w:bookmarkStart w:id="11" w:name="_Toc310437961"/>
      <w:r>
        <w:rPr>
          <w:rFonts w:hint="eastAsia" w:hAnsi="宋体"/>
          <w:sz w:val="32"/>
          <w:szCs w:val="32"/>
          <w:lang w:val="en-US" w:eastAsia="zh-CN"/>
        </w:rPr>
        <w:t xml:space="preserve">第一章 </w:t>
      </w:r>
      <w:r>
        <w:rPr>
          <w:rFonts w:hint="eastAsia" w:hAnsi="宋体"/>
          <w:sz w:val="32"/>
          <w:szCs w:val="32"/>
          <w:lang w:eastAsia="zh-CN"/>
        </w:rPr>
        <w:t>云南省盐津县普洱集镇山洪沟治理工程</w:t>
      </w:r>
      <w:r>
        <w:rPr>
          <w:rFonts w:hint="eastAsia" w:hAnsi="宋体"/>
          <w:sz w:val="32"/>
          <w:szCs w:val="32"/>
        </w:rPr>
        <w:t>招标公告</w:t>
      </w:r>
      <w:bookmarkEnd w:id="6"/>
    </w:p>
    <w:p w14:paraId="7F5483F8"/>
    <w:p w14:paraId="1D064DFF">
      <w:pPr>
        <w:ind w:left="228"/>
      </w:pPr>
    </w:p>
    <w:bookmarkEnd w:id="7"/>
    <w:bookmarkEnd w:id="8"/>
    <w:p w14:paraId="08AD511F">
      <w:pPr>
        <w:pStyle w:val="387"/>
        <w:snapToGrid w:val="0"/>
        <w:spacing w:line="360" w:lineRule="auto"/>
        <w:ind w:firstLine="422" w:firstLineChars="200"/>
        <w:rPr>
          <w:rFonts w:ascii="宋体" w:hAnsi="宋体"/>
          <w:b/>
          <w:bCs/>
        </w:rPr>
      </w:pPr>
      <w:bookmarkStart w:id="12" w:name="_Hlk114834834"/>
      <w:bookmarkStart w:id="13" w:name="_Hlk85469975"/>
      <w:r>
        <w:rPr>
          <w:rFonts w:ascii="宋体" w:hAnsi="宋体"/>
          <w:b/>
          <w:bCs/>
        </w:rPr>
        <w:t>1.</w:t>
      </w:r>
      <w:r>
        <w:rPr>
          <w:rFonts w:hint="eastAsia" w:ascii="宋体" w:hAnsi="宋体"/>
          <w:b/>
          <w:bCs/>
        </w:rPr>
        <w:t>招标条件</w:t>
      </w:r>
    </w:p>
    <w:p w14:paraId="6ECB9B35">
      <w:pPr>
        <w:pStyle w:val="387"/>
        <w:snapToGrid w:val="0"/>
        <w:spacing w:line="360" w:lineRule="auto"/>
        <w:ind w:firstLine="420" w:firstLineChars="200"/>
        <w:rPr>
          <w:rFonts w:hint="eastAsia" w:ascii="宋体" w:hAnsi="宋体"/>
          <w:b w:val="0"/>
          <w:bCs w:val="0"/>
        </w:rPr>
      </w:pPr>
      <w:r>
        <w:rPr>
          <w:rFonts w:hint="eastAsia" w:ascii="宋体" w:hAnsi="宋体"/>
          <w:b w:val="0"/>
          <w:bCs w:val="0"/>
        </w:rPr>
        <w:t>本招标项目</w:t>
      </w:r>
      <w:r>
        <w:rPr>
          <w:rFonts w:hint="eastAsia" w:ascii="宋体" w:hAnsi="宋体"/>
          <w:b w:val="0"/>
          <w:bCs w:val="0"/>
          <w:lang w:val="en-US"/>
        </w:rPr>
        <w:t>为</w:t>
      </w:r>
      <w:r>
        <w:rPr>
          <w:rFonts w:hint="eastAsia" w:ascii="宋体" w:hAnsi="宋体"/>
          <w:b w:val="0"/>
          <w:bCs w:val="0"/>
          <w:lang w:eastAsia="zh-CN"/>
        </w:rPr>
        <w:t>云南省盐津县普洱集镇山洪沟治理工程</w:t>
      </w:r>
      <w:r>
        <w:rPr>
          <w:rFonts w:hint="eastAsia" w:ascii="宋体" w:hAnsi="宋体"/>
          <w:b w:val="0"/>
          <w:bCs w:val="0"/>
        </w:rPr>
        <w:t>，</w:t>
      </w:r>
      <w:r>
        <w:rPr>
          <w:rFonts w:hint="eastAsia" w:ascii="宋体" w:hAnsi="宋体"/>
          <w:b w:val="0"/>
          <w:bCs w:val="0"/>
          <w:lang w:val="en-US"/>
        </w:rPr>
        <w:t>经云水河管(2019)28号</w:t>
      </w:r>
      <w:r>
        <w:rPr>
          <w:rFonts w:hint="eastAsia" w:ascii="宋体" w:hAnsi="宋体"/>
          <w:b w:val="0"/>
          <w:bCs w:val="0"/>
          <w:lang w:val="en-US" w:eastAsia="zh-CN"/>
        </w:rPr>
        <w:t>文</w:t>
      </w:r>
      <w:r>
        <w:rPr>
          <w:rFonts w:hint="eastAsia" w:ascii="宋体" w:hAnsi="宋体"/>
          <w:b w:val="0"/>
          <w:bCs w:val="0"/>
        </w:rPr>
        <w:t>批准建设，建设资金为</w:t>
      </w:r>
      <w:r>
        <w:rPr>
          <w:rFonts w:hint="eastAsia" w:ascii="宋体" w:hAnsi="宋体"/>
          <w:b w:val="0"/>
          <w:bCs w:val="0"/>
          <w:lang w:val="en-US" w:eastAsia="zh-CN"/>
        </w:rPr>
        <w:t>国家财政拨款</w:t>
      </w:r>
      <w:r>
        <w:rPr>
          <w:rFonts w:hint="eastAsia" w:ascii="宋体" w:hAnsi="宋体"/>
          <w:b w:val="0"/>
          <w:bCs w:val="0"/>
        </w:rPr>
        <w:t>。资金已落实，招标人为</w:t>
      </w:r>
      <w:r>
        <w:rPr>
          <w:rFonts w:hint="eastAsia" w:ascii="宋体" w:hAnsi="宋体"/>
          <w:b w:val="0"/>
          <w:bCs w:val="0"/>
          <w:lang w:val="zh-CN" w:eastAsia="zh-CN"/>
        </w:rPr>
        <w:t>盐津县江河治理工程管理局</w:t>
      </w:r>
      <w:r>
        <w:rPr>
          <w:rFonts w:hint="eastAsia" w:ascii="宋体" w:hAnsi="宋体"/>
          <w:b w:val="0"/>
          <w:bCs w:val="0"/>
          <w:lang w:val="en-US"/>
        </w:rPr>
        <w:t>（</w:t>
      </w:r>
      <w:r>
        <w:rPr>
          <w:rFonts w:hint="eastAsia" w:ascii="宋体" w:hAnsi="宋体"/>
          <w:b w:val="0"/>
          <w:bCs w:val="0"/>
        </w:rPr>
        <w:t>以下简称“招标人”），招标代理机构为</w:t>
      </w:r>
      <w:r>
        <w:rPr>
          <w:rFonts w:hint="eastAsia" w:ascii="宋体" w:hAnsi="宋体"/>
          <w:b w:val="0"/>
          <w:bCs w:val="0"/>
          <w:lang w:eastAsia="zh-CN"/>
        </w:rPr>
        <w:t>云南众创益项目管理有限公司</w:t>
      </w:r>
      <w:r>
        <w:rPr>
          <w:rFonts w:hint="eastAsia" w:ascii="宋体" w:hAnsi="宋体"/>
          <w:b w:val="0"/>
          <w:bCs w:val="0"/>
        </w:rPr>
        <w:t>。项目已具备招标条件，现对本项目进行公开招标，欢迎潜在投标人参加投标。</w:t>
      </w:r>
    </w:p>
    <w:p w14:paraId="13FA9025">
      <w:pPr>
        <w:pStyle w:val="387"/>
        <w:snapToGrid w:val="0"/>
        <w:spacing w:line="360" w:lineRule="auto"/>
        <w:ind w:firstLine="422" w:firstLineChars="200"/>
        <w:rPr>
          <w:rFonts w:ascii="宋体" w:hAnsi="宋体"/>
          <w:b/>
          <w:bCs/>
        </w:rPr>
      </w:pPr>
      <w:r>
        <w:rPr>
          <w:rFonts w:ascii="宋体" w:hAnsi="宋体"/>
          <w:b/>
          <w:bCs/>
        </w:rPr>
        <w:t>2.</w:t>
      </w:r>
      <w:r>
        <w:rPr>
          <w:rFonts w:hint="eastAsia" w:ascii="宋体" w:hAnsi="宋体"/>
          <w:b/>
          <w:bCs/>
        </w:rPr>
        <w:t>项目概况与招标范围</w:t>
      </w:r>
    </w:p>
    <w:p w14:paraId="7CFF6DBB">
      <w:pPr>
        <w:pStyle w:val="387"/>
        <w:snapToGrid w:val="0"/>
        <w:spacing w:line="360" w:lineRule="auto"/>
        <w:ind w:firstLine="420" w:firstLineChars="200"/>
        <w:rPr>
          <w:rFonts w:ascii="宋体" w:hAnsi="宋体"/>
          <w:bCs/>
        </w:rPr>
      </w:pPr>
      <w:r>
        <w:rPr>
          <w:rFonts w:ascii="宋体" w:hAnsi="宋体"/>
          <w:bCs/>
        </w:rPr>
        <w:t>2.1</w:t>
      </w:r>
      <w:r>
        <w:rPr>
          <w:rFonts w:hint="eastAsia" w:ascii="宋体" w:hAnsi="宋体"/>
          <w:bCs/>
        </w:rPr>
        <w:t>项目名称：</w:t>
      </w:r>
      <w:r>
        <w:rPr>
          <w:rFonts w:hint="eastAsia" w:ascii="宋体" w:hAnsi="宋体"/>
          <w:bCs/>
          <w:lang w:eastAsia="zh-CN"/>
        </w:rPr>
        <w:t>云南省盐津县普洱集镇山洪沟治理工程</w:t>
      </w:r>
      <w:r>
        <w:rPr>
          <w:rFonts w:hint="eastAsia" w:ascii="宋体" w:hAnsi="宋体"/>
          <w:bCs/>
        </w:rPr>
        <w:t>。</w:t>
      </w:r>
    </w:p>
    <w:p w14:paraId="5B15801A">
      <w:pPr>
        <w:pStyle w:val="387"/>
        <w:snapToGrid w:val="0"/>
        <w:spacing w:line="360" w:lineRule="auto"/>
        <w:ind w:firstLine="420" w:firstLineChars="200"/>
        <w:rPr>
          <w:rFonts w:ascii="宋体" w:hAnsi="宋体"/>
          <w:bCs/>
        </w:rPr>
      </w:pPr>
      <w:r>
        <w:rPr>
          <w:rFonts w:hint="eastAsia" w:ascii="宋体" w:hAnsi="宋体"/>
          <w:bCs/>
        </w:rPr>
        <w:t>2.2建设性质：新建。</w:t>
      </w:r>
    </w:p>
    <w:p w14:paraId="46EA21C5">
      <w:pPr>
        <w:pStyle w:val="387"/>
        <w:snapToGrid w:val="0"/>
        <w:spacing w:line="360" w:lineRule="auto"/>
        <w:ind w:firstLine="420" w:firstLineChars="200"/>
        <w:rPr>
          <w:rFonts w:ascii="宋体" w:hAnsi="宋体"/>
          <w:bCs/>
        </w:rPr>
      </w:pPr>
      <w:r>
        <w:rPr>
          <w:rFonts w:ascii="宋体" w:hAnsi="宋体"/>
          <w:bCs/>
        </w:rPr>
        <w:t>2.</w:t>
      </w:r>
      <w:r>
        <w:rPr>
          <w:rFonts w:hint="eastAsia" w:ascii="宋体" w:hAnsi="宋体"/>
          <w:bCs/>
        </w:rPr>
        <w:t>3建设地点：</w:t>
      </w:r>
      <w:r>
        <w:rPr>
          <w:rFonts w:hint="eastAsia" w:ascii="宋体" w:hAnsi="宋体"/>
          <w:bCs/>
          <w:lang w:val="en-US" w:eastAsia="zh-CN"/>
        </w:rPr>
        <w:t>盐津县</w:t>
      </w:r>
      <w:r>
        <w:rPr>
          <w:rFonts w:hint="eastAsia" w:ascii="宋体" w:hAnsi="宋体"/>
          <w:bCs/>
        </w:rPr>
        <w:t>。</w:t>
      </w:r>
    </w:p>
    <w:p w14:paraId="5AED0DD0">
      <w:pPr>
        <w:pStyle w:val="387"/>
        <w:snapToGrid w:val="0"/>
        <w:spacing w:line="360" w:lineRule="auto"/>
        <w:ind w:firstLine="420" w:firstLineChars="200"/>
        <w:rPr>
          <w:rFonts w:ascii="宋体" w:hAnsi="宋体"/>
          <w:bCs/>
          <w:highlight w:val="none"/>
        </w:rPr>
      </w:pPr>
      <w:r>
        <w:rPr>
          <w:rFonts w:ascii="宋体" w:hAnsi="宋体"/>
          <w:bCs/>
        </w:rPr>
        <w:t>2.</w:t>
      </w:r>
      <w:r>
        <w:rPr>
          <w:rFonts w:hint="eastAsia" w:ascii="宋体" w:hAnsi="宋体"/>
          <w:bCs/>
        </w:rPr>
        <w:t>4估算总投资：项目</w:t>
      </w:r>
      <w:r>
        <w:rPr>
          <w:rFonts w:hint="eastAsia" w:ascii="宋体" w:hAnsi="宋体"/>
          <w:bCs/>
          <w:lang w:val="en-US" w:eastAsia="zh-CN"/>
        </w:rPr>
        <w:t>估算</w:t>
      </w:r>
      <w:r>
        <w:rPr>
          <w:rFonts w:hint="eastAsia" w:ascii="宋体" w:hAnsi="宋体"/>
          <w:bCs/>
        </w:rPr>
        <w:t>总投资</w:t>
      </w:r>
      <w:r>
        <w:rPr>
          <w:rFonts w:hint="eastAsia" w:ascii="宋体" w:hAnsi="宋体"/>
          <w:bCs/>
          <w:lang w:val="en-US" w:eastAsia="zh-CN"/>
        </w:rPr>
        <w:t>584.44</w:t>
      </w:r>
      <w:r>
        <w:rPr>
          <w:rFonts w:hint="eastAsia" w:ascii="宋体" w:hAnsi="宋体"/>
          <w:bCs/>
        </w:rPr>
        <w:t>万元。最终以相</w:t>
      </w:r>
      <w:r>
        <w:rPr>
          <w:rFonts w:hint="eastAsia" w:ascii="宋体" w:hAnsi="宋体"/>
          <w:bCs/>
          <w:highlight w:val="none"/>
        </w:rPr>
        <w:t>关部门批准的建设内容和指标为准。</w:t>
      </w:r>
    </w:p>
    <w:p w14:paraId="333F6492">
      <w:pPr>
        <w:pStyle w:val="387"/>
        <w:snapToGrid w:val="0"/>
        <w:spacing w:line="360" w:lineRule="auto"/>
        <w:ind w:firstLine="420" w:firstLineChars="200"/>
        <w:rPr>
          <w:rFonts w:ascii="宋体" w:hAnsi="宋体"/>
          <w:bCs/>
          <w:highlight w:val="none"/>
        </w:rPr>
      </w:pPr>
      <w:r>
        <w:rPr>
          <w:rFonts w:ascii="宋体" w:hAnsi="宋体"/>
          <w:bCs/>
          <w:highlight w:val="none"/>
        </w:rPr>
        <w:t>2.</w:t>
      </w:r>
      <w:r>
        <w:rPr>
          <w:rFonts w:hint="eastAsia" w:ascii="宋体" w:hAnsi="宋体"/>
          <w:bCs/>
          <w:highlight w:val="none"/>
        </w:rPr>
        <w:t>5计划工期：</w:t>
      </w:r>
      <w:r>
        <w:rPr>
          <w:rFonts w:hint="eastAsia" w:ascii="宋体" w:hAnsi="宋体"/>
          <w:bCs/>
          <w:highlight w:val="none"/>
          <w:lang w:val="en-US" w:eastAsia="zh-CN"/>
        </w:rPr>
        <w:t>5个月</w:t>
      </w:r>
      <w:r>
        <w:rPr>
          <w:rFonts w:hint="eastAsia" w:ascii="宋体" w:hAnsi="宋体"/>
          <w:bCs/>
          <w:highlight w:val="none"/>
        </w:rPr>
        <w:t>。</w:t>
      </w:r>
    </w:p>
    <w:p w14:paraId="3F81A1FA">
      <w:pPr>
        <w:pStyle w:val="387"/>
        <w:snapToGrid w:val="0"/>
        <w:spacing w:line="360" w:lineRule="auto"/>
        <w:ind w:firstLine="420" w:firstLineChars="200"/>
        <w:rPr>
          <w:rFonts w:ascii="宋体" w:hAnsi="宋体"/>
          <w:bCs/>
        </w:rPr>
      </w:pPr>
      <w:r>
        <w:rPr>
          <w:rFonts w:ascii="宋体" w:hAnsi="宋体"/>
          <w:bCs/>
        </w:rPr>
        <w:t>2.</w:t>
      </w:r>
      <w:r>
        <w:rPr>
          <w:rFonts w:hint="eastAsia" w:ascii="宋体" w:hAnsi="宋体"/>
          <w:bCs/>
        </w:rPr>
        <w:t>6建设规模及内容：</w:t>
      </w:r>
    </w:p>
    <w:p w14:paraId="116057A8">
      <w:pPr>
        <w:pStyle w:val="387"/>
        <w:numPr>
          <w:ilvl w:val="0"/>
          <w:numId w:val="0"/>
        </w:numPr>
        <w:snapToGrid w:val="0"/>
        <w:spacing w:line="360" w:lineRule="auto"/>
        <w:ind w:firstLine="420" w:firstLineChars="200"/>
        <w:rPr>
          <w:rFonts w:hint="eastAsia" w:ascii="宋体" w:hAnsi="宋体"/>
          <w:bCs/>
          <w:highlight w:val="none"/>
          <w:lang w:val="en-US" w:eastAsia="zh-CN"/>
        </w:rPr>
      </w:pPr>
      <w:r>
        <w:rPr>
          <w:rFonts w:hint="eastAsia" w:ascii="宋体" w:hAnsi="宋体"/>
          <w:bCs/>
          <w:lang w:val="en-US" w:eastAsia="zh-CN"/>
        </w:rPr>
        <w:t xml:space="preserve"> 本次治理新建3条截洪沟(小方田截洪沟、小方田分洪沟、小河社区截洪沟)。</w:t>
      </w:r>
      <w:r>
        <w:rPr>
          <w:rFonts w:hint="eastAsia" w:ascii="宋体" w:hAnsi="宋体"/>
          <w:bCs/>
          <w:highlight w:val="none"/>
          <w:lang w:val="en-US" w:eastAsia="zh-CN"/>
        </w:rPr>
        <w:t>详见初步设计施工图纸及工程量清单。</w:t>
      </w:r>
    </w:p>
    <w:p w14:paraId="3B0872EB">
      <w:pPr>
        <w:pStyle w:val="387"/>
        <w:numPr>
          <w:ilvl w:val="0"/>
          <w:numId w:val="0"/>
        </w:numPr>
        <w:snapToGrid w:val="0"/>
        <w:spacing w:line="360" w:lineRule="auto"/>
        <w:ind w:firstLine="420" w:firstLineChars="200"/>
        <w:rPr>
          <w:rFonts w:ascii="宋体" w:hAnsi="宋体"/>
          <w:highlight w:val="none"/>
        </w:rPr>
      </w:pPr>
      <w:r>
        <w:rPr>
          <w:rFonts w:hint="eastAsia" w:ascii="宋体" w:hAnsi="宋体"/>
          <w:bCs/>
          <w:highlight w:val="none"/>
        </w:rPr>
        <w:t>2.7招标范围：</w:t>
      </w:r>
      <w:r>
        <w:rPr>
          <w:rFonts w:hint="eastAsia" w:ascii="宋体" w:hAnsi="宋体"/>
          <w:bCs/>
          <w:highlight w:val="none"/>
          <w:lang w:val="en-US" w:eastAsia="zh-CN"/>
        </w:rPr>
        <w:t>初步设计</w:t>
      </w:r>
      <w:r>
        <w:rPr>
          <w:rFonts w:hint="eastAsia" w:ascii="宋体" w:hAnsi="宋体"/>
          <w:bCs/>
          <w:highlight w:val="none"/>
        </w:rPr>
        <w:t>施工图和工程量清单所包含的全部内容。</w:t>
      </w:r>
    </w:p>
    <w:p w14:paraId="05CC8352">
      <w:pPr>
        <w:pStyle w:val="387"/>
        <w:snapToGrid w:val="0"/>
        <w:spacing w:line="360" w:lineRule="auto"/>
        <w:ind w:firstLine="420" w:firstLineChars="200"/>
        <w:rPr>
          <w:rFonts w:hint="eastAsia" w:ascii="宋体" w:hAnsi="宋体"/>
          <w:lang w:val="zh-TW" w:eastAsia="zh-TW"/>
        </w:rPr>
      </w:pPr>
      <w:r>
        <w:rPr>
          <w:rFonts w:ascii="宋体" w:hAnsi="宋体"/>
          <w:bCs/>
        </w:rPr>
        <w:t>2.</w:t>
      </w:r>
      <w:r>
        <w:rPr>
          <w:rFonts w:hint="eastAsia" w:ascii="宋体" w:hAnsi="宋体"/>
          <w:bCs/>
        </w:rPr>
        <w:t>8</w:t>
      </w:r>
      <w:r>
        <w:rPr>
          <w:rFonts w:hint="eastAsia" w:ascii="宋体" w:hAnsi="宋体"/>
          <w:lang w:val="zh-TW" w:eastAsia="zh-TW"/>
        </w:rPr>
        <w:t>质量要求：符合国家相关规定及设计要求，工程质量一次性验收合格。</w:t>
      </w:r>
    </w:p>
    <w:p w14:paraId="34BD0CA5">
      <w:pPr>
        <w:pStyle w:val="387"/>
        <w:snapToGrid w:val="0"/>
        <w:spacing w:line="360" w:lineRule="auto"/>
        <w:ind w:firstLine="420" w:firstLineChars="200"/>
        <w:rPr>
          <w:rFonts w:ascii="宋体" w:hAnsi="宋体"/>
        </w:rPr>
      </w:pPr>
      <w:r>
        <w:rPr>
          <w:rFonts w:hint="eastAsia" w:ascii="宋体" w:hAnsi="宋体"/>
        </w:rPr>
        <w:t>2.9工期要求：建设责任期从中标合同签订之日起，至完成上述项目的所有建设工作内容为止，</w:t>
      </w:r>
      <w:r>
        <w:rPr>
          <w:rFonts w:hint="eastAsia" w:ascii="宋体" w:hAnsi="宋体"/>
          <w:highlight w:val="none"/>
        </w:rPr>
        <w:t>计划工期</w:t>
      </w:r>
      <w:r>
        <w:rPr>
          <w:rFonts w:hint="eastAsia" w:ascii="宋体" w:hAnsi="宋体"/>
          <w:highlight w:val="none"/>
          <w:lang w:val="en-US" w:eastAsia="zh-CN"/>
        </w:rPr>
        <w:t>5个月</w:t>
      </w:r>
      <w:r>
        <w:rPr>
          <w:rFonts w:hint="eastAsia" w:ascii="宋体" w:hAnsi="宋体"/>
          <w:highlight w:val="none"/>
        </w:rPr>
        <w:t>。</w:t>
      </w:r>
    </w:p>
    <w:p w14:paraId="05195901">
      <w:pPr>
        <w:pStyle w:val="387"/>
        <w:snapToGrid w:val="0"/>
        <w:spacing w:line="360" w:lineRule="auto"/>
        <w:ind w:firstLine="420" w:firstLineChars="200"/>
        <w:rPr>
          <w:rFonts w:hint="eastAsia" w:ascii="宋体" w:hAnsi="宋体"/>
        </w:rPr>
      </w:pPr>
      <w:r>
        <w:rPr>
          <w:rFonts w:hint="eastAsia" w:ascii="宋体" w:hAnsi="宋体"/>
        </w:rPr>
        <w:t>2.</w:t>
      </w:r>
      <w:r>
        <w:rPr>
          <w:rFonts w:hint="eastAsia" w:ascii="宋体" w:hAnsi="宋体"/>
          <w:lang w:val="en-US" w:eastAsia="zh-CN"/>
        </w:rPr>
        <w:t>10</w:t>
      </w:r>
      <w:r>
        <w:rPr>
          <w:rFonts w:hint="eastAsia" w:ascii="宋体" w:hAnsi="宋体"/>
        </w:rPr>
        <w:t>本项目共划分为</w:t>
      </w:r>
      <w:r>
        <w:rPr>
          <w:rFonts w:hint="eastAsia" w:ascii="宋体" w:hAnsi="宋体"/>
          <w:lang w:val="en-US" w:eastAsia="zh-CN"/>
        </w:rPr>
        <w:t>一</w:t>
      </w:r>
      <w:r>
        <w:rPr>
          <w:rFonts w:hint="eastAsia" w:ascii="宋体" w:hAnsi="宋体"/>
        </w:rPr>
        <w:t>个标段。</w:t>
      </w:r>
    </w:p>
    <w:p w14:paraId="6F7B969A">
      <w:pPr>
        <w:pStyle w:val="387"/>
        <w:snapToGrid w:val="0"/>
        <w:spacing w:line="360" w:lineRule="auto"/>
        <w:ind w:firstLine="422" w:firstLineChars="200"/>
        <w:rPr>
          <w:rFonts w:ascii="宋体" w:hAnsi="宋体"/>
          <w:b/>
          <w:bCs/>
        </w:rPr>
      </w:pPr>
      <w:r>
        <w:rPr>
          <w:rFonts w:hint="eastAsia" w:ascii="宋体" w:hAnsi="宋体"/>
          <w:b/>
          <w:bCs/>
        </w:rPr>
        <w:t>3.投标人资格要求</w:t>
      </w:r>
    </w:p>
    <w:p w14:paraId="7FD74E89">
      <w:pPr>
        <w:pStyle w:val="387"/>
        <w:snapToGrid w:val="0"/>
        <w:spacing w:line="360" w:lineRule="auto"/>
        <w:ind w:firstLine="422" w:firstLineChars="200"/>
        <w:rPr>
          <w:rFonts w:hint="eastAsia" w:ascii="宋体" w:hAnsi="宋体"/>
          <w:b w:val="0"/>
          <w:bCs/>
          <w:color w:val="auto"/>
          <w:highlight w:val="none"/>
        </w:rPr>
      </w:pPr>
      <w:r>
        <w:rPr>
          <w:rFonts w:ascii="宋体" w:hAnsi="宋体"/>
          <w:b/>
          <w:color w:val="auto"/>
          <w:highlight w:val="none"/>
        </w:rPr>
        <w:t>3.1</w:t>
      </w:r>
      <w:r>
        <w:rPr>
          <w:rFonts w:hint="eastAsia" w:ascii="宋体" w:hAnsi="宋体"/>
          <w:b/>
          <w:color w:val="auto"/>
          <w:highlight w:val="none"/>
        </w:rPr>
        <w:t>企业资质要求：</w:t>
      </w:r>
      <w:r>
        <w:rPr>
          <w:rFonts w:hint="eastAsia" w:ascii="宋体" w:hAnsi="宋体"/>
          <w:b w:val="0"/>
          <w:bCs/>
          <w:color w:val="auto"/>
          <w:highlight w:val="none"/>
        </w:rPr>
        <w:t>投标人应具备独立法人资格，并具有</w:t>
      </w:r>
      <w:bookmarkStart w:id="14" w:name="_Hlk86781731"/>
      <w:r>
        <w:rPr>
          <w:rFonts w:hint="eastAsia" w:ascii="宋体" w:hAnsi="宋体"/>
          <w:b w:val="0"/>
          <w:bCs/>
          <w:color w:val="auto"/>
          <w:highlight w:val="none"/>
        </w:rPr>
        <w:t>水利水电工程施工总承包叁级以上（含叁级）资质</w:t>
      </w:r>
      <w:bookmarkEnd w:id="14"/>
      <w:r>
        <w:rPr>
          <w:rFonts w:hint="eastAsia" w:ascii="宋体" w:hAnsi="宋体"/>
          <w:b w:val="0"/>
          <w:bCs/>
          <w:color w:val="auto"/>
          <w:highlight w:val="none"/>
        </w:rPr>
        <w:t>、有效的营业执照、安全生产许可证，并在人员、设备、资金等方面具有相应的施工能力。</w:t>
      </w:r>
    </w:p>
    <w:p w14:paraId="7DD7EBD5">
      <w:pPr>
        <w:pStyle w:val="387"/>
        <w:snapToGrid w:val="0"/>
        <w:spacing w:line="360" w:lineRule="auto"/>
        <w:ind w:firstLine="422" w:firstLineChars="200"/>
        <w:rPr>
          <w:rFonts w:ascii="宋体" w:hAnsi="宋体"/>
          <w:b/>
          <w:color w:val="auto"/>
          <w:highlight w:val="none"/>
        </w:rPr>
      </w:pPr>
      <w:r>
        <w:rPr>
          <w:rFonts w:ascii="宋体" w:hAnsi="宋体"/>
          <w:b/>
          <w:color w:val="auto"/>
          <w:highlight w:val="none"/>
        </w:rPr>
        <w:t>3.</w:t>
      </w:r>
      <w:r>
        <w:rPr>
          <w:rFonts w:hint="eastAsia" w:ascii="宋体" w:hAnsi="宋体"/>
          <w:b/>
          <w:color w:val="auto"/>
          <w:highlight w:val="none"/>
        </w:rPr>
        <w:t>2</w:t>
      </w:r>
      <w:r>
        <w:rPr>
          <w:rFonts w:ascii="宋体" w:hAnsi="宋体"/>
          <w:b/>
          <w:color w:val="auto"/>
          <w:highlight w:val="none"/>
        </w:rPr>
        <w:t xml:space="preserve"> </w:t>
      </w:r>
      <w:r>
        <w:rPr>
          <w:rFonts w:hint="eastAsia" w:ascii="宋体" w:hAnsi="宋体"/>
          <w:b/>
          <w:color w:val="auto"/>
          <w:highlight w:val="none"/>
        </w:rPr>
        <w:t>人员要求</w:t>
      </w:r>
    </w:p>
    <w:p w14:paraId="44B23EE8">
      <w:pPr>
        <w:pStyle w:val="387"/>
        <w:snapToGrid w:val="0"/>
        <w:spacing w:line="360" w:lineRule="auto"/>
        <w:ind w:firstLine="420" w:firstLineChars="200"/>
        <w:rPr>
          <w:rFonts w:hint="eastAsia" w:ascii="宋体" w:hAnsi="宋体"/>
          <w:bCs/>
          <w:highlight w:val="none"/>
          <w:lang w:val="zh-TW" w:eastAsia="zh-CN"/>
        </w:rPr>
      </w:pPr>
      <w:r>
        <w:rPr>
          <w:rFonts w:hint="eastAsia" w:ascii="宋体" w:hAnsi="宋体" w:cs="Times New Roman"/>
          <w:bCs/>
          <w:lang w:val="en-US" w:eastAsia="zh-CN"/>
        </w:rPr>
        <w:t>3.2.1项目负责人资格：拟投入本工程的项目负责人必须具备水利水电工程专业二级以上（含二级）建造师资格和有效的安全生产考核合格证（B证），</w:t>
      </w:r>
      <w:r>
        <w:rPr>
          <w:rFonts w:hint="eastAsia" w:ascii="宋体" w:hAnsi="宋体"/>
          <w:bCs/>
          <w:highlight w:val="none"/>
          <w:lang w:val="zh-TW" w:eastAsia="zh-TW"/>
        </w:rPr>
        <w:t>并</w:t>
      </w:r>
      <w:r>
        <w:rPr>
          <w:rFonts w:hint="eastAsia" w:ascii="宋体" w:hAnsi="宋体"/>
          <w:bCs/>
          <w:highlight w:val="none"/>
          <w:lang w:val="en-US" w:eastAsia="zh-CN"/>
        </w:rPr>
        <w:t>且</w:t>
      </w:r>
      <w:r>
        <w:rPr>
          <w:rFonts w:hint="eastAsia" w:ascii="宋体" w:hAnsi="宋体"/>
          <w:bCs/>
          <w:highlight w:val="none"/>
          <w:lang w:val="zh-TW" w:eastAsia="zh-TW"/>
        </w:rPr>
        <w:t>为单位正式职员，须注册在投标人单位,并提供社保证明和劳动合同,不得担任其它在建建设工程项目的项目管理人员（提供承诺书）</w:t>
      </w:r>
      <w:r>
        <w:rPr>
          <w:rFonts w:hint="eastAsia" w:ascii="宋体" w:hAnsi="宋体"/>
          <w:bCs/>
          <w:highlight w:val="none"/>
          <w:lang w:val="zh-TW" w:eastAsia="zh-CN"/>
        </w:rPr>
        <w:t>。</w:t>
      </w:r>
    </w:p>
    <w:p w14:paraId="7EC767C3">
      <w:pPr>
        <w:pStyle w:val="387"/>
        <w:snapToGrid w:val="0"/>
        <w:spacing w:line="360" w:lineRule="auto"/>
        <w:ind w:firstLine="420" w:firstLineChars="200"/>
        <w:rPr>
          <w:rFonts w:hint="eastAsia" w:ascii="宋体" w:hAnsi="宋体" w:cs="Times New Roman"/>
          <w:bCs/>
          <w:highlight w:val="none"/>
          <w:lang w:val="en-US" w:eastAsia="zh-CN"/>
        </w:rPr>
      </w:pPr>
      <w:r>
        <w:rPr>
          <w:rFonts w:hint="eastAsia" w:ascii="宋体" w:hAnsi="宋体" w:cs="Times New Roman"/>
          <w:bCs/>
          <w:highlight w:val="none"/>
          <w:lang w:val="en-US" w:eastAsia="zh-CN"/>
        </w:rPr>
        <w:t>3.2.2技术负责人：拟投入本工程的技术负责人必须具备水利相关专业中级或以上职称证书并提供社保证明和劳动合同</w:t>
      </w:r>
      <w:r>
        <w:rPr>
          <w:rFonts w:hint="eastAsia" w:ascii="宋体" w:hAnsi="宋体"/>
          <w:bCs/>
          <w:highlight w:val="none"/>
        </w:rPr>
        <w:t>。</w:t>
      </w:r>
    </w:p>
    <w:p w14:paraId="0BC4AB27">
      <w:pPr>
        <w:pStyle w:val="387"/>
        <w:snapToGrid w:val="0"/>
        <w:spacing w:line="360" w:lineRule="auto"/>
        <w:ind w:firstLine="420" w:firstLineChars="200"/>
        <w:rPr>
          <w:rFonts w:hint="eastAsia" w:ascii="宋体" w:hAnsi="宋体" w:cs="Times New Roman"/>
          <w:bCs/>
        </w:rPr>
      </w:pPr>
      <w:r>
        <w:rPr>
          <w:rFonts w:hint="eastAsia" w:ascii="宋体" w:hAnsi="宋体" w:cs="Times New Roman"/>
          <w:bCs/>
          <w:lang w:val="en-US" w:eastAsia="zh-CN"/>
        </w:rPr>
        <w:t>3.2.3</w:t>
      </w:r>
      <w:r>
        <w:rPr>
          <w:rFonts w:hint="eastAsia" w:ascii="宋体" w:hAnsi="宋体" w:cs="Times New Roman"/>
          <w:bCs/>
        </w:rPr>
        <w:t>其他人员要求：详见</w:t>
      </w:r>
      <w:r>
        <w:rPr>
          <w:rFonts w:hint="eastAsia" w:ascii="宋体" w:hAnsi="宋体" w:cs="Times New Roman"/>
          <w:bCs/>
          <w:lang w:val="en-US" w:eastAsia="zh-CN"/>
        </w:rPr>
        <w:t>招标文件</w:t>
      </w:r>
      <w:r>
        <w:rPr>
          <w:rFonts w:hint="eastAsia" w:ascii="宋体" w:hAnsi="宋体" w:cs="Times New Roman"/>
          <w:bCs/>
        </w:rPr>
        <w:t>《</w:t>
      </w:r>
      <w:r>
        <w:rPr>
          <w:rFonts w:hint="eastAsia" w:ascii="宋体" w:hAnsi="宋体" w:cs="Times New Roman"/>
          <w:bCs/>
          <w:lang w:val="en-US" w:eastAsia="zh-CN"/>
        </w:rPr>
        <w:t>总承包现场</w:t>
      </w:r>
      <w:r>
        <w:rPr>
          <w:rFonts w:hint="eastAsia" w:ascii="宋体" w:hAnsi="宋体" w:cs="Times New Roman"/>
          <w:bCs/>
        </w:rPr>
        <w:t>专业（管理）人员配备</w:t>
      </w:r>
      <w:r>
        <w:rPr>
          <w:rFonts w:hint="eastAsia" w:ascii="宋体" w:hAnsi="宋体" w:cs="Times New Roman"/>
          <w:bCs/>
          <w:lang w:val="en-US" w:eastAsia="zh-CN"/>
        </w:rPr>
        <w:t>要求</w:t>
      </w:r>
      <w:r>
        <w:rPr>
          <w:rFonts w:hint="eastAsia" w:ascii="宋体" w:hAnsi="宋体" w:cs="Times New Roman"/>
          <w:bCs/>
        </w:rPr>
        <w:t>表》。</w:t>
      </w:r>
    </w:p>
    <w:p w14:paraId="63DD2568">
      <w:pPr>
        <w:pStyle w:val="387"/>
        <w:snapToGrid w:val="0"/>
        <w:spacing w:line="360" w:lineRule="auto"/>
        <w:ind w:firstLine="422" w:firstLineChars="200"/>
        <w:rPr>
          <w:rFonts w:hint="eastAsia" w:ascii="宋体" w:hAnsi="宋体"/>
          <w:bCs/>
        </w:rPr>
      </w:pPr>
      <w:r>
        <w:rPr>
          <w:rFonts w:hint="eastAsia" w:ascii="宋体" w:hAnsi="宋体"/>
          <w:b/>
        </w:rPr>
        <w:t>3.3财务要求：</w:t>
      </w:r>
      <w:r>
        <w:rPr>
          <w:rFonts w:hint="eastAsia" w:ascii="宋体" w:hAnsi="宋体"/>
          <w:bCs/>
        </w:rPr>
        <w:t>投标人财务状况良好，没有处于被责令停产，财产被冻结、接管、破产状态。提供202</w:t>
      </w:r>
      <w:r>
        <w:rPr>
          <w:rFonts w:hint="eastAsia" w:ascii="宋体" w:hAnsi="宋体"/>
          <w:bCs/>
          <w:lang w:val="en-US" w:eastAsia="zh-CN"/>
        </w:rPr>
        <w:t>2</w:t>
      </w:r>
      <w:r>
        <w:rPr>
          <w:rFonts w:hint="eastAsia" w:ascii="宋体" w:hAnsi="宋体"/>
          <w:bCs/>
        </w:rPr>
        <w:t>年至202</w:t>
      </w:r>
      <w:r>
        <w:rPr>
          <w:rFonts w:hint="eastAsia" w:ascii="宋体" w:hAnsi="宋体"/>
          <w:bCs/>
          <w:lang w:val="en-US" w:eastAsia="zh-CN"/>
        </w:rPr>
        <w:t>4</w:t>
      </w:r>
      <w:r>
        <w:rPr>
          <w:rFonts w:hint="eastAsia" w:ascii="宋体" w:hAnsi="宋体"/>
          <w:bCs/>
        </w:rPr>
        <w:t>年三个年度经审计的审计报告和财务报表，包括但不限于资产负债表、现金流量表、利润表等材料；若成立不满三年的则提供成立至今的财务审计报告和财务报表，包括但不限于资产负债表、现金流量表、利润表；若为2024年1月至今新成立的公司只须提供成立以来的会计报表。</w:t>
      </w:r>
    </w:p>
    <w:p w14:paraId="5239E41D">
      <w:pPr>
        <w:pStyle w:val="387"/>
        <w:snapToGrid w:val="0"/>
        <w:spacing w:line="360" w:lineRule="auto"/>
        <w:ind w:firstLine="422" w:firstLineChars="200"/>
        <w:rPr>
          <w:rFonts w:ascii="宋体" w:hAnsi="宋体"/>
          <w:b/>
        </w:rPr>
      </w:pPr>
      <w:r>
        <w:rPr>
          <w:rFonts w:hint="eastAsia" w:ascii="宋体" w:hAnsi="宋体"/>
          <w:b/>
        </w:rPr>
        <w:t>3.4信誉要求</w:t>
      </w:r>
    </w:p>
    <w:p w14:paraId="3DE5A544">
      <w:pPr>
        <w:pStyle w:val="387"/>
        <w:snapToGrid w:val="0"/>
        <w:spacing w:line="360" w:lineRule="auto"/>
        <w:ind w:firstLine="420" w:firstLineChars="200"/>
        <w:rPr>
          <w:rFonts w:ascii="宋体" w:hAnsi="宋体"/>
          <w:bCs/>
          <w:highlight w:val="none"/>
        </w:rPr>
      </w:pPr>
      <w:r>
        <w:rPr>
          <w:rFonts w:hint="eastAsia" w:ascii="宋体" w:hAnsi="宋体"/>
          <w:bCs/>
          <w:highlight w:val="none"/>
        </w:rPr>
        <w:t>3.4.1投标人商业信誉良好，在经济活动中无重大违法违规行为，近三年内财务会计资料无虚假记载、银行和税务信用评价系统中无不良记录，且没有处于被责令停业，投标资格未被暂停或未取消，财产未被接管、冻结、破产等状态，无被禁止市场准入情形。</w:t>
      </w:r>
    </w:p>
    <w:p w14:paraId="4A1C5E36">
      <w:pPr>
        <w:pStyle w:val="387"/>
        <w:snapToGrid w:val="0"/>
        <w:spacing w:line="360" w:lineRule="auto"/>
        <w:ind w:firstLine="420" w:firstLineChars="200"/>
        <w:rPr>
          <w:rFonts w:ascii="宋体" w:hAnsi="宋体"/>
          <w:bCs/>
        </w:rPr>
      </w:pPr>
      <w:r>
        <w:rPr>
          <w:rFonts w:hint="eastAsia" w:ascii="宋体" w:hAnsi="宋体"/>
          <w:bCs/>
        </w:rPr>
        <w:t>3.4.2投标人企业无行贿犯罪记录，提供廉政自律承诺书，并提供中国裁判文书网（https://wenshu.court.gov.cn）查询结果网页截图。</w:t>
      </w:r>
    </w:p>
    <w:p w14:paraId="27AB94A7">
      <w:pPr>
        <w:pStyle w:val="387"/>
        <w:snapToGrid w:val="0"/>
        <w:spacing w:line="360" w:lineRule="auto"/>
        <w:ind w:firstLine="420" w:firstLineChars="200"/>
        <w:rPr>
          <w:rFonts w:ascii="宋体" w:hAnsi="宋体"/>
          <w:bCs/>
        </w:rPr>
      </w:pPr>
      <w:r>
        <w:rPr>
          <w:rFonts w:hint="eastAsia" w:ascii="宋体" w:hAnsi="宋体"/>
          <w:bCs/>
        </w:rPr>
        <w:t>3.4.3投标人应在“信用中国”网站（https://www.creditchina.gov.cn）未被列入失信被执行人记录、重大税收违法失信主体及未被列入国家企业信用信息公示系统（http://www.gsxt.gov.cn/index.html）经营异常名录、严重违法失信名单，提供查询结果网页截图，参与本项目的投标人信用查询时间</w:t>
      </w:r>
      <w:r>
        <w:rPr>
          <w:rFonts w:hint="eastAsia" w:ascii="宋体" w:hAnsi="宋体"/>
          <w:bCs/>
          <w:lang w:val="en-US" w:eastAsia="zh-CN"/>
        </w:rPr>
        <w:t>范围</w:t>
      </w:r>
      <w:r>
        <w:rPr>
          <w:rFonts w:hint="eastAsia" w:ascii="宋体" w:hAnsi="宋体"/>
          <w:bCs/>
        </w:rPr>
        <w:t>：本项目招标公告发布之日起至投标截止时间</w:t>
      </w:r>
      <w:r>
        <w:rPr>
          <w:rFonts w:hint="eastAsia" w:ascii="宋体" w:hAnsi="宋体"/>
          <w:bCs/>
          <w:lang w:val="en-US" w:eastAsia="zh-CN"/>
        </w:rPr>
        <w:t>止</w:t>
      </w:r>
      <w:r>
        <w:rPr>
          <w:rFonts w:hint="eastAsia" w:ascii="宋体" w:hAnsi="宋体"/>
          <w:bCs/>
        </w:rPr>
        <w:t>。</w:t>
      </w:r>
    </w:p>
    <w:p w14:paraId="19CB8A3A">
      <w:pPr>
        <w:pStyle w:val="387"/>
        <w:snapToGrid w:val="0"/>
        <w:spacing w:line="360" w:lineRule="auto"/>
        <w:ind w:firstLine="422" w:firstLineChars="200"/>
        <w:rPr>
          <w:rFonts w:ascii="宋体" w:hAnsi="宋体"/>
          <w:b/>
        </w:rPr>
      </w:pPr>
      <w:r>
        <w:rPr>
          <w:rFonts w:hint="eastAsia" w:ascii="宋体" w:hAnsi="宋体"/>
          <w:b/>
        </w:rPr>
        <w:t>3.5</w:t>
      </w:r>
      <w:r>
        <w:rPr>
          <w:rFonts w:ascii="宋体" w:hAnsi="宋体"/>
          <w:b/>
        </w:rPr>
        <w:t>其他要求</w:t>
      </w:r>
    </w:p>
    <w:p w14:paraId="715EA2BC">
      <w:pPr>
        <w:pStyle w:val="387"/>
        <w:snapToGrid w:val="0"/>
        <w:spacing w:line="360" w:lineRule="auto"/>
        <w:ind w:firstLine="420" w:firstLineChars="200"/>
        <w:rPr>
          <w:rFonts w:ascii="宋体" w:hAnsi="宋体"/>
          <w:bCs/>
        </w:rPr>
      </w:pPr>
      <w:r>
        <w:rPr>
          <w:rFonts w:hint="eastAsia" w:ascii="宋体" w:hAnsi="宋体"/>
          <w:bCs/>
        </w:rPr>
        <w:t>3.5.1</w:t>
      </w:r>
      <w:r>
        <w:rPr>
          <w:rFonts w:ascii="宋体" w:hAnsi="宋体"/>
          <w:bCs/>
        </w:rPr>
        <w:t>单位负责人为同一人或者存在控股、管理关系的不同单位，不得单独参加同一标段投标或者未划分标段的同一招标项目投标，若均报名参与的，则以报名时间在前的为准。</w:t>
      </w:r>
    </w:p>
    <w:p w14:paraId="4570FF22">
      <w:pPr>
        <w:pStyle w:val="387"/>
        <w:snapToGrid w:val="0"/>
        <w:spacing w:line="360" w:lineRule="auto"/>
        <w:ind w:firstLine="420" w:firstLineChars="200"/>
        <w:rPr>
          <w:rFonts w:hint="eastAsia" w:ascii="宋体" w:hAnsi="宋体"/>
          <w:bCs/>
          <w:lang w:val="en-US" w:eastAsia="zh-CN"/>
        </w:rPr>
      </w:pPr>
      <w:r>
        <w:rPr>
          <w:rFonts w:hint="eastAsia" w:ascii="宋体" w:hAnsi="宋体"/>
          <w:bCs/>
        </w:rPr>
        <w:t>3.5.2</w:t>
      </w:r>
      <w:r>
        <w:rPr>
          <w:rFonts w:ascii="宋体" w:hAnsi="宋体"/>
          <w:bCs/>
        </w:rPr>
        <w:t>联合体要求：</w:t>
      </w:r>
      <w:r>
        <w:rPr>
          <w:rFonts w:hint="eastAsia" w:ascii="宋体" w:hAnsi="宋体"/>
          <w:bCs/>
          <w:lang w:val="en-US" w:eastAsia="zh-CN"/>
        </w:rPr>
        <w:t>本项目不接受联合体投标。</w:t>
      </w:r>
    </w:p>
    <w:p w14:paraId="6D731BAB">
      <w:pPr>
        <w:pStyle w:val="387"/>
        <w:snapToGrid w:val="0"/>
        <w:spacing w:line="360" w:lineRule="auto"/>
        <w:ind w:firstLine="420" w:firstLineChars="200"/>
        <w:rPr>
          <w:rFonts w:ascii="宋体" w:hAnsi="宋体"/>
          <w:bCs/>
        </w:rPr>
      </w:pPr>
      <w:r>
        <w:rPr>
          <w:rFonts w:ascii="宋体" w:hAnsi="宋体"/>
          <w:bCs/>
        </w:rPr>
        <w:t>3</w:t>
      </w:r>
      <w:r>
        <w:rPr>
          <w:rFonts w:hint="eastAsia" w:ascii="宋体" w:hAnsi="宋体"/>
          <w:bCs/>
        </w:rPr>
        <w:t>.5.3</w:t>
      </w:r>
      <w:r>
        <w:rPr>
          <w:rFonts w:ascii="宋体" w:hAnsi="宋体"/>
          <w:bCs/>
        </w:rPr>
        <w:t>投标人需提供无行贿犯罪行为情况承诺。</w:t>
      </w:r>
    </w:p>
    <w:p w14:paraId="4CD248FB">
      <w:pPr>
        <w:wordWrap w:val="0"/>
        <w:topLinePunct/>
        <w:spacing w:line="360" w:lineRule="auto"/>
        <w:ind w:firstLine="420" w:firstLineChars="200"/>
        <w:rPr>
          <w:rFonts w:hint="eastAsia" w:ascii="宋体" w:hAnsi="宋体" w:eastAsia="宋体"/>
          <w:szCs w:val="21"/>
        </w:rPr>
      </w:pPr>
      <w:r>
        <w:rPr>
          <w:rFonts w:hint="eastAsia" w:ascii="宋体" w:hAnsi="宋体"/>
          <w:bCs/>
        </w:rPr>
        <w:t>3.5.4</w:t>
      </w:r>
      <w:r>
        <w:rPr>
          <w:rFonts w:hint="eastAsia" w:ascii="宋体" w:hAnsi="宋体" w:eastAsia="宋体"/>
          <w:szCs w:val="21"/>
        </w:rPr>
        <w:t xml:space="preserve"> 根据《昭通市人力资源和社会保障局关于取消农民工工资支付信用记录查询的函》，自2025年10月13日起，凡参与昭通市工程建设领域投标的企业，无需再通过邮件或其他任何方式申请农民工工资支付信用记录查询。各投标企业实名登录“信用中国（云南）”、云南政务服务网站，免费查询下载专项信用报告，替代开具有无违法违规记录证明。</w:t>
      </w:r>
    </w:p>
    <w:p w14:paraId="52E7F65A">
      <w:pPr>
        <w:pStyle w:val="387"/>
        <w:snapToGrid w:val="0"/>
        <w:spacing w:line="360" w:lineRule="auto"/>
        <w:ind w:firstLine="420" w:firstLineChars="200"/>
        <w:rPr>
          <w:rFonts w:hAnsi="宋体"/>
        </w:rPr>
      </w:pPr>
      <w:r>
        <w:rPr>
          <w:rFonts w:hint="eastAsia" w:ascii="宋体" w:hAnsi="宋体"/>
          <w:bCs/>
        </w:rPr>
        <w:t>3.5.5</w:t>
      </w:r>
      <w:r>
        <w:rPr>
          <w:rFonts w:hint="eastAsia" w:hAnsi="宋体"/>
        </w:rPr>
        <w:t>投标人严格执行中华人民共和国国务院令第724号《保障农民工工资支付条例》，按照有关规定开设农民工工资专用账户，专项用于支付该工程建设项目农民工工资。开设、使用农民工工资专用账户有关资料应当由施工总承包单位妥善保存备查。按时足额保障农民工工资，不得拖欠农民工工资。出具不拖欠农民工工资承诺函。</w:t>
      </w:r>
    </w:p>
    <w:p w14:paraId="0AF7FDAE">
      <w:pPr>
        <w:pStyle w:val="387"/>
        <w:snapToGrid w:val="0"/>
        <w:spacing w:line="360" w:lineRule="auto"/>
        <w:ind w:firstLine="420" w:firstLineChars="200"/>
        <w:rPr>
          <w:rFonts w:hint="eastAsia" w:ascii="宋体" w:hAnsi="宋体"/>
          <w:b w:val="0"/>
          <w:bCs/>
        </w:rPr>
      </w:pPr>
      <w:r>
        <w:rPr>
          <w:rFonts w:hint="eastAsia" w:ascii="宋体" w:hAnsi="宋体"/>
          <w:b w:val="0"/>
          <w:bCs/>
        </w:rPr>
        <w:t>3.6资格审查方式</w:t>
      </w:r>
      <w:r>
        <w:rPr>
          <w:rFonts w:ascii="宋体" w:hAnsi="宋体"/>
          <w:b w:val="0"/>
          <w:bCs/>
        </w:rPr>
        <w:t>:</w:t>
      </w:r>
      <w:r>
        <w:rPr>
          <w:rFonts w:hint="eastAsia" w:ascii="宋体" w:hAnsi="宋体"/>
          <w:b w:val="0"/>
          <w:bCs/>
        </w:rPr>
        <w:t>资格后审。</w:t>
      </w:r>
    </w:p>
    <w:p w14:paraId="31D4F938">
      <w:pPr>
        <w:pStyle w:val="387"/>
        <w:snapToGrid w:val="0"/>
        <w:spacing w:line="360" w:lineRule="auto"/>
        <w:ind w:firstLine="420" w:firstLineChars="200"/>
      </w:pPr>
      <w:r>
        <w:rPr>
          <w:rFonts w:hint="eastAsia" w:ascii="宋体" w:hAnsi="宋体"/>
          <w:b w:val="0"/>
          <w:bCs/>
          <w:lang w:val="en-US" w:eastAsia="zh-CN"/>
        </w:rPr>
        <w:t>3.7投标保证金：本项目不收取保证金</w:t>
      </w:r>
      <w:r>
        <w:rPr>
          <w:rFonts w:hint="eastAsia" w:ascii="宋体" w:hAnsi="宋体"/>
          <w:b w:val="0"/>
          <w:bCs/>
        </w:rPr>
        <w:t xml:space="preserve">。 </w:t>
      </w:r>
      <w:r>
        <w:rPr>
          <w:rFonts w:hint="eastAsia" w:ascii="宋体" w:hAnsi="宋体"/>
          <w:bCs/>
        </w:rPr>
        <w:t xml:space="preserve">                                                                              </w:t>
      </w:r>
    </w:p>
    <w:p w14:paraId="5662CD28">
      <w:pPr>
        <w:pStyle w:val="387"/>
        <w:snapToGrid w:val="0"/>
        <w:spacing w:line="360" w:lineRule="auto"/>
        <w:ind w:firstLine="422" w:firstLineChars="200"/>
        <w:rPr>
          <w:rFonts w:ascii="宋体" w:hAnsi="宋体"/>
          <w:b/>
          <w:bCs/>
        </w:rPr>
      </w:pPr>
      <w:r>
        <w:rPr>
          <w:rFonts w:ascii="宋体" w:hAnsi="宋体"/>
          <w:b/>
          <w:bCs/>
        </w:rPr>
        <w:t>4.</w:t>
      </w:r>
      <w:r>
        <w:rPr>
          <w:rFonts w:hint="eastAsia" w:ascii="宋体" w:hAnsi="宋体"/>
          <w:b/>
          <w:bCs/>
        </w:rPr>
        <w:t>招标文件的获取</w:t>
      </w:r>
    </w:p>
    <w:p w14:paraId="204F1328">
      <w:pPr>
        <w:spacing w:line="360" w:lineRule="auto"/>
        <w:ind w:firstLine="420" w:firstLineChars="200"/>
        <w:rPr>
          <w:rFonts w:ascii="宋体" w:hAnsi="宋体"/>
          <w:bCs/>
        </w:rPr>
      </w:pPr>
      <w:bookmarkStart w:id="15" w:name="_Toc294557436"/>
      <w:bookmarkStart w:id="16" w:name="_Toc329172865"/>
      <w:r>
        <w:rPr>
          <w:rFonts w:hint="eastAsia" w:ascii="宋体" w:hAnsi="宋体"/>
          <w:bCs/>
        </w:rPr>
        <w:t>4.1凡有意参加投标者，请于</w:t>
      </w:r>
      <w:r>
        <w:rPr>
          <w:rFonts w:hint="eastAsia" w:ascii="宋体" w:hAnsi="宋体"/>
          <w:bCs/>
          <w:highlight w:val="none"/>
        </w:rPr>
        <w:t>202</w:t>
      </w:r>
      <w:r>
        <w:rPr>
          <w:rFonts w:hint="eastAsia" w:ascii="宋体" w:hAnsi="宋体"/>
          <w:bCs/>
          <w:highlight w:val="none"/>
          <w:lang w:val="en-US" w:eastAsia="zh-CN"/>
        </w:rPr>
        <w:t>5</w:t>
      </w:r>
      <w:r>
        <w:rPr>
          <w:rFonts w:hint="eastAsia" w:ascii="宋体" w:hAnsi="宋体"/>
          <w:bCs/>
          <w:highlight w:val="none"/>
        </w:rPr>
        <w:t>年</w:t>
      </w:r>
      <w:r>
        <w:rPr>
          <w:rFonts w:hint="eastAsia" w:ascii="宋体" w:hAnsi="宋体"/>
          <w:bCs/>
          <w:highlight w:val="none"/>
          <w:lang w:val="en-US" w:eastAsia="zh-CN"/>
        </w:rPr>
        <w:t xml:space="preserve">  </w:t>
      </w:r>
      <w:r>
        <w:rPr>
          <w:rFonts w:hint="eastAsia" w:ascii="宋体" w:hAnsi="宋体"/>
          <w:bCs/>
          <w:highlight w:val="none"/>
        </w:rPr>
        <w:t>月</w:t>
      </w:r>
      <w:r>
        <w:rPr>
          <w:rFonts w:hint="eastAsia" w:ascii="宋体" w:hAnsi="宋体"/>
          <w:bCs/>
          <w:highlight w:val="none"/>
          <w:lang w:val="en-US" w:eastAsia="zh-CN"/>
        </w:rPr>
        <w:t xml:space="preserve">  </w:t>
      </w:r>
      <w:r>
        <w:rPr>
          <w:rFonts w:hint="eastAsia" w:ascii="宋体" w:hAnsi="宋体"/>
          <w:bCs/>
          <w:highlight w:val="none"/>
        </w:rPr>
        <w:t>日09时至202</w:t>
      </w:r>
      <w:r>
        <w:rPr>
          <w:rFonts w:hint="eastAsia" w:ascii="宋体" w:hAnsi="宋体"/>
          <w:bCs/>
          <w:highlight w:val="none"/>
          <w:lang w:val="en-US" w:eastAsia="zh-CN"/>
        </w:rPr>
        <w:t>5</w:t>
      </w:r>
      <w:r>
        <w:rPr>
          <w:rFonts w:hint="eastAsia" w:ascii="宋体" w:hAnsi="宋体"/>
          <w:bCs/>
          <w:highlight w:val="none"/>
        </w:rPr>
        <w:t>年</w:t>
      </w:r>
      <w:r>
        <w:rPr>
          <w:rFonts w:hint="eastAsia" w:ascii="宋体" w:hAnsi="宋体"/>
          <w:bCs/>
          <w:highlight w:val="none"/>
          <w:lang w:val="en-US" w:eastAsia="zh-CN"/>
        </w:rPr>
        <w:t xml:space="preserve">   </w:t>
      </w:r>
      <w:r>
        <w:rPr>
          <w:rFonts w:hint="eastAsia" w:ascii="宋体" w:hAnsi="宋体"/>
          <w:bCs/>
          <w:highlight w:val="none"/>
        </w:rPr>
        <w:t>月</w:t>
      </w:r>
      <w:r>
        <w:rPr>
          <w:rFonts w:hint="eastAsia" w:ascii="宋体" w:hAnsi="宋体"/>
          <w:bCs/>
          <w:highlight w:val="none"/>
          <w:lang w:val="en-US" w:eastAsia="zh-CN"/>
        </w:rPr>
        <w:t xml:space="preserve">  </w:t>
      </w:r>
      <w:r>
        <w:rPr>
          <w:rFonts w:hint="eastAsia" w:ascii="宋体" w:hAnsi="宋体"/>
          <w:bCs/>
          <w:highlight w:val="none"/>
        </w:rPr>
        <w:t>日23:59时（北京时间，下同），登录云南省公</w:t>
      </w:r>
      <w:r>
        <w:rPr>
          <w:rFonts w:hint="eastAsia" w:ascii="宋体" w:hAnsi="宋体"/>
          <w:bCs/>
        </w:rPr>
        <w:t>共资源交易信息网（网址：https://ggzy.yn.gov.cn/)</w:t>
      </w:r>
      <w:r>
        <w:rPr>
          <w:rFonts w:hint="eastAsia" w:hAnsi="宋体"/>
        </w:rPr>
        <w:t>选择“昭通市”</w:t>
      </w:r>
      <w:r>
        <w:rPr>
          <w:rFonts w:hint="eastAsia" w:ascii="宋体" w:hAnsi="宋体"/>
          <w:bCs/>
        </w:rPr>
        <w:t>，凭企业数字证书（CA）在网上获取电子招标文件及其它招标资料，含电子招标文件〔格式为*.BZBJ〕；未办理企业数字证书（CA）的企业需要按照云南省公共资源交易电子认证的要求，办理企业数字证书（CA），并在云南省公共资源交易信息网完成注册通过后，获取招标文件。</w:t>
      </w:r>
    </w:p>
    <w:p w14:paraId="314DCAC1">
      <w:pPr>
        <w:spacing w:line="360" w:lineRule="auto"/>
        <w:ind w:firstLine="422" w:firstLineChars="200"/>
        <w:rPr>
          <w:rFonts w:ascii="宋体" w:hAnsi="宋体"/>
          <w:b/>
          <w:bCs w:val="0"/>
        </w:rPr>
      </w:pPr>
      <w:r>
        <w:rPr>
          <w:rFonts w:hint="eastAsia" w:ascii="宋体" w:hAnsi="宋体"/>
          <w:b/>
          <w:bCs w:val="0"/>
        </w:rPr>
        <w:t>注：此为获取招标文件的唯一途径。</w:t>
      </w:r>
    </w:p>
    <w:p w14:paraId="4327D86E">
      <w:pPr>
        <w:spacing w:line="360" w:lineRule="auto"/>
        <w:ind w:firstLine="422" w:firstLineChars="200"/>
        <w:rPr>
          <w:rFonts w:ascii="宋体" w:hAnsi="宋体"/>
          <w:b/>
          <w:bCs w:val="0"/>
        </w:rPr>
      </w:pPr>
      <w:r>
        <w:rPr>
          <w:rFonts w:hint="eastAsia" w:ascii="宋体" w:hAnsi="宋体"/>
          <w:b/>
          <w:bCs w:val="0"/>
        </w:rPr>
        <w:t>投标人应对所上传的公司证照、人员证书等电子证明材料的真实性、完整性、及合法性负责。</w:t>
      </w:r>
    </w:p>
    <w:p w14:paraId="2638CCA7">
      <w:pPr>
        <w:spacing w:line="360" w:lineRule="auto"/>
        <w:ind w:firstLine="420" w:firstLineChars="200"/>
        <w:rPr>
          <w:rFonts w:ascii="宋体" w:hAnsi="宋体"/>
          <w:bCs/>
        </w:rPr>
      </w:pPr>
      <w:r>
        <w:rPr>
          <w:rFonts w:hint="eastAsia" w:ascii="宋体" w:hAnsi="宋体"/>
          <w:bCs/>
        </w:rPr>
        <w:t>4.2各投标人应在规定时间内完成网上获取</w:t>
      </w:r>
      <w:r>
        <w:rPr>
          <w:rFonts w:hint="eastAsia" w:ascii="宋体" w:hAnsi="宋体"/>
          <w:bCs/>
          <w:lang w:val="en-US" w:eastAsia="zh-CN"/>
        </w:rPr>
        <w:t>招标文件</w:t>
      </w:r>
      <w:r>
        <w:rPr>
          <w:rFonts w:hint="eastAsia" w:ascii="宋体" w:hAnsi="宋体"/>
          <w:bCs/>
        </w:rPr>
        <w:t>，因投标人未能及时网上获取</w:t>
      </w:r>
      <w:r>
        <w:rPr>
          <w:rFonts w:hint="eastAsia" w:ascii="宋体" w:hAnsi="宋体"/>
          <w:bCs/>
          <w:lang w:val="en-US" w:eastAsia="zh-CN"/>
        </w:rPr>
        <w:t>招标文件</w:t>
      </w:r>
      <w:r>
        <w:rPr>
          <w:rFonts w:hint="eastAsia" w:ascii="宋体" w:hAnsi="宋体"/>
          <w:bCs/>
        </w:rPr>
        <w:t>带来的后果由投标人自行承担。</w:t>
      </w:r>
    </w:p>
    <w:p w14:paraId="0DBB4C03">
      <w:pPr>
        <w:spacing w:line="360" w:lineRule="auto"/>
        <w:ind w:firstLine="422" w:firstLineChars="200"/>
        <w:outlineLvl w:val="1"/>
        <w:rPr>
          <w:rFonts w:ascii="宋体" w:hAnsi="宋体"/>
          <w:b/>
        </w:rPr>
      </w:pPr>
      <w:bookmarkStart w:id="17" w:name="_Toc408"/>
      <w:bookmarkStart w:id="18" w:name="_Toc3769"/>
      <w:bookmarkStart w:id="19" w:name="_Toc97752013"/>
      <w:bookmarkStart w:id="20" w:name="_Toc85443476"/>
      <w:bookmarkStart w:id="21" w:name="_Toc85368285"/>
      <w:r>
        <w:rPr>
          <w:rFonts w:hint="eastAsia" w:ascii="宋体" w:hAnsi="宋体"/>
          <w:b/>
        </w:rPr>
        <w:t>5.投标文件的递交</w:t>
      </w:r>
      <w:bookmarkEnd w:id="17"/>
      <w:bookmarkEnd w:id="18"/>
      <w:bookmarkEnd w:id="19"/>
      <w:bookmarkEnd w:id="20"/>
      <w:bookmarkEnd w:id="21"/>
    </w:p>
    <w:p w14:paraId="77277B29">
      <w:pPr>
        <w:spacing w:line="360" w:lineRule="auto"/>
        <w:ind w:firstLine="420" w:firstLineChars="200"/>
        <w:rPr>
          <w:rFonts w:ascii="宋体" w:hAnsi="宋体"/>
          <w:bCs/>
          <w:highlight w:val="none"/>
        </w:rPr>
      </w:pPr>
      <w:r>
        <w:rPr>
          <w:rFonts w:hint="eastAsia" w:ascii="宋体" w:hAnsi="宋体"/>
          <w:bCs/>
        </w:rPr>
        <w:t>5.1递交的截止时间（投标截止时间，下同）为</w:t>
      </w:r>
      <w:r>
        <w:rPr>
          <w:rFonts w:hint="eastAsia" w:ascii="宋体" w:hAnsi="宋体"/>
          <w:bCs/>
          <w:highlight w:val="none"/>
        </w:rPr>
        <w:t>202</w:t>
      </w:r>
      <w:r>
        <w:rPr>
          <w:rFonts w:hint="eastAsia" w:ascii="宋体" w:hAnsi="宋体"/>
          <w:bCs/>
          <w:highlight w:val="none"/>
          <w:lang w:val="en-US" w:eastAsia="zh-CN"/>
        </w:rPr>
        <w:t>5</w:t>
      </w:r>
      <w:r>
        <w:rPr>
          <w:rFonts w:hint="eastAsia" w:ascii="宋体" w:hAnsi="宋体"/>
          <w:bCs/>
          <w:highlight w:val="none"/>
        </w:rPr>
        <w:t>年</w:t>
      </w:r>
      <w:r>
        <w:rPr>
          <w:rFonts w:hint="eastAsia" w:ascii="宋体" w:hAnsi="宋体"/>
          <w:bCs/>
          <w:highlight w:val="none"/>
          <w:lang w:val="en-US" w:eastAsia="zh-CN"/>
        </w:rPr>
        <w:t xml:space="preserve">  </w:t>
      </w:r>
      <w:r>
        <w:rPr>
          <w:rFonts w:hint="eastAsia" w:ascii="宋体" w:hAnsi="宋体"/>
          <w:bCs/>
          <w:highlight w:val="none"/>
        </w:rPr>
        <w:t>月</w:t>
      </w:r>
      <w:r>
        <w:rPr>
          <w:rFonts w:hint="eastAsia" w:ascii="宋体" w:hAnsi="宋体"/>
          <w:bCs/>
          <w:highlight w:val="none"/>
          <w:lang w:val="en-US" w:eastAsia="zh-CN"/>
        </w:rPr>
        <w:t xml:space="preserve">  </w:t>
      </w:r>
      <w:r>
        <w:rPr>
          <w:rFonts w:hint="eastAsia" w:ascii="宋体" w:hAnsi="宋体"/>
          <w:bCs/>
          <w:highlight w:val="none"/>
        </w:rPr>
        <w:t>日0</w:t>
      </w:r>
      <w:r>
        <w:rPr>
          <w:rFonts w:hint="eastAsia" w:ascii="宋体" w:hAnsi="宋体"/>
          <w:bCs/>
          <w:highlight w:val="none"/>
          <w:lang w:val="en-US" w:eastAsia="zh-CN"/>
        </w:rPr>
        <w:t>8</w:t>
      </w:r>
      <w:r>
        <w:rPr>
          <w:rFonts w:hint="eastAsia" w:ascii="宋体" w:hAnsi="宋体"/>
          <w:bCs/>
          <w:highlight w:val="none"/>
        </w:rPr>
        <w:t>时</w:t>
      </w:r>
      <w:r>
        <w:rPr>
          <w:rFonts w:hint="eastAsia" w:ascii="宋体" w:hAnsi="宋体"/>
          <w:bCs/>
          <w:highlight w:val="none"/>
          <w:lang w:val="en-US" w:eastAsia="zh-CN"/>
        </w:rPr>
        <w:t>3</w:t>
      </w:r>
      <w:r>
        <w:rPr>
          <w:rFonts w:hint="eastAsia" w:ascii="宋体" w:hAnsi="宋体"/>
          <w:bCs/>
          <w:highlight w:val="none"/>
        </w:rPr>
        <w:t>0分。</w:t>
      </w:r>
    </w:p>
    <w:p w14:paraId="06CAFCEB">
      <w:pPr>
        <w:spacing w:line="360" w:lineRule="auto"/>
        <w:ind w:firstLine="420" w:firstLineChars="200"/>
        <w:rPr>
          <w:rFonts w:ascii="宋体" w:hAnsi="宋体"/>
          <w:bCs/>
        </w:rPr>
      </w:pPr>
      <w:r>
        <w:rPr>
          <w:rFonts w:hint="eastAsia" w:ascii="宋体" w:hAnsi="宋体"/>
          <w:bCs/>
        </w:rPr>
        <w:t>5.2递交方式：网上递交，递交网址</w:t>
      </w:r>
      <w:r>
        <w:rPr>
          <w:rFonts w:hint="eastAsia" w:ascii="宋体" w:hAnsi="宋体"/>
          <w:bCs/>
          <w:lang w:val="en-US" w:eastAsia="zh-CN"/>
        </w:rPr>
        <w:t>为</w:t>
      </w:r>
      <w:r>
        <w:rPr>
          <w:rFonts w:hint="eastAsia" w:ascii="宋体" w:hAnsi="宋体"/>
          <w:bCs/>
        </w:rPr>
        <w:t>https://ggzy.yn.gov.cn/，投标人须在投标截止时间前完成所有投标文件的上传，网上确认电子签名，并打印“上传投标文件回执”，投标截止时间前未完成投标文件传输的，视为撤回投标文件。</w:t>
      </w:r>
    </w:p>
    <w:p w14:paraId="0C9CDC42">
      <w:pPr>
        <w:spacing w:line="360" w:lineRule="auto"/>
        <w:ind w:firstLine="420" w:firstLineChars="200"/>
        <w:rPr>
          <w:rFonts w:hint="eastAsia" w:ascii="宋体" w:hAnsi="宋体"/>
          <w:bCs/>
        </w:rPr>
      </w:pPr>
      <w:r>
        <w:rPr>
          <w:rFonts w:hint="eastAsia" w:ascii="宋体" w:hAnsi="宋体"/>
          <w:bCs/>
        </w:rPr>
        <w:t>5.3网上递交电子投标文件后，不再递交刻录投标文件的光盘。</w:t>
      </w:r>
    </w:p>
    <w:p w14:paraId="5E4AAEF3">
      <w:pPr>
        <w:spacing w:line="360" w:lineRule="auto"/>
        <w:ind w:firstLine="422" w:firstLineChars="200"/>
        <w:rPr>
          <w:rFonts w:ascii="宋体" w:hAnsi="宋体"/>
          <w:b/>
        </w:rPr>
      </w:pPr>
      <w:bookmarkStart w:id="22" w:name="_Toc132907436"/>
      <w:bookmarkStart w:id="23" w:name="_Toc103587496"/>
      <w:bookmarkStart w:id="24" w:name="_Toc120635501"/>
      <w:bookmarkStart w:id="25" w:name="_Toc114135437"/>
      <w:bookmarkStart w:id="26" w:name="_Toc97544854"/>
      <w:bookmarkStart w:id="27" w:name="_Toc97564673"/>
      <w:r>
        <w:rPr>
          <w:rFonts w:hint="eastAsia" w:ascii="宋体" w:hAnsi="宋体"/>
          <w:b/>
        </w:rPr>
        <w:t>6.开标方式</w:t>
      </w:r>
      <w:bookmarkEnd w:id="22"/>
      <w:bookmarkEnd w:id="23"/>
      <w:bookmarkEnd w:id="24"/>
      <w:bookmarkEnd w:id="25"/>
      <w:bookmarkEnd w:id="26"/>
      <w:bookmarkEnd w:id="27"/>
    </w:p>
    <w:p w14:paraId="742D9001">
      <w:pPr>
        <w:spacing w:line="360" w:lineRule="auto"/>
        <w:ind w:firstLine="420" w:firstLineChars="200"/>
        <w:rPr>
          <w:rFonts w:hint="eastAsia" w:ascii="宋体" w:hAnsi="宋体"/>
          <w:bCs/>
          <w:lang w:val="en-US" w:eastAsia="zh-CN"/>
        </w:rPr>
      </w:pPr>
      <w:r>
        <w:rPr>
          <w:rFonts w:hint="eastAsia" w:ascii="宋体" w:hAnsi="宋体"/>
          <w:bCs/>
          <w:lang w:val="en-US" w:eastAsia="zh-CN"/>
        </w:rPr>
        <w:t>6.1开标方式：网上远程开标。</w:t>
      </w:r>
    </w:p>
    <w:p w14:paraId="3A0DE550">
      <w:pPr>
        <w:spacing w:line="360" w:lineRule="auto"/>
        <w:ind w:firstLine="420" w:firstLineChars="200"/>
        <w:rPr>
          <w:rFonts w:hint="eastAsia" w:ascii="宋体" w:hAnsi="宋体"/>
          <w:bCs/>
          <w:highlight w:val="yellow"/>
          <w:lang w:val="en-US" w:eastAsia="zh-CN"/>
        </w:rPr>
      </w:pPr>
      <w:r>
        <w:rPr>
          <w:rFonts w:hint="eastAsia" w:ascii="宋体" w:hAnsi="宋体"/>
          <w:bCs/>
          <w:lang w:val="en-US" w:eastAsia="zh-CN"/>
        </w:rPr>
        <w:t>6.2开标地点</w:t>
      </w:r>
      <w:r>
        <w:rPr>
          <w:rFonts w:hint="eastAsia" w:ascii="宋体" w:hAnsi="宋体"/>
          <w:bCs/>
          <w:highlight w:val="none"/>
          <w:lang w:val="en-US" w:eastAsia="zh-CN"/>
        </w:rPr>
        <w:t>：盐津县公共资源交易中心</w:t>
      </w:r>
    </w:p>
    <w:p w14:paraId="7B7B4B68">
      <w:pPr>
        <w:spacing w:line="360" w:lineRule="auto"/>
        <w:ind w:firstLine="420" w:firstLineChars="200"/>
        <w:rPr>
          <w:rFonts w:hint="eastAsia" w:ascii="宋体" w:hAnsi="宋体"/>
          <w:bCs/>
          <w:lang w:val="en-US" w:eastAsia="zh-CN"/>
        </w:rPr>
      </w:pPr>
      <w:r>
        <w:rPr>
          <w:rFonts w:hint="eastAsia" w:ascii="宋体" w:hAnsi="宋体"/>
          <w:bCs/>
          <w:lang w:val="en-US" w:eastAsia="zh-CN"/>
        </w:rPr>
        <w:t>6.2投标人登录“http://ggzy.yn.gov.cn”，在截标时间前进入到“网上开标室”，根据网上远程解密、开标要求，在下达投标文件解密指令后15分钟内完成远程解密、查看开标一览表和签名确认等相关操作。若投标人没有在规定时间完成以上相关操作，则视为其撤销投标文件，放弃投标。开标过程中如有疑问，可以在线提出异议，由代理机构（招标人）回复。在规定的签名确认时间内不进行开标一览表确认的，视为对开标结果无异议。</w:t>
      </w:r>
    </w:p>
    <w:p w14:paraId="4DF83C24">
      <w:pPr>
        <w:spacing w:line="420" w:lineRule="exact"/>
        <w:ind w:left="-2" w:leftChars="-1" w:firstLine="426"/>
        <w:rPr>
          <w:rFonts w:hAnsi="宋体"/>
        </w:rPr>
      </w:pPr>
      <w:r>
        <w:rPr>
          <w:rFonts w:hint="eastAsia" w:hAnsi="宋体"/>
        </w:rPr>
        <w:t>技术服务咨询：北京筑龙信息技术有限责任公司</w:t>
      </w:r>
    </w:p>
    <w:p w14:paraId="5EE9BCF9">
      <w:pPr>
        <w:spacing w:line="420" w:lineRule="exact"/>
        <w:ind w:left="-2" w:leftChars="-1" w:firstLine="426"/>
        <w:rPr>
          <w:rFonts w:ascii="宋体" w:hAnsi="宋体"/>
          <w:b/>
        </w:rPr>
      </w:pPr>
      <w:r>
        <w:rPr>
          <w:rFonts w:hint="eastAsia" w:hAnsi="宋体"/>
        </w:rPr>
        <w:t>服务热线：010-86483801。</w:t>
      </w:r>
      <w:r>
        <w:rPr>
          <w:rFonts w:hint="eastAsia" w:ascii="宋体" w:hAnsi="宋体"/>
          <w:b/>
        </w:rPr>
        <w:t>注：上传投标文件时加密使用的CA数字证书是开标时对投标文件进行解密的必要工具，否则将不能解密。因投标人自身原因导致所递交的投标文件无法解密、导入失败的，均视为其撤销投标文件，后果及责任由投标人自行承担。</w:t>
      </w:r>
    </w:p>
    <w:p w14:paraId="777BB782">
      <w:pPr>
        <w:spacing w:line="360" w:lineRule="auto"/>
        <w:ind w:firstLine="422" w:firstLineChars="200"/>
        <w:rPr>
          <w:rFonts w:ascii="宋体" w:hAnsi="宋体"/>
          <w:b/>
          <w:bCs/>
        </w:rPr>
      </w:pPr>
      <w:bookmarkStart w:id="28" w:name="_Toc50964026"/>
      <w:bookmarkStart w:id="29" w:name="_Toc22442"/>
      <w:bookmarkStart w:id="30" w:name="_Toc85368286"/>
      <w:bookmarkStart w:id="31" w:name="_Toc85443477"/>
      <w:r>
        <w:rPr>
          <w:rFonts w:hint="eastAsia" w:ascii="宋体" w:hAnsi="宋体"/>
          <w:b/>
          <w:bCs/>
        </w:rPr>
        <w:t>7.发布公告的媒介</w:t>
      </w:r>
      <w:bookmarkEnd w:id="28"/>
      <w:bookmarkEnd w:id="29"/>
      <w:bookmarkEnd w:id="30"/>
      <w:bookmarkEnd w:id="31"/>
    </w:p>
    <w:p w14:paraId="4183DEFF">
      <w:pPr>
        <w:spacing w:line="360" w:lineRule="auto"/>
        <w:ind w:firstLine="420" w:firstLineChars="200"/>
        <w:rPr>
          <w:rFonts w:ascii="宋体" w:hAnsi="宋体"/>
        </w:rPr>
      </w:pPr>
      <w:r>
        <w:rPr>
          <w:rFonts w:hint="eastAsia" w:ascii="宋体" w:hAnsi="宋体"/>
        </w:rPr>
        <w:t>本公告在云南省公共资源交易信息网（地址：</w:t>
      </w:r>
      <w:r>
        <w:fldChar w:fldCharType="begin"/>
      </w:r>
      <w:r>
        <w:instrText xml:space="preserve"> HYPERLINK "https://ggzy.yn.gov.cn/）上发布。对在其他网站或媒体转载的招标公告及公告内容，招标人和招标代理机构不承担任何法律责任，招标期间所有变更、澄清及补遗等内容均在云南省公共资源交易信息网上发布，请投标人留意。" </w:instrText>
      </w:r>
      <w:r>
        <w:fldChar w:fldCharType="separate"/>
      </w:r>
      <w:r>
        <w:rPr>
          <w:rFonts w:hint="eastAsia" w:ascii="宋体" w:hAnsi="宋体"/>
        </w:rPr>
        <w:t>https://ggzy.yn.gov.cn/）上发布。对在其他网站或媒体转载的招标公告及公告内容，招标人和招标代理机构不承担任何法律责任，招标期间所有变更、澄清及补遗等内容均在云南省公共资源交易信息网上发布，请投标人留意。</w:t>
      </w:r>
      <w:r>
        <w:rPr>
          <w:rFonts w:hint="eastAsia" w:ascii="宋体" w:hAnsi="宋体"/>
        </w:rPr>
        <w:fldChar w:fldCharType="end"/>
      </w:r>
    </w:p>
    <w:p w14:paraId="6DBE6738">
      <w:pPr>
        <w:spacing w:line="360" w:lineRule="auto"/>
        <w:ind w:firstLine="422" w:firstLineChars="200"/>
        <w:rPr>
          <w:rFonts w:ascii="宋体" w:hAnsi="宋体"/>
          <w:b/>
          <w:bCs/>
        </w:rPr>
      </w:pPr>
      <w:r>
        <w:rPr>
          <w:rFonts w:hint="eastAsia" w:ascii="宋体" w:hAnsi="宋体"/>
          <w:b/>
          <w:bCs/>
        </w:rPr>
        <w:t>8.联系方式</w:t>
      </w:r>
      <w:bookmarkEnd w:id="15"/>
      <w:bookmarkEnd w:id="16"/>
    </w:p>
    <w:p w14:paraId="43E0070D">
      <w:pPr>
        <w:spacing w:line="360" w:lineRule="auto"/>
        <w:ind w:left="0" w:leftChars="0" w:firstLine="420" w:firstLineChars="200"/>
        <w:rPr>
          <w:rFonts w:hint="eastAsia" w:ascii="宋体" w:hAnsi="宋体" w:eastAsia="宋体" w:cs="Times New Roman"/>
          <w:lang w:val="en-US" w:eastAsia="zh-CN"/>
        </w:rPr>
      </w:pPr>
      <w:r>
        <w:rPr>
          <w:rFonts w:hint="eastAsia" w:ascii="宋体" w:hAnsi="宋体" w:eastAsia="宋体" w:cs="Times New Roman"/>
          <w:lang w:val="en-US" w:eastAsia="zh-CN"/>
        </w:rPr>
        <w:t xml:space="preserve">招 标 人：盐津县江河治理工程管理局   </w:t>
      </w:r>
    </w:p>
    <w:p w14:paraId="7E1C785A">
      <w:pPr>
        <w:spacing w:line="360" w:lineRule="auto"/>
        <w:ind w:left="0" w:leftChars="0" w:firstLine="420" w:firstLineChars="200"/>
        <w:rPr>
          <w:rFonts w:hint="eastAsia" w:ascii="宋体" w:hAnsi="宋体" w:eastAsia="宋体" w:cs="Times New Roman"/>
          <w:lang w:val="en-US" w:eastAsia="zh-CN"/>
        </w:rPr>
      </w:pPr>
      <w:r>
        <w:rPr>
          <w:rFonts w:hint="eastAsia" w:ascii="宋体" w:hAnsi="宋体" w:eastAsia="宋体" w:cs="Times New Roman"/>
          <w:lang w:val="en-US" w:eastAsia="zh-CN"/>
        </w:rPr>
        <w:t xml:space="preserve">地    址：盐井镇黄葛槽新区津民路101号     </w:t>
      </w:r>
    </w:p>
    <w:p w14:paraId="7FE28BE2">
      <w:pPr>
        <w:spacing w:line="360" w:lineRule="auto"/>
        <w:ind w:left="0" w:leftChars="0" w:firstLine="420" w:firstLineChars="200"/>
        <w:rPr>
          <w:rFonts w:hint="eastAsia" w:ascii="宋体" w:hAnsi="宋体" w:eastAsia="宋体" w:cs="Times New Roman"/>
          <w:lang w:val="en-US" w:eastAsia="zh-CN"/>
        </w:rPr>
      </w:pPr>
      <w:r>
        <w:rPr>
          <w:rFonts w:hint="eastAsia" w:ascii="宋体" w:hAnsi="宋体" w:eastAsia="宋体" w:cs="Times New Roman"/>
          <w:lang w:val="en-US" w:eastAsia="zh-CN"/>
        </w:rPr>
        <w:t xml:space="preserve">联 系 人：王冲                                              </w:t>
      </w:r>
    </w:p>
    <w:p w14:paraId="7A7BF64D">
      <w:pPr>
        <w:spacing w:line="360" w:lineRule="auto"/>
        <w:ind w:left="0" w:leftChars="0" w:firstLine="420" w:firstLineChars="200"/>
        <w:rPr>
          <w:rFonts w:hint="eastAsia" w:ascii="宋体" w:hAnsi="宋体" w:eastAsia="宋体" w:cs="Times New Roman"/>
          <w:lang w:val="en-US" w:eastAsia="zh-CN"/>
        </w:rPr>
      </w:pPr>
      <w:r>
        <w:rPr>
          <w:rFonts w:hint="eastAsia" w:ascii="宋体" w:hAnsi="宋体" w:eastAsia="宋体" w:cs="Times New Roman"/>
          <w:lang w:val="en-US" w:eastAsia="zh-CN"/>
        </w:rPr>
        <w:t>电    话：</w:t>
      </w:r>
      <w:r>
        <w:rPr>
          <w:rFonts w:hint="eastAsia" w:ascii="宋体" w:hAnsi="宋体" w:cs="Times New Roman"/>
          <w:lang w:val="en-US" w:eastAsia="zh-CN"/>
        </w:rPr>
        <w:t>0870-6621111</w:t>
      </w:r>
    </w:p>
    <w:p w14:paraId="7916B53E">
      <w:pPr>
        <w:spacing w:line="360" w:lineRule="auto"/>
        <w:ind w:left="0" w:leftChars="0" w:firstLine="420" w:firstLineChars="200"/>
        <w:rPr>
          <w:rFonts w:hint="eastAsia" w:ascii="宋体" w:hAnsi="宋体" w:eastAsia="宋体" w:cs="Times New Roman"/>
          <w:lang w:val="zh-CN" w:eastAsia="zh-CN"/>
        </w:rPr>
      </w:pPr>
      <w:r>
        <w:rPr>
          <w:rFonts w:hint="eastAsia" w:ascii="宋体" w:hAnsi="宋体" w:eastAsia="宋体" w:cs="Times New Roman"/>
          <w:lang w:val="en-US" w:eastAsia="zh-CN"/>
        </w:rPr>
        <w:t>招标代理</w:t>
      </w:r>
      <w:r>
        <w:rPr>
          <w:rFonts w:hint="eastAsia" w:ascii="宋体" w:hAnsi="宋体" w:eastAsia="宋体" w:cs="Times New Roman"/>
          <w:lang w:val="zh-CN" w:eastAsia="zh-CN"/>
        </w:rPr>
        <w:t>：云南众创益工程项目管理有限公司</w:t>
      </w:r>
    </w:p>
    <w:p w14:paraId="0F3ACC30">
      <w:pPr>
        <w:spacing w:line="360" w:lineRule="auto"/>
        <w:ind w:left="0" w:leftChars="0" w:firstLine="420" w:firstLineChars="200"/>
        <w:rPr>
          <w:rFonts w:hint="eastAsia" w:ascii="宋体" w:hAnsi="宋体" w:eastAsia="宋体" w:cs="Times New Roman"/>
          <w:lang w:val="zh-CN" w:eastAsia="zh-CN"/>
        </w:rPr>
      </w:pPr>
      <w:r>
        <w:rPr>
          <w:rFonts w:hint="eastAsia" w:ascii="宋体" w:hAnsi="宋体" w:eastAsia="宋体" w:cs="Times New Roman"/>
          <w:lang w:val="zh-CN" w:eastAsia="zh-CN"/>
        </w:rPr>
        <w:t>地    址：昭阳区二环东路（瓦窑河）凡舍小院</w:t>
      </w:r>
    </w:p>
    <w:p w14:paraId="4615C0B8">
      <w:pPr>
        <w:spacing w:line="360" w:lineRule="auto"/>
        <w:ind w:left="0" w:leftChars="0" w:firstLine="420" w:firstLineChars="200"/>
        <w:rPr>
          <w:rFonts w:hint="eastAsia" w:ascii="宋体" w:hAnsi="宋体" w:eastAsia="宋体" w:cs="Times New Roman"/>
          <w:lang w:val="zh-CN" w:eastAsia="zh-CN"/>
        </w:rPr>
      </w:pPr>
      <w:r>
        <w:rPr>
          <w:rFonts w:hint="eastAsia" w:ascii="宋体" w:hAnsi="宋体" w:eastAsia="宋体" w:cs="Times New Roman"/>
          <w:lang w:val="zh-CN" w:eastAsia="zh-CN"/>
        </w:rPr>
        <w:t>联 系 人：邢永成</w:t>
      </w:r>
    </w:p>
    <w:p w14:paraId="55F09D44">
      <w:pPr>
        <w:spacing w:line="360" w:lineRule="auto"/>
        <w:ind w:left="0" w:leftChars="0" w:firstLine="420" w:firstLineChars="200"/>
        <w:rPr>
          <w:rFonts w:hint="eastAsia" w:ascii="宋体" w:hAnsi="宋体" w:eastAsia="宋体" w:cs="Times New Roman"/>
          <w:lang w:val="zh-CN" w:eastAsia="zh-CN"/>
        </w:rPr>
      </w:pPr>
      <w:r>
        <w:rPr>
          <w:rFonts w:hint="eastAsia" w:ascii="宋体" w:hAnsi="宋体" w:eastAsia="宋体" w:cs="Times New Roman"/>
          <w:lang w:val="zh-CN" w:eastAsia="zh-CN"/>
        </w:rPr>
        <w:t>电    话：19187653317</w:t>
      </w:r>
    </w:p>
    <w:p w14:paraId="040E9A01">
      <w:pPr>
        <w:spacing w:line="360" w:lineRule="auto"/>
        <w:ind w:left="0" w:leftChars="0" w:firstLine="420" w:firstLineChars="200"/>
        <w:rPr>
          <w:rFonts w:hint="eastAsia" w:ascii="宋体" w:hAnsi="宋体" w:eastAsia="宋体" w:cs="宋体"/>
        </w:rPr>
      </w:pPr>
      <w:r>
        <w:rPr>
          <w:rFonts w:hint="eastAsia" w:ascii="宋体" w:hAnsi="宋体" w:eastAsia="宋体" w:cs="宋体"/>
        </w:rPr>
        <w:br w:type="page"/>
      </w:r>
    </w:p>
    <w:p w14:paraId="7E766694">
      <w:pPr>
        <w:spacing w:line="360" w:lineRule="auto"/>
        <w:ind w:left="5250" w:hanging="5250" w:hangingChars="2500"/>
        <w:rPr>
          <w:rFonts w:hint="eastAsia" w:ascii="宋体" w:hAnsi="宋体" w:eastAsia="宋体"/>
          <w:lang w:eastAsia="zh-CN"/>
        </w:rPr>
      </w:pPr>
    </w:p>
    <w:bookmarkEnd w:id="12"/>
    <w:bookmarkEnd w:id="13"/>
    <w:p w14:paraId="3A42EBAF">
      <w:pPr>
        <w:widowControl/>
        <w:autoSpaceDE/>
        <w:autoSpaceDN/>
        <w:spacing w:after="0" w:line="240" w:lineRule="auto"/>
        <w:jc w:val="center"/>
        <w:rPr>
          <w:rFonts w:hint="eastAsia" w:ascii="宋体" w:eastAsia="宋体" w:cs="宋体"/>
          <w:b/>
          <w:color w:val="auto"/>
          <w:sz w:val="32"/>
          <w:szCs w:val="32"/>
          <w:highlight w:val="none"/>
        </w:rPr>
      </w:pPr>
      <w:r>
        <w:rPr>
          <w:rFonts w:hint="eastAsia" w:ascii="宋体" w:eastAsia="宋体" w:cs="宋体"/>
          <w:b/>
          <w:color w:val="auto"/>
          <w:sz w:val="32"/>
          <w:szCs w:val="32"/>
          <w:highlight w:val="none"/>
          <w:lang w:val="en-US" w:eastAsia="zh-CN"/>
        </w:rPr>
        <w:t>总承包现场</w:t>
      </w:r>
      <w:r>
        <w:rPr>
          <w:rFonts w:hint="eastAsia" w:ascii="宋体" w:eastAsia="宋体" w:cs="宋体"/>
          <w:b/>
          <w:color w:val="auto"/>
          <w:sz w:val="32"/>
          <w:szCs w:val="32"/>
          <w:highlight w:val="none"/>
        </w:rPr>
        <w:t>专业（管理）人员配备</w:t>
      </w:r>
      <w:r>
        <w:rPr>
          <w:rFonts w:hint="eastAsia" w:ascii="宋体" w:eastAsia="宋体" w:cs="宋体"/>
          <w:b/>
          <w:color w:val="auto"/>
          <w:sz w:val="32"/>
          <w:szCs w:val="32"/>
          <w:highlight w:val="none"/>
          <w:lang w:val="en-US" w:eastAsia="zh-CN"/>
        </w:rPr>
        <w:t>要求</w:t>
      </w:r>
      <w:r>
        <w:rPr>
          <w:rFonts w:hint="eastAsia" w:ascii="宋体" w:eastAsia="宋体" w:cs="宋体"/>
          <w:b/>
          <w:color w:val="auto"/>
          <w:sz w:val="32"/>
          <w:szCs w:val="32"/>
          <w:highlight w:val="none"/>
        </w:rPr>
        <w:t>表</w:t>
      </w:r>
    </w:p>
    <w:tbl>
      <w:tblPr>
        <w:tblStyle w:val="73"/>
        <w:tblW w:w="9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33"/>
        <w:gridCol w:w="1863"/>
        <w:gridCol w:w="2137"/>
        <w:gridCol w:w="1943"/>
        <w:gridCol w:w="1867"/>
      </w:tblGrid>
      <w:tr w14:paraId="49535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1526" w:type="dxa"/>
            <w:tcBorders>
              <w:top w:val="single" w:color="000000" w:sz="4" w:space="0"/>
              <w:left w:val="single" w:color="000000" w:sz="4" w:space="0"/>
              <w:bottom w:val="single" w:color="000000" w:sz="4" w:space="0"/>
              <w:right w:val="single" w:color="000000" w:sz="4" w:space="0"/>
            </w:tcBorders>
            <w:noWrap/>
          </w:tcPr>
          <w:p w14:paraId="589ECA11">
            <w:pPr>
              <w:spacing w:line="240" w:lineRule="auto"/>
              <w:jc w:val="center"/>
              <w:rPr>
                <w:rFonts w:hint="eastAsia" w:ascii="宋体" w:eastAsia="宋体" w:cs="宋体"/>
                <w:color w:val="auto"/>
                <w:sz w:val="24"/>
                <w:szCs w:val="32"/>
                <w:highlight w:val="none"/>
              </w:rPr>
            </w:pPr>
            <w:r>
              <w:rPr>
                <w:rFonts w:hint="eastAsia" w:ascii="宋体" w:eastAsia="宋体" w:cs="宋体"/>
                <w:color w:val="auto"/>
                <w:sz w:val="24"/>
                <w:szCs w:val="32"/>
                <w:highlight w:val="none"/>
              </w:rPr>
              <w:t>专业岗位</w:t>
            </w:r>
          </w:p>
        </w:tc>
        <w:tc>
          <w:tcPr>
            <w:tcW w:w="1854" w:type="dxa"/>
            <w:tcBorders>
              <w:top w:val="single" w:color="000000" w:sz="4" w:space="0"/>
              <w:left w:val="single" w:color="000000" w:sz="4" w:space="0"/>
              <w:bottom w:val="single" w:color="000000" w:sz="4" w:space="0"/>
              <w:right w:val="single" w:color="000000" w:sz="4" w:space="0"/>
            </w:tcBorders>
            <w:noWrap/>
          </w:tcPr>
          <w:p w14:paraId="3B6B5D25">
            <w:pPr>
              <w:spacing w:line="240" w:lineRule="auto"/>
              <w:jc w:val="center"/>
              <w:rPr>
                <w:rFonts w:hint="eastAsia" w:ascii="宋体" w:eastAsia="宋体" w:cs="宋体"/>
                <w:color w:val="auto"/>
                <w:sz w:val="24"/>
                <w:szCs w:val="32"/>
                <w:highlight w:val="none"/>
              </w:rPr>
            </w:pPr>
            <w:r>
              <w:rPr>
                <w:rFonts w:hint="eastAsia" w:ascii="宋体" w:eastAsia="宋体" w:cs="宋体"/>
                <w:color w:val="auto"/>
                <w:sz w:val="24"/>
                <w:szCs w:val="32"/>
                <w:highlight w:val="none"/>
              </w:rPr>
              <w:t>人员数量最低要求</w:t>
            </w:r>
          </w:p>
        </w:tc>
        <w:tc>
          <w:tcPr>
            <w:tcW w:w="2126" w:type="dxa"/>
            <w:tcBorders>
              <w:top w:val="single" w:color="000000" w:sz="4" w:space="0"/>
              <w:left w:val="single" w:color="000000" w:sz="4" w:space="0"/>
              <w:bottom w:val="single" w:color="000000" w:sz="4" w:space="0"/>
              <w:right w:val="single" w:color="000000" w:sz="4" w:space="0"/>
            </w:tcBorders>
            <w:noWrap/>
          </w:tcPr>
          <w:p w14:paraId="2327434E">
            <w:pPr>
              <w:spacing w:line="240" w:lineRule="auto"/>
              <w:jc w:val="center"/>
              <w:rPr>
                <w:rFonts w:hint="eastAsia" w:ascii="宋体" w:eastAsia="宋体" w:cs="宋体"/>
                <w:color w:val="auto"/>
                <w:sz w:val="24"/>
                <w:szCs w:val="32"/>
                <w:highlight w:val="none"/>
              </w:rPr>
            </w:pPr>
            <w:r>
              <w:rPr>
                <w:rFonts w:hint="eastAsia" w:ascii="宋体" w:eastAsia="宋体" w:cs="宋体"/>
                <w:color w:val="auto"/>
                <w:sz w:val="24"/>
                <w:szCs w:val="32"/>
                <w:highlight w:val="none"/>
              </w:rPr>
              <w:t>岗位资格要求</w:t>
            </w:r>
          </w:p>
        </w:tc>
        <w:tc>
          <w:tcPr>
            <w:tcW w:w="1933" w:type="dxa"/>
            <w:tcBorders>
              <w:top w:val="single" w:color="000000" w:sz="4" w:space="0"/>
              <w:left w:val="single" w:color="000000" w:sz="4" w:space="0"/>
              <w:bottom w:val="single" w:color="000000" w:sz="4" w:space="0"/>
              <w:right w:val="single" w:color="000000" w:sz="4" w:space="0"/>
            </w:tcBorders>
            <w:noWrap/>
          </w:tcPr>
          <w:p w14:paraId="693E2609">
            <w:pPr>
              <w:spacing w:line="240" w:lineRule="auto"/>
              <w:jc w:val="center"/>
              <w:rPr>
                <w:rFonts w:hint="eastAsia" w:ascii="宋体" w:eastAsia="宋体" w:cs="宋体"/>
                <w:color w:val="auto"/>
                <w:sz w:val="24"/>
                <w:szCs w:val="32"/>
                <w:highlight w:val="none"/>
              </w:rPr>
            </w:pPr>
            <w:r>
              <w:rPr>
                <w:rFonts w:hint="eastAsia" w:ascii="宋体" w:eastAsia="宋体" w:cs="宋体"/>
                <w:color w:val="auto"/>
                <w:sz w:val="24"/>
                <w:szCs w:val="32"/>
                <w:highlight w:val="none"/>
              </w:rPr>
              <w:t>岗位要求</w:t>
            </w:r>
          </w:p>
        </w:tc>
        <w:tc>
          <w:tcPr>
            <w:tcW w:w="1858" w:type="dxa"/>
            <w:tcBorders>
              <w:top w:val="single" w:color="000000" w:sz="4" w:space="0"/>
              <w:left w:val="single" w:color="000000" w:sz="4" w:space="0"/>
              <w:bottom w:val="single" w:color="000000" w:sz="4" w:space="0"/>
              <w:right w:val="single" w:color="000000" w:sz="4" w:space="0"/>
            </w:tcBorders>
            <w:noWrap/>
          </w:tcPr>
          <w:p w14:paraId="5127A906">
            <w:pPr>
              <w:spacing w:line="240" w:lineRule="auto"/>
              <w:jc w:val="center"/>
              <w:rPr>
                <w:rFonts w:hint="eastAsia" w:ascii="宋体" w:eastAsia="宋体" w:cs="宋体"/>
                <w:color w:val="auto"/>
                <w:sz w:val="24"/>
                <w:szCs w:val="32"/>
                <w:highlight w:val="none"/>
              </w:rPr>
            </w:pPr>
            <w:r>
              <w:rPr>
                <w:rFonts w:hint="eastAsia" w:ascii="宋体" w:eastAsia="宋体" w:cs="宋体"/>
                <w:color w:val="auto"/>
                <w:sz w:val="24"/>
                <w:szCs w:val="32"/>
                <w:highlight w:val="none"/>
              </w:rPr>
              <w:t>备注</w:t>
            </w:r>
          </w:p>
        </w:tc>
      </w:tr>
      <w:tr w14:paraId="5240C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2" w:hRule="atLeast"/>
          <w:jc w:val="center"/>
        </w:trPr>
        <w:tc>
          <w:tcPr>
            <w:tcW w:w="1526" w:type="dxa"/>
            <w:tcBorders>
              <w:top w:val="single" w:color="000000" w:sz="4" w:space="0"/>
              <w:left w:val="single" w:color="000000" w:sz="4" w:space="0"/>
              <w:bottom w:val="single" w:color="000000" w:sz="4" w:space="0"/>
              <w:right w:val="single" w:color="000000" w:sz="4" w:space="0"/>
            </w:tcBorders>
            <w:noWrap/>
            <w:vAlign w:val="top"/>
          </w:tcPr>
          <w:p w14:paraId="5AC01AB5">
            <w:pPr>
              <w:spacing w:line="240" w:lineRule="auto"/>
              <w:jc w:val="center"/>
              <w:rPr>
                <w:rFonts w:hint="eastAsia" w:ascii="宋体" w:eastAsia="宋体" w:cs="宋体"/>
                <w:b/>
                <w:bCs/>
                <w:color w:val="auto"/>
                <w:sz w:val="24"/>
                <w:szCs w:val="32"/>
                <w:highlight w:val="none"/>
              </w:rPr>
            </w:pPr>
            <w:r>
              <w:rPr>
                <w:rFonts w:hint="eastAsia" w:ascii="宋体" w:eastAsia="宋体" w:cs="宋体"/>
                <w:b/>
                <w:bCs/>
                <w:color w:val="auto"/>
                <w:sz w:val="24"/>
                <w:szCs w:val="32"/>
                <w:highlight w:val="none"/>
              </w:rPr>
              <w:t>项目负责人</w:t>
            </w:r>
          </w:p>
        </w:tc>
        <w:tc>
          <w:tcPr>
            <w:tcW w:w="1854" w:type="dxa"/>
            <w:tcBorders>
              <w:top w:val="single" w:color="000000" w:sz="4" w:space="0"/>
              <w:left w:val="single" w:color="000000" w:sz="4" w:space="0"/>
              <w:bottom w:val="single" w:color="000000" w:sz="4" w:space="0"/>
              <w:right w:val="single" w:color="000000" w:sz="4" w:space="0"/>
            </w:tcBorders>
            <w:noWrap/>
            <w:vAlign w:val="top"/>
          </w:tcPr>
          <w:p w14:paraId="0EBB666E">
            <w:pPr>
              <w:spacing w:line="240" w:lineRule="auto"/>
              <w:rPr>
                <w:rFonts w:hint="eastAsia" w:ascii="宋体" w:eastAsia="宋体" w:cs="宋体"/>
                <w:color w:val="auto"/>
                <w:sz w:val="24"/>
                <w:szCs w:val="32"/>
                <w:highlight w:val="none"/>
                <w:u w:val="single"/>
              </w:rPr>
            </w:pP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input538 \* MERGEFORMAT</w:instrText>
            </w:r>
            <w:r>
              <w:rPr>
                <w:rFonts w:hint="eastAsia" w:ascii="宋体" w:eastAsia="宋体" w:cs="宋体"/>
                <w:color w:val="auto"/>
                <w:highlight w:val="none"/>
              </w:rPr>
              <w:fldChar w:fldCharType="separate"/>
            </w:r>
            <w:r>
              <w:rPr>
                <w:rFonts w:hint="eastAsia" w:ascii="宋体" w:eastAsia="宋体" w:cs="宋体"/>
                <w:color w:val="auto"/>
                <w:sz w:val="24"/>
                <w:szCs w:val="32"/>
                <w:highlight w:val="none"/>
                <w:u w:val="single"/>
              </w:rPr>
              <w:t>1</w:t>
            </w:r>
            <w:r>
              <w:rPr>
                <w:rFonts w:hint="eastAsia" w:ascii="宋体" w:eastAsia="宋体" w:cs="宋体"/>
                <w:color w:val="auto"/>
                <w:sz w:val="24"/>
                <w:szCs w:val="32"/>
                <w:highlight w:val="none"/>
                <w:u w:val="single"/>
              </w:rPr>
              <w:fldChar w:fldCharType="end"/>
            </w:r>
          </w:p>
        </w:tc>
        <w:tc>
          <w:tcPr>
            <w:tcW w:w="2126" w:type="dxa"/>
            <w:tcBorders>
              <w:top w:val="single" w:color="000000" w:sz="4" w:space="0"/>
              <w:left w:val="single" w:color="000000" w:sz="4" w:space="0"/>
              <w:bottom w:val="single" w:color="000000" w:sz="4" w:space="0"/>
              <w:right w:val="single" w:color="000000" w:sz="4" w:space="0"/>
            </w:tcBorders>
            <w:noWrap/>
            <w:vAlign w:val="top"/>
          </w:tcPr>
          <w:p w14:paraId="25EEC889">
            <w:pPr>
              <w:spacing w:line="240" w:lineRule="auto"/>
              <w:jc w:val="center"/>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p>
        </w:tc>
        <w:tc>
          <w:tcPr>
            <w:tcW w:w="1933" w:type="dxa"/>
            <w:tcBorders>
              <w:top w:val="single" w:color="000000" w:sz="4" w:space="0"/>
              <w:left w:val="single" w:color="000000" w:sz="4" w:space="0"/>
              <w:bottom w:val="single" w:color="000000" w:sz="4" w:space="0"/>
              <w:right w:val="single" w:color="000000" w:sz="4" w:space="0"/>
            </w:tcBorders>
            <w:noWrap/>
            <w:vAlign w:val="top"/>
          </w:tcPr>
          <w:p w14:paraId="491F5343">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专职</w:t>
            </w:r>
          </w:p>
        </w:tc>
        <w:tc>
          <w:tcPr>
            <w:tcW w:w="1858" w:type="dxa"/>
            <w:vMerge w:val="restart"/>
            <w:tcBorders>
              <w:top w:val="single" w:color="000000" w:sz="4" w:space="0"/>
              <w:left w:val="single" w:color="000000" w:sz="4" w:space="0"/>
              <w:bottom w:val="single" w:color="000000" w:sz="4" w:space="0"/>
              <w:right w:val="single" w:color="000000" w:sz="4" w:space="0"/>
            </w:tcBorders>
            <w:noWrap/>
          </w:tcPr>
          <w:p w14:paraId="7205BD04">
            <w:pPr>
              <w:spacing w:line="240" w:lineRule="auto"/>
              <w:rPr>
                <w:rFonts w:hint="eastAsia" w:ascii="宋体" w:eastAsia="宋体" w:cs="宋体"/>
                <w:color w:val="auto"/>
                <w:sz w:val="24"/>
                <w:szCs w:val="32"/>
                <w:highlight w:val="none"/>
                <w:lang w:val="en-US" w:eastAsia="zh-CN"/>
              </w:rPr>
            </w:pPr>
          </w:p>
          <w:p w14:paraId="661620C7">
            <w:pPr>
              <w:spacing w:line="240" w:lineRule="auto"/>
              <w:rPr>
                <w:rFonts w:hint="eastAsia" w:ascii="宋体" w:eastAsia="宋体" w:cs="宋体"/>
                <w:color w:val="auto"/>
                <w:sz w:val="24"/>
                <w:szCs w:val="32"/>
                <w:highlight w:val="none"/>
                <w:lang w:val="en-US" w:eastAsia="zh-CN"/>
              </w:rPr>
            </w:pPr>
          </w:p>
          <w:p w14:paraId="11DF40F5">
            <w:pPr>
              <w:spacing w:line="240" w:lineRule="auto"/>
              <w:rPr>
                <w:rFonts w:hint="eastAsia" w:ascii="宋体" w:eastAsia="宋体" w:cs="宋体"/>
                <w:color w:val="auto"/>
                <w:sz w:val="24"/>
                <w:szCs w:val="32"/>
                <w:highlight w:val="none"/>
                <w:lang w:val="en-US" w:eastAsia="zh-CN"/>
              </w:rPr>
            </w:pPr>
          </w:p>
          <w:p w14:paraId="261F95AC">
            <w:pPr>
              <w:spacing w:line="240" w:lineRule="auto"/>
              <w:rPr>
                <w:rFonts w:hint="eastAsia" w:ascii="宋体" w:eastAsia="宋体" w:cs="宋体"/>
                <w:b/>
                <w:bCs/>
                <w:color w:val="auto"/>
                <w:sz w:val="24"/>
                <w:szCs w:val="32"/>
                <w:highlight w:val="none"/>
                <w:lang w:val="en-US" w:eastAsia="zh-CN"/>
              </w:rPr>
            </w:pPr>
            <w:r>
              <w:rPr>
                <w:rFonts w:hint="eastAsia" w:ascii="宋体" w:eastAsia="宋体" w:cs="宋体"/>
                <w:b/>
                <w:bCs/>
                <w:color w:val="auto"/>
                <w:sz w:val="24"/>
                <w:szCs w:val="32"/>
                <w:highlight w:val="none"/>
              </w:rPr>
              <w:fldChar w:fldCharType="begin"/>
            </w:r>
            <w:r>
              <w:rPr>
                <w:rFonts w:hint="eastAsia" w:ascii="宋体" w:eastAsia="宋体" w:cs="宋体"/>
                <w:b/>
                <w:bCs/>
                <w:color w:val="auto"/>
                <w:sz w:val="24"/>
                <w:szCs w:val="32"/>
                <w:highlight w:val="none"/>
              </w:rPr>
              <w:instrText xml:space="preserve">AUTOTEXT  input543 \* MERGEFORMAT</w:instrText>
            </w:r>
            <w:r>
              <w:rPr>
                <w:rFonts w:hint="eastAsia" w:ascii="宋体" w:eastAsia="宋体" w:cs="宋体"/>
                <w:b/>
                <w:bCs/>
                <w:color w:val="auto"/>
                <w:sz w:val="24"/>
                <w:szCs w:val="32"/>
                <w:highlight w:val="none"/>
              </w:rPr>
              <w:fldChar w:fldCharType="separate"/>
            </w:r>
            <w:r>
              <w:rPr>
                <w:rFonts w:hint="eastAsia" w:ascii="宋体" w:eastAsia="宋体" w:cs="宋体"/>
                <w:b/>
                <w:bCs/>
                <w:color w:val="auto"/>
                <w:sz w:val="24"/>
                <w:szCs w:val="32"/>
                <w:highlight w:val="none"/>
              </w:rPr>
              <w:fldChar w:fldCharType="end"/>
            </w:r>
          </w:p>
          <w:p w14:paraId="5E6FE3DA">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u w:val="single"/>
              </w:rPr>
              <w:fldChar w:fldCharType="begin"/>
            </w:r>
            <w:r>
              <w:rPr>
                <w:rFonts w:hint="eastAsia" w:ascii="宋体" w:eastAsia="宋体" w:cs="宋体"/>
                <w:color w:val="auto"/>
                <w:sz w:val="24"/>
                <w:szCs w:val="32"/>
                <w:highlight w:val="none"/>
                <w:u w:val="single"/>
              </w:rPr>
              <w:instrText xml:space="preserve">AUTOTEXT  input549 \* MERGEFORMAT</w:instrText>
            </w:r>
            <w:r>
              <w:rPr>
                <w:rFonts w:hint="eastAsia" w:ascii="宋体" w:eastAsia="宋体" w:cs="宋体"/>
                <w:color w:val="auto"/>
                <w:sz w:val="24"/>
                <w:szCs w:val="32"/>
                <w:highlight w:val="none"/>
                <w:u w:val="single"/>
              </w:rPr>
              <w:fldChar w:fldCharType="separate"/>
            </w:r>
            <w:r>
              <w:rPr>
                <w:rFonts w:hint="eastAsia" w:ascii="宋体" w:eastAsia="宋体" w:cs="宋体"/>
                <w:color w:val="auto"/>
                <w:sz w:val="24"/>
                <w:szCs w:val="32"/>
                <w:highlight w:val="none"/>
                <w:u w:val="single"/>
              </w:rPr>
              <w:fldChar w:fldCharType="end"/>
            </w:r>
            <w:r>
              <w:rPr>
                <w:rFonts w:hint="eastAsia" w:ascii="宋体" w:eastAsia="宋体" w:cs="宋体"/>
                <w:color w:val="auto"/>
                <w:sz w:val="24"/>
                <w:szCs w:val="32"/>
                <w:highlight w:val="none"/>
                <w:u w:val="single"/>
              </w:rPr>
              <w:fldChar w:fldCharType="begin"/>
            </w:r>
            <w:r>
              <w:rPr>
                <w:rFonts w:hint="eastAsia" w:ascii="宋体" w:eastAsia="宋体" w:cs="宋体"/>
                <w:color w:val="auto"/>
                <w:sz w:val="24"/>
                <w:szCs w:val="32"/>
                <w:highlight w:val="none"/>
                <w:u w:val="single"/>
              </w:rPr>
              <w:instrText xml:space="preserve">AUTOTEXT  input567 \* MERGEFORMAT</w:instrText>
            </w:r>
            <w:r>
              <w:rPr>
                <w:rFonts w:hint="eastAsia" w:ascii="宋体" w:eastAsia="宋体" w:cs="宋体"/>
                <w:color w:val="auto"/>
                <w:sz w:val="24"/>
                <w:szCs w:val="32"/>
                <w:highlight w:val="none"/>
                <w:u w:val="single"/>
              </w:rPr>
              <w:fldChar w:fldCharType="separate"/>
            </w:r>
            <w:r>
              <w:rPr>
                <w:rFonts w:hint="eastAsia" w:ascii="宋体" w:eastAsia="宋体" w:cs="宋体"/>
                <w:color w:val="auto"/>
                <w:sz w:val="24"/>
                <w:szCs w:val="32"/>
                <w:highlight w:val="none"/>
                <w:u w:val="single"/>
              </w:rPr>
              <w:fldChar w:fldCharType="end"/>
            </w:r>
            <w:r>
              <w:rPr>
                <w:rFonts w:hint="eastAsia" w:ascii="宋体" w:eastAsia="宋体" w:cs="宋体"/>
                <w:color w:val="auto"/>
                <w:sz w:val="24"/>
                <w:szCs w:val="32"/>
                <w:highlight w:val="none"/>
                <w:u w:val="single"/>
              </w:rPr>
              <w:fldChar w:fldCharType="begin"/>
            </w:r>
            <w:r>
              <w:rPr>
                <w:rFonts w:hint="eastAsia" w:ascii="宋体" w:eastAsia="宋体" w:cs="宋体"/>
                <w:color w:val="auto"/>
                <w:sz w:val="24"/>
                <w:szCs w:val="32"/>
                <w:highlight w:val="none"/>
                <w:u w:val="single"/>
              </w:rPr>
              <w:instrText xml:space="preserve">AUTOTEXT  input591 \* MERGEFORMAT</w:instrText>
            </w:r>
            <w:r>
              <w:rPr>
                <w:rFonts w:hint="eastAsia" w:ascii="宋体" w:eastAsia="宋体" w:cs="宋体"/>
                <w:color w:val="auto"/>
                <w:sz w:val="24"/>
                <w:szCs w:val="32"/>
                <w:highlight w:val="none"/>
                <w:u w:val="single"/>
              </w:rPr>
              <w:fldChar w:fldCharType="separate"/>
            </w:r>
            <w:r>
              <w:rPr>
                <w:rFonts w:hint="eastAsia" w:ascii="宋体" w:eastAsia="宋体" w:cs="宋体"/>
                <w:color w:val="auto"/>
                <w:sz w:val="24"/>
                <w:szCs w:val="32"/>
                <w:highlight w:val="none"/>
                <w:u w:val="single"/>
              </w:rPr>
              <w:fldChar w:fldCharType="end"/>
            </w:r>
            <w:r>
              <w:rPr>
                <w:rFonts w:hint="eastAsia" w:ascii="宋体" w:eastAsia="宋体" w:cs="宋体"/>
                <w:color w:val="auto"/>
                <w:sz w:val="24"/>
                <w:szCs w:val="32"/>
                <w:highlight w:val="none"/>
                <w:u w:val="single"/>
              </w:rPr>
              <w:fldChar w:fldCharType="begin"/>
            </w:r>
            <w:r>
              <w:rPr>
                <w:rFonts w:hint="eastAsia" w:ascii="宋体" w:eastAsia="宋体" w:cs="宋体"/>
                <w:color w:val="auto"/>
                <w:sz w:val="24"/>
                <w:szCs w:val="32"/>
                <w:highlight w:val="none"/>
                <w:u w:val="single"/>
              </w:rPr>
              <w:instrText xml:space="preserve">AUTOTEXT  input597 \* MERGEFORMAT</w:instrText>
            </w:r>
            <w:r>
              <w:rPr>
                <w:rFonts w:hint="eastAsia" w:ascii="宋体" w:eastAsia="宋体" w:cs="宋体"/>
                <w:color w:val="auto"/>
                <w:sz w:val="24"/>
                <w:szCs w:val="32"/>
                <w:highlight w:val="none"/>
                <w:u w:val="single"/>
              </w:rPr>
              <w:fldChar w:fldCharType="separate"/>
            </w:r>
            <w:r>
              <w:rPr>
                <w:rFonts w:hint="eastAsia" w:ascii="宋体" w:eastAsia="宋体" w:cs="宋体"/>
                <w:color w:val="auto"/>
                <w:sz w:val="24"/>
                <w:szCs w:val="32"/>
                <w:highlight w:val="none"/>
                <w:u w:val="single"/>
              </w:rPr>
              <w:fldChar w:fldCharType="end"/>
            </w:r>
          </w:p>
        </w:tc>
      </w:tr>
      <w:tr w14:paraId="20CC8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noWrap/>
            <w:vAlign w:val="top"/>
          </w:tcPr>
          <w:p w14:paraId="2B4F8B84">
            <w:pPr>
              <w:spacing w:line="240" w:lineRule="auto"/>
              <w:jc w:val="center"/>
              <w:rPr>
                <w:rFonts w:hint="eastAsia" w:ascii="宋体" w:eastAsia="宋体" w:cs="宋体"/>
                <w:b/>
                <w:bCs/>
                <w:color w:val="auto"/>
                <w:sz w:val="24"/>
                <w:szCs w:val="32"/>
                <w:highlight w:val="none"/>
              </w:rPr>
            </w:pPr>
            <w:r>
              <w:rPr>
                <w:rFonts w:hint="eastAsia" w:ascii="宋体" w:eastAsia="宋体" w:cs="宋体"/>
                <w:b/>
                <w:bCs/>
                <w:color w:val="auto"/>
                <w:sz w:val="24"/>
                <w:szCs w:val="32"/>
                <w:highlight w:val="none"/>
              </w:rPr>
              <w:t>技术负责人</w:t>
            </w:r>
          </w:p>
        </w:tc>
        <w:tc>
          <w:tcPr>
            <w:tcW w:w="1854" w:type="dxa"/>
            <w:tcBorders>
              <w:top w:val="single" w:color="000000" w:sz="4" w:space="0"/>
              <w:left w:val="single" w:color="000000" w:sz="4" w:space="0"/>
              <w:bottom w:val="single" w:color="000000" w:sz="4" w:space="0"/>
              <w:right w:val="single" w:color="000000" w:sz="4" w:space="0"/>
            </w:tcBorders>
            <w:noWrap/>
            <w:vAlign w:val="top"/>
          </w:tcPr>
          <w:p w14:paraId="1AD9D39D">
            <w:pPr>
              <w:spacing w:line="240" w:lineRule="auto"/>
              <w:rPr>
                <w:rFonts w:hint="eastAsia" w:ascii="宋体" w:eastAsia="宋体" w:cs="宋体"/>
                <w:color w:val="auto"/>
                <w:sz w:val="24"/>
                <w:szCs w:val="32"/>
                <w:highlight w:val="none"/>
              </w:rPr>
            </w:pP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input538 \* MERGEFORMAT</w:instrText>
            </w:r>
            <w:r>
              <w:rPr>
                <w:rFonts w:hint="eastAsia" w:ascii="宋体" w:eastAsia="宋体" w:cs="宋体"/>
                <w:color w:val="auto"/>
                <w:highlight w:val="none"/>
              </w:rPr>
              <w:fldChar w:fldCharType="separate"/>
            </w:r>
            <w:r>
              <w:rPr>
                <w:rFonts w:hint="eastAsia" w:ascii="宋体" w:eastAsia="宋体" w:cs="宋体"/>
                <w:color w:val="auto"/>
                <w:sz w:val="24"/>
                <w:szCs w:val="32"/>
                <w:highlight w:val="none"/>
                <w:u w:val="single"/>
              </w:rPr>
              <w:t>1</w:t>
            </w:r>
            <w:r>
              <w:rPr>
                <w:rFonts w:hint="eastAsia" w:ascii="宋体" w:eastAsia="宋体" w:cs="宋体"/>
                <w:color w:val="auto"/>
                <w:sz w:val="24"/>
                <w:szCs w:val="32"/>
                <w:highlight w:val="none"/>
                <w:u w:val="single"/>
              </w:rPr>
              <w:fldChar w:fldCharType="end"/>
            </w:r>
          </w:p>
        </w:tc>
        <w:tc>
          <w:tcPr>
            <w:tcW w:w="2126" w:type="dxa"/>
            <w:tcBorders>
              <w:top w:val="single" w:color="000000" w:sz="4" w:space="0"/>
              <w:left w:val="single" w:color="000000" w:sz="4" w:space="0"/>
              <w:bottom w:val="single" w:color="000000" w:sz="4" w:space="0"/>
              <w:right w:val="single" w:color="000000" w:sz="4" w:space="0"/>
            </w:tcBorders>
            <w:noWrap/>
            <w:vAlign w:val="top"/>
          </w:tcPr>
          <w:p w14:paraId="380A77E1">
            <w:pPr>
              <w:spacing w:line="240" w:lineRule="auto"/>
              <w:jc w:val="center"/>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p>
        </w:tc>
        <w:tc>
          <w:tcPr>
            <w:tcW w:w="1933" w:type="dxa"/>
            <w:tcBorders>
              <w:top w:val="single" w:color="000000" w:sz="4" w:space="0"/>
              <w:left w:val="single" w:color="000000" w:sz="4" w:space="0"/>
              <w:bottom w:val="single" w:color="000000" w:sz="4" w:space="0"/>
              <w:right w:val="single" w:color="000000" w:sz="4" w:space="0"/>
            </w:tcBorders>
            <w:noWrap/>
            <w:vAlign w:val="top"/>
          </w:tcPr>
          <w:p w14:paraId="1B01E170">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专职</w:t>
            </w:r>
          </w:p>
        </w:tc>
        <w:tc>
          <w:tcPr>
            <w:tcW w:w="1858" w:type="dxa"/>
            <w:vMerge w:val="continue"/>
            <w:tcBorders>
              <w:top w:val="single" w:color="000000" w:sz="4" w:space="0"/>
              <w:left w:val="single" w:color="000000" w:sz="4" w:space="0"/>
              <w:bottom w:val="single" w:color="000000" w:sz="4" w:space="0"/>
              <w:right w:val="single" w:color="000000" w:sz="4" w:space="0"/>
            </w:tcBorders>
            <w:noWrap/>
          </w:tcPr>
          <w:p w14:paraId="35C17559"/>
        </w:tc>
      </w:tr>
      <w:tr w14:paraId="0BD2A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6" w:hRule="atLeast"/>
          <w:jc w:val="center"/>
        </w:trPr>
        <w:tc>
          <w:tcPr>
            <w:tcW w:w="1526" w:type="dxa"/>
            <w:tcBorders>
              <w:top w:val="single" w:color="000000" w:sz="4" w:space="0"/>
              <w:left w:val="single" w:color="000000" w:sz="4" w:space="0"/>
              <w:bottom w:val="single" w:color="000000" w:sz="4" w:space="0"/>
              <w:right w:val="single" w:color="000000" w:sz="4" w:space="0"/>
            </w:tcBorders>
            <w:noWrap/>
            <w:vAlign w:val="top"/>
          </w:tcPr>
          <w:p w14:paraId="6A7AE1F6">
            <w:pPr>
              <w:spacing w:line="240" w:lineRule="auto"/>
              <w:jc w:val="center"/>
              <w:rPr>
                <w:rFonts w:hint="eastAsia" w:ascii="宋体" w:eastAsia="宋体" w:cs="宋体"/>
                <w:b/>
                <w:bCs/>
                <w:color w:val="auto"/>
                <w:sz w:val="24"/>
                <w:szCs w:val="32"/>
                <w:highlight w:val="none"/>
              </w:rPr>
            </w:pPr>
            <w:r>
              <w:rPr>
                <w:rFonts w:hint="eastAsia" w:ascii="宋体" w:eastAsia="宋体" w:cs="宋体"/>
                <w:b/>
                <w:bCs/>
                <w:color w:val="auto"/>
                <w:sz w:val="24"/>
                <w:szCs w:val="32"/>
                <w:highlight w:val="none"/>
              </w:rPr>
              <w:t>施工员</w:t>
            </w:r>
          </w:p>
        </w:tc>
        <w:tc>
          <w:tcPr>
            <w:tcW w:w="1854" w:type="dxa"/>
            <w:tcBorders>
              <w:top w:val="single" w:color="000000" w:sz="4" w:space="0"/>
              <w:left w:val="single" w:color="000000" w:sz="4" w:space="0"/>
              <w:bottom w:val="single" w:color="000000" w:sz="4" w:space="0"/>
              <w:right w:val="single" w:color="000000" w:sz="4" w:space="0"/>
            </w:tcBorders>
            <w:noWrap/>
            <w:vAlign w:val="top"/>
          </w:tcPr>
          <w:p w14:paraId="04C1702F">
            <w:pPr>
              <w:spacing w:line="240" w:lineRule="auto"/>
              <w:rPr>
                <w:rFonts w:hint="eastAsia" w:ascii="宋体" w:eastAsia="宋体" w:cs="宋体"/>
                <w:color w:val="auto"/>
                <w:sz w:val="24"/>
                <w:szCs w:val="32"/>
                <w:highlight w:val="none"/>
                <w:lang w:eastAsia="zh-CN"/>
              </w:rPr>
            </w:pPr>
            <w:r>
              <w:rPr>
                <w:rFonts w:hint="eastAsia" w:ascii="宋体" w:cs="宋体"/>
                <w:color w:val="auto"/>
                <w:highlight w:val="none"/>
                <w:lang w:val="en-US" w:eastAsia="zh-CN"/>
              </w:rPr>
              <w:t>3</w:t>
            </w:r>
          </w:p>
        </w:tc>
        <w:tc>
          <w:tcPr>
            <w:tcW w:w="2126" w:type="dxa"/>
            <w:tcBorders>
              <w:top w:val="single" w:color="000000" w:sz="4" w:space="0"/>
              <w:left w:val="single" w:color="000000" w:sz="4" w:space="0"/>
              <w:bottom w:val="single" w:color="000000" w:sz="4" w:space="0"/>
              <w:right w:val="single" w:color="000000" w:sz="4" w:space="0"/>
            </w:tcBorders>
            <w:noWrap/>
            <w:vAlign w:val="top"/>
          </w:tcPr>
          <w:p w14:paraId="41F5B4EF">
            <w:pPr>
              <w:spacing w:line="240" w:lineRule="auto"/>
              <w:jc w:val="center"/>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p>
        </w:tc>
        <w:tc>
          <w:tcPr>
            <w:tcW w:w="1933" w:type="dxa"/>
            <w:tcBorders>
              <w:top w:val="single" w:color="000000" w:sz="4" w:space="0"/>
              <w:left w:val="single" w:color="000000" w:sz="4" w:space="0"/>
              <w:bottom w:val="single" w:color="000000" w:sz="4" w:space="0"/>
              <w:right w:val="single" w:color="000000" w:sz="4" w:space="0"/>
            </w:tcBorders>
            <w:noWrap/>
            <w:vAlign w:val="top"/>
          </w:tcPr>
          <w:p w14:paraId="7BBD1E3D">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专职</w:t>
            </w:r>
          </w:p>
        </w:tc>
        <w:tc>
          <w:tcPr>
            <w:tcW w:w="1858" w:type="dxa"/>
            <w:vMerge w:val="continue"/>
            <w:tcBorders>
              <w:top w:val="single" w:color="000000" w:sz="4" w:space="0"/>
              <w:left w:val="single" w:color="000000" w:sz="4" w:space="0"/>
              <w:bottom w:val="single" w:color="000000" w:sz="4" w:space="0"/>
              <w:right w:val="single" w:color="000000" w:sz="4" w:space="0"/>
            </w:tcBorders>
            <w:noWrap/>
          </w:tcPr>
          <w:p w14:paraId="58A816D9"/>
        </w:tc>
      </w:tr>
      <w:tr w14:paraId="11BB3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noWrap/>
            <w:vAlign w:val="top"/>
          </w:tcPr>
          <w:p w14:paraId="3A60A6DA">
            <w:pPr>
              <w:spacing w:line="240" w:lineRule="auto"/>
              <w:jc w:val="center"/>
              <w:rPr>
                <w:rFonts w:hint="eastAsia" w:ascii="宋体" w:eastAsia="宋体" w:cs="宋体"/>
                <w:b/>
                <w:bCs/>
                <w:color w:val="auto"/>
                <w:sz w:val="24"/>
                <w:szCs w:val="32"/>
                <w:highlight w:val="none"/>
              </w:rPr>
            </w:pPr>
            <w:r>
              <w:rPr>
                <w:rFonts w:hint="eastAsia" w:ascii="宋体" w:eastAsia="宋体" w:cs="宋体"/>
                <w:b/>
                <w:bCs/>
                <w:color w:val="auto"/>
                <w:sz w:val="24"/>
                <w:szCs w:val="32"/>
                <w:highlight w:val="none"/>
              </w:rPr>
              <w:t>安全员</w:t>
            </w:r>
          </w:p>
        </w:tc>
        <w:tc>
          <w:tcPr>
            <w:tcW w:w="1854" w:type="dxa"/>
            <w:tcBorders>
              <w:top w:val="single" w:color="000000" w:sz="4" w:space="0"/>
              <w:left w:val="single" w:color="000000" w:sz="4" w:space="0"/>
              <w:bottom w:val="single" w:color="000000" w:sz="4" w:space="0"/>
              <w:right w:val="single" w:color="000000" w:sz="4" w:space="0"/>
            </w:tcBorders>
            <w:noWrap/>
            <w:vAlign w:val="top"/>
          </w:tcPr>
          <w:p w14:paraId="37722A38">
            <w:pPr>
              <w:spacing w:line="240" w:lineRule="auto"/>
              <w:rPr>
                <w:rFonts w:hint="eastAsia" w:ascii="宋体" w:eastAsia="宋体" w:cs="宋体"/>
                <w:color w:val="auto"/>
                <w:sz w:val="24"/>
                <w:szCs w:val="32"/>
                <w:highlight w:val="none"/>
                <w:lang w:eastAsia="zh-CN"/>
              </w:rPr>
            </w:pPr>
            <w:r>
              <w:rPr>
                <w:rFonts w:hint="eastAsia" w:ascii="宋体" w:cs="宋体"/>
                <w:color w:val="auto"/>
                <w:highlight w:val="none"/>
                <w:lang w:val="en-US" w:eastAsia="zh-CN"/>
              </w:rPr>
              <w:t>2</w:t>
            </w:r>
          </w:p>
        </w:tc>
        <w:tc>
          <w:tcPr>
            <w:tcW w:w="2126" w:type="dxa"/>
            <w:tcBorders>
              <w:top w:val="single" w:color="000000" w:sz="4" w:space="0"/>
              <w:left w:val="single" w:color="000000" w:sz="4" w:space="0"/>
              <w:bottom w:val="single" w:color="000000" w:sz="4" w:space="0"/>
              <w:right w:val="single" w:color="000000" w:sz="4" w:space="0"/>
            </w:tcBorders>
            <w:noWrap/>
            <w:vAlign w:val="top"/>
          </w:tcPr>
          <w:p w14:paraId="5A8A02CA">
            <w:pPr>
              <w:spacing w:line="240" w:lineRule="auto"/>
              <w:jc w:val="center"/>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p>
        </w:tc>
        <w:tc>
          <w:tcPr>
            <w:tcW w:w="1933" w:type="dxa"/>
            <w:tcBorders>
              <w:top w:val="single" w:color="000000" w:sz="4" w:space="0"/>
              <w:left w:val="single" w:color="000000" w:sz="4" w:space="0"/>
              <w:bottom w:val="single" w:color="000000" w:sz="4" w:space="0"/>
              <w:right w:val="single" w:color="000000" w:sz="4" w:space="0"/>
            </w:tcBorders>
            <w:noWrap/>
            <w:vAlign w:val="top"/>
          </w:tcPr>
          <w:p w14:paraId="267C7A90">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专职</w:t>
            </w:r>
          </w:p>
        </w:tc>
        <w:tc>
          <w:tcPr>
            <w:tcW w:w="1858" w:type="dxa"/>
            <w:vMerge w:val="continue"/>
            <w:tcBorders>
              <w:top w:val="single" w:color="000000" w:sz="4" w:space="0"/>
              <w:left w:val="single" w:color="000000" w:sz="4" w:space="0"/>
              <w:bottom w:val="single" w:color="000000" w:sz="4" w:space="0"/>
              <w:right w:val="single" w:color="000000" w:sz="4" w:space="0"/>
            </w:tcBorders>
            <w:noWrap/>
          </w:tcPr>
          <w:p w14:paraId="48607AA6"/>
        </w:tc>
      </w:tr>
      <w:tr w14:paraId="59EBD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noWrap/>
            <w:vAlign w:val="top"/>
          </w:tcPr>
          <w:p w14:paraId="49898137">
            <w:pPr>
              <w:spacing w:line="240" w:lineRule="auto"/>
              <w:jc w:val="center"/>
              <w:rPr>
                <w:rFonts w:hint="eastAsia" w:ascii="宋体" w:eastAsia="宋体" w:cs="宋体"/>
                <w:b/>
                <w:bCs/>
                <w:color w:val="auto"/>
                <w:sz w:val="24"/>
                <w:szCs w:val="32"/>
                <w:highlight w:val="none"/>
              </w:rPr>
            </w:pPr>
            <w:r>
              <w:rPr>
                <w:rFonts w:hint="eastAsia" w:ascii="宋体" w:eastAsia="宋体" w:cs="宋体"/>
                <w:b/>
                <w:bCs/>
                <w:color w:val="auto"/>
                <w:sz w:val="24"/>
                <w:szCs w:val="32"/>
                <w:highlight w:val="none"/>
              </w:rPr>
              <w:t>质量员</w:t>
            </w:r>
          </w:p>
        </w:tc>
        <w:tc>
          <w:tcPr>
            <w:tcW w:w="1854" w:type="dxa"/>
            <w:tcBorders>
              <w:top w:val="single" w:color="000000" w:sz="4" w:space="0"/>
              <w:left w:val="single" w:color="000000" w:sz="4" w:space="0"/>
              <w:bottom w:val="single" w:color="000000" w:sz="4" w:space="0"/>
              <w:right w:val="single" w:color="000000" w:sz="4" w:space="0"/>
            </w:tcBorders>
            <w:noWrap/>
            <w:vAlign w:val="top"/>
          </w:tcPr>
          <w:p w14:paraId="0B6889FF">
            <w:pPr>
              <w:spacing w:line="240" w:lineRule="auto"/>
              <w:rPr>
                <w:rFonts w:hint="eastAsia" w:ascii="宋体" w:eastAsia="宋体" w:cs="宋体"/>
                <w:color w:val="auto"/>
                <w:highlight w:val="none"/>
              </w:rPr>
            </w:pP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input538 \* MERGEFORMAT</w:instrText>
            </w:r>
            <w:r>
              <w:rPr>
                <w:rFonts w:hint="eastAsia" w:ascii="宋体" w:eastAsia="宋体" w:cs="宋体"/>
                <w:color w:val="auto"/>
                <w:highlight w:val="none"/>
              </w:rPr>
              <w:fldChar w:fldCharType="separate"/>
            </w:r>
            <w:r>
              <w:rPr>
                <w:rFonts w:hint="eastAsia" w:ascii="宋体" w:eastAsia="宋体" w:cs="宋体"/>
                <w:color w:val="auto"/>
                <w:highlight w:val="none"/>
              </w:rPr>
              <w:t>1</w:t>
            </w:r>
            <w:r>
              <w:rPr>
                <w:rFonts w:hint="eastAsia" w:ascii="宋体" w:eastAsia="宋体" w:cs="宋体"/>
                <w:color w:val="auto"/>
                <w:highlight w:val="none"/>
              </w:rPr>
              <w:fldChar w:fldCharType="end"/>
            </w:r>
          </w:p>
        </w:tc>
        <w:tc>
          <w:tcPr>
            <w:tcW w:w="2126" w:type="dxa"/>
            <w:tcBorders>
              <w:top w:val="single" w:color="000000" w:sz="4" w:space="0"/>
              <w:left w:val="single" w:color="000000" w:sz="4" w:space="0"/>
              <w:bottom w:val="single" w:color="000000" w:sz="4" w:space="0"/>
              <w:right w:val="single" w:color="000000" w:sz="4" w:space="0"/>
            </w:tcBorders>
            <w:noWrap/>
            <w:vAlign w:val="top"/>
          </w:tcPr>
          <w:p w14:paraId="3B2EE2D0">
            <w:pPr>
              <w:spacing w:line="240" w:lineRule="auto"/>
              <w:jc w:val="center"/>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p>
        </w:tc>
        <w:tc>
          <w:tcPr>
            <w:tcW w:w="1933" w:type="dxa"/>
            <w:tcBorders>
              <w:top w:val="single" w:color="000000" w:sz="4" w:space="0"/>
              <w:left w:val="single" w:color="000000" w:sz="4" w:space="0"/>
              <w:bottom w:val="single" w:color="000000" w:sz="4" w:space="0"/>
              <w:right w:val="single" w:color="000000" w:sz="4" w:space="0"/>
            </w:tcBorders>
            <w:noWrap/>
            <w:vAlign w:val="top"/>
          </w:tcPr>
          <w:p w14:paraId="0F371BF0">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专职</w:t>
            </w:r>
          </w:p>
        </w:tc>
        <w:tc>
          <w:tcPr>
            <w:tcW w:w="1858" w:type="dxa"/>
            <w:vMerge w:val="continue"/>
            <w:tcBorders>
              <w:top w:val="single" w:color="000000" w:sz="4" w:space="0"/>
              <w:left w:val="single" w:color="000000" w:sz="4" w:space="0"/>
              <w:bottom w:val="single" w:color="000000" w:sz="4" w:space="0"/>
              <w:right w:val="single" w:color="000000" w:sz="4" w:space="0"/>
            </w:tcBorders>
            <w:noWrap/>
          </w:tcPr>
          <w:p w14:paraId="525C17F8"/>
        </w:tc>
      </w:tr>
      <w:tr w14:paraId="03A30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noWrap/>
            <w:vAlign w:val="top"/>
          </w:tcPr>
          <w:p w14:paraId="62B234BA">
            <w:pPr>
              <w:spacing w:line="240" w:lineRule="auto"/>
              <w:jc w:val="center"/>
              <w:rPr>
                <w:rFonts w:hint="eastAsia" w:ascii="宋体" w:eastAsia="宋体" w:cs="宋体"/>
                <w:b/>
                <w:bCs/>
                <w:color w:val="auto"/>
                <w:sz w:val="24"/>
                <w:szCs w:val="32"/>
                <w:highlight w:val="none"/>
              </w:rPr>
            </w:pPr>
            <w:r>
              <w:rPr>
                <w:rFonts w:hint="eastAsia" w:ascii="宋体" w:eastAsia="宋体" w:cs="宋体"/>
                <w:b/>
                <w:bCs/>
                <w:color w:val="auto"/>
                <w:sz w:val="24"/>
                <w:szCs w:val="32"/>
                <w:highlight w:val="none"/>
              </w:rPr>
              <w:t>标准员</w:t>
            </w:r>
          </w:p>
        </w:tc>
        <w:tc>
          <w:tcPr>
            <w:tcW w:w="1854" w:type="dxa"/>
            <w:tcBorders>
              <w:top w:val="single" w:color="000000" w:sz="4" w:space="0"/>
              <w:left w:val="single" w:color="000000" w:sz="4" w:space="0"/>
              <w:bottom w:val="single" w:color="000000" w:sz="4" w:space="0"/>
              <w:right w:val="single" w:color="000000" w:sz="4" w:space="0"/>
            </w:tcBorders>
            <w:noWrap/>
            <w:vAlign w:val="top"/>
          </w:tcPr>
          <w:p w14:paraId="30A93798">
            <w:pPr>
              <w:spacing w:line="240" w:lineRule="auto"/>
              <w:rPr>
                <w:rFonts w:hint="eastAsia" w:ascii="宋体" w:eastAsia="宋体" w:cs="宋体"/>
                <w:color w:val="auto"/>
                <w:highlight w:val="none"/>
              </w:rPr>
            </w:pP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input538 \* MERGEFORMAT</w:instrText>
            </w:r>
            <w:r>
              <w:rPr>
                <w:rFonts w:hint="eastAsia" w:ascii="宋体" w:eastAsia="宋体" w:cs="宋体"/>
                <w:color w:val="auto"/>
                <w:highlight w:val="none"/>
              </w:rPr>
              <w:fldChar w:fldCharType="separate"/>
            </w:r>
            <w:r>
              <w:rPr>
                <w:rFonts w:hint="eastAsia" w:ascii="宋体" w:eastAsia="宋体" w:cs="宋体"/>
                <w:color w:val="auto"/>
                <w:highlight w:val="none"/>
              </w:rPr>
              <w:t>1</w:t>
            </w:r>
            <w:r>
              <w:rPr>
                <w:rFonts w:hint="eastAsia" w:ascii="宋体" w:eastAsia="宋体" w:cs="宋体"/>
                <w:color w:val="auto"/>
                <w:highlight w:val="none"/>
              </w:rPr>
              <w:fldChar w:fldCharType="end"/>
            </w:r>
          </w:p>
        </w:tc>
        <w:tc>
          <w:tcPr>
            <w:tcW w:w="2126" w:type="dxa"/>
            <w:tcBorders>
              <w:top w:val="single" w:color="000000" w:sz="4" w:space="0"/>
              <w:left w:val="single" w:color="000000" w:sz="4" w:space="0"/>
              <w:bottom w:val="single" w:color="000000" w:sz="4" w:space="0"/>
              <w:right w:val="single" w:color="000000" w:sz="4" w:space="0"/>
            </w:tcBorders>
            <w:noWrap/>
            <w:vAlign w:val="top"/>
          </w:tcPr>
          <w:p w14:paraId="5B9A3C05">
            <w:pPr>
              <w:spacing w:line="240" w:lineRule="auto"/>
              <w:jc w:val="center"/>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p>
        </w:tc>
        <w:tc>
          <w:tcPr>
            <w:tcW w:w="1933" w:type="dxa"/>
            <w:tcBorders>
              <w:top w:val="single" w:color="000000" w:sz="4" w:space="0"/>
              <w:left w:val="single" w:color="000000" w:sz="4" w:space="0"/>
              <w:bottom w:val="single" w:color="000000" w:sz="4" w:space="0"/>
              <w:right w:val="single" w:color="000000" w:sz="4" w:space="0"/>
            </w:tcBorders>
            <w:noWrap/>
            <w:vAlign w:val="top"/>
          </w:tcPr>
          <w:p w14:paraId="2868E789">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专职</w:t>
            </w:r>
            <w:r>
              <w:rPr>
                <w:rFonts w:hint="eastAsia" w:ascii="宋体" w:eastAsia="宋体" w:cs="宋体"/>
                <w:color w:val="auto"/>
                <w:sz w:val="24"/>
                <w:szCs w:val="32"/>
                <w:highlight w:val="none"/>
                <w:lang w:val="en-US" w:eastAsia="zh-CN"/>
              </w:rPr>
              <w:t>或兼</w:t>
            </w:r>
            <w:r>
              <w:rPr>
                <w:rFonts w:hint="eastAsia" w:ascii="宋体" w:eastAsia="宋体" w:cs="宋体"/>
                <w:color w:val="auto"/>
                <w:sz w:val="24"/>
                <w:szCs w:val="32"/>
                <w:highlight w:val="none"/>
              </w:rPr>
              <w:t>职</w:t>
            </w:r>
          </w:p>
        </w:tc>
        <w:tc>
          <w:tcPr>
            <w:tcW w:w="1858" w:type="dxa"/>
            <w:vMerge w:val="continue"/>
            <w:tcBorders>
              <w:top w:val="single" w:color="000000" w:sz="4" w:space="0"/>
              <w:left w:val="single" w:color="000000" w:sz="4" w:space="0"/>
              <w:bottom w:val="single" w:color="000000" w:sz="4" w:space="0"/>
              <w:right w:val="single" w:color="000000" w:sz="4" w:space="0"/>
            </w:tcBorders>
            <w:noWrap/>
          </w:tcPr>
          <w:p w14:paraId="57AD9D00"/>
        </w:tc>
      </w:tr>
      <w:tr w14:paraId="32043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noWrap/>
            <w:vAlign w:val="top"/>
          </w:tcPr>
          <w:p w14:paraId="42742C86">
            <w:pPr>
              <w:spacing w:line="240" w:lineRule="auto"/>
              <w:jc w:val="center"/>
              <w:rPr>
                <w:rFonts w:hint="eastAsia" w:ascii="宋体" w:eastAsia="宋体" w:cs="宋体"/>
                <w:b/>
                <w:bCs/>
                <w:color w:val="auto"/>
                <w:sz w:val="24"/>
                <w:szCs w:val="32"/>
                <w:highlight w:val="none"/>
              </w:rPr>
            </w:pPr>
            <w:r>
              <w:rPr>
                <w:rFonts w:hint="eastAsia" w:ascii="宋体" w:eastAsia="宋体" w:cs="宋体"/>
                <w:b/>
                <w:bCs/>
                <w:color w:val="auto"/>
                <w:sz w:val="24"/>
                <w:szCs w:val="32"/>
                <w:highlight w:val="none"/>
              </w:rPr>
              <w:t>材料员</w:t>
            </w:r>
          </w:p>
        </w:tc>
        <w:tc>
          <w:tcPr>
            <w:tcW w:w="1854" w:type="dxa"/>
            <w:tcBorders>
              <w:top w:val="single" w:color="000000" w:sz="4" w:space="0"/>
              <w:left w:val="single" w:color="000000" w:sz="4" w:space="0"/>
              <w:bottom w:val="single" w:color="000000" w:sz="4" w:space="0"/>
              <w:right w:val="single" w:color="000000" w:sz="4" w:space="0"/>
            </w:tcBorders>
            <w:noWrap/>
            <w:vAlign w:val="top"/>
          </w:tcPr>
          <w:p w14:paraId="30324295">
            <w:pPr>
              <w:spacing w:line="240" w:lineRule="auto"/>
              <w:rPr>
                <w:rFonts w:hint="eastAsia" w:ascii="宋体" w:eastAsia="宋体" w:cs="宋体"/>
                <w:color w:val="auto"/>
                <w:highlight w:val="none"/>
              </w:rPr>
            </w:pP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input538 \* MERGEFORMAT</w:instrText>
            </w:r>
            <w:r>
              <w:rPr>
                <w:rFonts w:hint="eastAsia" w:ascii="宋体" w:eastAsia="宋体" w:cs="宋体"/>
                <w:color w:val="auto"/>
                <w:highlight w:val="none"/>
              </w:rPr>
              <w:fldChar w:fldCharType="separate"/>
            </w:r>
            <w:r>
              <w:rPr>
                <w:rFonts w:hint="eastAsia" w:ascii="宋体" w:eastAsia="宋体" w:cs="宋体"/>
                <w:color w:val="auto"/>
                <w:highlight w:val="none"/>
              </w:rPr>
              <w:t>1</w:t>
            </w:r>
            <w:r>
              <w:rPr>
                <w:rFonts w:hint="eastAsia" w:ascii="宋体" w:eastAsia="宋体" w:cs="宋体"/>
                <w:color w:val="auto"/>
                <w:highlight w:val="none"/>
              </w:rPr>
              <w:fldChar w:fldCharType="end"/>
            </w:r>
          </w:p>
        </w:tc>
        <w:tc>
          <w:tcPr>
            <w:tcW w:w="2126" w:type="dxa"/>
            <w:tcBorders>
              <w:top w:val="single" w:color="000000" w:sz="4" w:space="0"/>
              <w:left w:val="single" w:color="000000" w:sz="4" w:space="0"/>
              <w:bottom w:val="single" w:color="000000" w:sz="4" w:space="0"/>
              <w:right w:val="single" w:color="000000" w:sz="4" w:space="0"/>
            </w:tcBorders>
            <w:noWrap/>
            <w:vAlign w:val="top"/>
          </w:tcPr>
          <w:p w14:paraId="52BDC58D">
            <w:pPr>
              <w:spacing w:line="240" w:lineRule="auto"/>
              <w:jc w:val="center"/>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p>
        </w:tc>
        <w:tc>
          <w:tcPr>
            <w:tcW w:w="1933" w:type="dxa"/>
            <w:tcBorders>
              <w:top w:val="single" w:color="000000" w:sz="4" w:space="0"/>
              <w:left w:val="single" w:color="000000" w:sz="4" w:space="0"/>
              <w:bottom w:val="single" w:color="000000" w:sz="4" w:space="0"/>
              <w:right w:val="single" w:color="000000" w:sz="4" w:space="0"/>
            </w:tcBorders>
            <w:noWrap/>
            <w:vAlign w:val="top"/>
          </w:tcPr>
          <w:p w14:paraId="0F42A4BA">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专职</w:t>
            </w:r>
          </w:p>
        </w:tc>
        <w:tc>
          <w:tcPr>
            <w:tcW w:w="1858" w:type="dxa"/>
            <w:vMerge w:val="continue"/>
            <w:tcBorders>
              <w:top w:val="single" w:color="000000" w:sz="4" w:space="0"/>
              <w:left w:val="single" w:color="000000" w:sz="4" w:space="0"/>
              <w:bottom w:val="single" w:color="000000" w:sz="4" w:space="0"/>
              <w:right w:val="single" w:color="000000" w:sz="4" w:space="0"/>
            </w:tcBorders>
            <w:noWrap/>
          </w:tcPr>
          <w:p w14:paraId="7892BF5B"/>
        </w:tc>
      </w:tr>
      <w:tr w14:paraId="65325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noWrap/>
            <w:vAlign w:val="top"/>
          </w:tcPr>
          <w:p w14:paraId="434BFF15">
            <w:pPr>
              <w:spacing w:line="240" w:lineRule="auto"/>
              <w:jc w:val="center"/>
              <w:rPr>
                <w:rFonts w:hint="eastAsia" w:ascii="宋体" w:eastAsia="宋体" w:cs="宋体"/>
                <w:b/>
                <w:bCs/>
                <w:color w:val="auto"/>
                <w:sz w:val="24"/>
                <w:szCs w:val="32"/>
                <w:highlight w:val="none"/>
              </w:rPr>
            </w:pPr>
            <w:r>
              <w:rPr>
                <w:rFonts w:hint="eastAsia" w:ascii="宋体" w:eastAsia="宋体" w:cs="宋体"/>
                <w:b/>
                <w:bCs/>
                <w:color w:val="auto"/>
                <w:sz w:val="24"/>
                <w:szCs w:val="32"/>
                <w:highlight w:val="none"/>
              </w:rPr>
              <w:t>机械员</w:t>
            </w:r>
          </w:p>
        </w:tc>
        <w:tc>
          <w:tcPr>
            <w:tcW w:w="1854" w:type="dxa"/>
            <w:tcBorders>
              <w:top w:val="single" w:color="000000" w:sz="4" w:space="0"/>
              <w:left w:val="single" w:color="000000" w:sz="4" w:space="0"/>
              <w:bottom w:val="single" w:color="000000" w:sz="4" w:space="0"/>
              <w:right w:val="single" w:color="000000" w:sz="4" w:space="0"/>
            </w:tcBorders>
            <w:noWrap/>
            <w:vAlign w:val="top"/>
          </w:tcPr>
          <w:p w14:paraId="7F9917E9">
            <w:pPr>
              <w:spacing w:line="240" w:lineRule="auto"/>
              <w:rPr>
                <w:rFonts w:hint="eastAsia" w:ascii="宋体" w:eastAsia="宋体" w:cs="宋体"/>
                <w:color w:val="auto"/>
                <w:highlight w:val="none"/>
              </w:rPr>
            </w:pP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input538 \* MERGEFORMAT</w:instrText>
            </w:r>
            <w:r>
              <w:rPr>
                <w:rFonts w:hint="eastAsia" w:ascii="宋体" w:eastAsia="宋体" w:cs="宋体"/>
                <w:color w:val="auto"/>
                <w:highlight w:val="none"/>
              </w:rPr>
              <w:fldChar w:fldCharType="separate"/>
            </w:r>
            <w:r>
              <w:rPr>
                <w:rFonts w:hint="eastAsia" w:ascii="宋体" w:eastAsia="宋体" w:cs="宋体"/>
                <w:color w:val="auto"/>
                <w:highlight w:val="none"/>
              </w:rPr>
              <w:t>1</w:t>
            </w:r>
            <w:r>
              <w:rPr>
                <w:rFonts w:hint="eastAsia" w:ascii="宋体" w:eastAsia="宋体" w:cs="宋体"/>
                <w:color w:val="auto"/>
                <w:highlight w:val="none"/>
              </w:rPr>
              <w:fldChar w:fldCharType="end"/>
            </w:r>
          </w:p>
        </w:tc>
        <w:tc>
          <w:tcPr>
            <w:tcW w:w="2126" w:type="dxa"/>
            <w:tcBorders>
              <w:top w:val="single" w:color="000000" w:sz="4" w:space="0"/>
              <w:left w:val="single" w:color="000000" w:sz="4" w:space="0"/>
              <w:bottom w:val="single" w:color="000000" w:sz="4" w:space="0"/>
              <w:right w:val="single" w:color="000000" w:sz="4" w:space="0"/>
            </w:tcBorders>
            <w:noWrap/>
            <w:vAlign w:val="top"/>
          </w:tcPr>
          <w:p w14:paraId="22A44939">
            <w:pPr>
              <w:spacing w:line="240" w:lineRule="auto"/>
              <w:jc w:val="center"/>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p>
        </w:tc>
        <w:tc>
          <w:tcPr>
            <w:tcW w:w="1933" w:type="dxa"/>
            <w:tcBorders>
              <w:top w:val="single" w:color="000000" w:sz="4" w:space="0"/>
              <w:left w:val="single" w:color="000000" w:sz="4" w:space="0"/>
              <w:bottom w:val="single" w:color="000000" w:sz="4" w:space="0"/>
              <w:right w:val="single" w:color="000000" w:sz="4" w:space="0"/>
            </w:tcBorders>
            <w:noWrap/>
            <w:vAlign w:val="top"/>
          </w:tcPr>
          <w:p w14:paraId="6CC373C8">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专职</w:t>
            </w:r>
            <w:r>
              <w:rPr>
                <w:rFonts w:hint="eastAsia" w:ascii="宋体" w:eastAsia="宋体" w:cs="宋体"/>
                <w:color w:val="auto"/>
                <w:sz w:val="24"/>
                <w:szCs w:val="32"/>
                <w:highlight w:val="none"/>
                <w:lang w:val="en-US" w:eastAsia="zh-CN"/>
              </w:rPr>
              <w:t>或兼</w:t>
            </w:r>
            <w:r>
              <w:rPr>
                <w:rFonts w:hint="eastAsia" w:ascii="宋体" w:eastAsia="宋体" w:cs="宋体"/>
                <w:color w:val="auto"/>
                <w:sz w:val="24"/>
                <w:szCs w:val="32"/>
                <w:highlight w:val="none"/>
              </w:rPr>
              <w:t>职</w:t>
            </w:r>
          </w:p>
        </w:tc>
        <w:tc>
          <w:tcPr>
            <w:tcW w:w="1858" w:type="dxa"/>
            <w:vMerge w:val="continue"/>
            <w:tcBorders>
              <w:top w:val="single" w:color="000000" w:sz="4" w:space="0"/>
              <w:left w:val="single" w:color="000000" w:sz="4" w:space="0"/>
              <w:bottom w:val="single" w:color="000000" w:sz="4" w:space="0"/>
              <w:right w:val="single" w:color="000000" w:sz="4" w:space="0"/>
            </w:tcBorders>
            <w:noWrap/>
          </w:tcPr>
          <w:p w14:paraId="00EA0C96"/>
        </w:tc>
      </w:tr>
      <w:tr w14:paraId="40370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1526" w:type="dxa"/>
            <w:tcBorders>
              <w:top w:val="single" w:color="000000" w:sz="4" w:space="0"/>
              <w:left w:val="single" w:color="000000" w:sz="4" w:space="0"/>
              <w:bottom w:val="single" w:color="000000" w:sz="4" w:space="0"/>
              <w:right w:val="single" w:color="000000" w:sz="4" w:space="0"/>
            </w:tcBorders>
            <w:noWrap/>
            <w:vAlign w:val="top"/>
          </w:tcPr>
          <w:p w14:paraId="275D1996">
            <w:pPr>
              <w:spacing w:line="240" w:lineRule="auto"/>
              <w:jc w:val="center"/>
              <w:rPr>
                <w:rFonts w:hint="eastAsia" w:ascii="宋体" w:eastAsia="宋体" w:cs="宋体"/>
                <w:b/>
                <w:bCs/>
                <w:color w:val="auto"/>
                <w:sz w:val="24"/>
                <w:szCs w:val="32"/>
                <w:highlight w:val="none"/>
              </w:rPr>
            </w:pPr>
            <w:r>
              <w:rPr>
                <w:rFonts w:hint="eastAsia" w:ascii="宋体" w:eastAsia="宋体" w:cs="宋体"/>
                <w:b/>
                <w:bCs/>
                <w:color w:val="auto"/>
                <w:sz w:val="24"/>
                <w:szCs w:val="32"/>
                <w:highlight w:val="none"/>
              </w:rPr>
              <w:t>劳务员</w:t>
            </w:r>
          </w:p>
        </w:tc>
        <w:tc>
          <w:tcPr>
            <w:tcW w:w="1854" w:type="dxa"/>
            <w:tcBorders>
              <w:top w:val="single" w:color="000000" w:sz="4" w:space="0"/>
              <w:left w:val="single" w:color="000000" w:sz="4" w:space="0"/>
              <w:bottom w:val="single" w:color="000000" w:sz="4" w:space="0"/>
              <w:right w:val="single" w:color="000000" w:sz="4" w:space="0"/>
            </w:tcBorders>
            <w:noWrap/>
            <w:vAlign w:val="top"/>
          </w:tcPr>
          <w:p w14:paraId="266D8AF4">
            <w:pPr>
              <w:spacing w:line="240" w:lineRule="auto"/>
              <w:rPr>
                <w:rFonts w:hint="eastAsia" w:ascii="宋体" w:eastAsia="宋体" w:cs="宋体"/>
                <w:color w:val="auto"/>
                <w:highlight w:val="none"/>
              </w:rPr>
            </w:pP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input538 \* MERGEFORMAT</w:instrText>
            </w:r>
            <w:r>
              <w:rPr>
                <w:rFonts w:hint="eastAsia" w:ascii="宋体" w:eastAsia="宋体" w:cs="宋体"/>
                <w:color w:val="auto"/>
                <w:highlight w:val="none"/>
              </w:rPr>
              <w:fldChar w:fldCharType="separate"/>
            </w:r>
            <w:r>
              <w:rPr>
                <w:rFonts w:hint="eastAsia" w:ascii="宋体" w:eastAsia="宋体" w:cs="宋体"/>
                <w:color w:val="auto"/>
                <w:highlight w:val="none"/>
              </w:rPr>
              <w:t>1</w:t>
            </w:r>
            <w:r>
              <w:rPr>
                <w:rFonts w:hint="eastAsia" w:ascii="宋体" w:eastAsia="宋体" w:cs="宋体"/>
                <w:color w:val="auto"/>
                <w:highlight w:val="none"/>
              </w:rPr>
              <w:fldChar w:fldCharType="end"/>
            </w:r>
          </w:p>
        </w:tc>
        <w:tc>
          <w:tcPr>
            <w:tcW w:w="2126" w:type="dxa"/>
            <w:tcBorders>
              <w:top w:val="single" w:color="000000" w:sz="4" w:space="0"/>
              <w:left w:val="single" w:color="000000" w:sz="4" w:space="0"/>
              <w:bottom w:val="single" w:color="000000" w:sz="4" w:space="0"/>
              <w:right w:val="single" w:color="000000" w:sz="4" w:space="0"/>
            </w:tcBorders>
            <w:noWrap/>
            <w:vAlign w:val="top"/>
          </w:tcPr>
          <w:p w14:paraId="6316FF41">
            <w:pPr>
              <w:spacing w:line="240" w:lineRule="auto"/>
              <w:jc w:val="center"/>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p>
        </w:tc>
        <w:tc>
          <w:tcPr>
            <w:tcW w:w="1933" w:type="dxa"/>
            <w:tcBorders>
              <w:top w:val="single" w:color="000000" w:sz="4" w:space="0"/>
              <w:left w:val="single" w:color="000000" w:sz="4" w:space="0"/>
              <w:bottom w:val="single" w:color="000000" w:sz="4" w:space="0"/>
              <w:right w:val="single" w:color="000000" w:sz="4" w:space="0"/>
            </w:tcBorders>
            <w:noWrap/>
            <w:vAlign w:val="top"/>
          </w:tcPr>
          <w:p w14:paraId="08859DA4">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专职</w:t>
            </w:r>
            <w:r>
              <w:rPr>
                <w:rFonts w:hint="eastAsia" w:ascii="宋体" w:eastAsia="宋体" w:cs="宋体"/>
                <w:color w:val="auto"/>
                <w:sz w:val="24"/>
                <w:szCs w:val="32"/>
                <w:highlight w:val="none"/>
                <w:lang w:val="en-US" w:eastAsia="zh-CN"/>
              </w:rPr>
              <w:t>或兼</w:t>
            </w:r>
            <w:r>
              <w:rPr>
                <w:rFonts w:hint="eastAsia" w:ascii="宋体" w:eastAsia="宋体" w:cs="宋体"/>
                <w:color w:val="auto"/>
                <w:sz w:val="24"/>
                <w:szCs w:val="32"/>
                <w:highlight w:val="none"/>
              </w:rPr>
              <w:t>职</w:t>
            </w:r>
          </w:p>
        </w:tc>
        <w:tc>
          <w:tcPr>
            <w:tcW w:w="1858" w:type="dxa"/>
            <w:vMerge w:val="continue"/>
            <w:tcBorders>
              <w:top w:val="single" w:color="000000" w:sz="4" w:space="0"/>
              <w:left w:val="single" w:color="000000" w:sz="4" w:space="0"/>
              <w:bottom w:val="single" w:color="000000" w:sz="4" w:space="0"/>
              <w:right w:val="single" w:color="000000" w:sz="4" w:space="0"/>
            </w:tcBorders>
            <w:noWrap/>
          </w:tcPr>
          <w:p w14:paraId="0C43E273"/>
        </w:tc>
      </w:tr>
      <w:tr w14:paraId="5F093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1526" w:type="dxa"/>
            <w:tcBorders>
              <w:top w:val="single" w:color="000000" w:sz="4" w:space="0"/>
              <w:left w:val="single" w:color="000000" w:sz="4" w:space="0"/>
              <w:bottom w:val="single" w:color="000000" w:sz="4" w:space="0"/>
              <w:right w:val="single" w:color="000000" w:sz="4" w:space="0"/>
            </w:tcBorders>
            <w:noWrap/>
            <w:vAlign w:val="top"/>
          </w:tcPr>
          <w:p w14:paraId="2D05DB2B">
            <w:pPr>
              <w:spacing w:line="240" w:lineRule="auto"/>
              <w:jc w:val="center"/>
              <w:rPr>
                <w:rFonts w:hint="eastAsia" w:ascii="宋体" w:eastAsia="宋体" w:cs="宋体"/>
                <w:b/>
                <w:bCs/>
                <w:color w:val="auto"/>
                <w:sz w:val="24"/>
                <w:szCs w:val="32"/>
                <w:highlight w:val="none"/>
              </w:rPr>
            </w:pPr>
            <w:r>
              <w:rPr>
                <w:rFonts w:hint="eastAsia" w:ascii="宋体" w:eastAsia="宋体" w:cs="宋体"/>
                <w:b/>
                <w:bCs/>
                <w:color w:val="auto"/>
                <w:sz w:val="24"/>
                <w:szCs w:val="32"/>
                <w:highlight w:val="none"/>
              </w:rPr>
              <w:t>资料员</w:t>
            </w:r>
          </w:p>
        </w:tc>
        <w:tc>
          <w:tcPr>
            <w:tcW w:w="1854" w:type="dxa"/>
            <w:tcBorders>
              <w:top w:val="single" w:color="000000" w:sz="4" w:space="0"/>
              <w:left w:val="single" w:color="000000" w:sz="4" w:space="0"/>
              <w:bottom w:val="single" w:color="000000" w:sz="4" w:space="0"/>
              <w:right w:val="single" w:color="000000" w:sz="4" w:space="0"/>
            </w:tcBorders>
            <w:noWrap/>
            <w:vAlign w:val="top"/>
          </w:tcPr>
          <w:p w14:paraId="49B93453">
            <w:pPr>
              <w:spacing w:line="240" w:lineRule="auto"/>
              <w:rPr>
                <w:rFonts w:hint="eastAsia" w:ascii="宋体" w:eastAsia="宋体" w:cs="宋体"/>
                <w:color w:val="auto"/>
                <w:highlight w:val="none"/>
              </w:rPr>
            </w:pP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input538 \* MERGEFORMAT</w:instrText>
            </w:r>
            <w:r>
              <w:rPr>
                <w:rFonts w:hint="eastAsia" w:ascii="宋体" w:eastAsia="宋体" w:cs="宋体"/>
                <w:color w:val="auto"/>
                <w:highlight w:val="none"/>
              </w:rPr>
              <w:fldChar w:fldCharType="separate"/>
            </w:r>
            <w:r>
              <w:rPr>
                <w:rFonts w:hint="eastAsia" w:ascii="宋体" w:eastAsia="宋体" w:cs="宋体"/>
                <w:color w:val="auto"/>
                <w:highlight w:val="none"/>
              </w:rPr>
              <w:t>1</w:t>
            </w:r>
            <w:r>
              <w:rPr>
                <w:rFonts w:hint="eastAsia" w:ascii="宋体" w:eastAsia="宋体" w:cs="宋体"/>
                <w:color w:val="auto"/>
                <w:highlight w:val="none"/>
              </w:rPr>
              <w:fldChar w:fldCharType="end"/>
            </w:r>
          </w:p>
        </w:tc>
        <w:tc>
          <w:tcPr>
            <w:tcW w:w="2126" w:type="dxa"/>
            <w:tcBorders>
              <w:top w:val="single" w:color="000000" w:sz="4" w:space="0"/>
              <w:left w:val="single" w:color="000000" w:sz="4" w:space="0"/>
              <w:bottom w:val="single" w:color="000000" w:sz="4" w:space="0"/>
              <w:right w:val="single" w:color="000000" w:sz="4" w:space="0"/>
            </w:tcBorders>
            <w:noWrap/>
            <w:vAlign w:val="top"/>
          </w:tcPr>
          <w:p w14:paraId="6DB9B84E">
            <w:pPr>
              <w:spacing w:line="240" w:lineRule="auto"/>
              <w:jc w:val="center"/>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p>
        </w:tc>
        <w:tc>
          <w:tcPr>
            <w:tcW w:w="1933" w:type="dxa"/>
            <w:tcBorders>
              <w:top w:val="single" w:color="000000" w:sz="4" w:space="0"/>
              <w:left w:val="single" w:color="000000" w:sz="4" w:space="0"/>
              <w:bottom w:val="single" w:color="000000" w:sz="4" w:space="0"/>
              <w:right w:val="single" w:color="000000" w:sz="4" w:space="0"/>
            </w:tcBorders>
            <w:noWrap/>
            <w:vAlign w:val="top"/>
          </w:tcPr>
          <w:p w14:paraId="787DFBF0">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专职</w:t>
            </w:r>
          </w:p>
        </w:tc>
        <w:tc>
          <w:tcPr>
            <w:tcW w:w="1858" w:type="dxa"/>
            <w:vMerge w:val="continue"/>
            <w:tcBorders>
              <w:top w:val="single" w:color="000000" w:sz="4" w:space="0"/>
              <w:left w:val="single" w:color="000000" w:sz="4" w:space="0"/>
              <w:bottom w:val="single" w:color="000000" w:sz="4" w:space="0"/>
              <w:right w:val="single" w:color="000000" w:sz="4" w:space="0"/>
            </w:tcBorders>
            <w:noWrap/>
          </w:tcPr>
          <w:p w14:paraId="625DB419"/>
        </w:tc>
      </w:tr>
    </w:tbl>
    <w:p w14:paraId="3B19332B">
      <w:pPr>
        <w:spacing w:line="420" w:lineRule="exact"/>
        <w:ind w:left="420"/>
        <w:rPr>
          <w:rFonts w:hint="eastAsia" w:ascii="宋体" w:hAnsi="宋体" w:eastAsia="宋体"/>
          <w:kern w:val="0"/>
          <w:lang w:eastAsia="zh-CN"/>
        </w:rPr>
      </w:pPr>
      <w:r>
        <w:rPr>
          <w:rFonts w:hint="eastAsia" w:ascii="宋体" w:eastAsia="宋体" w:cs="宋体"/>
          <w:b/>
          <w:color w:val="auto"/>
          <w:szCs w:val="21"/>
          <w:highlight w:val="none"/>
        </w:rPr>
        <w:t>注：</w:t>
      </w:r>
      <w:r>
        <w:rPr>
          <w:rFonts w:hint="eastAsia" w:ascii="宋体" w:eastAsia="宋体" w:cs="宋体"/>
          <w:b/>
          <w:color w:val="auto"/>
          <w:highlight w:val="none"/>
        </w:rPr>
        <w:t>此表为投标人配置“现场专业（管理）人员”最</w:t>
      </w:r>
      <w:r>
        <w:rPr>
          <w:rFonts w:hint="eastAsia" w:ascii="宋体" w:eastAsia="宋体" w:cs="宋体"/>
          <w:b/>
          <w:bCs w:val="0"/>
          <w:color w:val="auto"/>
          <w:highlight w:val="none"/>
        </w:rPr>
        <w:t>低要求。</w:t>
      </w:r>
      <w:r>
        <w:rPr>
          <w:rFonts w:hint="eastAsia" w:ascii="宋体" w:hAnsi="宋体"/>
          <w:b/>
          <w:bCs w:val="0"/>
          <w:kern w:val="0"/>
        </w:rPr>
        <w:t>相关</w:t>
      </w:r>
      <w:r>
        <w:rPr>
          <w:rFonts w:hint="eastAsia" w:ascii="宋体" w:hAnsi="宋体"/>
          <w:b/>
          <w:bCs w:val="0"/>
          <w:kern w:val="0"/>
          <w:lang w:val="en-US" w:eastAsia="zh-CN"/>
        </w:rPr>
        <w:t>人员需要</w:t>
      </w:r>
      <w:r>
        <w:rPr>
          <w:rFonts w:hint="eastAsia" w:ascii="宋体" w:hAnsi="宋体"/>
          <w:b/>
          <w:bCs w:val="0"/>
          <w:kern w:val="0"/>
        </w:rPr>
        <w:t>附证书</w:t>
      </w:r>
      <w:r>
        <w:rPr>
          <w:rFonts w:hint="eastAsia" w:ascii="宋体" w:hAnsi="宋体"/>
          <w:b/>
          <w:bCs w:val="0"/>
          <w:kern w:val="0"/>
          <w:lang w:eastAsia="zh-CN"/>
        </w:rPr>
        <w:t>。</w:t>
      </w:r>
    </w:p>
    <w:p w14:paraId="3ADBFCDF">
      <w:pPr>
        <w:ind w:firstLine="422" w:firstLineChars="200"/>
        <w:rPr>
          <w:rFonts w:hint="eastAsia" w:ascii="宋体" w:eastAsia="宋体" w:cs="宋体"/>
          <w:b/>
          <w:color w:val="auto"/>
          <w:highlight w:val="none"/>
        </w:rPr>
      </w:pPr>
    </w:p>
    <w:p w14:paraId="19AE535D">
      <w:pPr>
        <w:rPr>
          <w:rFonts w:hint="eastAsia"/>
        </w:rPr>
      </w:pPr>
      <w:r>
        <w:rPr>
          <w:rFonts w:hint="eastAsia"/>
        </w:rPr>
        <w:br w:type="page"/>
      </w:r>
    </w:p>
    <w:p w14:paraId="2EEE8F49">
      <w:pPr>
        <w:pStyle w:val="4"/>
        <w:spacing w:before="312" w:after="312"/>
        <w:ind w:left="0" w:leftChars="0" w:firstLine="0" w:firstLineChars="0"/>
        <w:jc w:val="both"/>
        <w:rPr>
          <w:rFonts w:hint="eastAsia"/>
          <w:sz w:val="44"/>
          <w:szCs w:val="44"/>
        </w:rPr>
      </w:pPr>
    </w:p>
    <w:p w14:paraId="37EDAEA0">
      <w:pPr>
        <w:pStyle w:val="4"/>
        <w:spacing w:before="312" w:after="312"/>
        <w:rPr>
          <w:sz w:val="44"/>
          <w:szCs w:val="44"/>
        </w:rPr>
      </w:pPr>
      <w:r>
        <w:rPr>
          <w:rFonts w:hint="eastAsia"/>
          <w:sz w:val="44"/>
          <w:szCs w:val="44"/>
        </w:rPr>
        <w:t xml:space="preserve">第二章 </w:t>
      </w:r>
      <w:bookmarkStart w:id="32" w:name="_Hlk85367632"/>
      <w:r>
        <w:rPr>
          <w:rFonts w:hint="eastAsia"/>
          <w:sz w:val="44"/>
          <w:szCs w:val="44"/>
        </w:rPr>
        <w:t>投标须知及投标须知前附表</w:t>
      </w:r>
      <w:bookmarkEnd w:id="9"/>
      <w:bookmarkEnd w:id="10"/>
      <w:bookmarkEnd w:id="11"/>
    </w:p>
    <w:p w14:paraId="7E21C339">
      <w:pPr>
        <w:pStyle w:val="5"/>
        <w:numPr>
          <w:ilvl w:val="1"/>
          <w:numId w:val="0"/>
        </w:numPr>
        <w:spacing w:beforeLines="0"/>
        <w:jc w:val="center"/>
        <w:rPr>
          <w:rFonts w:hAnsi="宋体"/>
          <w:sz w:val="32"/>
          <w:szCs w:val="28"/>
        </w:rPr>
      </w:pPr>
      <w:bookmarkStart w:id="33" w:name="_Toc16050"/>
      <w:bookmarkStart w:id="34" w:name="_Toc229583199"/>
      <w:bookmarkStart w:id="35" w:name="_Toc306981298"/>
      <w:bookmarkStart w:id="36" w:name="_Toc85443479"/>
      <w:bookmarkStart w:id="37" w:name="_Toc310437962"/>
      <w:r>
        <w:rPr>
          <w:rFonts w:hint="eastAsia" w:hAnsi="宋体"/>
          <w:sz w:val="32"/>
          <w:szCs w:val="28"/>
        </w:rPr>
        <w:t>投标须知前附表</w:t>
      </w:r>
      <w:bookmarkEnd w:id="33"/>
      <w:bookmarkEnd w:id="34"/>
      <w:bookmarkEnd w:id="35"/>
      <w:bookmarkEnd w:id="36"/>
      <w:bookmarkEnd w:id="37"/>
    </w:p>
    <w:tbl>
      <w:tblPr>
        <w:tblStyle w:val="73"/>
        <w:tblW w:w="10125"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74"/>
        <w:gridCol w:w="327"/>
        <w:gridCol w:w="36"/>
        <w:gridCol w:w="2024"/>
        <w:gridCol w:w="145"/>
        <w:gridCol w:w="6919"/>
      </w:tblGrid>
      <w:tr w14:paraId="54507638">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617" w:hRule="atLeast"/>
          <w:tblHeader/>
          <w:jc w:val="center"/>
        </w:trPr>
        <w:tc>
          <w:tcPr>
            <w:tcW w:w="1001" w:type="dxa"/>
            <w:gridSpan w:val="2"/>
            <w:vAlign w:val="center"/>
          </w:tcPr>
          <w:p w14:paraId="3B9F4456">
            <w:pPr>
              <w:spacing w:line="440" w:lineRule="exact"/>
              <w:jc w:val="center"/>
              <w:rPr>
                <w:rFonts w:ascii="宋体" w:hAnsi="宋体"/>
                <w:b/>
                <w:sz w:val="24"/>
              </w:rPr>
            </w:pPr>
            <w:bookmarkStart w:id="38" w:name="_Hlk85367800"/>
            <w:r>
              <w:rPr>
                <w:rFonts w:ascii="宋体" w:hAnsi="宋体"/>
                <w:b/>
                <w:sz w:val="24"/>
              </w:rPr>
              <w:t>条款号</w:t>
            </w:r>
          </w:p>
        </w:tc>
        <w:tc>
          <w:tcPr>
            <w:tcW w:w="2205" w:type="dxa"/>
            <w:gridSpan w:val="3"/>
            <w:vAlign w:val="center"/>
          </w:tcPr>
          <w:p w14:paraId="3E70978A">
            <w:pPr>
              <w:spacing w:line="440" w:lineRule="exact"/>
              <w:rPr>
                <w:rFonts w:ascii="宋体" w:hAnsi="宋体"/>
                <w:b/>
                <w:sz w:val="24"/>
              </w:rPr>
            </w:pPr>
            <w:r>
              <w:rPr>
                <w:rFonts w:hint="eastAsia" w:ascii="宋体" w:hAnsi="宋体"/>
                <w:b/>
                <w:sz w:val="24"/>
              </w:rPr>
              <w:t>条  款  名  称</w:t>
            </w:r>
          </w:p>
        </w:tc>
        <w:tc>
          <w:tcPr>
            <w:tcW w:w="6919" w:type="dxa"/>
            <w:vAlign w:val="center"/>
          </w:tcPr>
          <w:p w14:paraId="79D8B33F">
            <w:pPr>
              <w:spacing w:line="440" w:lineRule="exact"/>
              <w:jc w:val="center"/>
              <w:rPr>
                <w:rFonts w:ascii="宋体" w:hAnsi="宋体"/>
                <w:b/>
                <w:sz w:val="24"/>
              </w:rPr>
            </w:pPr>
            <w:r>
              <w:rPr>
                <w:rFonts w:hint="eastAsia" w:ascii="宋体" w:hAnsi="宋体"/>
                <w:b/>
                <w:sz w:val="24"/>
              </w:rPr>
              <w:t>编  列  内  容</w:t>
            </w:r>
          </w:p>
        </w:tc>
      </w:tr>
      <w:tr w14:paraId="5E06034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1312" w:hRule="atLeast"/>
          <w:jc w:val="center"/>
        </w:trPr>
        <w:tc>
          <w:tcPr>
            <w:tcW w:w="1001" w:type="dxa"/>
            <w:gridSpan w:val="2"/>
            <w:vAlign w:val="center"/>
          </w:tcPr>
          <w:p w14:paraId="686D1FAA">
            <w:pPr>
              <w:spacing w:line="440" w:lineRule="exact"/>
              <w:jc w:val="center"/>
              <w:rPr>
                <w:rFonts w:ascii="宋体" w:hAnsi="宋体"/>
                <w:szCs w:val="21"/>
              </w:rPr>
            </w:pPr>
            <w:r>
              <w:rPr>
                <w:rFonts w:ascii="宋体" w:hAnsi="宋体"/>
                <w:szCs w:val="21"/>
              </w:rPr>
              <w:t>1.1.1</w:t>
            </w:r>
          </w:p>
        </w:tc>
        <w:tc>
          <w:tcPr>
            <w:tcW w:w="2205" w:type="dxa"/>
            <w:gridSpan w:val="3"/>
            <w:vAlign w:val="center"/>
          </w:tcPr>
          <w:p w14:paraId="3BCE7B7E">
            <w:pPr>
              <w:spacing w:line="400" w:lineRule="exact"/>
              <w:jc w:val="center"/>
              <w:rPr>
                <w:rFonts w:ascii="宋体" w:hAnsi="宋体"/>
                <w:szCs w:val="21"/>
              </w:rPr>
            </w:pPr>
            <w:r>
              <w:rPr>
                <w:rFonts w:hint="eastAsia" w:ascii="宋体" w:hAnsi="宋体"/>
                <w:szCs w:val="21"/>
              </w:rPr>
              <w:t>招标人</w:t>
            </w:r>
          </w:p>
        </w:tc>
        <w:tc>
          <w:tcPr>
            <w:tcW w:w="6919" w:type="dxa"/>
            <w:vAlign w:val="center"/>
          </w:tcPr>
          <w:p w14:paraId="5FD9245D">
            <w:pPr>
              <w:pStyle w:val="123"/>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名    称：</w:t>
            </w:r>
            <w:r>
              <w:rPr>
                <w:rFonts w:hint="eastAsia" w:hAnsi="宋体" w:cs="宋体"/>
                <w:color w:val="auto"/>
                <w:sz w:val="21"/>
                <w:szCs w:val="21"/>
                <w:lang w:eastAsia="zh-CN"/>
              </w:rPr>
              <w:t>盐津县江河治理工程管理局</w:t>
            </w:r>
          </w:p>
          <w:p w14:paraId="4FC2D143">
            <w:pPr>
              <w:pStyle w:val="123"/>
              <w:rPr>
                <w:rFonts w:hint="eastAsia" w:hAnsi="宋体"/>
                <w:color w:val="auto"/>
                <w:sz w:val="21"/>
                <w:szCs w:val="21"/>
                <w:lang w:val="en-US" w:eastAsia="zh-CN"/>
              </w:rPr>
            </w:pPr>
            <w:r>
              <w:rPr>
                <w:rFonts w:hint="eastAsia" w:hAnsi="宋体"/>
                <w:color w:val="auto"/>
                <w:sz w:val="21"/>
                <w:szCs w:val="21"/>
                <w:lang w:val="en-US" w:eastAsia="zh-CN"/>
              </w:rPr>
              <w:t xml:space="preserve">地    址：盐井镇黄葛槽新区津民路101号     </w:t>
            </w:r>
          </w:p>
          <w:p w14:paraId="57DF123E">
            <w:pPr>
              <w:pStyle w:val="123"/>
              <w:rPr>
                <w:rFonts w:hint="eastAsia" w:hAnsi="宋体"/>
                <w:color w:val="auto"/>
                <w:sz w:val="21"/>
                <w:szCs w:val="21"/>
                <w:lang w:val="en-US" w:eastAsia="zh-CN"/>
              </w:rPr>
            </w:pPr>
            <w:r>
              <w:rPr>
                <w:rFonts w:hint="eastAsia" w:hAnsi="宋体"/>
                <w:color w:val="auto"/>
                <w:sz w:val="21"/>
                <w:szCs w:val="21"/>
                <w:lang w:val="en-US" w:eastAsia="zh-CN"/>
              </w:rPr>
              <w:t xml:space="preserve">联 系 人：王冲                                              </w:t>
            </w:r>
          </w:p>
          <w:p w14:paraId="3BB1B083">
            <w:pPr>
              <w:pStyle w:val="123"/>
              <w:rPr>
                <w:rFonts w:hAnsi="宋体"/>
                <w:color w:val="auto"/>
                <w:sz w:val="21"/>
                <w:szCs w:val="21"/>
              </w:rPr>
            </w:pPr>
            <w:r>
              <w:rPr>
                <w:rFonts w:hint="eastAsia" w:hAnsi="宋体"/>
                <w:color w:val="auto"/>
                <w:sz w:val="21"/>
                <w:szCs w:val="21"/>
                <w:lang w:val="en-US" w:eastAsia="zh-CN"/>
              </w:rPr>
              <w:t>电    话：0870-6621111</w:t>
            </w:r>
          </w:p>
        </w:tc>
      </w:tr>
      <w:tr w14:paraId="5AC14CE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1295" w:hRule="atLeast"/>
          <w:jc w:val="center"/>
        </w:trPr>
        <w:tc>
          <w:tcPr>
            <w:tcW w:w="1001" w:type="dxa"/>
            <w:gridSpan w:val="2"/>
            <w:vAlign w:val="center"/>
          </w:tcPr>
          <w:p w14:paraId="143A1AEB">
            <w:pPr>
              <w:spacing w:line="440" w:lineRule="exact"/>
              <w:jc w:val="center"/>
              <w:rPr>
                <w:rFonts w:ascii="宋体" w:hAnsi="宋体"/>
                <w:szCs w:val="21"/>
              </w:rPr>
            </w:pPr>
            <w:r>
              <w:rPr>
                <w:rFonts w:ascii="宋体" w:hAnsi="宋体"/>
                <w:szCs w:val="21"/>
              </w:rPr>
              <w:t>1.1.2</w:t>
            </w:r>
          </w:p>
        </w:tc>
        <w:tc>
          <w:tcPr>
            <w:tcW w:w="2205" w:type="dxa"/>
            <w:gridSpan w:val="3"/>
            <w:vAlign w:val="center"/>
          </w:tcPr>
          <w:p w14:paraId="33B3EB52">
            <w:pPr>
              <w:spacing w:line="400" w:lineRule="exact"/>
              <w:jc w:val="center"/>
              <w:rPr>
                <w:rFonts w:ascii="宋体" w:hAnsi="宋体"/>
                <w:szCs w:val="21"/>
              </w:rPr>
            </w:pPr>
            <w:r>
              <w:rPr>
                <w:rFonts w:hint="eastAsia" w:ascii="宋体" w:hAnsi="宋体"/>
                <w:szCs w:val="21"/>
              </w:rPr>
              <w:t>招标代理机构</w:t>
            </w:r>
          </w:p>
        </w:tc>
        <w:tc>
          <w:tcPr>
            <w:tcW w:w="6919" w:type="dxa"/>
            <w:vAlign w:val="center"/>
          </w:tcPr>
          <w:p w14:paraId="5B46F502">
            <w:pPr>
              <w:pStyle w:val="123"/>
              <w:jc w:val="both"/>
              <w:rPr>
                <w:rFonts w:hint="eastAsia" w:hAnsi="宋体" w:eastAsia="宋体"/>
                <w:color w:val="auto"/>
                <w:sz w:val="21"/>
                <w:szCs w:val="21"/>
                <w:lang w:eastAsia="zh-CN"/>
              </w:rPr>
            </w:pPr>
            <w:r>
              <w:rPr>
                <w:rFonts w:hint="eastAsia" w:hAnsi="宋体"/>
                <w:color w:val="auto"/>
                <w:sz w:val="21"/>
                <w:szCs w:val="21"/>
              </w:rPr>
              <w:t>名    称：</w:t>
            </w:r>
            <w:r>
              <w:rPr>
                <w:rFonts w:hint="eastAsia" w:hAnsi="宋体"/>
                <w:color w:val="auto"/>
                <w:sz w:val="21"/>
                <w:szCs w:val="21"/>
                <w:lang w:eastAsia="zh-CN"/>
              </w:rPr>
              <w:t>云南众创益工程项目管理有限公司</w:t>
            </w:r>
          </w:p>
          <w:p w14:paraId="33570779">
            <w:pPr>
              <w:pStyle w:val="123"/>
              <w:jc w:val="both"/>
              <w:rPr>
                <w:rFonts w:hAnsi="宋体"/>
                <w:color w:val="auto"/>
                <w:sz w:val="21"/>
                <w:szCs w:val="21"/>
              </w:rPr>
            </w:pPr>
            <w:r>
              <w:rPr>
                <w:rFonts w:hint="eastAsia" w:hAnsi="宋体"/>
                <w:color w:val="auto"/>
                <w:sz w:val="21"/>
                <w:szCs w:val="21"/>
              </w:rPr>
              <w:t xml:space="preserve">地  </w:t>
            </w:r>
            <w:r>
              <w:rPr>
                <w:rFonts w:hAnsi="宋体"/>
                <w:color w:val="auto"/>
                <w:sz w:val="21"/>
                <w:szCs w:val="21"/>
              </w:rPr>
              <w:t xml:space="preserve">  </w:t>
            </w:r>
            <w:r>
              <w:rPr>
                <w:rFonts w:hint="eastAsia" w:hAnsi="宋体"/>
                <w:color w:val="auto"/>
                <w:sz w:val="21"/>
                <w:szCs w:val="21"/>
              </w:rPr>
              <w:t>址：昭阳区二环东路(瓦窑河)凡舍小院</w:t>
            </w:r>
          </w:p>
          <w:p w14:paraId="681A1FA4">
            <w:pPr>
              <w:pStyle w:val="123"/>
              <w:jc w:val="both"/>
              <w:rPr>
                <w:rFonts w:hAnsi="宋体"/>
                <w:color w:val="auto"/>
                <w:sz w:val="21"/>
                <w:szCs w:val="21"/>
              </w:rPr>
            </w:pPr>
            <w:r>
              <w:rPr>
                <w:rFonts w:hint="eastAsia" w:hAnsi="宋体"/>
                <w:color w:val="auto"/>
                <w:sz w:val="21"/>
                <w:szCs w:val="21"/>
              </w:rPr>
              <w:t>联 系 人：邢永成</w:t>
            </w:r>
          </w:p>
          <w:p w14:paraId="006C97FD">
            <w:pPr>
              <w:pStyle w:val="123"/>
              <w:jc w:val="both"/>
              <w:rPr>
                <w:rFonts w:hAnsi="宋体"/>
                <w:color w:val="auto"/>
                <w:sz w:val="21"/>
                <w:szCs w:val="21"/>
              </w:rPr>
            </w:pPr>
            <w:r>
              <w:rPr>
                <w:rFonts w:hint="eastAsia" w:hAnsi="宋体"/>
                <w:color w:val="auto"/>
                <w:sz w:val="21"/>
                <w:szCs w:val="21"/>
              </w:rPr>
              <w:t>电    话：19187653317</w:t>
            </w:r>
          </w:p>
        </w:tc>
      </w:tr>
      <w:tr w14:paraId="7496395A">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762" w:hRule="exact"/>
          <w:jc w:val="center"/>
        </w:trPr>
        <w:tc>
          <w:tcPr>
            <w:tcW w:w="1001" w:type="dxa"/>
            <w:gridSpan w:val="2"/>
            <w:vAlign w:val="center"/>
          </w:tcPr>
          <w:p w14:paraId="72EAC8A4">
            <w:pPr>
              <w:spacing w:line="440" w:lineRule="exact"/>
              <w:jc w:val="center"/>
              <w:rPr>
                <w:rFonts w:ascii="宋体" w:hAnsi="宋体"/>
                <w:szCs w:val="21"/>
              </w:rPr>
            </w:pPr>
            <w:r>
              <w:rPr>
                <w:rFonts w:ascii="宋体" w:hAnsi="宋体"/>
                <w:szCs w:val="21"/>
              </w:rPr>
              <w:t>1.1.3</w:t>
            </w:r>
          </w:p>
        </w:tc>
        <w:tc>
          <w:tcPr>
            <w:tcW w:w="2205" w:type="dxa"/>
            <w:gridSpan w:val="3"/>
            <w:vAlign w:val="center"/>
          </w:tcPr>
          <w:p w14:paraId="5B6F84B4">
            <w:pPr>
              <w:spacing w:line="400" w:lineRule="exact"/>
              <w:jc w:val="center"/>
              <w:rPr>
                <w:rFonts w:ascii="宋体" w:hAnsi="宋体"/>
                <w:szCs w:val="21"/>
              </w:rPr>
            </w:pPr>
            <w:r>
              <w:rPr>
                <w:rFonts w:hint="eastAsia" w:ascii="宋体" w:hAnsi="宋体"/>
                <w:szCs w:val="21"/>
              </w:rPr>
              <w:t>项目名称</w:t>
            </w:r>
          </w:p>
        </w:tc>
        <w:tc>
          <w:tcPr>
            <w:tcW w:w="6919" w:type="dxa"/>
            <w:vAlign w:val="center"/>
          </w:tcPr>
          <w:p w14:paraId="281CC1D8">
            <w:pPr>
              <w:pStyle w:val="123"/>
              <w:jc w:val="both"/>
              <w:rPr>
                <w:rFonts w:hint="eastAsia" w:hAnsi="宋体" w:eastAsia="宋体"/>
                <w:color w:val="auto"/>
                <w:sz w:val="21"/>
                <w:szCs w:val="21"/>
                <w:lang w:eastAsia="zh-CN"/>
              </w:rPr>
            </w:pPr>
            <w:r>
              <w:rPr>
                <w:rFonts w:hint="eastAsia" w:hAnsi="宋体"/>
                <w:color w:val="auto"/>
                <w:sz w:val="21"/>
                <w:szCs w:val="21"/>
                <w:lang w:eastAsia="zh-CN"/>
              </w:rPr>
              <w:t>云南省盐津县普洱集镇山洪沟治理工程</w:t>
            </w:r>
          </w:p>
        </w:tc>
      </w:tr>
      <w:tr w14:paraId="15EBDC5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563" w:hRule="exact"/>
          <w:jc w:val="center"/>
        </w:trPr>
        <w:tc>
          <w:tcPr>
            <w:tcW w:w="1001" w:type="dxa"/>
            <w:gridSpan w:val="2"/>
            <w:vAlign w:val="center"/>
          </w:tcPr>
          <w:p w14:paraId="63A28D0F">
            <w:pPr>
              <w:spacing w:line="440" w:lineRule="exact"/>
              <w:jc w:val="center"/>
              <w:rPr>
                <w:rFonts w:ascii="宋体" w:hAnsi="宋体"/>
                <w:szCs w:val="21"/>
              </w:rPr>
            </w:pPr>
            <w:r>
              <w:rPr>
                <w:rFonts w:ascii="宋体" w:hAnsi="宋体"/>
                <w:szCs w:val="21"/>
              </w:rPr>
              <w:t>1.1.4</w:t>
            </w:r>
          </w:p>
        </w:tc>
        <w:tc>
          <w:tcPr>
            <w:tcW w:w="2205" w:type="dxa"/>
            <w:gridSpan w:val="3"/>
            <w:vAlign w:val="center"/>
          </w:tcPr>
          <w:p w14:paraId="0F0EF448">
            <w:pPr>
              <w:spacing w:line="400" w:lineRule="exact"/>
              <w:jc w:val="center"/>
              <w:rPr>
                <w:rFonts w:ascii="宋体" w:hAnsi="宋体"/>
                <w:szCs w:val="21"/>
              </w:rPr>
            </w:pPr>
            <w:r>
              <w:rPr>
                <w:rFonts w:hint="eastAsia" w:ascii="宋体" w:hAnsi="宋体"/>
                <w:szCs w:val="21"/>
              </w:rPr>
              <w:t>建设地点</w:t>
            </w:r>
          </w:p>
        </w:tc>
        <w:tc>
          <w:tcPr>
            <w:tcW w:w="6919" w:type="dxa"/>
            <w:vAlign w:val="center"/>
          </w:tcPr>
          <w:p w14:paraId="3F95A41C">
            <w:pPr>
              <w:spacing w:line="440" w:lineRule="exact"/>
              <w:rPr>
                <w:rFonts w:hint="default" w:ascii="宋体" w:hAnsi="宋体" w:eastAsia="宋体"/>
                <w:szCs w:val="21"/>
                <w:lang w:val="en-US" w:eastAsia="zh-CN"/>
              </w:rPr>
            </w:pPr>
            <w:r>
              <w:rPr>
                <w:rFonts w:hint="eastAsia" w:ascii="宋体" w:hAnsi="宋体"/>
                <w:szCs w:val="21"/>
                <w:lang w:val="en-US" w:eastAsia="zh-CN"/>
              </w:rPr>
              <w:t>盐津县</w:t>
            </w:r>
          </w:p>
        </w:tc>
      </w:tr>
      <w:tr w14:paraId="6FD6FFB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1339" w:hRule="exact"/>
          <w:jc w:val="center"/>
        </w:trPr>
        <w:tc>
          <w:tcPr>
            <w:tcW w:w="1001" w:type="dxa"/>
            <w:gridSpan w:val="2"/>
            <w:vAlign w:val="center"/>
          </w:tcPr>
          <w:p w14:paraId="393FEFA0">
            <w:pPr>
              <w:spacing w:line="440" w:lineRule="exact"/>
              <w:jc w:val="center"/>
              <w:rPr>
                <w:rFonts w:ascii="宋体" w:hAnsi="宋体"/>
                <w:szCs w:val="21"/>
              </w:rPr>
            </w:pPr>
            <w:r>
              <w:rPr>
                <w:rFonts w:ascii="宋体" w:hAnsi="宋体"/>
                <w:szCs w:val="21"/>
              </w:rPr>
              <w:t>1.</w:t>
            </w:r>
            <w:r>
              <w:rPr>
                <w:rFonts w:hint="eastAsia" w:ascii="宋体" w:hAnsi="宋体"/>
                <w:szCs w:val="21"/>
              </w:rPr>
              <w:t>1.</w:t>
            </w:r>
            <w:r>
              <w:rPr>
                <w:rFonts w:ascii="宋体" w:hAnsi="宋体"/>
                <w:szCs w:val="21"/>
              </w:rPr>
              <w:t>5</w:t>
            </w:r>
          </w:p>
        </w:tc>
        <w:tc>
          <w:tcPr>
            <w:tcW w:w="2205" w:type="dxa"/>
            <w:gridSpan w:val="3"/>
            <w:vAlign w:val="center"/>
          </w:tcPr>
          <w:p w14:paraId="11578DC2">
            <w:pPr>
              <w:spacing w:line="400" w:lineRule="exact"/>
              <w:jc w:val="center"/>
              <w:rPr>
                <w:rFonts w:ascii="宋体" w:hAnsi="宋体"/>
                <w:szCs w:val="21"/>
              </w:rPr>
            </w:pPr>
            <w:r>
              <w:rPr>
                <w:rFonts w:hint="eastAsia" w:ascii="宋体" w:hAnsi="宋体"/>
                <w:szCs w:val="21"/>
              </w:rPr>
              <w:t>建设规模及内容</w:t>
            </w:r>
          </w:p>
        </w:tc>
        <w:tc>
          <w:tcPr>
            <w:tcW w:w="6919" w:type="dxa"/>
            <w:vAlign w:val="center"/>
          </w:tcPr>
          <w:p w14:paraId="2E0187A2">
            <w:pPr>
              <w:pStyle w:val="387"/>
              <w:snapToGrid w:val="0"/>
              <w:spacing w:line="276" w:lineRule="auto"/>
              <w:rPr>
                <w:rFonts w:ascii="宋体" w:hAnsi="宋体"/>
                <w:bCs/>
              </w:rPr>
            </w:pPr>
            <w:r>
              <w:rPr>
                <w:rFonts w:hint="eastAsia" w:ascii="宋体" w:hAnsi="宋体"/>
                <w:bCs/>
              </w:rPr>
              <w:t>详见招标公告</w:t>
            </w:r>
          </w:p>
        </w:tc>
      </w:tr>
      <w:tr w14:paraId="62BF67EB">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882" w:hRule="exact"/>
          <w:jc w:val="center"/>
        </w:trPr>
        <w:tc>
          <w:tcPr>
            <w:tcW w:w="1001" w:type="dxa"/>
            <w:gridSpan w:val="2"/>
            <w:vAlign w:val="center"/>
          </w:tcPr>
          <w:p w14:paraId="1E2AB054">
            <w:pPr>
              <w:spacing w:line="440" w:lineRule="exact"/>
              <w:jc w:val="center"/>
              <w:rPr>
                <w:rFonts w:ascii="宋体" w:hAnsi="宋体"/>
                <w:szCs w:val="21"/>
              </w:rPr>
            </w:pPr>
            <w:r>
              <w:rPr>
                <w:rFonts w:ascii="宋体" w:hAnsi="宋体"/>
                <w:szCs w:val="21"/>
              </w:rPr>
              <w:t>1.2.1</w:t>
            </w:r>
          </w:p>
        </w:tc>
        <w:tc>
          <w:tcPr>
            <w:tcW w:w="2205" w:type="dxa"/>
            <w:gridSpan w:val="3"/>
            <w:vAlign w:val="center"/>
          </w:tcPr>
          <w:p w14:paraId="0382989B">
            <w:pPr>
              <w:spacing w:line="400" w:lineRule="exact"/>
              <w:jc w:val="center"/>
              <w:rPr>
                <w:rFonts w:ascii="宋体" w:hAnsi="宋体"/>
                <w:szCs w:val="21"/>
              </w:rPr>
            </w:pPr>
            <w:r>
              <w:rPr>
                <w:rFonts w:hint="eastAsia" w:ascii="宋体" w:hAnsi="宋体"/>
                <w:szCs w:val="21"/>
              </w:rPr>
              <w:t>资金来源</w:t>
            </w:r>
          </w:p>
        </w:tc>
        <w:tc>
          <w:tcPr>
            <w:tcW w:w="6919" w:type="dxa"/>
            <w:vAlign w:val="center"/>
          </w:tcPr>
          <w:p w14:paraId="5DC254A5">
            <w:pPr>
              <w:spacing w:line="440" w:lineRule="exact"/>
              <w:rPr>
                <w:rFonts w:ascii="宋体" w:hAnsi="宋体"/>
                <w:szCs w:val="21"/>
              </w:rPr>
            </w:pPr>
            <w:r>
              <w:rPr>
                <w:rFonts w:hint="eastAsia" w:ascii="宋体" w:hAnsi="宋体"/>
                <w:szCs w:val="21"/>
                <w:lang w:val="en-US" w:eastAsia="zh-CN"/>
              </w:rPr>
              <w:t>财政拨款</w:t>
            </w:r>
            <w:r>
              <w:rPr>
                <w:rFonts w:hint="eastAsia" w:ascii="宋体" w:hAnsi="宋体"/>
                <w:szCs w:val="21"/>
              </w:rPr>
              <w:t>。</w:t>
            </w:r>
          </w:p>
        </w:tc>
      </w:tr>
      <w:tr w14:paraId="6C77DA70">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exact"/>
          <w:jc w:val="center"/>
        </w:trPr>
        <w:tc>
          <w:tcPr>
            <w:tcW w:w="1001" w:type="dxa"/>
            <w:gridSpan w:val="2"/>
            <w:vAlign w:val="center"/>
          </w:tcPr>
          <w:p w14:paraId="1B14F292">
            <w:pPr>
              <w:spacing w:line="440" w:lineRule="exact"/>
              <w:jc w:val="center"/>
              <w:rPr>
                <w:rFonts w:ascii="宋体" w:hAnsi="宋体"/>
                <w:szCs w:val="21"/>
              </w:rPr>
            </w:pPr>
            <w:r>
              <w:rPr>
                <w:rFonts w:ascii="宋体" w:hAnsi="宋体"/>
                <w:szCs w:val="21"/>
              </w:rPr>
              <w:t>1.2.2</w:t>
            </w:r>
          </w:p>
        </w:tc>
        <w:tc>
          <w:tcPr>
            <w:tcW w:w="2205" w:type="dxa"/>
            <w:gridSpan w:val="3"/>
            <w:vAlign w:val="center"/>
          </w:tcPr>
          <w:p w14:paraId="1C7D8609">
            <w:pPr>
              <w:spacing w:line="400" w:lineRule="exact"/>
              <w:jc w:val="center"/>
              <w:rPr>
                <w:rFonts w:ascii="宋体" w:hAnsi="宋体"/>
                <w:szCs w:val="21"/>
              </w:rPr>
            </w:pPr>
            <w:r>
              <w:rPr>
                <w:rFonts w:hint="eastAsia" w:ascii="宋体" w:hAnsi="宋体"/>
                <w:szCs w:val="21"/>
              </w:rPr>
              <w:t>出资比例</w:t>
            </w:r>
          </w:p>
        </w:tc>
        <w:tc>
          <w:tcPr>
            <w:tcW w:w="6919" w:type="dxa"/>
            <w:vAlign w:val="center"/>
          </w:tcPr>
          <w:p w14:paraId="12FC8749">
            <w:pPr>
              <w:spacing w:line="440" w:lineRule="exact"/>
              <w:rPr>
                <w:rFonts w:ascii="宋体" w:hAnsi="宋体"/>
                <w:szCs w:val="21"/>
              </w:rPr>
            </w:pPr>
            <w:r>
              <w:rPr>
                <w:rFonts w:hint="eastAsia" w:ascii="宋体" w:hAnsi="宋体"/>
                <w:bCs/>
                <w:szCs w:val="21"/>
              </w:rPr>
              <w:t>100%</w:t>
            </w:r>
          </w:p>
        </w:tc>
      </w:tr>
      <w:tr w14:paraId="795D0587">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exact"/>
          <w:jc w:val="center"/>
        </w:trPr>
        <w:tc>
          <w:tcPr>
            <w:tcW w:w="1001" w:type="dxa"/>
            <w:gridSpan w:val="2"/>
            <w:vAlign w:val="center"/>
          </w:tcPr>
          <w:p w14:paraId="11C7C6F2">
            <w:pPr>
              <w:spacing w:line="440" w:lineRule="exact"/>
              <w:jc w:val="center"/>
              <w:rPr>
                <w:rFonts w:ascii="宋体" w:hAnsi="宋体"/>
                <w:szCs w:val="21"/>
              </w:rPr>
            </w:pPr>
            <w:r>
              <w:rPr>
                <w:rFonts w:ascii="宋体" w:hAnsi="宋体"/>
                <w:szCs w:val="21"/>
              </w:rPr>
              <w:t>1.2.3</w:t>
            </w:r>
          </w:p>
        </w:tc>
        <w:tc>
          <w:tcPr>
            <w:tcW w:w="2205" w:type="dxa"/>
            <w:gridSpan w:val="3"/>
            <w:vAlign w:val="center"/>
          </w:tcPr>
          <w:p w14:paraId="137CA4FD">
            <w:pPr>
              <w:spacing w:line="400" w:lineRule="exact"/>
              <w:jc w:val="center"/>
              <w:rPr>
                <w:rFonts w:ascii="宋体" w:hAnsi="宋体"/>
                <w:szCs w:val="21"/>
              </w:rPr>
            </w:pPr>
            <w:r>
              <w:rPr>
                <w:rFonts w:hint="eastAsia" w:ascii="宋体" w:hAnsi="宋体"/>
                <w:szCs w:val="21"/>
              </w:rPr>
              <w:t>资金落实情况</w:t>
            </w:r>
          </w:p>
        </w:tc>
        <w:tc>
          <w:tcPr>
            <w:tcW w:w="6919" w:type="dxa"/>
            <w:vAlign w:val="center"/>
          </w:tcPr>
          <w:p w14:paraId="1507606B">
            <w:pPr>
              <w:spacing w:line="440" w:lineRule="exact"/>
              <w:rPr>
                <w:rFonts w:ascii="宋体" w:hAnsi="宋体"/>
                <w:szCs w:val="21"/>
              </w:rPr>
            </w:pPr>
            <w:r>
              <w:rPr>
                <w:rFonts w:hint="eastAsia" w:ascii="宋体" w:hAnsi="宋体"/>
                <w:szCs w:val="21"/>
              </w:rPr>
              <w:t>已落实</w:t>
            </w:r>
          </w:p>
        </w:tc>
      </w:tr>
      <w:tr w14:paraId="2346238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207" w:hRule="atLeast"/>
          <w:jc w:val="center"/>
        </w:trPr>
        <w:tc>
          <w:tcPr>
            <w:tcW w:w="1001" w:type="dxa"/>
            <w:gridSpan w:val="2"/>
            <w:vAlign w:val="center"/>
          </w:tcPr>
          <w:p w14:paraId="2E634413">
            <w:pPr>
              <w:spacing w:line="440" w:lineRule="exact"/>
              <w:jc w:val="center"/>
              <w:rPr>
                <w:rFonts w:ascii="宋体" w:hAnsi="宋体"/>
                <w:szCs w:val="21"/>
              </w:rPr>
            </w:pPr>
            <w:r>
              <w:rPr>
                <w:rFonts w:ascii="宋体" w:hAnsi="宋体"/>
                <w:szCs w:val="21"/>
              </w:rPr>
              <w:t>1.3.1</w:t>
            </w:r>
          </w:p>
        </w:tc>
        <w:tc>
          <w:tcPr>
            <w:tcW w:w="2205" w:type="dxa"/>
            <w:gridSpan w:val="3"/>
            <w:vAlign w:val="center"/>
          </w:tcPr>
          <w:p w14:paraId="084B391D">
            <w:pPr>
              <w:spacing w:line="400" w:lineRule="exact"/>
              <w:jc w:val="center"/>
              <w:rPr>
                <w:rFonts w:ascii="宋体" w:hAnsi="宋体"/>
                <w:szCs w:val="21"/>
              </w:rPr>
            </w:pPr>
            <w:r>
              <w:rPr>
                <w:rFonts w:hint="eastAsia" w:ascii="宋体" w:hAnsi="宋体"/>
                <w:szCs w:val="21"/>
              </w:rPr>
              <w:t>招标范围</w:t>
            </w:r>
          </w:p>
        </w:tc>
        <w:tc>
          <w:tcPr>
            <w:tcW w:w="6919" w:type="dxa"/>
            <w:vAlign w:val="center"/>
          </w:tcPr>
          <w:p w14:paraId="5E1CF9DC">
            <w:pPr>
              <w:pStyle w:val="387"/>
              <w:snapToGrid w:val="0"/>
              <w:spacing w:line="276" w:lineRule="auto"/>
              <w:rPr>
                <w:rFonts w:ascii="宋体" w:hAnsi="宋体"/>
              </w:rPr>
            </w:pPr>
            <w:r>
              <w:rPr>
                <w:rFonts w:hint="eastAsia" w:ascii="宋体" w:hAnsi="宋体"/>
                <w:lang w:val="en-US" w:eastAsia="zh-CN"/>
              </w:rPr>
              <w:t>初步设计</w:t>
            </w:r>
            <w:r>
              <w:rPr>
                <w:rFonts w:hint="eastAsia" w:ascii="宋体" w:hAnsi="宋体"/>
              </w:rPr>
              <w:t>施工图和工程量清单所包含的全部内容。</w:t>
            </w:r>
          </w:p>
        </w:tc>
      </w:tr>
      <w:tr w14:paraId="130C43E0">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618" w:hRule="atLeast"/>
          <w:jc w:val="center"/>
        </w:trPr>
        <w:tc>
          <w:tcPr>
            <w:tcW w:w="1001" w:type="dxa"/>
            <w:gridSpan w:val="2"/>
            <w:vAlign w:val="center"/>
          </w:tcPr>
          <w:p w14:paraId="38BAE141">
            <w:pPr>
              <w:spacing w:line="440" w:lineRule="exact"/>
              <w:jc w:val="center"/>
              <w:rPr>
                <w:rFonts w:ascii="宋体" w:hAnsi="宋体"/>
                <w:szCs w:val="21"/>
              </w:rPr>
            </w:pPr>
            <w:r>
              <w:rPr>
                <w:rFonts w:ascii="宋体" w:hAnsi="宋体"/>
                <w:szCs w:val="21"/>
              </w:rPr>
              <w:t>1.3.2</w:t>
            </w:r>
          </w:p>
        </w:tc>
        <w:tc>
          <w:tcPr>
            <w:tcW w:w="2205" w:type="dxa"/>
            <w:gridSpan w:val="3"/>
            <w:vAlign w:val="center"/>
          </w:tcPr>
          <w:p w14:paraId="3E6B6E2B">
            <w:pPr>
              <w:spacing w:line="400" w:lineRule="exact"/>
              <w:jc w:val="center"/>
              <w:rPr>
                <w:rFonts w:ascii="宋体" w:hAnsi="宋体"/>
                <w:szCs w:val="21"/>
              </w:rPr>
            </w:pPr>
            <w:r>
              <w:rPr>
                <w:rFonts w:hint="eastAsia" w:ascii="宋体" w:hAnsi="宋体"/>
                <w:szCs w:val="21"/>
              </w:rPr>
              <w:t>计划工期</w:t>
            </w:r>
          </w:p>
        </w:tc>
        <w:tc>
          <w:tcPr>
            <w:tcW w:w="6919" w:type="dxa"/>
            <w:vAlign w:val="center"/>
          </w:tcPr>
          <w:p w14:paraId="68829D4F">
            <w:pPr>
              <w:rPr>
                <w:rFonts w:ascii="宋体" w:hAnsi="宋体"/>
              </w:rPr>
            </w:pPr>
            <w:r>
              <w:rPr>
                <w:rFonts w:hint="eastAsia" w:ascii="宋体" w:hAnsi="宋体"/>
              </w:rPr>
              <w:t>建设责任期从中标合同签订之日起，至完成上述项目的所有建设工作内容为止</w:t>
            </w:r>
            <w:r>
              <w:rPr>
                <w:rFonts w:hint="eastAsia" w:ascii="宋体" w:hAnsi="宋体"/>
                <w:highlight w:val="none"/>
              </w:rPr>
              <w:t>，计划工期</w:t>
            </w:r>
            <w:r>
              <w:rPr>
                <w:rFonts w:hint="eastAsia" w:ascii="宋体" w:hAnsi="宋体"/>
                <w:highlight w:val="none"/>
                <w:lang w:val="en-US" w:eastAsia="zh-CN"/>
              </w:rPr>
              <w:t>8个月</w:t>
            </w:r>
            <w:r>
              <w:rPr>
                <w:rFonts w:hint="eastAsia" w:ascii="宋体" w:hAnsi="宋体"/>
                <w:highlight w:val="none"/>
              </w:rPr>
              <w:t>。</w:t>
            </w:r>
          </w:p>
        </w:tc>
      </w:tr>
      <w:tr w14:paraId="6A058262">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611" w:hRule="atLeast"/>
          <w:jc w:val="center"/>
        </w:trPr>
        <w:tc>
          <w:tcPr>
            <w:tcW w:w="1001" w:type="dxa"/>
            <w:gridSpan w:val="2"/>
            <w:vAlign w:val="center"/>
          </w:tcPr>
          <w:p w14:paraId="3E36EF25">
            <w:pPr>
              <w:spacing w:line="440" w:lineRule="exact"/>
              <w:jc w:val="center"/>
              <w:rPr>
                <w:rFonts w:ascii="宋体" w:hAnsi="宋体"/>
                <w:szCs w:val="21"/>
              </w:rPr>
            </w:pPr>
            <w:r>
              <w:rPr>
                <w:rFonts w:ascii="宋体" w:hAnsi="宋体"/>
                <w:szCs w:val="21"/>
              </w:rPr>
              <w:t>1.3.3</w:t>
            </w:r>
          </w:p>
        </w:tc>
        <w:tc>
          <w:tcPr>
            <w:tcW w:w="2205" w:type="dxa"/>
            <w:gridSpan w:val="3"/>
            <w:vAlign w:val="center"/>
          </w:tcPr>
          <w:p w14:paraId="7CCE91F8">
            <w:pPr>
              <w:spacing w:line="400" w:lineRule="exact"/>
              <w:jc w:val="center"/>
              <w:rPr>
                <w:rFonts w:ascii="宋体" w:hAnsi="宋体"/>
                <w:szCs w:val="21"/>
              </w:rPr>
            </w:pPr>
            <w:r>
              <w:rPr>
                <w:rFonts w:hint="eastAsia" w:ascii="宋体" w:hAnsi="宋体"/>
                <w:szCs w:val="21"/>
              </w:rPr>
              <w:t>质量要求</w:t>
            </w:r>
          </w:p>
        </w:tc>
        <w:tc>
          <w:tcPr>
            <w:tcW w:w="6919" w:type="dxa"/>
            <w:vAlign w:val="center"/>
          </w:tcPr>
          <w:p w14:paraId="66838245">
            <w:pPr>
              <w:pStyle w:val="387"/>
              <w:snapToGrid w:val="0"/>
              <w:spacing w:line="276" w:lineRule="auto"/>
              <w:rPr>
                <w:rFonts w:ascii="宋体" w:hAnsi="宋体"/>
                <w:kern w:val="2"/>
              </w:rPr>
            </w:pPr>
            <w:r>
              <w:rPr>
                <w:rFonts w:hint="eastAsia" w:ascii="宋体" w:hAnsi="宋体"/>
                <w:kern w:val="2"/>
                <w:lang w:val="zh-CN" w:eastAsia="zh-CN"/>
              </w:rPr>
              <w:t>符合国家相关规定</w:t>
            </w:r>
            <w:r>
              <w:rPr>
                <w:rFonts w:hint="eastAsia" w:ascii="宋体" w:hAnsi="宋体"/>
                <w:kern w:val="2"/>
                <w:lang w:val="en-US" w:eastAsia="zh-CN"/>
              </w:rPr>
              <w:t>及设计</w:t>
            </w:r>
            <w:r>
              <w:rPr>
                <w:rFonts w:hint="eastAsia" w:ascii="宋体" w:hAnsi="宋体"/>
                <w:kern w:val="2"/>
                <w:lang w:val="zh-CN" w:eastAsia="zh-CN"/>
              </w:rPr>
              <w:t>要求，工程质量一次性验收合格。</w:t>
            </w:r>
          </w:p>
        </w:tc>
      </w:tr>
      <w:tr w14:paraId="0DE1252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1001" w:type="dxa"/>
            <w:gridSpan w:val="2"/>
            <w:vAlign w:val="center"/>
          </w:tcPr>
          <w:p w14:paraId="062FD7EF">
            <w:pPr>
              <w:spacing w:line="440" w:lineRule="exact"/>
              <w:jc w:val="center"/>
              <w:rPr>
                <w:rFonts w:ascii="宋体" w:hAnsi="宋体"/>
                <w:szCs w:val="21"/>
              </w:rPr>
            </w:pPr>
            <w:r>
              <w:rPr>
                <w:rFonts w:ascii="宋体" w:hAnsi="宋体"/>
                <w:szCs w:val="21"/>
              </w:rPr>
              <w:t>1.</w:t>
            </w:r>
            <w:r>
              <w:rPr>
                <w:rFonts w:hint="eastAsia" w:ascii="宋体" w:hAnsi="宋体"/>
                <w:szCs w:val="21"/>
              </w:rPr>
              <w:t>3.4</w:t>
            </w:r>
          </w:p>
        </w:tc>
        <w:tc>
          <w:tcPr>
            <w:tcW w:w="2205" w:type="dxa"/>
            <w:gridSpan w:val="3"/>
            <w:vAlign w:val="center"/>
          </w:tcPr>
          <w:p w14:paraId="67F2E96C">
            <w:pPr>
              <w:spacing w:line="400" w:lineRule="exact"/>
              <w:jc w:val="center"/>
              <w:rPr>
                <w:rFonts w:ascii="宋体" w:hAnsi="宋体"/>
                <w:szCs w:val="21"/>
              </w:rPr>
            </w:pPr>
            <w:r>
              <w:rPr>
                <w:rFonts w:hint="eastAsia" w:ascii="宋体" w:hAnsi="宋体"/>
                <w:szCs w:val="21"/>
              </w:rPr>
              <w:t>报价要求</w:t>
            </w:r>
          </w:p>
        </w:tc>
        <w:tc>
          <w:tcPr>
            <w:tcW w:w="6919" w:type="dxa"/>
            <w:vAlign w:val="center"/>
          </w:tcPr>
          <w:p w14:paraId="7F19EDA7">
            <w:pPr>
              <w:rPr>
                <w:rFonts w:hint="eastAsia" w:ascii="宋体" w:hAnsi="宋体"/>
              </w:rPr>
            </w:pPr>
            <w:r>
              <w:rPr>
                <w:rFonts w:hint="eastAsia" w:ascii="宋体" w:hAnsi="宋体" w:eastAsia="宋体" w:cs="Times New Roman"/>
                <w:kern w:val="2"/>
                <w:sz w:val="21"/>
                <w:szCs w:val="21"/>
                <w:lang w:val="en-US" w:eastAsia="zh-CN" w:bidi="ar-SA"/>
              </w:rPr>
              <w:t>招标上限价为</w:t>
            </w:r>
            <w:r>
              <w:rPr>
                <w:rFonts w:hint="eastAsia" w:ascii="宋体" w:hAnsi="宋体" w:cs="Times New Roman"/>
                <w:kern w:val="2"/>
                <w:sz w:val="21"/>
                <w:szCs w:val="21"/>
                <w:lang w:val="en-US" w:eastAsia="zh-CN" w:bidi="ar-SA"/>
              </w:rPr>
              <w:t>2905086.8</w:t>
            </w:r>
            <w:r>
              <w:rPr>
                <w:rFonts w:hint="eastAsia" w:ascii="宋体" w:hAnsi="宋体" w:eastAsia="宋体" w:cs="Times New Roman"/>
                <w:kern w:val="2"/>
                <w:sz w:val="21"/>
                <w:szCs w:val="21"/>
                <w:lang w:val="en-US" w:eastAsia="zh-CN" w:bidi="ar-SA"/>
              </w:rPr>
              <w:t>元。</w:t>
            </w:r>
          </w:p>
        </w:tc>
      </w:tr>
      <w:tr w14:paraId="7A6D0C8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928" w:hRule="atLeast"/>
          <w:jc w:val="center"/>
        </w:trPr>
        <w:tc>
          <w:tcPr>
            <w:tcW w:w="1001" w:type="dxa"/>
            <w:gridSpan w:val="2"/>
            <w:vAlign w:val="center"/>
          </w:tcPr>
          <w:p w14:paraId="56CF9108">
            <w:pPr>
              <w:spacing w:line="440" w:lineRule="exact"/>
              <w:ind w:firstLine="210" w:firstLineChars="100"/>
              <w:jc w:val="both"/>
              <w:rPr>
                <w:rFonts w:ascii="宋体" w:hAnsi="宋体"/>
                <w:szCs w:val="21"/>
              </w:rPr>
            </w:pPr>
            <w:r>
              <w:rPr>
                <w:rFonts w:ascii="宋体" w:hAnsi="宋体"/>
                <w:szCs w:val="21"/>
              </w:rPr>
              <w:t>1.4.1</w:t>
            </w:r>
          </w:p>
        </w:tc>
        <w:tc>
          <w:tcPr>
            <w:tcW w:w="2205" w:type="dxa"/>
            <w:gridSpan w:val="3"/>
            <w:vAlign w:val="center"/>
          </w:tcPr>
          <w:p w14:paraId="19AA29A4">
            <w:pPr>
              <w:spacing w:line="400" w:lineRule="exact"/>
              <w:jc w:val="center"/>
              <w:rPr>
                <w:rFonts w:ascii="宋体" w:hAnsi="宋体"/>
                <w:szCs w:val="21"/>
              </w:rPr>
            </w:pPr>
            <w:r>
              <w:rPr>
                <w:rFonts w:hint="eastAsia" w:ascii="宋体" w:hAnsi="宋体" w:cs="宋体"/>
              </w:rPr>
              <w:t>投标人资质条件、能力和信誉</w:t>
            </w:r>
          </w:p>
        </w:tc>
        <w:tc>
          <w:tcPr>
            <w:tcW w:w="6919" w:type="dxa"/>
            <w:vAlign w:val="center"/>
          </w:tcPr>
          <w:p w14:paraId="1A035890">
            <w:pPr>
              <w:rPr>
                <w:rFonts w:hint="default" w:eastAsia="宋体"/>
                <w:lang w:val="en-US" w:eastAsia="zh-CN"/>
              </w:rPr>
            </w:pPr>
            <w:r>
              <w:rPr>
                <w:rFonts w:hint="eastAsia"/>
                <w:lang w:val="en-US" w:eastAsia="zh-CN"/>
              </w:rPr>
              <w:t>详见招标公告</w:t>
            </w:r>
          </w:p>
        </w:tc>
      </w:tr>
      <w:tr w14:paraId="44FE542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568" w:hRule="atLeast"/>
          <w:jc w:val="center"/>
        </w:trPr>
        <w:tc>
          <w:tcPr>
            <w:tcW w:w="1001" w:type="dxa"/>
            <w:gridSpan w:val="2"/>
            <w:vAlign w:val="center"/>
          </w:tcPr>
          <w:p w14:paraId="19B0C3BB">
            <w:pPr>
              <w:spacing w:line="440" w:lineRule="exact"/>
              <w:jc w:val="center"/>
              <w:rPr>
                <w:rFonts w:ascii="宋体" w:hAnsi="宋体"/>
                <w:szCs w:val="21"/>
              </w:rPr>
            </w:pPr>
            <w:r>
              <w:rPr>
                <w:rFonts w:ascii="宋体" w:hAnsi="宋体"/>
                <w:szCs w:val="21"/>
              </w:rPr>
              <w:t>1.4.2</w:t>
            </w:r>
          </w:p>
        </w:tc>
        <w:tc>
          <w:tcPr>
            <w:tcW w:w="2205" w:type="dxa"/>
            <w:gridSpan w:val="3"/>
            <w:vAlign w:val="center"/>
          </w:tcPr>
          <w:p w14:paraId="1BC76DF2">
            <w:pPr>
              <w:spacing w:line="400" w:lineRule="exact"/>
              <w:jc w:val="center"/>
              <w:rPr>
                <w:rFonts w:ascii="宋体" w:hAnsi="宋体"/>
                <w:szCs w:val="21"/>
              </w:rPr>
            </w:pPr>
            <w:r>
              <w:rPr>
                <w:rFonts w:hint="eastAsia" w:ascii="宋体" w:hAnsi="宋体"/>
                <w:szCs w:val="21"/>
              </w:rPr>
              <w:t>是否接受联合体投标</w:t>
            </w:r>
          </w:p>
        </w:tc>
        <w:tc>
          <w:tcPr>
            <w:tcW w:w="6919" w:type="dxa"/>
            <w:vAlign w:val="center"/>
          </w:tcPr>
          <w:p w14:paraId="5FC1159A">
            <w:pPr>
              <w:spacing w:line="440" w:lineRule="exact"/>
              <w:rPr>
                <w:rFonts w:ascii="宋体" w:hAnsi="宋体"/>
                <w:szCs w:val="21"/>
              </w:rPr>
            </w:pPr>
            <w:r>
              <w:rPr>
                <w:rFonts w:hint="eastAsia" w:ascii="宋体" w:hAnsi="宋体"/>
                <w:szCs w:val="21"/>
                <w:lang w:val="en-US" w:eastAsia="zh-CN"/>
              </w:rPr>
              <w:t>不</w:t>
            </w:r>
            <w:r>
              <w:rPr>
                <w:rFonts w:hint="eastAsia" w:ascii="宋体" w:hAnsi="宋体"/>
                <w:szCs w:val="21"/>
              </w:rPr>
              <w:t>接受</w:t>
            </w:r>
          </w:p>
        </w:tc>
      </w:tr>
      <w:tr w14:paraId="1B74A690">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568" w:hRule="atLeast"/>
          <w:jc w:val="center"/>
        </w:trPr>
        <w:tc>
          <w:tcPr>
            <w:tcW w:w="1001" w:type="dxa"/>
            <w:gridSpan w:val="2"/>
            <w:vAlign w:val="center"/>
          </w:tcPr>
          <w:p w14:paraId="65DF6C6A">
            <w:pPr>
              <w:spacing w:line="440" w:lineRule="exact"/>
              <w:jc w:val="center"/>
              <w:rPr>
                <w:rFonts w:ascii="宋体" w:hAnsi="宋体"/>
                <w:szCs w:val="21"/>
              </w:rPr>
            </w:pPr>
            <w:r>
              <w:rPr>
                <w:rFonts w:ascii="宋体" w:hAnsi="宋体"/>
                <w:szCs w:val="21"/>
              </w:rPr>
              <w:t>1.</w:t>
            </w:r>
            <w:r>
              <w:rPr>
                <w:rFonts w:hint="eastAsia" w:ascii="宋体" w:hAnsi="宋体"/>
                <w:szCs w:val="21"/>
              </w:rPr>
              <w:t>5</w:t>
            </w:r>
            <w:r>
              <w:rPr>
                <w:rFonts w:ascii="宋体" w:hAnsi="宋体"/>
                <w:szCs w:val="21"/>
              </w:rPr>
              <w:t>.1</w:t>
            </w:r>
          </w:p>
        </w:tc>
        <w:tc>
          <w:tcPr>
            <w:tcW w:w="2205" w:type="dxa"/>
            <w:gridSpan w:val="3"/>
            <w:vAlign w:val="center"/>
          </w:tcPr>
          <w:p w14:paraId="6049B4CA">
            <w:pPr>
              <w:spacing w:line="440" w:lineRule="exact"/>
              <w:jc w:val="center"/>
              <w:rPr>
                <w:rFonts w:ascii="宋体" w:hAnsi="宋体"/>
                <w:szCs w:val="21"/>
              </w:rPr>
            </w:pPr>
            <w:r>
              <w:rPr>
                <w:rFonts w:hint="eastAsia" w:ascii="宋体" w:hAnsi="宋体"/>
                <w:szCs w:val="21"/>
              </w:rPr>
              <w:t>费用承担和设计成果补偿</w:t>
            </w:r>
          </w:p>
        </w:tc>
        <w:tc>
          <w:tcPr>
            <w:tcW w:w="6919" w:type="dxa"/>
            <w:vAlign w:val="center"/>
          </w:tcPr>
          <w:p w14:paraId="3279B88D">
            <w:pPr>
              <w:spacing w:line="440" w:lineRule="exact"/>
              <w:rPr>
                <w:rFonts w:ascii="宋体" w:hAnsi="宋体"/>
                <w:szCs w:val="21"/>
              </w:rPr>
            </w:pPr>
            <w:r>
              <w:rPr>
                <w:rFonts w:hint="eastAsia" w:ascii="宋体" w:hAnsi="宋体"/>
                <w:szCs w:val="21"/>
              </w:rPr>
              <w:t>不</w:t>
            </w:r>
            <w:r>
              <w:rPr>
                <w:rFonts w:ascii="宋体" w:hAnsi="宋体"/>
                <w:szCs w:val="21"/>
              </w:rPr>
              <w:t>补偿</w:t>
            </w:r>
          </w:p>
        </w:tc>
      </w:tr>
      <w:tr w14:paraId="15BB221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338" w:hRule="atLeast"/>
          <w:jc w:val="center"/>
        </w:trPr>
        <w:tc>
          <w:tcPr>
            <w:tcW w:w="1001" w:type="dxa"/>
            <w:gridSpan w:val="2"/>
            <w:vAlign w:val="center"/>
          </w:tcPr>
          <w:p w14:paraId="67A9C0C5">
            <w:pPr>
              <w:spacing w:line="440" w:lineRule="exact"/>
              <w:jc w:val="center"/>
              <w:rPr>
                <w:rFonts w:ascii="宋体" w:hAnsi="宋体"/>
                <w:szCs w:val="21"/>
              </w:rPr>
            </w:pPr>
            <w:r>
              <w:rPr>
                <w:rFonts w:ascii="宋体" w:hAnsi="宋体"/>
                <w:szCs w:val="21"/>
              </w:rPr>
              <w:t>1.6.1</w:t>
            </w:r>
          </w:p>
        </w:tc>
        <w:tc>
          <w:tcPr>
            <w:tcW w:w="2205" w:type="dxa"/>
            <w:gridSpan w:val="3"/>
            <w:vAlign w:val="center"/>
          </w:tcPr>
          <w:p w14:paraId="0B44BA98">
            <w:pPr>
              <w:spacing w:line="400" w:lineRule="exact"/>
              <w:jc w:val="center"/>
              <w:rPr>
                <w:rFonts w:ascii="宋体" w:hAnsi="宋体"/>
                <w:szCs w:val="21"/>
              </w:rPr>
            </w:pPr>
            <w:r>
              <w:rPr>
                <w:rFonts w:hint="eastAsia" w:ascii="宋体" w:hAnsi="宋体"/>
                <w:szCs w:val="21"/>
              </w:rPr>
              <w:t>踏勘现场</w:t>
            </w:r>
          </w:p>
        </w:tc>
        <w:tc>
          <w:tcPr>
            <w:tcW w:w="6919" w:type="dxa"/>
            <w:vAlign w:val="center"/>
          </w:tcPr>
          <w:p w14:paraId="76213FD4">
            <w:pPr>
              <w:spacing w:line="440" w:lineRule="exact"/>
              <w:rPr>
                <w:rFonts w:ascii="宋体" w:hAnsi="宋体"/>
                <w:szCs w:val="21"/>
              </w:rPr>
            </w:pPr>
            <w:r>
              <w:rPr>
                <w:rFonts w:hint="eastAsia" w:ascii="宋体" w:hAnsi="宋体"/>
                <w:szCs w:val="21"/>
              </w:rPr>
              <w:t>不组织，投标人自行踏勘</w:t>
            </w:r>
          </w:p>
        </w:tc>
      </w:tr>
      <w:tr w14:paraId="372C072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1001" w:type="dxa"/>
            <w:gridSpan w:val="2"/>
            <w:vAlign w:val="center"/>
          </w:tcPr>
          <w:p w14:paraId="6BC77BC0">
            <w:pPr>
              <w:spacing w:line="440" w:lineRule="exact"/>
              <w:jc w:val="center"/>
              <w:rPr>
                <w:rFonts w:ascii="宋体" w:hAnsi="宋体"/>
                <w:szCs w:val="21"/>
              </w:rPr>
            </w:pPr>
            <w:r>
              <w:rPr>
                <w:rFonts w:ascii="宋体" w:hAnsi="宋体"/>
                <w:szCs w:val="21"/>
              </w:rPr>
              <w:t>1.7.1</w:t>
            </w:r>
          </w:p>
        </w:tc>
        <w:tc>
          <w:tcPr>
            <w:tcW w:w="2205" w:type="dxa"/>
            <w:gridSpan w:val="3"/>
            <w:vAlign w:val="center"/>
          </w:tcPr>
          <w:p w14:paraId="13CDD8B3">
            <w:pPr>
              <w:spacing w:line="400" w:lineRule="exact"/>
              <w:jc w:val="center"/>
              <w:rPr>
                <w:rFonts w:ascii="宋体" w:hAnsi="宋体"/>
                <w:szCs w:val="21"/>
              </w:rPr>
            </w:pPr>
            <w:r>
              <w:rPr>
                <w:rFonts w:hint="eastAsia" w:ascii="宋体" w:hAnsi="宋体"/>
                <w:szCs w:val="21"/>
              </w:rPr>
              <w:t>投标预备会</w:t>
            </w:r>
          </w:p>
        </w:tc>
        <w:tc>
          <w:tcPr>
            <w:tcW w:w="6919" w:type="dxa"/>
            <w:vAlign w:val="center"/>
          </w:tcPr>
          <w:p w14:paraId="7E752D30">
            <w:pPr>
              <w:spacing w:line="440" w:lineRule="exact"/>
              <w:rPr>
                <w:rFonts w:ascii="宋体" w:hAnsi="宋体"/>
                <w:szCs w:val="21"/>
              </w:rPr>
            </w:pPr>
            <w:r>
              <w:rPr>
                <w:rFonts w:hint="eastAsia" w:ascii="宋体" w:hAnsi="宋体"/>
                <w:szCs w:val="21"/>
              </w:rPr>
              <w:t>不召开</w:t>
            </w:r>
          </w:p>
        </w:tc>
      </w:tr>
      <w:tr w14:paraId="1FA16B40">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471" w:hRule="atLeast"/>
          <w:jc w:val="center"/>
        </w:trPr>
        <w:tc>
          <w:tcPr>
            <w:tcW w:w="1001" w:type="dxa"/>
            <w:gridSpan w:val="2"/>
            <w:vAlign w:val="center"/>
          </w:tcPr>
          <w:p w14:paraId="51607351">
            <w:pPr>
              <w:spacing w:line="440" w:lineRule="exact"/>
              <w:jc w:val="center"/>
              <w:rPr>
                <w:rFonts w:ascii="宋体" w:hAnsi="宋体"/>
                <w:szCs w:val="21"/>
              </w:rPr>
            </w:pPr>
            <w:r>
              <w:rPr>
                <w:rFonts w:ascii="宋体" w:hAnsi="宋体"/>
                <w:szCs w:val="21"/>
              </w:rPr>
              <w:t>1.7.2</w:t>
            </w:r>
          </w:p>
        </w:tc>
        <w:tc>
          <w:tcPr>
            <w:tcW w:w="2205" w:type="dxa"/>
            <w:gridSpan w:val="3"/>
            <w:vAlign w:val="center"/>
          </w:tcPr>
          <w:p w14:paraId="0C33396E">
            <w:pPr>
              <w:spacing w:line="400" w:lineRule="exact"/>
              <w:jc w:val="center"/>
              <w:rPr>
                <w:rFonts w:ascii="宋体" w:hAnsi="宋体"/>
                <w:szCs w:val="21"/>
              </w:rPr>
            </w:pPr>
            <w:r>
              <w:rPr>
                <w:rFonts w:hint="eastAsia" w:ascii="宋体" w:hAnsi="宋体"/>
                <w:szCs w:val="21"/>
              </w:rPr>
              <w:t>投标人提出问题的截止时间</w:t>
            </w:r>
          </w:p>
        </w:tc>
        <w:tc>
          <w:tcPr>
            <w:tcW w:w="6919" w:type="dxa"/>
          </w:tcPr>
          <w:p w14:paraId="06C37A5F">
            <w:pPr>
              <w:pStyle w:val="62"/>
              <w:ind w:left="0" w:firstLine="420" w:firstLineChars="200"/>
              <w:rPr>
                <w:rFonts w:ascii="宋体" w:hAnsi="宋体"/>
                <w:szCs w:val="21"/>
              </w:rPr>
            </w:pPr>
            <w:r>
              <w:rPr>
                <w:rFonts w:hint="eastAsia" w:ascii="宋体" w:hAnsi="宋体"/>
                <w:sz w:val="21"/>
                <w:szCs w:val="21"/>
              </w:rPr>
              <w:t>在投标截止时间10日前，所有获取了招标文件的潜在投标人凭企业数字证书（CA）登录云南省公共资源交易信息网网，通过网络在线方式向招标人或招标代理进行署名提问，招标人或招标代理需对所有潜在投标人进行统一回复。</w:t>
            </w:r>
          </w:p>
        </w:tc>
      </w:tr>
      <w:tr w14:paraId="1901CB32">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471" w:hRule="atLeast"/>
          <w:jc w:val="center"/>
        </w:trPr>
        <w:tc>
          <w:tcPr>
            <w:tcW w:w="1001" w:type="dxa"/>
            <w:gridSpan w:val="2"/>
            <w:vAlign w:val="center"/>
          </w:tcPr>
          <w:p w14:paraId="648F301D">
            <w:pPr>
              <w:spacing w:line="440" w:lineRule="exact"/>
              <w:jc w:val="center"/>
              <w:rPr>
                <w:rFonts w:ascii="宋体" w:hAnsi="宋体"/>
                <w:szCs w:val="21"/>
              </w:rPr>
            </w:pPr>
            <w:r>
              <w:rPr>
                <w:rFonts w:ascii="宋体" w:hAnsi="宋体"/>
                <w:szCs w:val="21"/>
              </w:rPr>
              <w:t>1.7.3</w:t>
            </w:r>
          </w:p>
        </w:tc>
        <w:tc>
          <w:tcPr>
            <w:tcW w:w="2205" w:type="dxa"/>
            <w:gridSpan w:val="3"/>
            <w:vAlign w:val="center"/>
          </w:tcPr>
          <w:p w14:paraId="00D7221F">
            <w:pPr>
              <w:spacing w:line="400" w:lineRule="exact"/>
              <w:jc w:val="center"/>
              <w:rPr>
                <w:rFonts w:ascii="宋体" w:hAnsi="宋体"/>
                <w:szCs w:val="21"/>
              </w:rPr>
            </w:pPr>
            <w:r>
              <w:rPr>
                <w:rFonts w:hint="eastAsia" w:ascii="宋体" w:hAnsi="宋体"/>
                <w:szCs w:val="21"/>
              </w:rPr>
              <w:t>招标人书面澄清的时间</w:t>
            </w:r>
          </w:p>
        </w:tc>
        <w:tc>
          <w:tcPr>
            <w:tcW w:w="6919" w:type="dxa"/>
          </w:tcPr>
          <w:p w14:paraId="549D171A">
            <w:pPr>
              <w:pStyle w:val="62"/>
              <w:ind w:left="0" w:firstLine="420" w:firstLineChars="200"/>
              <w:rPr>
                <w:rFonts w:ascii="宋体" w:hAnsi="宋体"/>
                <w:szCs w:val="21"/>
              </w:rPr>
            </w:pPr>
            <w:r>
              <w:rPr>
                <w:rFonts w:hint="eastAsia" w:ascii="宋体" w:hAnsi="宋体"/>
                <w:sz w:val="21"/>
                <w:szCs w:val="21"/>
              </w:rPr>
              <w:t>投标截止时间至少15日前，由招标人以补遗书方式按程序报有关主管部门备案后，提交公共资源交易中心统一通过网络向潜在投标人发布，所有获取了招标文件的潜在投标人登录云南省公共资源交易信息网网凭企业身份认证数字证书（CA）查看澄清内容。</w:t>
            </w:r>
          </w:p>
        </w:tc>
      </w:tr>
      <w:tr w14:paraId="7392C7E2">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224" w:hRule="atLeast"/>
          <w:jc w:val="center"/>
        </w:trPr>
        <w:tc>
          <w:tcPr>
            <w:tcW w:w="1001" w:type="dxa"/>
            <w:gridSpan w:val="2"/>
            <w:vAlign w:val="center"/>
          </w:tcPr>
          <w:p w14:paraId="48D8E786">
            <w:pPr>
              <w:spacing w:line="440" w:lineRule="exact"/>
              <w:jc w:val="center"/>
              <w:rPr>
                <w:rFonts w:ascii="宋体" w:hAnsi="宋体"/>
                <w:szCs w:val="21"/>
              </w:rPr>
            </w:pPr>
            <w:r>
              <w:rPr>
                <w:rFonts w:ascii="宋体" w:hAnsi="宋体"/>
                <w:szCs w:val="21"/>
              </w:rPr>
              <w:t>1.8.1</w:t>
            </w:r>
          </w:p>
        </w:tc>
        <w:tc>
          <w:tcPr>
            <w:tcW w:w="2205" w:type="dxa"/>
            <w:gridSpan w:val="3"/>
            <w:vAlign w:val="center"/>
          </w:tcPr>
          <w:p w14:paraId="17CDDC7E">
            <w:pPr>
              <w:spacing w:line="400" w:lineRule="exact"/>
              <w:jc w:val="center"/>
              <w:rPr>
                <w:rFonts w:ascii="宋体" w:hAnsi="宋体"/>
                <w:szCs w:val="21"/>
              </w:rPr>
            </w:pPr>
            <w:r>
              <w:rPr>
                <w:rFonts w:hint="eastAsia" w:ascii="宋体" w:hAnsi="宋体"/>
                <w:szCs w:val="21"/>
              </w:rPr>
              <w:t>投标人拟分包的工作</w:t>
            </w:r>
          </w:p>
        </w:tc>
        <w:tc>
          <w:tcPr>
            <w:tcW w:w="6919" w:type="dxa"/>
            <w:vAlign w:val="center"/>
          </w:tcPr>
          <w:p w14:paraId="38414026">
            <w:pPr>
              <w:spacing w:line="440" w:lineRule="exact"/>
              <w:jc w:val="left"/>
              <w:rPr>
                <w:rFonts w:hint="eastAsia" w:ascii="宋体" w:hAnsi="宋体" w:eastAsia="宋体"/>
                <w:szCs w:val="21"/>
                <w:lang w:eastAsia="zh-CN"/>
              </w:rPr>
            </w:pPr>
            <w:r>
              <w:rPr>
                <w:rFonts w:hint="eastAsia" w:ascii="宋体" w:hAnsi="宋体"/>
                <w:szCs w:val="21"/>
                <w:lang w:val="en-US" w:eastAsia="zh-CN"/>
              </w:rPr>
              <w:t>不允许。</w:t>
            </w:r>
          </w:p>
        </w:tc>
      </w:tr>
      <w:tr w14:paraId="2EA2F13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1001" w:type="dxa"/>
            <w:gridSpan w:val="2"/>
            <w:vAlign w:val="center"/>
          </w:tcPr>
          <w:p w14:paraId="7AC23E80">
            <w:pPr>
              <w:spacing w:line="440" w:lineRule="exact"/>
              <w:jc w:val="center"/>
              <w:rPr>
                <w:rFonts w:ascii="宋体" w:hAnsi="宋体"/>
                <w:szCs w:val="21"/>
              </w:rPr>
            </w:pPr>
            <w:r>
              <w:rPr>
                <w:rFonts w:ascii="宋体" w:hAnsi="宋体"/>
                <w:szCs w:val="21"/>
              </w:rPr>
              <w:t>1.9.1</w:t>
            </w:r>
          </w:p>
        </w:tc>
        <w:tc>
          <w:tcPr>
            <w:tcW w:w="2205" w:type="dxa"/>
            <w:gridSpan w:val="3"/>
            <w:vAlign w:val="center"/>
          </w:tcPr>
          <w:p w14:paraId="5EC9105A">
            <w:pPr>
              <w:spacing w:line="400" w:lineRule="exact"/>
              <w:jc w:val="center"/>
              <w:rPr>
                <w:rFonts w:ascii="宋体" w:hAnsi="宋体"/>
                <w:szCs w:val="21"/>
              </w:rPr>
            </w:pPr>
            <w:r>
              <w:rPr>
                <w:rFonts w:hint="eastAsia" w:ascii="宋体" w:hAnsi="宋体"/>
                <w:szCs w:val="21"/>
              </w:rPr>
              <w:t>偏离</w:t>
            </w:r>
          </w:p>
        </w:tc>
        <w:tc>
          <w:tcPr>
            <w:tcW w:w="6919" w:type="dxa"/>
            <w:vAlign w:val="center"/>
          </w:tcPr>
          <w:p w14:paraId="59A6099F">
            <w:pPr>
              <w:spacing w:line="440" w:lineRule="exact"/>
              <w:rPr>
                <w:rFonts w:hint="eastAsia" w:ascii="宋体" w:hAnsi="宋体" w:eastAsia="宋体"/>
                <w:szCs w:val="21"/>
                <w:lang w:eastAsia="zh-CN"/>
              </w:rPr>
            </w:pPr>
            <w:r>
              <w:rPr>
                <w:rFonts w:hint="eastAsia" w:ascii="宋体" w:hAnsi="宋体"/>
                <w:szCs w:val="21"/>
                <w:lang w:val="en-US" w:eastAsia="zh-CN"/>
              </w:rPr>
              <w:t>不允许。</w:t>
            </w:r>
          </w:p>
        </w:tc>
      </w:tr>
      <w:tr w14:paraId="59D5375A">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001" w:type="dxa"/>
            <w:gridSpan w:val="2"/>
            <w:vAlign w:val="center"/>
          </w:tcPr>
          <w:p w14:paraId="2DB7CFF3">
            <w:pPr>
              <w:spacing w:line="440" w:lineRule="exact"/>
              <w:jc w:val="center"/>
              <w:rPr>
                <w:rFonts w:ascii="宋体" w:hAnsi="宋体"/>
                <w:szCs w:val="21"/>
              </w:rPr>
            </w:pPr>
            <w:r>
              <w:rPr>
                <w:rFonts w:ascii="宋体" w:hAnsi="宋体"/>
                <w:szCs w:val="21"/>
              </w:rPr>
              <w:t>1.10.1</w:t>
            </w:r>
          </w:p>
        </w:tc>
        <w:tc>
          <w:tcPr>
            <w:tcW w:w="2205" w:type="dxa"/>
            <w:gridSpan w:val="3"/>
            <w:vAlign w:val="center"/>
          </w:tcPr>
          <w:p w14:paraId="5E0E9F3B">
            <w:pPr>
              <w:spacing w:line="400" w:lineRule="exact"/>
              <w:jc w:val="center"/>
              <w:rPr>
                <w:rFonts w:ascii="宋体" w:hAnsi="宋体"/>
                <w:szCs w:val="21"/>
              </w:rPr>
            </w:pPr>
            <w:r>
              <w:rPr>
                <w:rFonts w:hint="eastAsia" w:ascii="宋体" w:hAnsi="宋体"/>
                <w:szCs w:val="21"/>
              </w:rPr>
              <w:t>构成招标文件的其他材料</w:t>
            </w:r>
          </w:p>
        </w:tc>
        <w:tc>
          <w:tcPr>
            <w:tcW w:w="6919" w:type="dxa"/>
            <w:vAlign w:val="center"/>
          </w:tcPr>
          <w:p w14:paraId="513D6552">
            <w:pPr>
              <w:spacing w:line="440" w:lineRule="exact"/>
              <w:rPr>
                <w:rFonts w:ascii="宋体" w:hAnsi="宋体"/>
                <w:smallCaps/>
                <w:kern w:val="0"/>
                <w:szCs w:val="21"/>
              </w:rPr>
            </w:pPr>
            <w:r>
              <w:rPr>
                <w:rFonts w:hint="eastAsia" w:ascii="宋体" w:hAnsi="宋体"/>
                <w:smallCaps/>
                <w:kern w:val="0"/>
                <w:szCs w:val="21"/>
              </w:rPr>
              <w:t>招标人在云南省公共资源交易信息网</w:t>
            </w:r>
            <w:r>
              <w:rPr>
                <w:rFonts w:hint="eastAsia" w:ascii="宋体" w:hAnsi="宋体"/>
                <w:szCs w:val="21"/>
              </w:rPr>
              <w:t>（https://ggzy.yn.gov.cn/）</w:t>
            </w:r>
            <w:r>
              <w:rPr>
                <w:rFonts w:hint="eastAsia" w:ascii="宋体" w:hAnsi="宋体"/>
                <w:smallCaps/>
                <w:kern w:val="0"/>
                <w:szCs w:val="21"/>
              </w:rPr>
              <w:t>发出的答疑书、补遗书或通知等。</w:t>
            </w:r>
          </w:p>
        </w:tc>
      </w:tr>
      <w:tr w14:paraId="58EE98F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001" w:type="dxa"/>
            <w:gridSpan w:val="2"/>
            <w:vAlign w:val="center"/>
          </w:tcPr>
          <w:p w14:paraId="77C79A81">
            <w:pPr>
              <w:spacing w:line="440" w:lineRule="exact"/>
              <w:jc w:val="center"/>
              <w:rPr>
                <w:rFonts w:ascii="宋体" w:hAnsi="宋体"/>
                <w:szCs w:val="21"/>
              </w:rPr>
            </w:pPr>
            <w:r>
              <w:rPr>
                <w:rFonts w:ascii="宋体" w:hAnsi="宋体"/>
                <w:szCs w:val="21"/>
              </w:rPr>
              <w:t>1.10.2</w:t>
            </w:r>
          </w:p>
        </w:tc>
        <w:tc>
          <w:tcPr>
            <w:tcW w:w="2205" w:type="dxa"/>
            <w:gridSpan w:val="3"/>
            <w:vAlign w:val="center"/>
          </w:tcPr>
          <w:p w14:paraId="5EB8E1A1">
            <w:pPr>
              <w:spacing w:line="400" w:lineRule="exact"/>
              <w:jc w:val="center"/>
              <w:rPr>
                <w:rFonts w:ascii="宋体" w:hAnsi="宋体"/>
                <w:szCs w:val="21"/>
              </w:rPr>
            </w:pPr>
            <w:r>
              <w:rPr>
                <w:rFonts w:hint="eastAsia" w:ascii="宋体" w:hAnsi="宋体"/>
                <w:szCs w:val="21"/>
              </w:rPr>
              <w:t>投标人要求澄清招标文件的截止时间</w:t>
            </w:r>
          </w:p>
        </w:tc>
        <w:tc>
          <w:tcPr>
            <w:tcW w:w="6919" w:type="dxa"/>
            <w:vAlign w:val="center"/>
          </w:tcPr>
          <w:p w14:paraId="27DBD181">
            <w:pPr>
              <w:spacing w:line="440" w:lineRule="exact"/>
              <w:rPr>
                <w:rFonts w:ascii="宋体" w:hAnsi="宋体"/>
                <w:szCs w:val="21"/>
              </w:rPr>
            </w:pPr>
            <w:r>
              <w:rPr>
                <w:rFonts w:hint="eastAsia"/>
              </w:rPr>
              <w:t>投标人应仔细阅读和检查招标文件的全部内容。如发现缺页或附件不全，应及时向招标人提出，以便补齐。如有疑问，应在投标人须知前附表规定的时间前以在线署名提交方式登录云南省公共资源交易信息网（https://ggzy.yn.gov.cn/），要求招标人对招标文件予以澄清。</w:t>
            </w:r>
          </w:p>
        </w:tc>
      </w:tr>
      <w:tr w14:paraId="102A530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001" w:type="dxa"/>
            <w:gridSpan w:val="2"/>
            <w:vAlign w:val="center"/>
          </w:tcPr>
          <w:p w14:paraId="256AE085">
            <w:pPr>
              <w:spacing w:line="440" w:lineRule="exact"/>
              <w:jc w:val="center"/>
              <w:rPr>
                <w:rFonts w:ascii="宋体" w:hAnsi="宋体"/>
                <w:szCs w:val="21"/>
              </w:rPr>
            </w:pPr>
            <w:r>
              <w:rPr>
                <w:rFonts w:ascii="宋体" w:hAnsi="宋体"/>
                <w:szCs w:val="21"/>
              </w:rPr>
              <w:t>1.10.3</w:t>
            </w:r>
          </w:p>
        </w:tc>
        <w:tc>
          <w:tcPr>
            <w:tcW w:w="2205" w:type="dxa"/>
            <w:gridSpan w:val="3"/>
            <w:vAlign w:val="center"/>
          </w:tcPr>
          <w:p w14:paraId="5EFA0D27">
            <w:pPr>
              <w:spacing w:line="400" w:lineRule="exact"/>
              <w:jc w:val="center"/>
              <w:rPr>
                <w:rFonts w:ascii="宋体" w:hAnsi="宋体"/>
                <w:szCs w:val="21"/>
              </w:rPr>
            </w:pPr>
            <w:r>
              <w:rPr>
                <w:rFonts w:hint="eastAsia" w:ascii="宋体" w:hAnsi="宋体"/>
                <w:szCs w:val="21"/>
              </w:rPr>
              <w:t>投标截止时间</w:t>
            </w:r>
          </w:p>
        </w:tc>
        <w:tc>
          <w:tcPr>
            <w:tcW w:w="6919" w:type="dxa"/>
            <w:vAlign w:val="center"/>
          </w:tcPr>
          <w:p w14:paraId="3D4E5CA9">
            <w:pPr>
              <w:spacing w:line="440" w:lineRule="exact"/>
              <w:rPr>
                <w:rFonts w:ascii="宋体" w:hAnsi="宋体"/>
                <w:szCs w:val="21"/>
              </w:rPr>
            </w:pPr>
            <w:r>
              <w:rPr>
                <w:rFonts w:hint="eastAsia" w:ascii="宋体" w:hAnsi="宋体"/>
                <w:szCs w:val="21"/>
              </w:rPr>
              <w:t>以网上公告时间为准。</w:t>
            </w:r>
          </w:p>
        </w:tc>
      </w:tr>
      <w:tr w14:paraId="52BE3D0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001" w:type="dxa"/>
            <w:gridSpan w:val="2"/>
            <w:vAlign w:val="center"/>
          </w:tcPr>
          <w:p w14:paraId="4D9B09A5">
            <w:pPr>
              <w:spacing w:line="440" w:lineRule="exact"/>
              <w:jc w:val="center"/>
              <w:rPr>
                <w:rFonts w:ascii="宋体" w:hAnsi="宋体"/>
                <w:szCs w:val="21"/>
              </w:rPr>
            </w:pPr>
            <w:r>
              <w:rPr>
                <w:rFonts w:ascii="宋体" w:hAnsi="宋体"/>
                <w:szCs w:val="21"/>
              </w:rPr>
              <w:t>1.10.4</w:t>
            </w:r>
          </w:p>
        </w:tc>
        <w:tc>
          <w:tcPr>
            <w:tcW w:w="2205" w:type="dxa"/>
            <w:gridSpan w:val="3"/>
            <w:vAlign w:val="center"/>
          </w:tcPr>
          <w:p w14:paraId="06A7C0D7">
            <w:pPr>
              <w:spacing w:line="400" w:lineRule="exact"/>
              <w:jc w:val="center"/>
              <w:rPr>
                <w:rFonts w:ascii="宋体" w:hAnsi="宋体"/>
                <w:szCs w:val="21"/>
              </w:rPr>
            </w:pPr>
            <w:r>
              <w:rPr>
                <w:rFonts w:hint="eastAsia" w:ascii="宋体" w:hAnsi="宋体"/>
                <w:szCs w:val="21"/>
              </w:rPr>
              <w:t>投标人确认收到招标文件澄清的时间</w:t>
            </w:r>
          </w:p>
        </w:tc>
        <w:tc>
          <w:tcPr>
            <w:tcW w:w="6919" w:type="dxa"/>
            <w:vAlign w:val="center"/>
          </w:tcPr>
          <w:p w14:paraId="3B0DC062">
            <w:pPr>
              <w:spacing w:line="440" w:lineRule="exact"/>
              <w:rPr>
                <w:rFonts w:ascii="宋体" w:hAnsi="宋体"/>
                <w:szCs w:val="21"/>
              </w:rPr>
            </w:pPr>
            <w:r>
              <w:rPr>
                <w:rFonts w:hint="eastAsia" w:ascii="宋体" w:hAnsi="宋体"/>
                <w:szCs w:val="21"/>
              </w:rPr>
              <w:t>投标人自行登录云南省公共资源交易信息网（</w:t>
            </w:r>
            <w:r>
              <w:rPr>
                <w:rFonts w:hint="eastAsia" w:ascii="宋体" w:hAnsi="宋体"/>
                <w:bCs/>
              </w:rPr>
              <w:t>https://ggzy.yn.gov.cn/</w:t>
            </w:r>
            <w:r>
              <w:rPr>
                <w:rFonts w:hint="eastAsia" w:ascii="宋体" w:hAnsi="宋体"/>
                <w:szCs w:val="21"/>
              </w:rPr>
              <w:t>）获取澄清，无须回复确认已收到该澄清。</w:t>
            </w:r>
          </w:p>
        </w:tc>
      </w:tr>
      <w:tr w14:paraId="192DA29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001" w:type="dxa"/>
            <w:gridSpan w:val="2"/>
            <w:vAlign w:val="center"/>
          </w:tcPr>
          <w:p w14:paraId="78CBB932">
            <w:pPr>
              <w:spacing w:line="440" w:lineRule="exact"/>
              <w:jc w:val="center"/>
              <w:rPr>
                <w:rFonts w:ascii="宋体" w:hAnsi="宋体"/>
                <w:szCs w:val="21"/>
              </w:rPr>
            </w:pPr>
            <w:r>
              <w:rPr>
                <w:rFonts w:ascii="宋体" w:hAnsi="宋体"/>
                <w:szCs w:val="21"/>
              </w:rPr>
              <w:t>1.10.5</w:t>
            </w:r>
          </w:p>
        </w:tc>
        <w:tc>
          <w:tcPr>
            <w:tcW w:w="2205" w:type="dxa"/>
            <w:gridSpan w:val="3"/>
            <w:vAlign w:val="center"/>
          </w:tcPr>
          <w:p w14:paraId="30D52C49">
            <w:pPr>
              <w:spacing w:line="400" w:lineRule="exact"/>
              <w:jc w:val="center"/>
              <w:rPr>
                <w:rFonts w:ascii="宋体" w:hAnsi="宋体"/>
                <w:szCs w:val="21"/>
              </w:rPr>
            </w:pPr>
            <w:r>
              <w:rPr>
                <w:rFonts w:hint="eastAsia" w:ascii="宋体" w:hAnsi="宋体"/>
                <w:szCs w:val="21"/>
              </w:rPr>
              <w:t>投标人确认收到招标文件修改的时间</w:t>
            </w:r>
          </w:p>
        </w:tc>
        <w:tc>
          <w:tcPr>
            <w:tcW w:w="6919" w:type="dxa"/>
            <w:vAlign w:val="center"/>
          </w:tcPr>
          <w:p w14:paraId="4D0A6F37">
            <w:pPr>
              <w:spacing w:line="440" w:lineRule="exact"/>
              <w:rPr>
                <w:rFonts w:ascii="宋体" w:hAnsi="宋体"/>
                <w:szCs w:val="21"/>
              </w:rPr>
            </w:pPr>
            <w:r>
              <w:rPr>
                <w:rFonts w:hint="eastAsia" w:ascii="宋体" w:hAnsi="宋体"/>
                <w:szCs w:val="21"/>
              </w:rPr>
              <w:t>投标人自行登录云南省公共资源交易信息网（</w:t>
            </w:r>
            <w:r>
              <w:rPr>
                <w:rFonts w:hint="eastAsia" w:ascii="宋体" w:hAnsi="宋体"/>
                <w:bCs/>
              </w:rPr>
              <w:t>https://ggzy.yn.gov.cn/</w:t>
            </w:r>
            <w:r>
              <w:rPr>
                <w:rFonts w:hint="eastAsia" w:ascii="宋体" w:hAnsi="宋体"/>
                <w:szCs w:val="21"/>
              </w:rPr>
              <w:t>）统收取修改内容，无须回复确认已收到该修改。</w:t>
            </w:r>
          </w:p>
        </w:tc>
      </w:tr>
      <w:tr w14:paraId="1E1FEC6C">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001" w:type="dxa"/>
            <w:gridSpan w:val="2"/>
            <w:vAlign w:val="center"/>
          </w:tcPr>
          <w:p w14:paraId="061513A8">
            <w:pPr>
              <w:spacing w:line="440" w:lineRule="exact"/>
              <w:jc w:val="center"/>
              <w:rPr>
                <w:rFonts w:ascii="宋体" w:hAnsi="宋体"/>
                <w:szCs w:val="21"/>
              </w:rPr>
            </w:pPr>
            <w:r>
              <w:rPr>
                <w:rFonts w:ascii="宋体" w:hAnsi="宋体"/>
                <w:szCs w:val="21"/>
              </w:rPr>
              <w:t>1.10.6</w:t>
            </w:r>
          </w:p>
        </w:tc>
        <w:tc>
          <w:tcPr>
            <w:tcW w:w="2205" w:type="dxa"/>
            <w:gridSpan w:val="3"/>
            <w:vAlign w:val="center"/>
          </w:tcPr>
          <w:p w14:paraId="092A9A94">
            <w:pPr>
              <w:spacing w:line="400" w:lineRule="exact"/>
              <w:jc w:val="center"/>
              <w:rPr>
                <w:rFonts w:ascii="宋体" w:hAnsi="宋体"/>
                <w:szCs w:val="21"/>
              </w:rPr>
            </w:pPr>
            <w:r>
              <w:rPr>
                <w:rFonts w:hint="eastAsia" w:ascii="宋体" w:hAnsi="宋体"/>
                <w:szCs w:val="21"/>
              </w:rPr>
              <w:t>构成投标文件的其他材料</w:t>
            </w:r>
          </w:p>
        </w:tc>
        <w:tc>
          <w:tcPr>
            <w:tcW w:w="6919" w:type="dxa"/>
            <w:vAlign w:val="center"/>
          </w:tcPr>
          <w:p w14:paraId="62E57B2E">
            <w:pPr>
              <w:spacing w:line="440" w:lineRule="exact"/>
              <w:rPr>
                <w:rFonts w:ascii="宋体" w:hAnsi="宋体"/>
                <w:szCs w:val="21"/>
              </w:rPr>
            </w:pPr>
            <w:r>
              <w:rPr>
                <w:rFonts w:hint="eastAsia" w:ascii="宋体" w:hAnsi="宋体"/>
                <w:szCs w:val="21"/>
              </w:rPr>
              <w:t>投标人认为有必要提供的其他材料</w:t>
            </w:r>
          </w:p>
        </w:tc>
      </w:tr>
      <w:tr w14:paraId="0009622A">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001" w:type="dxa"/>
            <w:gridSpan w:val="2"/>
            <w:vAlign w:val="center"/>
          </w:tcPr>
          <w:p w14:paraId="62867966">
            <w:pPr>
              <w:spacing w:line="440" w:lineRule="exact"/>
              <w:jc w:val="center"/>
              <w:rPr>
                <w:rFonts w:ascii="宋体" w:hAnsi="宋体"/>
                <w:szCs w:val="21"/>
              </w:rPr>
            </w:pPr>
            <w:r>
              <w:rPr>
                <w:rFonts w:ascii="宋体" w:hAnsi="宋体"/>
              </w:rPr>
              <w:t>1.11</w:t>
            </w:r>
            <w:r>
              <w:rPr>
                <w:rFonts w:hint="eastAsia" w:ascii="宋体" w:hAnsi="宋体"/>
              </w:rPr>
              <w:t>.</w:t>
            </w:r>
            <w:r>
              <w:rPr>
                <w:rFonts w:ascii="宋体" w:hAnsi="宋体"/>
              </w:rPr>
              <w:t>1</w:t>
            </w:r>
          </w:p>
        </w:tc>
        <w:tc>
          <w:tcPr>
            <w:tcW w:w="2205" w:type="dxa"/>
            <w:gridSpan w:val="3"/>
            <w:vAlign w:val="center"/>
          </w:tcPr>
          <w:p w14:paraId="41DC5969">
            <w:pPr>
              <w:spacing w:line="440" w:lineRule="exact"/>
              <w:jc w:val="center"/>
              <w:rPr>
                <w:rFonts w:ascii="宋体" w:hAnsi="宋体"/>
                <w:b/>
                <w:bCs/>
                <w:szCs w:val="21"/>
              </w:rPr>
            </w:pPr>
            <w:r>
              <w:rPr>
                <w:rFonts w:hint="eastAsia" w:ascii="宋体" w:hAnsi="宋体"/>
                <w:szCs w:val="21"/>
              </w:rPr>
              <w:t>最高控制价</w:t>
            </w:r>
          </w:p>
        </w:tc>
        <w:tc>
          <w:tcPr>
            <w:tcW w:w="6919" w:type="dxa"/>
            <w:vAlign w:val="center"/>
          </w:tcPr>
          <w:p w14:paraId="2CA5A778">
            <w:pPr>
              <w:spacing w:line="360" w:lineRule="exact"/>
              <w:ind w:left="-86" w:leftChars="-41" w:right="178" w:rightChars="85" w:firstLine="105" w:firstLineChars="50"/>
              <w:rPr>
                <w:rFonts w:hint="default" w:ascii="宋体" w:hAnsi="宋体" w:eastAsia="宋体"/>
                <w:lang w:val="en-US" w:eastAsia="zh-CN"/>
              </w:rPr>
            </w:pPr>
            <w:r>
              <w:rPr>
                <w:rFonts w:hint="default" w:ascii="宋体" w:hAnsi="宋体" w:eastAsia="宋体"/>
                <w:lang w:val="en-US" w:eastAsia="zh-CN"/>
              </w:rPr>
              <w:t>招标上限价为</w:t>
            </w:r>
            <w:r>
              <w:rPr>
                <w:rFonts w:hint="eastAsia" w:ascii="宋体" w:hAnsi="宋体" w:cs="Times New Roman"/>
                <w:kern w:val="2"/>
                <w:sz w:val="21"/>
                <w:szCs w:val="21"/>
                <w:lang w:val="en-US" w:eastAsia="zh-CN" w:bidi="ar-SA"/>
              </w:rPr>
              <w:t>2905086.8</w:t>
            </w:r>
            <w:r>
              <w:rPr>
                <w:rFonts w:hint="default" w:ascii="宋体" w:hAnsi="宋体" w:eastAsia="宋体"/>
                <w:lang w:val="en-US" w:eastAsia="zh-CN"/>
              </w:rPr>
              <w:t>元。</w:t>
            </w:r>
          </w:p>
        </w:tc>
      </w:tr>
      <w:tr w14:paraId="2F02C19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3151" w:hRule="atLeast"/>
          <w:jc w:val="center"/>
        </w:trPr>
        <w:tc>
          <w:tcPr>
            <w:tcW w:w="1001" w:type="dxa"/>
            <w:gridSpan w:val="2"/>
            <w:vAlign w:val="center"/>
          </w:tcPr>
          <w:p w14:paraId="39E64C55">
            <w:pPr>
              <w:spacing w:line="440" w:lineRule="exact"/>
              <w:jc w:val="center"/>
              <w:rPr>
                <w:rFonts w:ascii="宋体" w:hAnsi="宋体"/>
              </w:rPr>
            </w:pPr>
            <w:r>
              <w:rPr>
                <w:rFonts w:ascii="宋体" w:hAnsi="宋体"/>
              </w:rPr>
              <w:t>1.12</w:t>
            </w:r>
            <w:r>
              <w:rPr>
                <w:rFonts w:hint="eastAsia" w:ascii="宋体" w:hAnsi="宋体"/>
              </w:rPr>
              <w:t>.</w:t>
            </w:r>
            <w:r>
              <w:rPr>
                <w:rFonts w:ascii="宋体" w:hAnsi="宋体"/>
              </w:rPr>
              <w:t>1</w:t>
            </w:r>
          </w:p>
        </w:tc>
        <w:tc>
          <w:tcPr>
            <w:tcW w:w="2205" w:type="dxa"/>
            <w:gridSpan w:val="3"/>
            <w:vAlign w:val="center"/>
          </w:tcPr>
          <w:p w14:paraId="5DD708F3">
            <w:pPr>
              <w:spacing w:line="400" w:lineRule="exact"/>
              <w:jc w:val="center"/>
              <w:rPr>
                <w:rFonts w:ascii="宋体" w:hAnsi="宋体"/>
                <w:b/>
                <w:bCs/>
                <w:szCs w:val="21"/>
              </w:rPr>
            </w:pPr>
            <w:r>
              <w:rPr>
                <w:rFonts w:hint="eastAsia" w:ascii="宋体" w:hAnsi="宋体" w:cs="宋体"/>
              </w:rPr>
              <w:t>计价、计量规则</w:t>
            </w:r>
          </w:p>
        </w:tc>
        <w:tc>
          <w:tcPr>
            <w:tcW w:w="6919" w:type="dxa"/>
            <w:vAlign w:val="center"/>
          </w:tcPr>
          <w:p w14:paraId="51BD646F">
            <w:pPr>
              <w:spacing w:before="156" w:beforeLines="50"/>
              <w:ind w:firstLine="0" w:firstLineChars="0"/>
              <w:rPr>
                <w:rFonts w:hint="eastAsia" w:ascii="宋体" w:hAnsi="宋体" w:eastAsia="宋体" w:cs="宋体"/>
                <w:color w:val="auto"/>
                <w:highlight w:val="none"/>
              </w:rPr>
            </w:pPr>
            <w:r>
              <w:rPr>
                <w:rFonts w:hint="eastAsia"/>
                <w:color w:val="auto"/>
                <w:highlight w:val="none"/>
              </w:rPr>
              <w:t>计价规则：</w:t>
            </w:r>
            <w:r>
              <w:rPr>
                <w:rFonts w:hint="eastAsia" w:ascii="宋体" w:hAnsi="宋体" w:eastAsia="宋体" w:cs="宋体"/>
                <w:color w:val="auto"/>
                <w:highlight w:val="none"/>
              </w:rPr>
              <w:t>执行《</w:t>
            </w:r>
            <w:r>
              <w:rPr>
                <w:rFonts w:hint="eastAsia" w:ascii="宋体" w:hAnsi="宋体" w:eastAsia="宋体" w:cs="宋体"/>
                <w:color w:val="auto"/>
                <w:highlight w:val="none"/>
                <w:lang w:val="en-US" w:eastAsia="zh-CN"/>
              </w:rPr>
              <w:t>水利工程工程量清单计价规范（GB50501—2007）</w:t>
            </w:r>
            <w:r>
              <w:rPr>
                <w:rFonts w:hint="eastAsia" w:ascii="宋体" w:hAnsi="宋体" w:eastAsia="宋体" w:cs="宋体"/>
                <w:color w:val="auto"/>
                <w:highlight w:val="none"/>
              </w:rPr>
              <w:t>》</w:t>
            </w:r>
            <w:r>
              <w:rPr>
                <w:rFonts w:hint="eastAsia" w:ascii="宋体" w:hAnsi="宋体" w:cs="宋体"/>
                <w:color w:val="auto"/>
                <w:highlight w:val="none"/>
                <w:lang w:val="en-US" w:eastAsia="zh-CN"/>
              </w:rPr>
              <w:t>及全国（2024）水利预算定额。</w:t>
            </w:r>
          </w:p>
          <w:p w14:paraId="1E064DFA">
            <w:pPr>
              <w:spacing w:line="360" w:lineRule="auto"/>
              <w:jc w:val="left"/>
              <w:rPr>
                <w:rFonts w:ascii="宋体" w:hAnsi="宋体"/>
                <w:highlight w:val="none"/>
              </w:rPr>
            </w:pPr>
            <w:r>
              <w:rPr>
                <w:rFonts w:hint="eastAsia" w:ascii="宋体" w:hAnsi="宋体" w:eastAsia="宋体" w:cs="宋体"/>
                <w:color w:val="auto"/>
                <w:highlight w:val="none"/>
              </w:rPr>
              <w:t>材料价格：</w:t>
            </w:r>
            <w:r>
              <w:rPr>
                <w:rFonts w:hint="eastAsia" w:ascii="宋体" w:hAnsi="宋体" w:eastAsia="宋体" w:cs="宋体"/>
                <w:color w:val="auto"/>
                <w:highlight w:val="none"/>
                <w:lang w:val="en-US" w:eastAsia="zh-CN"/>
              </w:rPr>
              <w:t>主要材料价格根据2025年</w:t>
            </w:r>
            <w:r>
              <w:rPr>
                <w:rFonts w:hint="eastAsia" w:ascii="宋体" w:hAnsi="宋体" w:cs="宋体"/>
                <w:color w:val="auto"/>
                <w:highlight w:val="none"/>
                <w:lang w:val="en-US" w:eastAsia="zh-CN"/>
              </w:rPr>
              <w:t>11</w:t>
            </w:r>
            <w:r>
              <w:rPr>
                <w:rFonts w:hint="eastAsia" w:ascii="宋体" w:hAnsi="宋体" w:eastAsia="宋体" w:cs="宋体"/>
                <w:color w:val="auto"/>
                <w:highlight w:val="none"/>
                <w:lang w:val="en-US" w:eastAsia="zh-CN"/>
              </w:rPr>
              <w:t>月份《昭通市建设工程材料价格信息及市场价格》盐津县基价及市场价；</w:t>
            </w:r>
            <w:r>
              <w:rPr>
                <w:rFonts w:hint="eastAsia" w:ascii="宋体" w:hAnsi="宋体" w:eastAsia="宋体" w:cs="宋体"/>
                <w:color w:val="auto"/>
                <w:highlight w:val="none"/>
              </w:rPr>
              <w:t>以上价格信息没有的，建设前由建设、施工、监理、造价咨询等单位共同询价书面确定后再行实施。</w:t>
            </w:r>
          </w:p>
        </w:tc>
      </w:tr>
      <w:tr w14:paraId="3332E57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1001" w:type="dxa"/>
            <w:gridSpan w:val="2"/>
            <w:vAlign w:val="center"/>
          </w:tcPr>
          <w:p w14:paraId="2032E19F">
            <w:pPr>
              <w:spacing w:line="440" w:lineRule="exact"/>
              <w:jc w:val="center"/>
              <w:rPr>
                <w:rFonts w:ascii="宋体" w:hAnsi="宋体"/>
                <w:szCs w:val="21"/>
              </w:rPr>
            </w:pPr>
            <w:r>
              <w:rPr>
                <w:rFonts w:ascii="宋体" w:hAnsi="宋体"/>
                <w:szCs w:val="21"/>
              </w:rPr>
              <w:t>1.13.1</w:t>
            </w:r>
          </w:p>
        </w:tc>
        <w:tc>
          <w:tcPr>
            <w:tcW w:w="2205" w:type="dxa"/>
            <w:gridSpan w:val="3"/>
            <w:vAlign w:val="center"/>
          </w:tcPr>
          <w:p w14:paraId="0BFDCD71">
            <w:pPr>
              <w:spacing w:line="400" w:lineRule="exact"/>
              <w:jc w:val="center"/>
              <w:rPr>
                <w:rFonts w:ascii="宋体" w:hAnsi="宋体"/>
                <w:szCs w:val="21"/>
              </w:rPr>
            </w:pPr>
            <w:r>
              <w:rPr>
                <w:rFonts w:hint="eastAsia" w:ascii="宋体" w:hAnsi="宋体"/>
                <w:szCs w:val="21"/>
              </w:rPr>
              <w:t>投标有效期</w:t>
            </w:r>
          </w:p>
        </w:tc>
        <w:tc>
          <w:tcPr>
            <w:tcW w:w="6919" w:type="dxa"/>
            <w:vAlign w:val="center"/>
          </w:tcPr>
          <w:p w14:paraId="64B3BA46">
            <w:pPr>
              <w:spacing w:line="440" w:lineRule="exact"/>
              <w:rPr>
                <w:rFonts w:ascii="宋体" w:hAnsi="宋体"/>
                <w:szCs w:val="21"/>
              </w:rPr>
            </w:pPr>
            <w:r>
              <w:rPr>
                <w:rFonts w:hint="eastAsia" w:ascii="宋体" w:hAnsi="宋体"/>
                <w:szCs w:val="21"/>
              </w:rPr>
              <w:t>递交投标文件截止之日起计算</w:t>
            </w:r>
            <w:r>
              <w:rPr>
                <w:rFonts w:ascii="宋体" w:hAnsi="宋体"/>
                <w:szCs w:val="21"/>
                <w:lang w:val="zh-CN"/>
              </w:rPr>
              <w:t>9</w:t>
            </w:r>
            <w:r>
              <w:rPr>
                <w:rFonts w:hint="eastAsia" w:ascii="宋体" w:hAnsi="宋体"/>
                <w:szCs w:val="21"/>
                <w:lang w:val="zh-CN"/>
              </w:rPr>
              <w:t>0日历天</w:t>
            </w:r>
          </w:p>
        </w:tc>
      </w:tr>
      <w:tr w14:paraId="0EF1F75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001" w:type="dxa"/>
            <w:gridSpan w:val="2"/>
            <w:vAlign w:val="center"/>
          </w:tcPr>
          <w:p w14:paraId="0B61E4FB">
            <w:pPr>
              <w:spacing w:line="440" w:lineRule="exact"/>
              <w:jc w:val="center"/>
              <w:rPr>
                <w:rFonts w:ascii="宋体" w:hAnsi="宋体"/>
                <w:szCs w:val="21"/>
              </w:rPr>
            </w:pPr>
            <w:r>
              <w:rPr>
                <w:rFonts w:ascii="宋体" w:hAnsi="宋体"/>
                <w:szCs w:val="21"/>
              </w:rPr>
              <w:t>1.14.1</w:t>
            </w:r>
          </w:p>
        </w:tc>
        <w:tc>
          <w:tcPr>
            <w:tcW w:w="2205" w:type="dxa"/>
            <w:gridSpan w:val="3"/>
            <w:vAlign w:val="center"/>
          </w:tcPr>
          <w:p w14:paraId="09A144A9">
            <w:pPr>
              <w:spacing w:line="400" w:lineRule="exact"/>
              <w:jc w:val="center"/>
              <w:rPr>
                <w:rFonts w:ascii="宋体" w:hAnsi="宋体"/>
                <w:szCs w:val="21"/>
              </w:rPr>
            </w:pPr>
            <w:r>
              <w:rPr>
                <w:rFonts w:hint="eastAsia" w:ascii="宋体" w:hAnsi="宋体"/>
                <w:szCs w:val="21"/>
              </w:rPr>
              <w:t>投标保证金</w:t>
            </w:r>
          </w:p>
        </w:tc>
        <w:tc>
          <w:tcPr>
            <w:tcW w:w="6919" w:type="dxa"/>
            <w:vAlign w:val="center"/>
          </w:tcPr>
          <w:p w14:paraId="7D599EEC">
            <w:pPr>
              <w:ind w:firstLine="23" w:firstLineChars="11"/>
              <w:rPr>
                <w:rFonts w:hint="default" w:ascii="宋体" w:hAnsi="宋体" w:eastAsia="宋体" w:cs="HiddenHorzOCR"/>
                <w:kern w:val="0"/>
                <w:szCs w:val="21"/>
                <w:lang w:val="en-US" w:eastAsia="zh-CN"/>
              </w:rPr>
            </w:pPr>
            <w:r>
              <w:rPr>
                <w:rFonts w:hint="eastAsia" w:ascii="宋体" w:hAnsi="宋体" w:cs="HiddenHorzOCR"/>
                <w:kern w:val="0"/>
                <w:szCs w:val="21"/>
                <w:lang w:val="en-US" w:eastAsia="zh-CN"/>
              </w:rPr>
              <w:t>本项目不收取投标保证金。</w:t>
            </w:r>
          </w:p>
        </w:tc>
      </w:tr>
      <w:tr w14:paraId="52118CFB">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562" w:hRule="atLeast"/>
          <w:jc w:val="center"/>
        </w:trPr>
        <w:tc>
          <w:tcPr>
            <w:tcW w:w="1001" w:type="dxa"/>
            <w:gridSpan w:val="2"/>
            <w:vAlign w:val="center"/>
          </w:tcPr>
          <w:p w14:paraId="61FE93B5">
            <w:pPr>
              <w:spacing w:line="440" w:lineRule="exact"/>
              <w:jc w:val="center"/>
              <w:rPr>
                <w:rFonts w:ascii="宋体" w:hAnsi="宋体"/>
                <w:szCs w:val="21"/>
              </w:rPr>
            </w:pPr>
            <w:r>
              <w:rPr>
                <w:rFonts w:ascii="宋体" w:hAnsi="宋体"/>
                <w:szCs w:val="21"/>
              </w:rPr>
              <w:t>1.1</w:t>
            </w:r>
            <w:r>
              <w:rPr>
                <w:rFonts w:hint="eastAsia" w:ascii="宋体" w:hAnsi="宋体"/>
                <w:szCs w:val="21"/>
              </w:rPr>
              <w:t>5.</w:t>
            </w:r>
            <w:r>
              <w:rPr>
                <w:rFonts w:ascii="宋体" w:hAnsi="宋体"/>
                <w:szCs w:val="21"/>
              </w:rPr>
              <w:t>1</w:t>
            </w:r>
          </w:p>
        </w:tc>
        <w:tc>
          <w:tcPr>
            <w:tcW w:w="2205" w:type="dxa"/>
            <w:gridSpan w:val="3"/>
            <w:vAlign w:val="center"/>
          </w:tcPr>
          <w:p w14:paraId="0C3EA17A">
            <w:pPr>
              <w:spacing w:line="300" w:lineRule="auto"/>
              <w:jc w:val="center"/>
              <w:rPr>
                <w:rFonts w:ascii="宋体" w:hAnsi="宋体"/>
              </w:rPr>
            </w:pPr>
            <w:r>
              <w:rPr>
                <w:rFonts w:ascii="宋体" w:hAnsi="宋体"/>
              </w:rPr>
              <w:t>近年财务状况的年份要求</w:t>
            </w:r>
          </w:p>
        </w:tc>
        <w:tc>
          <w:tcPr>
            <w:tcW w:w="6919" w:type="dxa"/>
            <w:vAlign w:val="center"/>
          </w:tcPr>
          <w:p w14:paraId="307678AC">
            <w:pPr>
              <w:spacing w:line="300" w:lineRule="auto"/>
              <w:rPr>
                <w:rFonts w:ascii="宋体" w:hAnsi="宋体"/>
                <w:szCs w:val="21"/>
              </w:rPr>
            </w:pPr>
            <w:r>
              <w:rPr>
                <w:rFonts w:hint="eastAsia" w:ascii="宋体" w:hAnsi="宋体"/>
                <w:szCs w:val="21"/>
              </w:rPr>
              <w:t>202</w:t>
            </w:r>
            <w:r>
              <w:rPr>
                <w:rFonts w:hint="eastAsia" w:ascii="宋体" w:hAnsi="宋体"/>
                <w:szCs w:val="21"/>
                <w:lang w:val="en-US" w:eastAsia="zh-CN"/>
              </w:rPr>
              <w:t>2</w:t>
            </w:r>
            <w:r>
              <w:rPr>
                <w:rFonts w:hint="eastAsia" w:ascii="宋体" w:hAnsi="宋体"/>
                <w:szCs w:val="21"/>
              </w:rPr>
              <w:t>年～ 202</w:t>
            </w:r>
            <w:r>
              <w:rPr>
                <w:rFonts w:hint="eastAsia" w:ascii="宋体" w:hAnsi="宋体"/>
                <w:szCs w:val="21"/>
                <w:lang w:val="en-US" w:eastAsia="zh-CN"/>
              </w:rPr>
              <w:t>4</w:t>
            </w:r>
            <w:r>
              <w:rPr>
                <w:rFonts w:hint="eastAsia" w:ascii="宋体" w:hAnsi="宋体"/>
                <w:szCs w:val="21"/>
              </w:rPr>
              <w:t>年</w:t>
            </w:r>
          </w:p>
        </w:tc>
      </w:tr>
      <w:tr w14:paraId="039ABED0">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562" w:hRule="atLeast"/>
          <w:jc w:val="center"/>
        </w:trPr>
        <w:tc>
          <w:tcPr>
            <w:tcW w:w="1001" w:type="dxa"/>
            <w:gridSpan w:val="2"/>
            <w:vAlign w:val="center"/>
          </w:tcPr>
          <w:p w14:paraId="01C1554E">
            <w:pPr>
              <w:spacing w:line="440" w:lineRule="exact"/>
              <w:jc w:val="center"/>
              <w:rPr>
                <w:rFonts w:ascii="宋体" w:hAnsi="宋体"/>
                <w:szCs w:val="21"/>
              </w:rPr>
            </w:pPr>
            <w:r>
              <w:rPr>
                <w:rFonts w:ascii="宋体" w:hAnsi="宋体"/>
                <w:szCs w:val="21"/>
              </w:rPr>
              <w:t>1.15.2</w:t>
            </w:r>
          </w:p>
        </w:tc>
        <w:tc>
          <w:tcPr>
            <w:tcW w:w="2205" w:type="dxa"/>
            <w:gridSpan w:val="3"/>
            <w:vAlign w:val="center"/>
          </w:tcPr>
          <w:p w14:paraId="33A3B36B">
            <w:pPr>
              <w:spacing w:line="440" w:lineRule="exact"/>
              <w:jc w:val="center"/>
              <w:rPr>
                <w:rFonts w:ascii="宋体" w:hAnsi="宋体"/>
                <w:szCs w:val="21"/>
              </w:rPr>
            </w:pPr>
            <w:r>
              <w:rPr>
                <w:rFonts w:ascii="宋体" w:hAnsi="宋体"/>
                <w:szCs w:val="21"/>
              </w:rPr>
              <w:t>近年发生的</w:t>
            </w:r>
            <w:r>
              <w:rPr>
                <w:rFonts w:hint="eastAsia" w:ascii="宋体" w:hAnsi="宋体"/>
                <w:szCs w:val="21"/>
              </w:rPr>
              <w:t>重大</w:t>
            </w:r>
            <w:r>
              <w:rPr>
                <w:rFonts w:ascii="宋体" w:hAnsi="宋体"/>
                <w:szCs w:val="21"/>
              </w:rPr>
              <w:t>诉讼及仲裁情况</w:t>
            </w:r>
          </w:p>
        </w:tc>
        <w:tc>
          <w:tcPr>
            <w:tcW w:w="6919" w:type="dxa"/>
            <w:vAlign w:val="center"/>
          </w:tcPr>
          <w:p w14:paraId="5B744D1E">
            <w:pPr>
              <w:spacing w:line="300" w:lineRule="auto"/>
              <w:rPr>
                <w:rFonts w:ascii="宋体" w:hAnsi="宋体"/>
                <w:szCs w:val="21"/>
              </w:rPr>
            </w:pPr>
            <w:r>
              <w:rPr>
                <w:rFonts w:hint="eastAsia" w:ascii="宋体" w:hAnsi="宋体"/>
                <w:szCs w:val="21"/>
              </w:rPr>
              <w:t>近三年</w:t>
            </w:r>
          </w:p>
        </w:tc>
      </w:tr>
      <w:tr w14:paraId="587F40C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562" w:hRule="atLeast"/>
          <w:jc w:val="center"/>
        </w:trPr>
        <w:tc>
          <w:tcPr>
            <w:tcW w:w="1001" w:type="dxa"/>
            <w:gridSpan w:val="2"/>
            <w:vAlign w:val="center"/>
          </w:tcPr>
          <w:p w14:paraId="5461EF7E">
            <w:pPr>
              <w:spacing w:line="440" w:lineRule="exact"/>
              <w:jc w:val="center"/>
              <w:rPr>
                <w:rFonts w:ascii="宋体" w:hAnsi="宋体"/>
                <w:szCs w:val="21"/>
              </w:rPr>
            </w:pPr>
            <w:r>
              <w:rPr>
                <w:rFonts w:ascii="宋体" w:hAnsi="宋体"/>
                <w:szCs w:val="21"/>
              </w:rPr>
              <w:t>1.16.1</w:t>
            </w:r>
          </w:p>
        </w:tc>
        <w:tc>
          <w:tcPr>
            <w:tcW w:w="2205" w:type="dxa"/>
            <w:gridSpan w:val="3"/>
            <w:vAlign w:val="center"/>
          </w:tcPr>
          <w:p w14:paraId="750C8808">
            <w:pPr>
              <w:spacing w:line="400" w:lineRule="exact"/>
              <w:jc w:val="center"/>
              <w:rPr>
                <w:rFonts w:ascii="宋体" w:hAnsi="宋体"/>
                <w:szCs w:val="21"/>
              </w:rPr>
            </w:pPr>
            <w:r>
              <w:rPr>
                <w:rFonts w:hint="eastAsia" w:ascii="宋体" w:hAnsi="宋体"/>
                <w:szCs w:val="21"/>
              </w:rPr>
              <w:t>是否允许递交备选投标方案</w:t>
            </w:r>
          </w:p>
        </w:tc>
        <w:tc>
          <w:tcPr>
            <w:tcW w:w="6919" w:type="dxa"/>
            <w:vAlign w:val="center"/>
          </w:tcPr>
          <w:p w14:paraId="4EF545E3">
            <w:pPr>
              <w:spacing w:line="440" w:lineRule="exact"/>
              <w:rPr>
                <w:rFonts w:ascii="宋体" w:hAnsi="宋体"/>
                <w:szCs w:val="21"/>
              </w:rPr>
            </w:pPr>
            <w:r>
              <w:rPr>
                <w:rFonts w:hint="eastAsia" w:ascii="宋体" w:hAnsi="宋体"/>
                <w:szCs w:val="21"/>
              </w:rPr>
              <w:t>不允许</w:t>
            </w:r>
          </w:p>
        </w:tc>
      </w:tr>
      <w:tr w14:paraId="66B32278">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001" w:type="dxa"/>
            <w:gridSpan w:val="2"/>
            <w:vAlign w:val="center"/>
          </w:tcPr>
          <w:p w14:paraId="11C8322C">
            <w:pPr>
              <w:spacing w:line="440" w:lineRule="exact"/>
              <w:jc w:val="center"/>
              <w:rPr>
                <w:rFonts w:ascii="宋体" w:hAnsi="宋体"/>
                <w:szCs w:val="21"/>
              </w:rPr>
            </w:pPr>
            <w:r>
              <w:rPr>
                <w:rFonts w:ascii="宋体" w:hAnsi="宋体"/>
                <w:szCs w:val="21"/>
              </w:rPr>
              <w:t>1.17.1</w:t>
            </w:r>
          </w:p>
        </w:tc>
        <w:tc>
          <w:tcPr>
            <w:tcW w:w="2205" w:type="dxa"/>
            <w:gridSpan w:val="3"/>
            <w:vAlign w:val="center"/>
          </w:tcPr>
          <w:p w14:paraId="453090DF">
            <w:pPr>
              <w:spacing w:before="78" w:beforeLines="25" w:line="300" w:lineRule="auto"/>
              <w:jc w:val="center"/>
              <w:rPr>
                <w:rFonts w:ascii="宋体" w:hAnsi="宋体"/>
                <w:szCs w:val="21"/>
              </w:rPr>
            </w:pPr>
            <w:r>
              <w:rPr>
                <w:rFonts w:hint="eastAsia" w:ascii="宋体" w:hAnsi="宋体"/>
                <w:szCs w:val="21"/>
              </w:rPr>
              <w:t>投标文件格式</w:t>
            </w:r>
          </w:p>
        </w:tc>
        <w:tc>
          <w:tcPr>
            <w:tcW w:w="6919" w:type="dxa"/>
            <w:vAlign w:val="center"/>
          </w:tcPr>
          <w:p w14:paraId="74AB6F2E">
            <w:pPr>
              <w:pStyle w:val="62"/>
              <w:ind w:left="0" w:firstLine="420" w:firstLineChars="200"/>
              <w:rPr>
                <w:rFonts w:ascii="宋体" w:hAnsi="宋体"/>
                <w:sz w:val="21"/>
                <w:szCs w:val="21"/>
              </w:rPr>
            </w:pPr>
            <w:r>
              <w:rPr>
                <w:rFonts w:hint="eastAsia" w:ascii="宋体" w:hAnsi="宋体"/>
                <w:sz w:val="21"/>
                <w:szCs w:val="21"/>
              </w:rPr>
              <w:t>投标人登录https://ggzy.yn.gov.cn/，根据拟要投标的项目，按照网上投标系统要求上传投标文件，上传完成后，检查投标文件的完整性并“确认签名”，表明投标人网上上传投标文件成功。投标人可打印“上传投标文件回执”，投标截止时间前未完成投标文件传输的，视为撤回投标文件。</w:t>
            </w:r>
          </w:p>
          <w:p w14:paraId="22018CB4">
            <w:pPr>
              <w:pStyle w:val="62"/>
              <w:ind w:left="0"/>
              <w:rPr>
                <w:rFonts w:ascii="宋体" w:hAnsi="宋体"/>
                <w:b/>
                <w:bCs/>
                <w:sz w:val="21"/>
                <w:szCs w:val="21"/>
              </w:rPr>
            </w:pPr>
            <w:r>
              <w:rPr>
                <w:rFonts w:hint="eastAsia" w:ascii="宋体" w:hAnsi="宋体"/>
                <w:b/>
                <w:bCs/>
                <w:sz w:val="21"/>
                <w:szCs w:val="21"/>
              </w:rPr>
              <w:t>电子投标文件格式：</w:t>
            </w:r>
          </w:p>
          <w:p w14:paraId="41CC72A1">
            <w:pPr>
              <w:spacing w:before="78" w:beforeLines="25" w:line="300" w:lineRule="auto"/>
              <w:rPr>
                <w:rFonts w:ascii="宋体" w:hAnsi="宋体"/>
                <w:szCs w:val="21"/>
              </w:rPr>
            </w:pPr>
            <w:r>
              <w:rPr>
                <w:rFonts w:hint="eastAsia" w:ascii="宋体" w:hAnsi="宋体"/>
                <w:szCs w:val="21"/>
              </w:rPr>
              <w:t>投标文件必须使用《云南省工程建设模块化投标文件编制系统》制作，文件格式为*.BTBJ。</w:t>
            </w:r>
          </w:p>
        </w:tc>
      </w:tr>
      <w:tr w14:paraId="27A7578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001" w:type="dxa"/>
            <w:gridSpan w:val="2"/>
            <w:vAlign w:val="center"/>
          </w:tcPr>
          <w:p w14:paraId="1AD55DD7">
            <w:pPr>
              <w:spacing w:before="78" w:beforeLines="25" w:line="300" w:lineRule="auto"/>
              <w:jc w:val="center"/>
              <w:rPr>
                <w:rFonts w:ascii="宋体" w:hAnsi="宋体"/>
                <w:szCs w:val="21"/>
              </w:rPr>
            </w:pPr>
            <w:r>
              <w:rPr>
                <w:rFonts w:ascii="宋体" w:hAnsi="宋体"/>
                <w:szCs w:val="21"/>
              </w:rPr>
              <w:t>1.17.2</w:t>
            </w:r>
          </w:p>
        </w:tc>
        <w:tc>
          <w:tcPr>
            <w:tcW w:w="2205" w:type="dxa"/>
            <w:gridSpan w:val="3"/>
            <w:vAlign w:val="center"/>
          </w:tcPr>
          <w:p w14:paraId="7C3C4085">
            <w:pPr>
              <w:spacing w:before="78" w:beforeLines="25" w:line="300" w:lineRule="auto"/>
              <w:jc w:val="center"/>
              <w:rPr>
                <w:rFonts w:ascii="宋体" w:hAnsi="宋体"/>
                <w:szCs w:val="21"/>
              </w:rPr>
            </w:pPr>
            <w:r>
              <w:rPr>
                <w:rFonts w:hint="eastAsia" w:ascii="宋体" w:hAnsi="宋体"/>
                <w:szCs w:val="21"/>
              </w:rPr>
              <w:t>投标文件的签署</w:t>
            </w:r>
          </w:p>
        </w:tc>
        <w:tc>
          <w:tcPr>
            <w:tcW w:w="6919" w:type="dxa"/>
            <w:vAlign w:val="center"/>
          </w:tcPr>
          <w:p w14:paraId="5BB8EBEE">
            <w:pPr>
              <w:pStyle w:val="62"/>
              <w:ind w:left="0" w:firstLine="420" w:firstLineChars="200"/>
              <w:rPr>
                <w:rFonts w:ascii="宋体" w:hAnsi="宋体"/>
                <w:sz w:val="21"/>
                <w:szCs w:val="21"/>
              </w:rPr>
            </w:pPr>
            <w:r>
              <w:rPr>
                <w:rFonts w:hint="eastAsia" w:ascii="宋体" w:hAnsi="宋体"/>
                <w:sz w:val="21"/>
                <w:szCs w:val="21"/>
              </w:rPr>
              <w:t>按照投标文件格式，采用单位和个人数字证书电子签章及电子签名：技术标投标文件（包括资格审查投标文件）需要企业、法定代表人电子签章及电子签名；商务标投标文件需要企业、法定代表人电子签章及电子签名。</w:t>
            </w:r>
          </w:p>
          <w:p w14:paraId="7858A1B0">
            <w:pPr>
              <w:pStyle w:val="62"/>
              <w:ind w:left="0"/>
              <w:rPr>
                <w:rFonts w:ascii="宋体" w:hAnsi="宋体"/>
                <w:b/>
                <w:szCs w:val="21"/>
              </w:rPr>
            </w:pPr>
            <w:r>
              <w:rPr>
                <w:rFonts w:hint="eastAsia" w:ascii="宋体" w:hAnsi="宋体"/>
                <w:b/>
                <w:bCs/>
                <w:sz w:val="21"/>
                <w:szCs w:val="21"/>
              </w:rPr>
              <w:t>注：</w:t>
            </w:r>
            <w:r>
              <w:rPr>
                <w:rFonts w:hint="eastAsia" w:ascii="宋体" w:hAnsi="宋体"/>
                <w:sz w:val="21"/>
                <w:szCs w:val="21"/>
              </w:rPr>
              <w:t>在需要电子签章的地方进行电子签章，无需逐页电子签章。</w:t>
            </w:r>
          </w:p>
        </w:tc>
      </w:tr>
      <w:tr w14:paraId="1E58EFB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446" w:hRule="atLeast"/>
          <w:jc w:val="center"/>
        </w:trPr>
        <w:tc>
          <w:tcPr>
            <w:tcW w:w="1001" w:type="dxa"/>
            <w:gridSpan w:val="2"/>
            <w:vAlign w:val="center"/>
          </w:tcPr>
          <w:p w14:paraId="69B554FA">
            <w:pPr>
              <w:spacing w:line="440" w:lineRule="exact"/>
              <w:jc w:val="center"/>
              <w:rPr>
                <w:rFonts w:ascii="宋体" w:hAnsi="宋体"/>
                <w:szCs w:val="21"/>
              </w:rPr>
            </w:pPr>
            <w:r>
              <w:rPr>
                <w:rFonts w:ascii="宋体" w:hAnsi="宋体"/>
                <w:szCs w:val="21"/>
              </w:rPr>
              <w:t>1.17.3</w:t>
            </w:r>
          </w:p>
        </w:tc>
        <w:tc>
          <w:tcPr>
            <w:tcW w:w="2205" w:type="dxa"/>
            <w:gridSpan w:val="3"/>
            <w:vAlign w:val="center"/>
          </w:tcPr>
          <w:p w14:paraId="70B6A57E">
            <w:pPr>
              <w:spacing w:line="400" w:lineRule="exact"/>
              <w:jc w:val="center"/>
              <w:rPr>
                <w:rFonts w:ascii="宋体" w:hAnsi="宋体"/>
                <w:szCs w:val="21"/>
              </w:rPr>
            </w:pPr>
            <w:r>
              <w:rPr>
                <w:rFonts w:hint="eastAsia" w:ascii="宋体" w:hAnsi="宋体"/>
                <w:szCs w:val="21"/>
              </w:rPr>
              <w:t>是否退还投标文件及设计成果</w:t>
            </w:r>
          </w:p>
        </w:tc>
        <w:tc>
          <w:tcPr>
            <w:tcW w:w="6919" w:type="dxa"/>
            <w:vAlign w:val="center"/>
          </w:tcPr>
          <w:p w14:paraId="133AEB35">
            <w:pPr>
              <w:spacing w:line="440" w:lineRule="exact"/>
              <w:rPr>
                <w:rFonts w:ascii="宋体" w:hAnsi="宋体"/>
                <w:szCs w:val="21"/>
              </w:rPr>
            </w:pPr>
            <w:r>
              <w:rPr>
                <w:rFonts w:hint="eastAsia" w:ascii="宋体" w:hAnsi="宋体"/>
                <w:szCs w:val="21"/>
              </w:rPr>
              <w:t>否</w:t>
            </w:r>
          </w:p>
        </w:tc>
      </w:tr>
      <w:tr w14:paraId="4421D1F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988" w:hRule="atLeast"/>
          <w:jc w:val="center"/>
        </w:trPr>
        <w:tc>
          <w:tcPr>
            <w:tcW w:w="1001" w:type="dxa"/>
            <w:gridSpan w:val="2"/>
            <w:vAlign w:val="center"/>
          </w:tcPr>
          <w:p w14:paraId="09EEC23F">
            <w:pPr>
              <w:spacing w:line="440" w:lineRule="exact"/>
              <w:jc w:val="center"/>
              <w:rPr>
                <w:rFonts w:ascii="宋体" w:hAnsi="宋体"/>
                <w:szCs w:val="21"/>
              </w:rPr>
            </w:pPr>
            <w:r>
              <w:rPr>
                <w:rFonts w:ascii="宋体" w:hAnsi="宋体"/>
                <w:szCs w:val="21"/>
              </w:rPr>
              <w:t>1.18.1</w:t>
            </w:r>
          </w:p>
        </w:tc>
        <w:tc>
          <w:tcPr>
            <w:tcW w:w="2205" w:type="dxa"/>
            <w:gridSpan w:val="3"/>
            <w:vAlign w:val="center"/>
          </w:tcPr>
          <w:p w14:paraId="075D8FC6">
            <w:pPr>
              <w:spacing w:line="400" w:lineRule="exact"/>
              <w:jc w:val="center"/>
              <w:rPr>
                <w:rFonts w:ascii="宋体" w:hAnsi="宋体"/>
                <w:szCs w:val="21"/>
              </w:rPr>
            </w:pPr>
            <w:r>
              <w:rPr>
                <w:rFonts w:hint="eastAsia" w:ascii="宋体" w:hAnsi="宋体"/>
                <w:szCs w:val="21"/>
              </w:rPr>
              <w:t>开标时间和地点</w:t>
            </w:r>
          </w:p>
        </w:tc>
        <w:tc>
          <w:tcPr>
            <w:tcW w:w="6919" w:type="dxa"/>
            <w:vAlign w:val="center"/>
          </w:tcPr>
          <w:p w14:paraId="2B82D4FF">
            <w:pPr>
              <w:spacing w:line="440" w:lineRule="exact"/>
              <w:rPr>
                <w:rFonts w:ascii="宋体" w:hAnsi="宋体"/>
                <w:szCs w:val="21"/>
              </w:rPr>
            </w:pPr>
            <w:r>
              <w:rPr>
                <w:rFonts w:hint="eastAsia" w:ascii="宋体" w:hAnsi="宋体"/>
                <w:szCs w:val="21"/>
              </w:rPr>
              <w:t>开标时间：同投标截止时间。</w:t>
            </w:r>
          </w:p>
          <w:p w14:paraId="5BD2E52F">
            <w:pPr>
              <w:spacing w:line="440" w:lineRule="exact"/>
              <w:rPr>
                <w:rFonts w:ascii="宋体" w:hAnsi="宋体"/>
                <w:szCs w:val="21"/>
              </w:rPr>
            </w:pPr>
            <w:r>
              <w:rPr>
                <w:rFonts w:hint="eastAsia" w:ascii="宋体" w:hAnsi="宋体"/>
                <w:szCs w:val="21"/>
              </w:rPr>
              <w:t>开标地点</w:t>
            </w:r>
            <w:r>
              <w:rPr>
                <w:rFonts w:hint="eastAsia" w:ascii="宋体" w:hAnsi="宋体"/>
                <w:szCs w:val="21"/>
                <w:highlight w:val="none"/>
              </w:rPr>
              <w:t>：</w:t>
            </w:r>
            <w:r>
              <w:rPr>
                <w:rFonts w:hint="eastAsia" w:ascii="宋体" w:hAnsi="宋体"/>
                <w:b/>
                <w:szCs w:val="21"/>
                <w:highlight w:val="none"/>
                <w:lang w:val="en-US" w:eastAsia="zh-CN"/>
              </w:rPr>
              <w:t>盐津县</w:t>
            </w:r>
            <w:r>
              <w:rPr>
                <w:rFonts w:hint="eastAsia" w:ascii="宋体" w:hAnsi="宋体"/>
                <w:b/>
                <w:szCs w:val="21"/>
                <w:highlight w:val="none"/>
              </w:rPr>
              <w:t>公共资源交易中心</w:t>
            </w:r>
            <w:r>
              <w:rPr>
                <w:rFonts w:hint="eastAsia" w:ascii="宋体" w:hAnsi="宋体"/>
                <w:szCs w:val="21"/>
                <w:highlight w:val="none"/>
              </w:rPr>
              <w:t>。</w:t>
            </w:r>
          </w:p>
        </w:tc>
      </w:tr>
      <w:tr w14:paraId="52A0E9D0">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897" w:hRule="atLeast"/>
          <w:jc w:val="center"/>
        </w:trPr>
        <w:tc>
          <w:tcPr>
            <w:tcW w:w="1001" w:type="dxa"/>
            <w:gridSpan w:val="2"/>
            <w:vAlign w:val="center"/>
          </w:tcPr>
          <w:p w14:paraId="5194B382">
            <w:pPr>
              <w:spacing w:line="440" w:lineRule="exact"/>
              <w:jc w:val="center"/>
              <w:rPr>
                <w:rFonts w:ascii="宋体" w:hAnsi="宋体"/>
                <w:szCs w:val="21"/>
              </w:rPr>
            </w:pPr>
            <w:r>
              <w:rPr>
                <w:rFonts w:ascii="宋体" w:hAnsi="宋体"/>
                <w:szCs w:val="21"/>
              </w:rPr>
              <w:t>1.19.1</w:t>
            </w:r>
          </w:p>
        </w:tc>
        <w:tc>
          <w:tcPr>
            <w:tcW w:w="2205" w:type="dxa"/>
            <w:gridSpan w:val="3"/>
            <w:vAlign w:val="center"/>
          </w:tcPr>
          <w:p w14:paraId="1434573B">
            <w:pPr>
              <w:spacing w:line="400" w:lineRule="exact"/>
              <w:jc w:val="center"/>
              <w:rPr>
                <w:rFonts w:ascii="宋体" w:hAnsi="宋体"/>
                <w:szCs w:val="21"/>
              </w:rPr>
            </w:pPr>
            <w:r>
              <w:rPr>
                <w:rFonts w:hint="eastAsia" w:ascii="宋体" w:hAnsi="宋体"/>
                <w:szCs w:val="21"/>
              </w:rPr>
              <w:t>评标委员会的组建</w:t>
            </w:r>
          </w:p>
        </w:tc>
        <w:tc>
          <w:tcPr>
            <w:tcW w:w="6919" w:type="dxa"/>
            <w:vAlign w:val="center"/>
          </w:tcPr>
          <w:p w14:paraId="119D55BA">
            <w:pPr>
              <w:spacing w:line="440" w:lineRule="exact"/>
              <w:jc w:val="left"/>
              <w:rPr>
                <w:rFonts w:ascii="宋体" w:hAnsi="宋体"/>
                <w:szCs w:val="21"/>
              </w:rPr>
            </w:pPr>
            <w:r>
              <w:rPr>
                <w:rFonts w:hint="eastAsia" w:ascii="宋体" w:hAnsi="宋体"/>
                <w:szCs w:val="21"/>
              </w:rPr>
              <w:t>评标委员会构成：</w:t>
            </w:r>
            <w:r>
              <w:rPr>
                <w:rFonts w:hint="eastAsia" w:ascii="宋体" w:hAnsi="宋体"/>
                <w:szCs w:val="21"/>
                <w:lang w:val="en-US" w:eastAsia="zh-CN"/>
              </w:rPr>
              <w:t>5</w:t>
            </w:r>
            <w:r>
              <w:rPr>
                <w:rFonts w:hint="eastAsia" w:ascii="宋体" w:hAnsi="宋体"/>
                <w:szCs w:val="21"/>
              </w:rPr>
              <w:t>人及以上单数</w:t>
            </w:r>
            <w:r>
              <w:rPr>
                <w:rFonts w:hint="eastAsia" w:ascii="宋体" w:hAnsi="宋体"/>
                <w:szCs w:val="21"/>
                <w:lang w:eastAsia="zh-CN"/>
              </w:rPr>
              <w:t>（</w:t>
            </w:r>
            <w:r>
              <w:rPr>
                <w:rFonts w:hint="eastAsia" w:ascii="宋体" w:hAnsi="宋体"/>
                <w:szCs w:val="21"/>
                <w:lang w:val="en-US" w:eastAsia="zh-CN"/>
              </w:rPr>
              <w:t>其中招标人代表不得超过专家总数的三分之一</w:t>
            </w:r>
            <w:r>
              <w:rPr>
                <w:rFonts w:hint="eastAsia" w:ascii="宋体" w:hAnsi="宋体"/>
                <w:szCs w:val="21"/>
                <w:lang w:eastAsia="zh-CN"/>
              </w:rPr>
              <w:t>）</w:t>
            </w:r>
            <w:r>
              <w:rPr>
                <w:rFonts w:hint="eastAsia" w:ascii="宋体" w:hAnsi="宋体"/>
                <w:szCs w:val="21"/>
              </w:rPr>
              <w:t>。</w:t>
            </w:r>
          </w:p>
          <w:p w14:paraId="67C99137">
            <w:pPr>
              <w:spacing w:line="440" w:lineRule="exact"/>
              <w:jc w:val="left"/>
              <w:rPr>
                <w:rFonts w:ascii="宋体" w:hAnsi="宋体"/>
                <w:szCs w:val="21"/>
              </w:rPr>
            </w:pPr>
            <w:r>
              <w:rPr>
                <w:rFonts w:hint="eastAsia" w:ascii="宋体" w:hAnsi="宋体"/>
                <w:szCs w:val="21"/>
              </w:rPr>
              <w:t>评标专家确定方式：在云南省综合评标专家库中随机抽取。</w:t>
            </w:r>
          </w:p>
        </w:tc>
      </w:tr>
      <w:tr w14:paraId="6FDBA7B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897" w:hRule="atLeast"/>
          <w:jc w:val="center"/>
        </w:trPr>
        <w:tc>
          <w:tcPr>
            <w:tcW w:w="1001" w:type="dxa"/>
            <w:gridSpan w:val="2"/>
            <w:vAlign w:val="center"/>
          </w:tcPr>
          <w:p w14:paraId="387E64A5">
            <w:pPr>
              <w:spacing w:line="440" w:lineRule="exact"/>
              <w:jc w:val="center"/>
              <w:rPr>
                <w:rFonts w:ascii="宋体" w:hAnsi="宋体"/>
                <w:szCs w:val="21"/>
              </w:rPr>
            </w:pPr>
            <w:r>
              <w:rPr>
                <w:rFonts w:ascii="宋体" w:hAnsi="宋体"/>
                <w:szCs w:val="21"/>
              </w:rPr>
              <w:t>1.20</w:t>
            </w:r>
            <w:r>
              <w:rPr>
                <w:rFonts w:hint="eastAsia" w:ascii="宋体" w:hAnsi="宋体"/>
                <w:szCs w:val="21"/>
              </w:rPr>
              <w:t>.</w:t>
            </w:r>
            <w:r>
              <w:rPr>
                <w:rFonts w:ascii="宋体" w:hAnsi="宋体"/>
                <w:szCs w:val="21"/>
              </w:rPr>
              <w:t>1</w:t>
            </w:r>
          </w:p>
        </w:tc>
        <w:tc>
          <w:tcPr>
            <w:tcW w:w="2205" w:type="dxa"/>
            <w:gridSpan w:val="3"/>
            <w:vAlign w:val="center"/>
          </w:tcPr>
          <w:p w14:paraId="723429A3">
            <w:pPr>
              <w:spacing w:line="400" w:lineRule="exact"/>
              <w:jc w:val="center"/>
              <w:rPr>
                <w:rFonts w:ascii="宋体" w:hAnsi="宋体"/>
                <w:szCs w:val="21"/>
              </w:rPr>
            </w:pPr>
            <w:r>
              <w:rPr>
                <w:rFonts w:hint="eastAsia" w:ascii="宋体" w:hAnsi="宋体"/>
                <w:szCs w:val="21"/>
              </w:rPr>
              <w:t>评标办法</w:t>
            </w:r>
          </w:p>
        </w:tc>
        <w:tc>
          <w:tcPr>
            <w:tcW w:w="6919" w:type="dxa"/>
            <w:vAlign w:val="center"/>
          </w:tcPr>
          <w:p w14:paraId="52AF6DD6">
            <w:pPr>
              <w:spacing w:line="440" w:lineRule="exact"/>
              <w:jc w:val="left"/>
              <w:rPr>
                <w:rFonts w:ascii="宋体" w:hAnsi="宋体"/>
                <w:szCs w:val="21"/>
              </w:rPr>
            </w:pPr>
            <w:r>
              <w:rPr>
                <w:rFonts w:hint="eastAsia" w:ascii="宋体" w:hAnsi="宋体"/>
                <w:szCs w:val="21"/>
              </w:rPr>
              <w:t>综合评估法</w:t>
            </w:r>
          </w:p>
        </w:tc>
      </w:tr>
      <w:tr w14:paraId="3B630DA8">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897" w:hRule="atLeast"/>
          <w:jc w:val="center"/>
        </w:trPr>
        <w:tc>
          <w:tcPr>
            <w:tcW w:w="1001" w:type="dxa"/>
            <w:gridSpan w:val="2"/>
            <w:vAlign w:val="center"/>
          </w:tcPr>
          <w:p w14:paraId="2F57A08E">
            <w:pPr>
              <w:spacing w:line="440" w:lineRule="exact"/>
              <w:jc w:val="center"/>
              <w:rPr>
                <w:rFonts w:ascii="宋体" w:hAnsi="宋体"/>
                <w:szCs w:val="21"/>
              </w:rPr>
            </w:pPr>
            <w:r>
              <w:rPr>
                <w:rFonts w:ascii="宋体" w:hAnsi="宋体"/>
                <w:szCs w:val="21"/>
              </w:rPr>
              <w:t>1.21.1</w:t>
            </w:r>
          </w:p>
        </w:tc>
        <w:tc>
          <w:tcPr>
            <w:tcW w:w="2205" w:type="dxa"/>
            <w:gridSpan w:val="3"/>
            <w:vAlign w:val="center"/>
          </w:tcPr>
          <w:p w14:paraId="210BCF20">
            <w:pPr>
              <w:spacing w:line="400" w:lineRule="exact"/>
              <w:jc w:val="center"/>
              <w:rPr>
                <w:rFonts w:ascii="宋体" w:hAnsi="宋体"/>
                <w:szCs w:val="21"/>
              </w:rPr>
            </w:pPr>
            <w:r>
              <w:rPr>
                <w:rFonts w:hint="eastAsia" w:ascii="宋体" w:hAnsi="宋体"/>
                <w:szCs w:val="21"/>
              </w:rPr>
              <w:t>是否授权评标委员会确定中标人</w:t>
            </w:r>
          </w:p>
        </w:tc>
        <w:tc>
          <w:tcPr>
            <w:tcW w:w="6919" w:type="dxa"/>
            <w:vAlign w:val="center"/>
          </w:tcPr>
          <w:p w14:paraId="669E24F9">
            <w:pPr>
              <w:spacing w:line="192" w:lineRule="auto"/>
              <w:rPr>
                <w:rFonts w:ascii="宋体" w:hAnsi="宋体" w:cs="宋体"/>
              </w:rPr>
            </w:pPr>
            <w:r>
              <w:rPr>
                <w:rFonts w:hint="eastAsia" w:ascii="宋体" w:hAnsi="宋体" w:cs="宋体"/>
              </w:rPr>
              <w:t>否。推荐的中标候选人数：三名（并依次排序）</w:t>
            </w:r>
          </w:p>
          <w:p w14:paraId="499952D5">
            <w:pPr>
              <w:spacing w:line="192" w:lineRule="auto"/>
              <w:rPr>
                <w:rFonts w:ascii="宋体" w:hAnsi="宋体"/>
                <w:szCs w:val="21"/>
              </w:rPr>
            </w:pPr>
            <w:r>
              <w:rPr>
                <w:rFonts w:hint="eastAsia" w:ascii="宋体" w:hAnsi="宋体" w:cs="宋体"/>
              </w:rPr>
              <w:t>招标人根据评标委员会的评标报告确定排名第一的中标候选人为中标人。排名第一的中标候选人放弃中标、因不可抗力提出不能履行合同，或者招标文件规定应当提交履约保证金而在规定的期限内未能提交的，招标人可以确定排名第二的中标候选人为中标人依次类推或重新招标。</w:t>
            </w:r>
          </w:p>
        </w:tc>
      </w:tr>
      <w:tr w14:paraId="5AEDCC9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694" w:hRule="atLeast"/>
          <w:jc w:val="center"/>
        </w:trPr>
        <w:tc>
          <w:tcPr>
            <w:tcW w:w="1001" w:type="dxa"/>
            <w:gridSpan w:val="2"/>
            <w:vAlign w:val="center"/>
          </w:tcPr>
          <w:p w14:paraId="4A58840C">
            <w:pPr>
              <w:spacing w:line="440" w:lineRule="exact"/>
              <w:jc w:val="center"/>
              <w:rPr>
                <w:rFonts w:ascii="宋体" w:hAnsi="宋体"/>
                <w:szCs w:val="21"/>
              </w:rPr>
            </w:pPr>
            <w:r>
              <w:rPr>
                <w:rFonts w:ascii="宋体" w:hAnsi="宋体"/>
                <w:szCs w:val="21"/>
              </w:rPr>
              <w:t>1.22</w:t>
            </w:r>
            <w:r>
              <w:rPr>
                <w:rFonts w:hint="eastAsia" w:ascii="宋体" w:hAnsi="宋体"/>
                <w:szCs w:val="21"/>
              </w:rPr>
              <w:t>.2</w:t>
            </w:r>
          </w:p>
        </w:tc>
        <w:tc>
          <w:tcPr>
            <w:tcW w:w="2205" w:type="dxa"/>
            <w:gridSpan w:val="3"/>
            <w:vAlign w:val="center"/>
          </w:tcPr>
          <w:p w14:paraId="54EF30D1">
            <w:pPr>
              <w:spacing w:line="400" w:lineRule="exact"/>
              <w:jc w:val="center"/>
              <w:rPr>
                <w:rFonts w:ascii="宋体" w:hAnsi="宋体"/>
                <w:szCs w:val="21"/>
              </w:rPr>
            </w:pPr>
            <w:r>
              <w:rPr>
                <w:rFonts w:hint="eastAsia" w:ascii="宋体" w:hAnsi="宋体"/>
                <w:szCs w:val="21"/>
              </w:rPr>
              <w:t>中标候选人公示媒介</w:t>
            </w:r>
          </w:p>
        </w:tc>
        <w:tc>
          <w:tcPr>
            <w:tcW w:w="6919" w:type="dxa"/>
            <w:vAlign w:val="center"/>
          </w:tcPr>
          <w:p w14:paraId="63F826A9">
            <w:pPr>
              <w:spacing w:line="440" w:lineRule="exact"/>
              <w:rPr>
                <w:rFonts w:ascii="宋体" w:hAnsi="宋体"/>
                <w:szCs w:val="21"/>
              </w:rPr>
            </w:pPr>
            <w:r>
              <w:rPr>
                <w:rFonts w:hint="eastAsia" w:ascii="宋体" w:hAnsi="宋体"/>
                <w:szCs w:val="21"/>
              </w:rPr>
              <w:t>发布招标</w:t>
            </w:r>
            <w:r>
              <w:rPr>
                <w:rFonts w:ascii="宋体" w:hAnsi="宋体"/>
                <w:szCs w:val="21"/>
              </w:rPr>
              <w:t>公告的同一媒介</w:t>
            </w:r>
          </w:p>
        </w:tc>
      </w:tr>
      <w:tr w14:paraId="02486C9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773" w:hRule="atLeast"/>
          <w:jc w:val="center"/>
        </w:trPr>
        <w:tc>
          <w:tcPr>
            <w:tcW w:w="1001" w:type="dxa"/>
            <w:gridSpan w:val="2"/>
            <w:vAlign w:val="center"/>
          </w:tcPr>
          <w:p w14:paraId="0032ADD3">
            <w:pPr>
              <w:spacing w:line="440" w:lineRule="exact"/>
              <w:jc w:val="center"/>
              <w:rPr>
                <w:rFonts w:ascii="宋体" w:hAnsi="宋体"/>
                <w:szCs w:val="21"/>
              </w:rPr>
            </w:pPr>
            <w:r>
              <w:rPr>
                <w:rFonts w:ascii="宋体" w:hAnsi="宋体"/>
                <w:szCs w:val="21"/>
              </w:rPr>
              <w:t>1.22.3</w:t>
            </w:r>
          </w:p>
        </w:tc>
        <w:tc>
          <w:tcPr>
            <w:tcW w:w="2205" w:type="dxa"/>
            <w:gridSpan w:val="3"/>
            <w:vAlign w:val="center"/>
          </w:tcPr>
          <w:p w14:paraId="14B447E0">
            <w:pPr>
              <w:spacing w:line="400" w:lineRule="exact"/>
              <w:jc w:val="center"/>
              <w:rPr>
                <w:rFonts w:ascii="宋体" w:hAnsi="宋体"/>
                <w:szCs w:val="21"/>
              </w:rPr>
            </w:pPr>
            <w:r>
              <w:rPr>
                <w:rFonts w:hint="eastAsia" w:ascii="宋体" w:hAnsi="宋体"/>
                <w:szCs w:val="21"/>
              </w:rPr>
              <w:t>履约担保</w:t>
            </w:r>
          </w:p>
        </w:tc>
        <w:tc>
          <w:tcPr>
            <w:tcW w:w="6919" w:type="dxa"/>
            <w:vAlign w:val="center"/>
          </w:tcPr>
          <w:p w14:paraId="682C8B43">
            <w:pPr>
              <w:spacing w:line="440" w:lineRule="exact"/>
              <w:rPr>
                <w:rFonts w:ascii="宋体" w:hAnsi="宋体"/>
                <w:szCs w:val="21"/>
              </w:rPr>
            </w:pPr>
            <w:r>
              <w:rPr>
                <w:rFonts w:ascii="宋体" w:hAnsi="宋体"/>
                <w:szCs w:val="21"/>
              </w:rPr>
              <w:t>合同签订后10个工作日内向招标人指定账户缴纳中标合同金额5%的履约保证金，工程竣工验收合格后5个工作日内无息退还；可采用银行保函</w:t>
            </w:r>
            <w:r>
              <w:rPr>
                <w:rFonts w:hint="eastAsia" w:ascii="宋体" w:hAnsi="宋体"/>
                <w:szCs w:val="21"/>
              </w:rPr>
              <w:t>或保证保险的</w:t>
            </w:r>
            <w:r>
              <w:rPr>
                <w:rFonts w:ascii="宋体" w:hAnsi="宋体"/>
                <w:szCs w:val="21"/>
              </w:rPr>
              <w:t>形式</w:t>
            </w:r>
            <w:r>
              <w:rPr>
                <w:rFonts w:ascii="宋体" w:hAnsi="宋体"/>
                <w:szCs w:val="21"/>
                <w:lang w:val="zh-TW" w:eastAsia="zh-TW"/>
              </w:rPr>
              <w:t>。</w:t>
            </w:r>
          </w:p>
        </w:tc>
      </w:tr>
      <w:tr w14:paraId="43D10787">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773" w:hRule="atLeast"/>
          <w:jc w:val="center"/>
        </w:trPr>
        <w:tc>
          <w:tcPr>
            <w:tcW w:w="1001" w:type="dxa"/>
            <w:gridSpan w:val="2"/>
            <w:vAlign w:val="center"/>
          </w:tcPr>
          <w:p w14:paraId="3A4B3365">
            <w:pPr>
              <w:spacing w:line="440" w:lineRule="exact"/>
              <w:jc w:val="center"/>
              <w:rPr>
                <w:rFonts w:ascii="宋体" w:hAnsi="宋体"/>
                <w:szCs w:val="21"/>
              </w:rPr>
            </w:pPr>
            <w:r>
              <w:rPr>
                <w:rFonts w:ascii="宋体" w:hAnsi="宋体"/>
                <w:szCs w:val="21"/>
              </w:rPr>
              <w:t>1.22</w:t>
            </w:r>
            <w:r>
              <w:rPr>
                <w:rFonts w:hint="eastAsia" w:ascii="宋体" w:hAnsi="宋体"/>
                <w:szCs w:val="21"/>
              </w:rPr>
              <w:t>.4</w:t>
            </w:r>
          </w:p>
        </w:tc>
        <w:tc>
          <w:tcPr>
            <w:tcW w:w="2205" w:type="dxa"/>
            <w:gridSpan w:val="3"/>
            <w:vAlign w:val="center"/>
          </w:tcPr>
          <w:p w14:paraId="1C45ADCC">
            <w:pPr>
              <w:spacing w:line="400" w:lineRule="exact"/>
              <w:ind w:firstLine="420" w:firstLineChars="200"/>
              <w:rPr>
                <w:rFonts w:ascii="宋体" w:hAnsi="宋体" w:cs="宋体"/>
                <w:lang w:val="zh-TW"/>
              </w:rPr>
            </w:pPr>
            <w:r>
              <w:rPr>
                <w:rFonts w:hint="eastAsia" w:ascii="宋体" w:hAnsi="宋体" w:cs="宋体"/>
                <w:lang w:val="zh-TW"/>
              </w:rPr>
              <w:t>付款方式</w:t>
            </w:r>
          </w:p>
        </w:tc>
        <w:tc>
          <w:tcPr>
            <w:tcW w:w="6919" w:type="dxa"/>
            <w:vAlign w:val="center"/>
          </w:tcPr>
          <w:p w14:paraId="3EB9F72F">
            <w:pPr>
              <w:spacing w:line="192" w:lineRule="auto"/>
              <w:rPr>
                <w:rFonts w:hint="default" w:ascii="宋体" w:hAnsi="宋体" w:eastAsia="宋体" w:cs="宋体"/>
                <w:lang w:val="en-US" w:eastAsia="zh-CN"/>
              </w:rPr>
            </w:pPr>
            <w:r>
              <w:rPr>
                <w:rFonts w:hint="eastAsia" w:ascii="宋体" w:hAnsi="宋体" w:cs="宋体"/>
                <w:lang w:val="en-US" w:eastAsia="zh-CN"/>
              </w:rPr>
              <w:t>合同双方按合同自行约定。</w:t>
            </w:r>
          </w:p>
        </w:tc>
      </w:tr>
      <w:tr w14:paraId="33F7743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0125" w:type="dxa"/>
            <w:gridSpan w:val="6"/>
            <w:vAlign w:val="center"/>
          </w:tcPr>
          <w:p w14:paraId="0AE78DA0">
            <w:pPr>
              <w:spacing w:line="440" w:lineRule="exact"/>
              <w:rPr>
                <w:rFonts w:ascii="宋体" w:hAnsi="宋体"/>
                <w:szCs w:val="21"/>
              </w:rPr>
            </w:pPr>
            <w:r>
              <w:rPr>
                <w:rFonts w:ascii="宋体" w:hAnsi="宋体"/>
                <w:szCs w:val="21"/>
              </w:rPr>
              <w:t>1.2</w:t>
            </w:r>
            <w:r>
              <w:rPr>
                <w:rFonts w:hint="eastAsia" w:ascii="宋体" w:hAnsi="宋体"/>
                <w:szCs w:val="21"/>
              </w:rPr>
              <w:t>3</w:t>
            </w:r>
            <w:r>
              <w:rPr>
                <w:rFonts w:ascii="宋体" w:hAnsi="宋体"/>
                <w:szCs w:val="21"/>
              </w:rPr>
              <w:t>.1 计算机辅助评标</w:t>
            </w:r>
          </w:p>
        </w:tc>
      </w:tr>
      <w:tr w14:paraId="1303607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294" w:hRule="atLeast"/>
          <w:jc w:val="center"/>
        </w:trPr>
        <w:tc>
          <w:tcPr>
            <w:tcW w:w="3061" w:type="dxa"/>
            <w:gridSpan w:val="4"/>
            <w:vAlign w:val="center"/>
          </w:tcPr>
          <w:p w14:paraId="27ADD16A">
            <w:pPr>
              <w:spacing w:line="440" w:lineRule="exact"/>
              <w:rPr>
                <w:rFonts w:ascii="宋体" w:hAnsi="宋体"/>
                <w:szCs w:val="21"/>
              </w:rPr>
            </w:pPr>
            <w:r>
              <w:rPr>
                <w:rFonts w:ascii="宋体" w:hAnsi="宋体"/>
                <w:szCs w:val="21"/>
              </w:rPr>
              <w:t>是否实行计算机辅助评标</w:t>
            </w:r>
          </w:p>
        </w:tc>
        <w:tc>
          <w:tcPr>
            <w:tcW w:w="7064" w:type="dxa"/>
            <w:gridSpan w:val="2"/>
            <w:vAlign w:val="center"/>
          </w:tcPr>
          <w:p w14:paraId="23ABB3DA">
            <w:pPr>
              <w:spacing w:line="440" w:lineRule="exact"/>
              <w:jc w:val="left"/>
              <w:rPr>
                <w:rFonts w:ascii="宋体" w:hAnsi="宋体"/>
                <w:szCs w:val="21"/>
              </w:rPr>
            </w:pPr>
            <w:r>
              <w:rPr>
                <w:rFonts w:hint="eastAsia" w:ascii="宋体" w:hAnsi="宋体"/>
                <w:szCs w:val="21"/>
              </w:rPr>
              <w:t>是</w:t>
            </w:r>
          </w:p>
        </w:tc>
      </w:tr>
      <w:tr w14:paraId="4A2CAB9B">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132" w:hRule="atLeast"/>
          <w:jc w:val="center"/>
        </w:trPr>
        <w:tc>
          <w:tcPr>
            <w:tcW w:w="10125" w:type="dxa"/>
            <w:gridSpan w:val="6"/>
            <w:vAlign w:val="center"/>
          </w:tcPr>
          <w:p w14:paraId="5FF86188">
            <w:pPr>
              <w:pStyle w:val="62"/>
              <w:ind w:left="0"/>
              <w:rPr>
                <w:rFonts w:ascii="宋体" w:hAnsi="宋体"/>
                <w:sz w:val="21"/>
                <w:szCs w:val="21"/>
              </w:rPr>
            </w:pPr>
            <w:r>
              <w:rPr>
                <w:rFonts w:ascii="宋体" w:hAnsi="宋体"/>
                <w:szCs w:val="21"/>
              </w:rPr>
              <w:t>1.2</w:t>
            </w:r>
            <w:r>
              <w:rPr>
                <w:rFonts w:hint="eastAsia" w:ascii="宋体" w:hAnsi="宋体"/>
                <w:szCs w:val="21"/>
              </w:rPr>
              <w:t>4</w:t>
            </w:r>
            <w:r>
              <w:rPr>
                <w:rFonts w:ascii="宋体" w:hAnsi="宋体"/>
                <w:szCs w:val="21"/>
              </w:rPr>
              <w:t>.1</w:t>
            </w:r>
            <w:r>
              <w:rPr>
                <w:rFonts w:hint="eastAsia" w:ascii="宋体" w:hAnsi="宋体"/>
                <w:sz w:val="21"/>
                <w:szCs w:val="21"/>
              </w:rPr>
              <w:t>投标费用：</w:t>
            </w:r>
          </w:p>
          <w:p w14:paraId="6637E2E6">
            <w:pPr>
              <w:spacing w:line="440" w:lineRule="exact"/>
              <w:rPr>
                <w:rFonts w:ascii="宋体" w:hAnsi="宋体"/>
                <w:szCs w:val="21"/>
              </w:rPr>
            </w:pPr>
          </w:p>
        </w:tc>
      </w:tr>
      <w:bookmarkEnd w:id="32"/>
      <w:tr w14:paraId="33B4F2B7">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2551" w:hRule="atLeast"/>
          <w:jc w:val="center"/>
        </w:trPr>
        <w:tc>
          <w:tcPr>
            <w:tcW w:w="674" w:type="dxa"/>
            <w:vAlign w:val="center"/>
          </w:tcPr>
          <w:p w14:paraId="66D18758">
            <w:pPr>
              <w:spacing w:line="440" w:lineRule="exact"/>
              <w:rPr>
                <w:rFonts w:ascii="宋体" w:hAnsi="宋体"/>
                <w:szCs w:val="21"/>
              </w:rPr>
            </w:pPr>
          </w:p>
        </w:tc>
        <w:tc>
          <w:tcPr>
            <w:tcW w:w="9451" w:type="dxa"/>
            <w:gridSpan w:val="5"/>
            <w:vAlign w:val="center"/>
          </w:tcPr>
          <w:p w14:paraId="09C2C750">
            <w:pPr>
              <w:spacing w:line="440" w:lineRule="exact"/>
              <w:rPr>
                <w:rFonts w:ascii="宋体" w:hAnsi="宋体"/>
                <w:szCs w:val="21"/>
              </w:rPr>
            </w:pPr>
            <w:r>
              <w:rPr>
                <w:rFonts w:hint="eastAsia" w:ascii="宋体" w:hAnsi="宋体"/>
                <w:szCs w:val="21"/>
              </w:rPr>
              <w:t>（1）投标人应承担其编制投标文件与递交投标文件所涉及的一切费用。不管投标结果如何，招标人对上述费用不承担任何责任。</w:t>
            </w:r>
          </w:p>
          <w:p w14:paraId="2FD9E02B">
            <w:pPr>
              <w:spacing w:line="440" w:lineRule="exact"/>
              <w:rPr>
                <w:rFonts w:ascii="宋体" w:hAnsi="宋体"/>
                <w:sz w:val="15"/>
                <w:szCs w:val="15"/>
              </w:rPr>
            </w:pPr>
            <w:r>
              <w:rPr>
                <w:rFonts w:hint="eastAsia" w:ascii="宋体" w:hAnsi="宋体"/>
                <w:szCs w:val="21"/>
              </w:rPr>
              <w:t>（2）招标代理服务费：参</w:t>
            </w:r>
            <w:r>
              <w:rPr>
                <w:rFonts w:hint="eastAsia" w:ascii="宋体" w:hAnsi="宋体"/>
                <w:szCs w:val="21"/>
                <w:lang w:val="en-US" w:eastAsia="zh-CN"/>
              </w:rPr>
              <w:t>考</w:t>
            </w:r>
            <w:r>
              <w:rPr>
                <w:rFonts w:hint="eastAsia" w:ascii="宋体" w:hAnsi="宋体"/>
                <w:szCs w:val="21"/>
              </w:rPr>
              <w:t>关于印发《云南省建设工程招标代理服务收费参考意见》的通知（云建招协[2024]58号）</w:t>
            </w:r>
            <w:r>
              <w:rPr>
                <w:rFonts w:hint="eastAsia" w:ascii="宋体" w:hAnsi="宋体"/>
                <w:szCs w:val="21"/>
                <w:lang w:val="en-US" w:eastAsia="zh-CN"/>
              </w:rPr>
              <w:t>的计费收取</w:t>
            </w:r>
            <w:r>
              <w:rPr>
                <w:rFonts w:hint="eastAsia" w:ascii="宋体" w:hAnsi="宋体"/>
                <w:szCs w:val="21"/>
                <w:lang w:eastAsia="zh-CN"/>
              </w:rPr>
              <w:t>，</w:t>
            </w:r>
            <w:r>
              <w:rPr>
                <w:rFonts w:eastAsiaTheme="minorEastAsia"/>
                <w:sz w:val="21"/>
                <w:szCs w:val="21"/>
                <w:highlight w:val="none"/>
              </w:rPr>
              <w:t>本项目招标代理服务费等相关费用由中标单位支付</w:t>
            </w:r>
            <w:r>
              <w:rPr>
                <w:rFonts w:hint="eastAsia" w:ascii="宋体" w:hAnsi="宋体"/>
                <w:szCs w:val="21"/>
              </w:rPr>
              <w:t>。</w:t>
            </w:r>
          </w:p>
        </w:tc>
      </w:tr>
      <w:tr w14:paraId="79A527D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132" w:hRule="atLeast"/>
          <w:jc w:val="center"/>
        </w:trPr>
        <w:tc>
          <w:tcPr>
            <w:tcW w:w="10125" w:type="dxa"/>
            <w:gridSpan w:val="6"/>
            <w:vAlign w:val="center"/>
          </w:tcPr>
          <w:p w14:paraId="3B5D6BDE">
            <w:pPr>
              <w:rPr>
                <w:rFonts w:ascii="宋体" w:hAnsi="宋体"/>
                <w:szCs w:val="21"/>
              </w:rPr>
            </w:pPr>
            <w:r>
              <w:rPr>
                <w:rFonts w:ascii="宋体" w:hAnsi="宋体"/>
                <w:szCs w:val="21"/>
              </w:rPr>
              <w:t>1.25.2中标公示</w:t>
            </w:r>
          </w:p>
        </w:tc>
      </w:tr>
      <w:tr w14:paraId="210EA89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132" w:hRule="atLeast"/>
          <w:jc w:val="center"/>
        </w:trPr>
        <w:tc>
          <w:tcPr>
            <w:tcW w:w="674" w:type="dxa"/>
            <w:vAlign w:val="center"/>
          </w:tcPr>
          <w:p w14:paraId="224A2926">
            <w:pPr>
              <w:spacing w:line="440" w:lineRule="exact"/>
              <w:rPr>
                <w:rFonts w:ascii="宋体" w:hAnsi="宋体"/>
                <w:szCs w:val="21"/>
              </w:rPr>
            </w:pPr>
          </w:p>
        </w:tc>
        <w:tc>
          <w:tcPr>
            <w:tcW w:w="9451" w:type="dxa"/>
            <w:gridSpan w:val="5"/>
            <w:vAlign w:val="center"/>
          </w:tcPr>
          <w:p w14:paraId="0FC12B68">
            <w:pPr>
              <w:spacing w:line="440" w:lineRule="exact"/>
              <w:rPr>
                <w:rFonts w:ascii="宋体" w:hAnsi="宋体"/>
                <w:szCs w:val="21"/>
              </w:rPr>
            </w:pPr>
            <w:r>
              <w:rPr>
                <w:rFonts w:ascii="宋体" w:hAnsi="宋体"/>
                <w:szCs w:val="21"/>
              </w:rPr>
              <w:t>在中标通知书发出前，招标人将中标候选人的情况在本招标项目招标公告发布的同一媒介予以公示，公示期不少于3</w:t>
            </w:r>
            <w:r>
              <w:rPr>
                <w:rFonts w:hint="eastAsia" w:ascii="宋体" w:hAnsi="宋体"/>
                <w:szCs w:val="21"/>
              </w:rPr>
              <w:t>个工作</w:t>
            </w:r>
            <w:r>
              <w:rPr>
                <w:rFonts w:ascii="宋体" w:hAnsi="宋体"/>
                <w:szCs w:val="21"/>
              </w:rPr>
              <w:t>日。</w:t>
            </w:r>
          </w:p>
        </w:tc>
      </w:tr>
      <w:tr w14:paraId="1658908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132" w:hRule="atLeast"/>
          <w:jc w:val="center"/>
        </w:trPr>
        <w:tc>
          <w:tcPr>
            <w:tcW w:w="10125" w:type="dxa"/>
            <w:gridSpan w:val="6"/>
            <w:vAlign w:val="center"/>
          </w:tcPr>
          <w:p w14:paraId="16823509">
            <w:pPr>
              <w:spacing w:line="440" w:lineRule="exact"/>
              <w:rPr>
                <w:rFonts w:ascii="宋体" w:hAnsi="宋体"/>
                <w:szCs w:val="21"/>
              </w:rPr>
            </w:pPr>
            <w:r>
              <w:rPr>
                <w:rFonts w:ascii="宋体" w:hAnsi="宋体"/>
                <w:szCs w:val="21"/>
              </w:rPr>
              <w:t>1.25</w:t>
            </w:r>
            <w:r>
              <w:rPr>
                <w:rFonts w:hint="eastAsia" w:ascii="宋体" w:hAnsi="宋体"/>
                <w:szCs w:val="21"/>
              </w:rPr>
              <w:t>.</w:t>
            </w:r>
            <w:r>
              <w:rPr>
                <w:rFonts w:ascii="宋体" w:hAnsi="宋体"/>
                <w:szCs w:val="21"/>
              </w:rPr>
              <w:t>3</w:t>
            </w:r>
            <w:r>
              <w:rPr>
                <w:rFonts w:hint="eastAsia" w:ascii="宋体" w:hAnsi="宋体"/>
                <w:szCs w:val="21"/>
              </w:rPr>
              <w:t>知识产权</w:t>
            </w:r>
          </w:p>
        </w:tc>
      </w:tr>
      <w:tr w14:paraId="19B7D32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132" w:hRule="atLeast"/>
          <w:jc w:val="center"/>
        </w:trPr>
        <w:tc>
          <w:tcPr>
            <w:tcW w:w="674" w:type="dxa"/>
            <w:vAlign w:val="center"/>
          </w:tcPr>
          <w:p w14:paraId="317CC232">
            <w:pPr>
              <w:spacing w:line="440" w:lineRule="exact"/>
              <w:rPr>
                <w:rFonts w:ascii="宋体" w:hAnsi="宋体"/>
                <w:szCs w:val="21"/>
              </w:rPr>
            </w:pPr>
          </w:p>
        </w:tc>
        <w:tc>
          <w:tcPr>
            <w:tcW w:w="9451" w:type="dxa"/>
            <w:gridSpan w:val="5"/>
            <w:vAlign w:val="center"/>
          </w:tcPr>
          <w:p w14:paraId="27530185">
            <w:pPr>
              <w:spacing w:line="440" w:lineRule="exact"/>
              <w:rPr>
                <w:rFonts w:ascii="宋体" w:hAnsi="宋体"/>
                <w:szCs w:val="21"/>
              </w:rPr>
            </w:pPr>
            <w:r>
              <w:rPr>
                <w:rFonts w:hint="eastAsia" w:ascii="宋体" w:hAnsi="宋体"/>
                <w:szCs w:val="21"/>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3AFF902B">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132" w:hRule="atLeast"/>
          <w:jc w:val="center"/>
        </w:trPr>
        <w:tc>
          <w:tcPr>
            <w:tcW w:w="10125" w:type="dxa"/>
            <w:gridSpan w:val="6"/>
            <w:vAlign w:val="center"/>
          </w:tcPr>
          <w:p w14:paraId="4A97779F">
            <w:pPr>
              <w:spacing w:line="440" w:lineRule="exact"/>
              <w:rPr>
                <w:rFonts w:ascii="宋体" w:hAnsi="宋体"/>
                <w:szCs w:val="21"/>
              </w:rPr>
            </w:pPr>
            <w:r>
              <w:rPr>
                <w:rFonts w:ascii="宋体" w:hAnsi="宋体"/>
                <w:szCs w:val="21"/>
              </w:rPr>
              <w:t>1.25.4同义词语</w:t>
            </w:r>
          </w:p>
        </w:tc>
      </w:tr>
      <w:tr w14:paraId="587C672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1375" w:hRule="atLeast"/>
          <w:jc w:val="center"/>
        </w:trPr>
        <w:tc>
          <w:tcPr>
            <w:tcW w:w="1037" w:type="dxa"/>
            <w:gridSpan w:val="3"/>
            <w:vAlign w:val="center"/>
          </w:tcPr>
          <w:p w14:paraId="1D05D6E0">
            <w:pPr>
              <w:spacing w:line="440" w:lineRule="exact"/>
              <w:rPr>
                <w:rFonts w:ascii="宋体" w:hAnsi="宋体"/>
                <w:szCs w:val="21"/>
              </w:rPr>
            </w:pPr>
          </w:p>
        </w:tc>
        <w:tc>
          <w:tcPr>
            <w:tcW w:w="9088" w:type="dxa"/>
            <w:gridSpan w:val="3"/>
            <w:vAlign w:val="center"/>
          </w:tcPr>
          <w:p w14:paraId="7AB752B0">
            <w:pPr>
              <w:rPr>
                <w:rFonts w:ascii="宋体" w:hAnsi="宋体"/>
                <w:szCs w:val="21"/>
              </w:rPr>
            </w:pPr>
            <w:r>
              <w:rPr>
                <w:rFonts w:ascii="宋体" w:hAnsi="宋体"/>
                <w:szCs w:val="21"/>
              </w:rPr>
              <w:t>构成招标文件组成部分的“通用合同条款”、“专用合同条款”、“技术标准和要求”和“工程量清单”等章节中出现的措辞“发包人”和“承包人”，在招标投标阶段应当分别按“招标人”和“投标人”进行理解。</w:t>
            </w:r>
          </w:p>
        </w:tc>
      </w:tr>
      <w:tr w14:paraId="773E0ADA">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132" w:hRule="atLeast"/>
          <w:jc w:val="center"/>
        </w:trPr>
        <w:tc>
          <w:tcPr>
            <w:tcW w:w="10125" w:type="dxa"/>
            <w:gridSpan w:val="6"/>
            <w:vAlign w:val="center"/>
          </w:tcPr>
          <w:p w14:paraId="4A1D8A13">
            <w:pPr>
              <w:spacing w:line="440" w:lineRule="exact"/>
              <w:rPr>
                <w:rFonts w:ascii="宋体" w:hAnsi="宋体"/>
                <w:szCs w:val="21"/>
              </w:rPr>
            </w:pPr>
            <w:r>
              <w:rPr>
                <w:rFonts w:ascii="宋体" w:hAnsi="宋体"/>
                <w:szCs w:val="21"/>
              </w:rPr>
              <w:t>1.25.5监督</w:t>
            </w:r>
          </w:p>
        </w:tc>
      </w:tr>
      <w:tr w14:paraId="302C90CB">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1086" w:hRule="atLeast"/>
          <w:jc w:val="center"/>
        </w:trPr>
        <w:tc>
          <w:tcPr>
            <w:tcW w:w="1037" w:type="dxa"/>
            <w:gridSpan w:val="3"/>
            <w:vAlign w:val="center"/>
          </w:tcPr>
          <w:p w14:paraId="5A2D7139">
            <w:pPr>
              <w:spacing w:line="440" w:lineRule="exact"/>
              <w:rPr>
                <w:rFonts w:ascii="宋体" w:hAnsi="宋体"/>
                <w:szCs w:val="21"/>
              </w:rPr>
            </w:pPr>
          </w:p>
        </w:tc>
        <w:tc>
          <w:tcPr>
            <w:tcW w:w="9088" w:type="dxa"/>
            <w:gridSpan w:val="3"/>
            <w:vAlign w:val="center"/>
          </w:tcPr>
          <w:p w14:paraId="020AE86C">
            <w:pPr>
              <w:spacing w:line="440" w:lineRule="exact"/>
              <w:ind w:right="36" w:rightChars="17"/>
              <w:rPr>
                <w:rFonts w:ascii="宋体" w:hAnsi="宋体"/>
                <w:szCs w:val="21"/>
              </w:rPr>
            </w:pPr>
            <w:r>
              <w:rPr>
                <w:rFonts w:hint="eastAsia" w:ascii="宋体" w:hAnsi="宋体"/>
                <w:szCs w:val="21"/>
              </w:rPr>
              <w:t>本项目的招标投标活动及其相关当事人接受有管辖权的建设工程招标投标行政监督部门依法实施的监督</w:t>
            </w:r>
            <w:r>
              <w:rPr>
                <w:rFonts w:ascii="宋体" w:hAnsi="宋体"/>
                <w:szCs w:val="21"/>
              </w:rPr>
              <w:t>。</w:t>
            </w:r>
          </w:p>
        </w:tc>
      </w:tr>
      <w:tr w14:paraId="0C4330E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132" w:hRule="atLeast"/>
          <w:jc w:val="center"/>
        </w:trPr>
        <w:tc>
          <w:tcPr>
            <w:tcW w:w="10125" w:type="dxa"/>
            <w:gridSpan w:val="6"/>
            <w:vAlign w:val="center"/>
          </w:tcPr>
          <w:p w14:paraId="7076915C">
            <w:pPr>
              <w:spacing w:line="440" w:lineRule="exact"/>
              <w:rPr>
                <w:rFonts w:ascii="宋体" w:hAnsi="宋体"/>
                <w:szCs w:val="21"/>
              </w:rPr>
            </w:pPr>
            <w:r>
              <w:rPr>
                <w:rFonts w:ascii="宋体" w:hAnsi="宋体"/>
                <w:szCs w:val="21"/>
              </w:rPr>
              <w:t>1.25.6解释权</w:t>
            </w:r>
          </w:p>
        </w:tc>
      </w:tr>
      <w:tr w14:paraId="2D42164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cantSplit/>
          <w:trHeight w:val="2850" w:hRule="atLeast"/>
          <w:jc w:val="center"/>
        </w:trPr>
        <w:tc>
          <w:tcPr>
            <w:tcW w:w="1037" w:type="dxa"/>
            <w:gridSpan w:val="3"/>
            <w:vAlign w:val="center"/>
          </w:tcPr>
          <w:p w14:paraId="207EED4B">
            <w:pPr>
              <w:spacing w:line="440" w:lineRule="exact"/>
              <w:rPr>
                <w:rFonts w:ascii="宋体" w:hAnsi="宋体"/>
                <w:szCs w:val="21"/>
              </w:rPr>
            </w:pPr>
          </w:p>
        </w:tc>
        <w:tc>
          <w:tcPr>
            <w:tcW w:w="9088" w:type="dxa"/>
            <w:gridSpan w:val="3"/>
            <w:vAlign w:val="center"/>
          </w:tcPr>
          <w:p w14:paraId="02DB9E93">
            <w:pPr>
              <w:spacing w:line="440" w:lineRule="exact"/>
              <w:rPr>
                <w:rFonts w:ascii="宋体" w:hAnsi="宋体"/>
                <w:szCs w:val="21"/>
              </w:rPr>
            </w:pPr>
            <w:r>
              <w:rPr>
                <w:rFonts w:ascii="宋体" w:hAnsi="宋体"/>
                <w:szCs w:val="21"/>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bookmarkEnd w:id="38"/>
    </w:tbl>
    <w:p w14:paraId="06D62DFC">
      <w:pPr>
        <w:pStyle w:val="6"/>
        <w:spacing w:before="156"/>
      </w:pPr>
      <w:bookmarkStart w:id="39" w:name="_Toc19379"/>
      <w:bookmarkStart w:id="40" w:name="_Toc449518379"/>
      <w:bookmarkStart w:id="41" w:name="_Toc85443480"/>
      <w:bookmarkStart w:id="42" w:name="_Toc184635071"/>
      <w:r>
        <w:rPr>
          <w:rFonts w:hint="eastAsia"/>
        </w:rPr>
        <w:t>1．总则</w:t>
      </w:r>
      <w:bookmarkEnd w:id="39"/>
      <w:bookmarkEnd w:id="40"/>
      <w:bookmarkEnd w:id="41"/>
      <w:bookmarkEnd w:id="42"/>
    </w:p>
    <w:p w14:paraId="7086D2AB">
      <w:pPr>
        <w:pStyle w:val="7"/>
        <w:rPr>
          <w:rFonts w:hAnsi="宋体"/>
        </w:rPr>
      </w:pPr>
      <w:r>
        <w:rPr>
          <w:rFonts w:hint="eastAsia" w:hAnsi="宋体"/>
        </w:rPr>
        <w:t>1.1 项目概况</w:t>
      </w:r>
    </w:p>
    <w:p w14:paraId="10AAF0B5">
      <w:pPr>
        <w:spacing w:line="360" w:lineRule="auto"/>
        <w:ind w:firstLine="420" w:firstLineChars="200"/>
        <w:rPr>
          <w:rFonts w:ascii="宋体" w:hAnsi="宋体"/>
          <w:szCs w:val="21"/>
        </w:rPr>
      </w:pPr>
      <w:r>
        <w:rPr>
          <w:rFonts w:hint="eastAsia" w:ascii="宋体" w:hAnsi="宋体"/>
          <w:szCs w:val="21"/>
        </w:rPr>
        <w:t>1.1.1根据《中华人民共和国招标投标法》等有关法律、法规和规章的规定，本招标项目已具备招标条件，现对该项施工进行总承包招标。</w:t>
      </w:r>
    </w:p>
    <w:p w14:paraId="0B192FED">
      <w:pPr>
        <w:spacing w:line="360" w:lineRule="auto"/>
        <w:ind w:firstLine="420" w:firstLineChars="200"/>
        <w:rPr>
          <w:rFonts w:ascii="宋体" w:hAnsi="宋体"/>
          <w:szCs w:val="21"/>
        </w:rPr>
      </w:pPr>
      <w:r>
        <w:rPr>
          <w:rFonts w:hint="eastAsia" w:ascii="宋体" w:hAnsi="宋体"/>
          <w:szCs w:val="21"/>
        </w:rPr>
        <w:t>1.1.2 招标人：见投标人须知前附表。</w:t>
      </w:r>
    </w:p>
    <w:p w14:paraId="46692C1C">
      <w:pPr>
        <w:spacing w:line="360" w:lineRule="auto"/>
        <w:ind w:firstLine="420" w:firstLineChars="200"/>
        <w:rPr>
          <w:rFonts w:ascii="宋体" w:hAnsi="宋体"/>
          <w:szCs w:val="21"/>
        </w:rPr>
      </w:pPr>
      <w:r>
        <w:rPr>
          <w:rFonts w:hint="eastAsia" w:ascii="宋体" w:hAnsi="宋体"/>
          <w:szCs w:val="21"/>
        </w:rPr>
        <w:t>1.1.3 招标代理机构：见投标人须知前附表。</w:t>
      </w:r>
    </w:p>
    <w:p w14:paraId="00AA1D4E">
      <w:pPr>
        <w:spacing w:line="360" w:lineRule="auto"/>
        <w:ind w:firstLine="420" w:firstLineChars="200"/>
        <w:rPr>
          <w:rFonts w:ascii="宋体" w:hAnsi="宋体"/>
          <w:szCs w:val="21"/>
        </w:rPr>
      </w:pPr>
      <w:r>
        <w:rPr>
          <w:rFonts w:hint="eastAsia" w:ascii="宋体" w:hAnsi="宋体"/>
          <w:szCs w:val="21"/>
        </w:rPr>
        <w:t>1.1.4 招标项目名称：见投标人须知前附表。</w:t>
      </w:r>
    </w:p>
    <w:p w14:paraId="6FD45363">
      <w:pPr>
        <w:spacing w:line="360" w:lineRule="auto"/>
        <w:ind w:firstLine="420" w:firstLineChars="200"/>
        <w:rPr>
          <w:rFonts w:ascii="宋体" w:hAnsi="宋体"/>
          <w:szCs w:val="21"/>
        </w:rPr>
      </w:pPr>
      <w:r>
        <w:rPr>
          <w:rFonts w:hint="eastAsia" w:ascii="宋体" w:hAnsi="宋体"/>
          <w:szCs w:val="21"/>
        </w:rPr>
        <w:t>1.1.5 项目建设地点：见投标人须知前附表。</w:t>
      </w:r>
    </w:p>
    <w:p w14:paraId="18F91E21">
      <w:pPr>
        <w:pStyle w:val="7"/>
        <w:rPr>
          <w:rFonts w:hAnsi="宋体"/>
        </w:rPr>
      </w:pPr>
      <w:r>
        <w:rPr>
          <w:rFonts w:hint="eastAsia" w:hAnsi="宋体"/>
        </w:rPr>
        <w:t>1.2 资金来源和落实情况</w:t>
      </w:r>
    </w:p>
    <w:p w14:paraId="7E669647">
      <w:pPr>
        <w:spacing w:line="360" w:lineRule="auto"/>
        <w:ind w:firstLine="420" w:firstLineChars="200"/>
        <w:rPr>
          <w:rFonts w:ascii="宋体" w:hAnsi="宋体"/>
          <w:szCs w:val="21"/>
        </w:rPr>
      </w:pPr>
      <w:r>
        <w:rPr>
          <w:rFonts w:hint="eastAsia" w:ascii="宋体" w:hAnsi="宋体"/>
          <w:szCs w:val="21"/>
        </w:rPr>
        <w:t>1.2.1 资金来源及比例：见投标人须知前附表。</w:t>
      </w:r>
    </w:p>
    <w:p w14:paraId="689188CF">
      <w:pPr>
        <w:spacing w:line="360" w:lineRule="auto"/>
        <w:ind w:firstLine="420" w:firstLineChars="200"/>
        <w:rPr>
          <w:rFonts w:ascii="宋体" w:hAnsi="宋体"/>
          <w:szCs w:val="21"/>
        </w:rPr>
      </w:pPr>
      <w:r>
        <w:rPr>
          <w:rFonts w:hint="eastAsia" w:ascii="宋体" w:hAnsi="宋体"/>
          <w:szCs w:val="21"/>
        </w:rPr>
        <w:t>1.2.2 资金落实情况：见投标人须知前附表。</w:t>
      </w:r>
    </w:p>
    <w:p w14:paraId="6F1416AA">
      <w:pPr>
        <w:pStyle w:val="7"/>
        <w:rPr>
          <w:rFonts w:hAnsi="宋体"/>
        </w:rPr>
      </w:pPr>
      <w:r>
        <w:rPr>
          <w:rFonts w:hint="eastAsia" w:hAnsi="宋体"/>
        </w:rPr>
        <w:t>1.3 招标范围、计划工期和质量要求</w:t>
      </w:r>
    </w:p>
    <w:p w14:paraId="191450B3">
      <w:pPr>
        <w:spacing w:line="360" w:lineRule="auto"/>
        <w:ind w:firstLine="420" w:firstLineChars="200"/>
        <w:rPr>
          <w:rFonts w:ascii="宋体" w:hAnsi="宋体"/>
          <w:szCs w:val="21"/>
        </w:rPr>
      </w:pPr>
      <w:r>
        <w:rPr>
          <w:rFonts w:hint="eastAsia" w:ascii="宋体" w:hAnsi="宋体"/>
          <w:szCs w:val="21"/>
        </w:rPr>
        <w:t>1.3.1 招标范围：见投标人须知前附表。</w:t>
      </w:r>
    </w:p>
    <w:p w14:paraId="57CCFC3D">
      <w:pPr>
        <w:spacing w:line="360" w:lineRule="auto"/>
        <w:ind w:firstLine="420" w:firstLineChars="200"/>
        <w:rPr>
          <w:rFonts w:ascii="宋体" w:hAnsi="宋体"/>
          <w:szCs w:val="21"/>
        </w:rPr>
      </w:pPr>
      <w:r>
        <w:rPr>
          <w:rFonts w:hint="eastAsia" w:ascii="宋体" w:hAnsi="宋体"/>
          <w:szCs w:val="21"/>
        </w:rPr>
        <w:t>1.3.2 计划工期：见投标人须知前附表。</w:t>
      </w:r>
    </w:p>
    <w:p w14:paraId="28B10008">
      <w:pPr>
        <w:spacing w:line="360" w:lineRule="auto"/>
        <w:ind w:firstLine="420" w:firstLineChars="200"/>
        <w:rPr>
          <w:rFonts w:ascii="宋体" w:hAnsi="宋体"/>
          <w:szCs w:val="21"/>
        </w:rPr>
      </w:pPr>
      <w:r>
        <w:rPr>
          <w:rFonts w:hint="eastAsia" w:ascii="宋体" w:hAnsi="宋体"/>
          <w:szCs w:val="21"/>
        </w:rPr>
        <w:t>1.3.3 质量标准：见投标人须知前附表。</w:t>
      </w:r>
    </w:p>
    <w:p w14:paraId="254AFB3F">
      <w:pPr>
        <w:pStyle w:val="7"/>
        <w:rPr>
          <w:rFonts w:hAnsi="宋体"/>
        </w:rPr>
      </w:pPr>
      <w:r>
        <w:rPr>
          <w:rFonts w:hint="eastAsia" w:hAnsi="宋体"/>
        </w:rPr>
        <w:t>1.4 投标人资格要求</w:t>
      </w:r>
    </w:p>
    <w:p w14:paraId="65EF0E72">
      <w:pPr>
        <w:spacing w:line="360" w:lineRule="auto"/>
        <w:ind w:firstLine="420" w:firstLineChars="200"/>
        <w:rPr>
          <w:rFonts w:ascii="宋体" w:hAnsi="宋体"/>
          <w:szCs w:val="21"/>
        </w:rPr>
      </w:pPr>
      <w:r>
        <w:rPr>
          <w:rFonts w:hint="eastAsia" w:ascii="宋体" w:hAnsi="宋体"/>
          <w:szCs w:val="21"/>
        </w:rPr>
        <w:t>1.4.1投标人资格要求：见投标人须知前附表。</w:t>
      </w:r>
    </w:p>
    <w:p w14:paraId="3A0C7221">
      <w:pPr>
        <w:spacing w:line="360" w:lineRule="auto"/>
        <w:ind w:firstLine="420" w:firstLineChars="200"/>
        <w:rPr>
          <w:rFonts w:ascii="宋体" w:hAnsi="宋体"/>
          <w:szCs w:val="21"/>
        </w:rPr>
      </w:pPr>
      <w:r>
        <w:rPr>
          <w:rFonts w:hint="eastAsia" w:ascii="宋体" w:hAnsi="宋体"/>
          <w:szCs w:val="21"/>
        </w:rPr>
        <w:t>1.4.</w:t>
      </w:r>
      <w:r>
        <w:rPr>
          <w:rFonts w:hint="eastAsia" w:ascii="宋体" w:hAnsi="宋体"/>
          <w:szCs w:val="21"/>
          <w:lang w:val="en-US" w:eastAsia="zh-CN"/>
        </w:rPr>
        <w:t>2</w:t>
      </w:r>
      <w:r>
        <w:rPr>
          <w:rFonts w:hint="eastAsia" w:ascii="宋体" w:hAnsi="宋体"/>
          <w:szCs w:val="21"/>
        </w:rPr>
        <w:t xml:space="preserve"> 投标人不得存在下列情形之一：</w:t>
      </w:r>
    </w:p>
    <w:p w14:paraId="608C4224">
      <w:pPr>
        <w:spacing w:line="360" w:lineRule="auto"/>
        <w:ind w:firstLine="420" w:firstLineChars="200"/>
        <w:rPr>
          <w:rFonts w:ascii="宋体" w:hAnsi="宋体"/>
          <w:szCs w:val="21"/>
        </w:rPr>
      </w:pPr>
      <w:r>
        <w:rPr>
          <w:rFonts w:hint="eastAsia" w:ascii="宋体" w:hAnsi="宋体"/>
          <w:szCs w:val="21"/>
        </w:rPr>
        <w:t xml:space="preserve">（1）为招标人不具有独立法人资格的附属机构（单位）； </w:t>
      </w:r>
    </w:p>
    <w:p w14:paraId="3CCE80C8">
      <w:pPr>
        <w:spacing w:line="360" w:lineRule="auto"/>
        <w:ind w:firstLine="420" w:firstLineChars="200"/>
        <w:rPr>
          <w:rFonts w:ascii="宋体" w:hAnsi="宋体"/>
          <w:szCs w:val="21"/>
        </w:rPr>
      </w:pPr>
      <w:r>
        <w:rPr>
          <w:rFonts w:hint="eastAsia" w:ascii="宋体" w:hAnsi="宋体"/>
          <w:szCs w:val="21"/>
        </w:rPr>
        <w:t>（2）为招标项目前期工作提供咨询服务的；</w:t>
      </w:r>
    </w:p>
    <w:p w14:paraId="6E06F72A">
      <w:pPr>
        <w:spacing w:line="360" w:lineRule="auto"/>
        <w:ind w:firstLine="420" w:firstLineChars="200"/>
        <w:rPr>
          <w:rFonts w:ascii="宋体" w:hAnsi="宋体"/>
          <w:szCs w:val="21"/>
        </w:rPr>
      </w:pPr>
      <w:r>
        <w:rPr>
          <w:rFonts w:hint="eastAsia" w:ascii="宋体" w:hAnsi="宋体"/>
          <w:szCs w:val="21"/>
        </w:rPr>
        <w:t>（3）为本招标项目的监理人；</w:t>
      </w:r>
    </w:p>
    <w:p w14:paraId="62C69024">
      <w:pPr>
        <w:spacing w:line="360" w:lineRule="auto"/>
        <w:ind w:firstLine="420" w:firstLineChars="200"/>
        <w:rPr>
          <w:rFonts w:ascii="宋体" w:hAnsi="宋体"/>
          <w:szCs w:val="21"/>
        </w:rPr>
      </w:pPr>
      <w:r>
        <w:rPr>
          <w:rFonts w:hint="eastAsia" w:ascii="宋体" w:hAnsi="宋体"/>
          <w:szCs w:val="21"/>
        </w:rPr>
        <w:t xml:space="preserve">（4）为本招标项目的代建人； </w:t>
      </w:r>
    </w:p>
    <w:p w14:paraId="45E527FB">
      <w:pPr>
        <w:spacing w:line="360" w:lineRule="auto"/>
        <w:ind w:firstLine="420" w:firstLineChars="200"/>
        <w:rPr>
          <w:rFonts w:ascii="宋体" w:hAnsi="宋体"/>
          <w:szCs w:val="21"/>
        </w:rPr>
      </w:pPr>
      <w:r>
        <w:rPr>
          <w:rFonts w:hint="eastAsia" w:ascii="宋体" w:hAnsi="宋体"/>
          <w:szCs w:val="21"/>
        </w:rPr>
        <w:t xml:space="preserve">（5）为本招标项目提供招标代理服务的； </w:t>
      </w:r>
    </w:p>
    <w:p w14:paraId="18EC36AF">
      <w:pPr>
        <w:spacing w:line="360" w:lineRule="auto"/>
        <w:ind w:firstLine="420" w:firstLineChars="200"/>
        <w:rPr>
          <w:rFonts w:ascii="宋体" w:hAnsi="宋体"/>
          <w:szCs w:val="21"/>
        </w:rPr>
      </w:pPr>
      <w:r>
        <w:rPr>
          <w:rFonts w:hint="eastAsia" w:ascii="宋体" w:hAnsi="宋体"/>
          <w:szCs w:val="21"/>
        </w:rPr>
        <w:t xml:space="preserve">（6）被责令停业的； </w:t>
      </w:r>
    </w:p>
    <w:p w14:paraId="7AB6462E">
      <w:pPr>
        <w:spacing w:line="360" w:lineRule="auto"/>
        <w:ind w:firstLine="420" w:firstLineChars="200"/>
        <w:rPr>
          <w:rFonts w:ascii="宋体" w:hAnsi="宋体"/>
          <w:szCs w:val="21"/>
        </w:rPr>
      </w:pPr>
      <w:r>
        <w:rPr>
          <w:rFonts w:hint="eastAsia" w:ascii="宋体" w:hAnsi="宋体"/>
          <w:szCs w:val="21"/>
        </w:rPr>
        <w:t xml:space="preserve">（7）被暂停或取消投标资格的； </w:t>
      </w:r>
    </w:p>
    <w:p w14:paraId="3307208E">
      <w:pPr>
        <w:spacing w:line="360" w:lineRule="auto"/>
        <w:ind w:firstLine="420" w:firstLineChars="200"/>
        <w:rPr>
          <w:rFonts w:ascii="宋体" w:hAnsi="宋体"/>
          <w:szCs w:val="21"/>
        </w:rPr>
      </w:pPr>
      <w:r>
        <w:rPr>
          <w:rFonts w:hint="eastAsia" w:ascii="宋体" w:hAnsi="宋体"/>
          <w:szCs w:val="21"/>
        </w:rPr>
        <w:t>（8）财产被接管或冻结的；</w:t>
      </w:r>
    </w:p>
    <w:p w14:paraId="3CFBAAC5">
      <w:pPr>
        <w:spacing w:line="360" w:lineRule="auto"/>
        <w:ind w:firstLine="420" w:firstLineChars="200"/>
        <w:rPr>
          <w:rFonts w:ascii="宋体" w:hAnsi="宋体"/>
          <w:szCs w:val="21"/>
        </w:rPr>
      </w:pPr>
      <w:r>
        <w:rPr>
          <w:rFonts w:hint="eastAsia" w:ascii="宋体" w:hAnsi="宋体"/>
          <w:szCs w:val="21"/>
        </w:rPr>
        <w:t>（9）在最近三年内有骗取中标或严重违约或重大工程质量问题的；</w:t>
      </w:r>
    </w:p>
    <w:p w14:paraId="55951A9A">
      <w:pPr>
        <w:spacing w:line="360" w:lineRule="auto"/>
        <w:ind w:firstLine="420" w:firstLineChars="200"/>
        <w:rPr>
          <w:rFonts w:ascii="宋体" w:hAnsi="宋体"/>
          <w:szCs w:val="21"/>
        </w:rPr>
      </w:pPr>
      <w:r>
        <w:rPr>
          <w:rFonts w:hint="eastAsia" w:ascii="宋体" w:hAnsi="宋体"/>
          <w:szCs w:val="21"/>
        </w:rPr>
        <w:t>（10）与本招标项目的监理人或代建人或招标代理机构同为一个法定代表人的；</w:t>
      </w:r>
    </w:p>
    <w:p w14:paraId="25E35053">
      <w:pPr>
        <w:spacing w:line="360" w:lineRule="auto"/>
        <w:ind w:firstLine="420" w:firstLineChars="200"/>
        <w:rPr>
          <w:rFonts w:ascii="宋体" w:hAnsi="宋体"/>
          <w:szCs w:val="21"/>
        </w:rPr>
      </w:pPr>
      <w:r>
        <w:rPr>
          <w:rFonts w:hint="eastAsia" w:ascii="宋体" w:hAnsi="宋体"/>
          <w:szCs w:val="21"/>
        </w:rPr>
        <w:t>（11）与本招标项目的监理人或代建人或招标代理机构相互控股或参股的；</w:t>
      </w:r>
    </w:p>
    <w:p w14:paraId="63D76AAB">
      <w:pPr>
        <w:spacing w:line="360" w:lineRule="auto"/>
        <w:ind w:firstLine="420" w:firstLineChars="200"/>
        <w:rPr>
          <w:rFonts w:ascii="宋体" w:hAnsi="宋体"/>
          <w:szCs w:val="21"/>
        </w:rPr>
      </w:pPr>
      <w:r>
        <w:rPr>
          <w:rFonts w:hint="eastAsia" w:ascii="宋体" w:hAnsi="宋体"/>
          <w:szCs w:val="21"/>
        </w:rPr>
        <w:t>（12）与本招标项目的监理人或代建人或招标代理机构相互任职或工作的。</w:t>
      </w:r>
    </w:p>
    <w:p w14:paraId="67E37FA4">
      <w:pPr>
        <w:pStyle w:val="7"/>
        <w:rPr>
          <w:rFonts w:hAnsi="宋体"/>
        </w:rPr>
      </w:pPr>
      <w:r>
        <w:rPr>
          <w:rFonts w:hint="eastAsia" w:hAnsi="宋体"/>
        </w:rPr>
        <w:t>1.5费用承担和补偿</w:t>
      </w:r>
    </w:p>
    <w:p w14:paraId="153C57B0">
      <w:pPr>
        <w:spacing w:line="360" w:lineRule="auto"/>
        <w:ind w:firstLine="420" w:firstLineChars="200"/>
        <w:rPr>
          <w:rFonts w:ascii="宋体" w:hAnsi="宋体"/>
          <w:szCs w:val="21"/>
        </w:rPr>
      </w:pPr>
      <w:r>
        <w:rPr>
          <w:rFonts w:hint="eastAsia" w:ascii="宋体" w:hAnsi="宋体"/>
          <w:szCs w:val="21"/>
        </w:rPr>
        <w:t>1.5.1 投标人准备和参加投标活动发生的费用自理。</w:t>
      </w:r>
    </w:p>
    <w:p w14:paraId="6DA3C5C6">
      <w:pPr>
        <w:pStyle w:val="7"/>
        <w:rPr>
          <w:rFonts w:hAnsi="宋体"/>
        </w:rPr>
      </w:pPr>
      <w:r>
        <w:rPr>
          <w:rFonts w:hint="eastAsia" w:hAnsi="宋体"/>
        </w:rPr>
        <w:t>1.6 保密</w:t>
      </w:r>
    </w:p>
    <w:p w14:paraId="53004BEA">
      <w:pPr>
        <w:spacing w:line="360" w:lineRule="auto"/>
        <w:ind w:firstLine="420" w:firstLineChars="200"/>
        <w:rPr>
          <w:rFonts w:ascii="宋体" w:hAnsi="宋体"/>
          <w:szCs w:val="21"/>
        </w:rPr>
      </w:pPr>
      <w:r>
        <w:rPr>
          <w:rFonts w:hint="eastAsia" w:ascii="宋体" w:hAnsi="宋体"/>
          <w:szCs w:val="21"/>
        </w:rPr>
        <w:t>参与招标投标活动的各方应对招标文件和投标文件中的商业和技术等秘密保密，否则应承担相应的法律责任。</w:t>
      </w:r>
    </w:p>
    <w:p w14:paraId="4519D4FE">
      <w:pPr>
        <w:pStyle w:val="7"/>
        <w:rPr>
          <w:rFonts w:hAnsi="宋体"/>
        </w:rPr>
      </w:pPr>
      <w:r>
        <w:rPr>
          <w:rFonts w:hint="eastAsia" w:hAnsi="宋体"/>
        </w:rPr>
        <w:t>1.7 语言文字</w:t>
      </w:r>
    </w:p>
    <w:p w14:paraId="7D158F20">
      <w:pPr>
        <w:spacing w:line="360" w:lineRule="auto"/>
        <w:ind w:firstLine="420" w:firstLineChars="200"/>
        <w:rPr>
          <w:rFonts w:ascii="宋体" w:hAnsi="宋体"/>
          <w:szCs w:val="21"/>
        </w:rPr>
      </w:pPr>
      <w:r>
        <w:rPr>
          <w:rFonts w:hint="eastAsia" w:ascii="宋体" w:hAnsi="宋体"/>
          <w:szCs w:val="21"/>
        </w:rPr>
        <w:t>招标投标文件使用的语言文字为中文。专用术语使用外文的，应附有中文注释。</w:t>
      </w:r>
    </w:p>
    <w:p w14:paraId="2589B4E0">
      <w:pPr>
        <w:pStyle w:val="7"/>
        <w:rPr>
          <w:rFonts w:hAnsi="宋体"/>
        </w:rPr>
      </w:pPr>
      <w:r>
        <w:rPr>
          <w:rFonts w:hint="eastAsia" w:hAnsi="宋体"/>
        </w:rPr>
        <w:t>1.8 计量单位</w:t>
      </w:r>
    </w:p>
    <w:p w14:paraId="7C42A04B">
      <w:pPr>
        <w:spacing w:line="360" w:lineRule="auto"/>
        <w:ind w:firstLine="420" w:firstLineChars="200"/>
        <w:rPr>
          <w:rFonts w:ascii="宋体" w:hAnsi="宋体"/>
          <w:szCs w:val="21"/>
        </w:rPr>
      </w:pPr>
      <w:r>
        <w:rPr>
          <w:rFonts w:hint="eastAsia" w:ascii="宋体" w:hAnsi="宋体"/>
          <w:szCs w:val="21"/>
        </w:rPr>
        <w:t>所有计量均采用中华人民共和国法定计量单位。</w:t>
      </w:r>
    </w:p>
    <w:p w14:paraId="0AA80C32">
      <w:pPr>
        <w:pStyle w:val="7"/>
        <w:rPr>
          <w:rFonts w:hint="eastAsia" w:hAnsi="宋体"/>
        </w:rPr>
      </w:pPr>
      <w:r>
        <w:rPr>
          <w:rFonts w:hint="eastAsia" w:hAnsi="宋体"/>
        </w:rPr>
        <w:t>1.9 踏勘现场</w:t>
      </w:r>
    </w:p>
    <w:p w14:paraId="749CB913">
      <w:pPr>
        <w:ind w:firstLine="420" w:firstLineChars="200"/>
        <w:rPr>
          <w:rFonts w:hint="eastAsia" w:eastAsia="宋体"/>
          <w:lang w:val="en-US" w:eastAsia="zh-CN"/>
        </w:rPr>
      </w:pPr>
      <w:r>
        <w:rPr>
          <w:rFonts w:hint="eastAsia" w:hAnsi="宋体"/>
          <w:lang w:val="en-US" w:eastAsia="zh-CN"/>
        </w:rPr>
        <w:t>不组织</w:t>
      </w:r>
    </w:p>
    <w:p w14:paraId="617BB47B">
      <w:pPr>
        <w:pStyle w:val="7"/>
        <w:rPr>
          <w:rFonts w:hAnsi="宋体"/>
        </w:rPr>
      </w:pPr>
      <w:r>
        <w:rPr>
          <w:rFonts w:hint="eastAsia" w:hAnsi="宋体"/>
        </w:rPr>
        <w:t>1.10 投标预备会</w:t>
      </w:r>
    </w:p>
    <w:p w14:paraId="3DF1B174">
      <w:pPr>
        <w:spacing w:line="360" w:lineRule="auto"/>
        <w:ind w:firstLine="420" w:firstLineChars="200"/>
        <w:rPr>
          <w:rFonts w:ascii="宋体" w:hAnsi="宋体"/>
          <w:szCs w:val="21"/>
        </w:rPr>
      </w:pPr>
      <w:r>
        <w:rPr>
          <w:rFonts w:hint="eastAsia" w:ascii="宋体" w:hAnsi="宋体"/>
          <w:szCs w:val="21"/>
        </w:rPr>
        <w:t>1.10.1 投标人须知前附表规定召开投标预备会的，招标人按投标人须知前附表规定的时间和地点召开投标预备会，澄清投标人提出的问题。</w:t>
      </w:r>
    </w:p>
    <w:p w14:paraId="63DB2FF2">
      <w:pPr>
        <w:spacing w:line="360" w:lineRule="auto"/>
        <w:ind w:firstLine="420" w:firstLineChars="200"/>
        <w:rPr>
          <w:rFonts w:ascii="宋体" w:hAnsi="宋体"/>
          <w:szCs w:val="21"/>
        </w:rPr>
      </w:pPr>
      <w:r>
        <w:rPr>
          <w:rFonts w:hint="eastAsia" w:ascii="宋体" w:hAnsi="宋体"/>
          <w:szCs w:val="21"/>
        </w:rPr>
        <w:t>1.10.2 投标人应在投标人须知前附表规定的时间前，以书面形式将提出的问题送达招标人，以便招标人在会议期间澄清。</w:t>
      </w:r>
    </w:p>
    <w:p w14:paraId="15F9BC81">
      <w:pPr>
        <w:spacing w:line="360" w:lineRule="auto"/>
        <w:ind w:firstLine="420" w:firstLineChars="200"/>
        <w:rPr>
          <w:rFonts w:ascii="宋体" w:hAnsi="宋体"/>
          <w:szCs w:val="21"/>
        </w:rPr>
      </w:pPr>
      <w:r>
        <w:rPr>
          <w:rFonts w:hint="eastAsia" w:ascii="宋体" w:hAnsi="宋体"/>
          <w:szCs w:val="21"/>
        </w:rPr>
        <w:t>1.10.3 投标预备会后，招标人在投标人须知前附表规定的时间内，将对投标人所提问题的澄清，以书面形式通知所有购买招标文件的投标人。该澄清内容为招标文件的组成部分。</w:t>
      </w:r>
    </w:p>
    <w:p w14:paraId="13EC6A88">
      <w:pPr>
        <w:pStyle w:val="7"/>
        <w:rPr>
          <w:rFonts w:hAnsi="宋体"/>
        </w:rPr>
      </w:pPr>
      <w:r>
        <w:rPr>
          <w:rFonts w:hint="eastAsia" w:hAnsi="宋体"/>
        </w:rPr>
        <w:t>1.11 分包</w:t>
      </w:r>
    </w:p>
    <w:p w14:paraId="0ADFE16D">
      <w:pPr>
        <w:pStyle w:val="7"/>
        <w:ind w:firstLine="240" w:firstLineChars="100"/>
        <w:rPr>
          <w:rFonts w:hint="eastAsia" w:hAnsi="宋体"/>
          <w:b w:val="0"/>
          <w:bCs w:val="0"/>
          <w:szCs w:val="21"/>
          <w:lang w:val="en-US" w:eastAsia="zh-CN"/>
        </w:rPr>
      </w:pPr>
      <w:r>
        <w:rPr>
          <w:rFonts w:hint="eastAsia" w:hAnsi="宋体"/>
          <w:b w:val="0"/>
          <w:bCs w:val="0"/>
          <w:szCs w:val="21"/>
          <w:lang w:val="en-US" w:eastAsia="zh-CN"/>
        </w:rPr>
        <w:t>不允许。</w:t>
      </w:r>
    </w:p>
    <w:p w14:paraId="1107FE94">
      <w:pPr>
        <w:pStyle w:val="7"/>
        <w:rPr>
          <w:rFonts w:hAnsi="宋体"/>
        </w:rPr>
      </w:pPr>
      <w:r>
        <w:rPr>
          <w:rFonts w:hint="eastAsia" w:hAnsi="宋体"/>
        </w:rPr>
        <w:t>1.12 偏离</w:t>
      </w:r>
    </w:p>
    <w:p w14:paraId="18F06CC1">
      <w:pPr>
        <w:pStyle w:val="7"/>
        <w:ind w:firstLine="240" w:firstLineChars="100"/>
        <w:rPr>
          <w:rFonts w:hint="eastAsia" w:ascii="宋体" w:hAnsi="宋体" w:eastAsia="宋体" w:cs="Times New Roman"/>
          <w:b w:val="0"/>
          <w:bCs w:val="0"/>
          <w:szCs w:val="21"/>
          <w:lang w:val="en-US" w:eastAsia="zh-CN"/>
        </w:rPr>
      </w:pPr>
      <w:r>
        <w:rPr>
          <w:rFonts w:hint="eastAsia" w:ascii="宋体" w:hAnsi="宋体" w:eastAsia="宋体" w:cs="Times New Roman"/>
          <w:b w:val="0"/>
          <w:bCs w:val="0"/>
          <w:szCs w:val="21"/>
          <w:lang w:val="en-US" w:eastAsia="zh-CN"/>
        </w:rPr>
        <w:t>不允许。</w:t>
      </w:r>
      <w:bookmarkStart w:id="43" w:name="_Toc9460"/>
      <w:bookmarkStart w:id="44" w:name="_Toc449518380"/>
      <w:bookmarkStart w:id="45" w:name="_Toc184635072"/>
      <w:bookmarkStart w:id="46" w:name="_Toc85443481"/>
    </w:p>
    <w:p w14:paraId="2D98011E">
      <w:pPr>
        <w:pStyle w:val="7"/>
      </w:pPr>
      <w:r>
        <w:rPr>
          <w:rFonts w:hint="eastAsia"/>
        </w:rPr>
        <w:t>2．招标文件</w:t>
      </w:r>
      <w:bookmarkEnd w:id="43"/>
      <w:bookmarkEnd w:id="44"/>
      <w:bookmarkEnd w:id="45"/>
      <w:bookmarkEnd w:id="46"/>
    </w:p>
    <w:p w14:paraId="11D99C2E">
      <w:pPr>
        <w:pStyle w:val="7"/>
        <w:rPr>
          <w:rFonts w:hAnsi="宋体"/>
        </w:rPr>
      </w:pPr>
      <w:r>
        <w:rPr>
          <w:rFonts w:hint="eastAsia" w:hAnsi="宋体"/>
        </w:rPr>
        <w:t>2.1 招标文件的组成</w:t>
      </w:r>
    </w:p>
    <w:p w14:paraId="46D107FA">
      <w:pPr>
        <w:spacing w:line="360" w:lineRule="auto"/>
        <w:ind w:firstLine="420" w:firstLineChars="200"/>
        <w:rPr>
          <w:rFonts w:ascii="宋体" w:hAnsi="宋体"/>
          <w:szCs w:val="21"/>
        </w:rPr>
      </w:pPr>
      <w:r>
        <w:rPr>
          <w:rFonts w:hint="eastAsia" w:ascii="宋体" w:hAnsi="宋体"/>
          <w:szCs w:val="21"/>
        </w:rPr>
        <w:t>本招标文件包括：</w:t>
      </w:r>
    </w:p>
    <w:p w14:paraId="6F36AF66">
      <w:pPr>
        <w:spacing w:line="360" w:lineRule="auto"/>
        <w:ind w:firstLine="420" w:firstLineChars="200"/>
        <w:rPr>
          <w:rFonts w:ascii="宋体" w:hAnsi="宋体"/>
          <w:szCs w:val="21"/>
        </w:rPr>
      </w:pPr>
      <w:r>
        <w:rPr>
          <w:rFonts w:hint="eastAsia" w:ascii="宋体" w:hAnsi="宋体"/>
          <w:szCs w:val="21"/>
        </w:rPr>
        <w:t>（1）招标公告；</w:t>
      </w:r>
    </w:p>
    <w:p w14:paraId="4671564A">
      <w:pPr>
        <w:spacing w:line="360" w:lineRule="auto"/>
        <w:ind w:firstLine="420" w:firstLineChars="200"/>
        <w:rPr>
          <w:rFonts w:ascii="宋体" w:hAnsi="宋体"/>
          <w:szCs w:val="21"/>
        </w:rPr>
      </w:pPr>
      <w:r>
        <w:rPr>
          <w:rFonts w:hint="eastAsia" w:ascii="宋体" w:hAnsi="宋体"/>
          <w:szCs w:val="21"/>
        </w:rPr>
        <w:t>（2）投标须知及投标须知前附表；</w:t>
      </w:r>
    </w:p>
    <w:p w14:paraId="1B03B1C0">
      <w:pPr>
        <w:spacing w:line="360" w:lineRule="auto"/>
        <w:ind w:firstLine="420" w:firstLineChars="200"/>
        <w:rPr>
          <w:rFonts w:ascii="宋体" w:hAnsi="宋体"/>
          <w:szCs w:val="21"/>
        </w:rPr>
      </w:pPr>
      <w:r>
        <w:rPr>
          <w:rFonts w:hint="eastAsia" w:ascii="宋体" w:hAnsi="宋体"/>
          <w:szCs w:val="21"/>
        </w:rPr>
        <w:t>（3）评标办法；</w:t>
      </w:r>
    </w:p>
    <w:p w14:paraId="7E992B65">
      <w:pPr>
        <w:spacing w:line="360" w:lineRule="auto"/>
        <w:ind w:firstLine="420" w:firstLineChars="200"/>
        <w:rPr>
          <w:rFonts w:ascii="宋体" w:hAnsi="宋体"/>
          <w:szCs w:val="21"/>
        </w:rPr>
      </w:pPr>
      <w:r>
        <w:rPr>
          <w:rFonts w:hint="eastAsia" w:ascii="宋体" w:hAnsi="宋体"/>
          <w:szCs w:val="21"/>
        </w:rPr>
        <w:t>（4）合同条款及格式；</w:t>
      </w:r>
    </w:p>
    <w:p w14:paraId="554BCAD5">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）投标文件格式；</w:t>
      </w:r>
    </w:p>
    <w:p w14:paraId="4A800FFA">
      <w:pPr>
        <w:spacing w:line="360" w:lineRule="auto"/>
        <w:ind w:firstLine="420" w:firstLineChars="200"/>
        <w:rPr>
          <w:rFonts w:ascii="宋体" w:hAnsi="宋体"/>
          <w:szCs w:val="21"/>
        </w:rPr>
      </w:pPr>
      <w:r>
        <w:rPr>
          <w:rFonts w:hint="eastAsia" w:ascii="宋体" w:hAnsi="宋体"/>
          <w:szCs w:val="21"/>
        </w:rPr>
        <w:t>根据本章第2.2款和第2.3款对招标文件所作的澄清、修改，构成招标文件的组成部分。</w:t>
      </w:r>
    </w:p>
    <w:p w14:paraId="053E87F7">
      <w:pPr>
        <w:pStyle w:val="7"/>
        <w:rPr>
          <w:rFonts w:hAnsi="宋体"/>
        </w:rPr>
      </w:pPr>
      <w:r>
        <w:rPr>
          <w:rFonts w:hint="eastAsia" w:hAnsi="宋体"/>
        </w:rPr>
        <w:t>2.2 招标文件的澄清</w:t>
      </w:r>
    </w:p>
    <w:p w14:paraId="22897F51">
      <w:pPr>
        <w:spacing w:line="360" w:lineRule="auto"/>
        <w:ind w:firstLine="420" w:firstLineChars="200"/>
        <w:rPr>
          <w:rFonts w:ascii="宋体" w:hAnsi="宋体"/>
          <w:bCs/>
        </w:rPr>
      </w:pPr>
      <w:r>
        <w:rPr>
          <w:rFonts w:hint="eastAsia" w:ascii="宋体" w:hAnsi="宋体"/>
          <w:bCs/>
        </w:rPr>
        <w:t>2.2.1同1.10.2的时间要求。投标人应仔细阅读和检查招标文件的全部内容。如发现缺页或附件不全，应及时向招标人提出，以便补齐。如有疑问，应在投标人须知前附表规定的时间前登录云南省公共资源交易信息网以在线署名提问，要求招标人对招标文件予以澄清。</w:t>
      </w:r>
    </w:p>
    <w:p w14:paraId="5C36769B">
      <w:pPr>
        <w:spacing w:line="360" w:lineRule="auto"/>
        <w:ind w:firstLine="420" w:firstLineChars="200"/>
        <w:rPr>
          <w:rFonts w:ascii="宋体" w:hAnsi="宋体"/>
          <w:bCs/>
        </w:rPr>
      </w:pPr>
      <w:r>
        <w:rPr>
          <w:rFonts w:hint="eastAsia" w:ascii="宋体" w:hAnsi="宋体"/>
          <w:bCs/>
        </w:rPr>
        <w:t>2.2.2投标截止时间：</w:t>
      </w:r>
      <w:r>
        <w:rPr>
          <w:rFonts w:hint="eastAsia" w:ascii="宋体" w:hAnsi="宋体"/>
          <w:b/>
        </w:rPr>
        <w:t>见投标人须知前附表。</w:t>
      </w:r>
    </w:p>
    <w:p w14:paraId="10B2CF96">
      <w:pPr>
        <w:spacing w:line="360" w:lineRule="auto"/>
        <w:ind w:firstLine="420" w:firstLineChars="200"/>
        <w:rPr>
          <w:rFonts w:ascii="宋体" w:hAnsi="宋体"/>
          <w:bCs/>
        </w:rPr>
      </w:pPr>
      <w:r>
        <w:rPr>
          <w:rFonts w:hint="eastAsia" w:ascii="宋体" w:hAnsi="宋体"/>
          <w:bCs/>
        </w:rPr>
        <w:t>2.2.3招标澄清和补遗全部通过网络送达，请投标人在开标截止日前，务必查询网站信息，投标人自行登录云南省公共资源交易信息网获取澄清，如果澄清发出的时间距投标人须知前附表规定的投标截止时间不足15天，并且澄清内容影响投标文件编制的，应相应延长投标截止时间。</w:t>
      </w:r>
    </w:p>
    <w:p w14:paraId="08A14A75">
      <w:pPr>
        <w:pStyle w:val="7"/>
        <w:rPr>
          <w:rFonts w:hAnsi="宋体"/>
        </w:rPr>
      </w:pPr>
      <w:r>
        <w:rPr>
          <w:rFonts w:hint="eastAsia" w:hAnsi="宋体"/>
        </w:rPr>
        <w:t>2.3 招标文件的修改</w:t>
      </w:r>
    </w:p>
    <w:p w14:paraId="79FBEF09">
      <w:pPr>
        <w:spacing w:line="360" w:lineRule="auto"/>
        <w:ind w:firstLine="420" w:firstLineChars="200"/>
        <w:rPr>
          <w:rFonts w:ascii="宋体" w:hAnsi="宋体"/>
          <w:bCs/>
        </w:rPr>
      </w:pPr>
      <w:bookmarkStart w:id="47" w:name="_Toc184635073"/>
      <w:bookmarkStart w:id="48" w:name="_Toc449518381"/>
      <w:r>
        <w:rPr>
          <w:rFonts w:hint="eastAsia" w:ascii="宋体" w:hAnsi="宋体"/>
          <w:bCs/>
        </w:rPr>
        <w:t>2.3.1在投标截止时间15天前，确实需要变更招标文件内容的，招标人可主动或在解答投标人提出的澄清问题时对招标文件进行修改，并同时报主管部门备案。</w:t>
      </w:r>
    </w:p>
    <w:p w14:paraId="03EA04AC">
      <w:pPr>
        <w:spacing w:line="360" w:lineRule="auto"/>
        <w:ind w:firstLine="420" w:firstLineChars="200"/>
        <w:rPr>
          <w:rFonts w:ascii="宋体" w:hAnsi="宋体"/>
          <w:bCs/>
        </w:rPr>
      </w:pPr>
      <w:r>
        <w:rPr>
          <w:rFonts w:hint="eastAsia" w:ascii="宋体" w:hAnsi="宋体"/>
          <w:bCs/>
        </w:rPr>
        <w:t>招标人对评标办法做出变更的，需要重新制作电子招标文件，并重新备案，同时发布补遗文件进行说明以保证各投标人都能重新下载最新的电子招标文件用于编制电子投标文件。</w:t>
      </w:r>
    </w:p>
    <w:p w14:paraId="7D94F5C0">
      <w:pPr>
        <w:spacing w:line="360" w:lineRule="auto"/>
        <w:ind w:firstLine="420" w:firstLineChars="200"/>
        <w:rPr>
          <w:rFonts w:ascii="宋体" w:hAnsi="宋体"/>
          <w:bCs/>
        </w:rPr>
      </w:pPr>
      <w:r>
        <w:rPr>
          <w:rFonts w:hint="eastAsia" w:ascii="宋体" w:hAnsi="宋体"/>
          <w:bCs/>
        </w:rPr>
        <w:t>招标文件的修改将在“云南省公共资源交易信息网”发布，招标文件的修改作为招标文件的组成部分，并具有约束力。但如果修改招标文件的时间距投标截止时间不足15天，并且修改内容影响投标文件编制的，应相应延长投标截止时间。</w:t>
      </w:r>
    </w:p>
    <w:p w14:paraId="37E5D481">
      <w:pPr>
        <w:spacing w:line="360" w:lineRule="auto"/>
        <w:ind w:firstLine="420" w:firstLineChars="200"/>
        <w:rPr>
          <w:rFonts w:ascii="宋体" w:hAnsi="宋体"/>
          <w:bCs/>
        </w:rPr>
      </w:pPr>
      <w:r>
        <w:rPr>
          <w:rFonts w:hint="eastAsia" w:ascii="宋体" w:hAnsi="宋体"/>
          <w:bCs/>
        </w:rPr>
        <w:t>2.3.2投标人自行登录云南省公共资源交易信息网收取修改内容。投标人应在投标截止时间前自行查看“云南省公共资源交易信息网”中有关该工程招标文件的答疑、补遗内容。否则，由此引起的投标损失自负。</w:t>
      </w:r>
    </w:p>
    <w:p w14:paraId="45E673F0">
      <w:pPr>
        <w:spacing w:line="360" w:lineRule="auto"/>
        <w:ind w:firstLine="420" w:firstLineChars="200"/>
        <w:rPr>
          <w:rFonts w:ascii="宋体" w:hAnsi="宋体"/>
          <w:bCs/>
        </w:rPr>
      </w:pPr>
      <w:r>
        <w:rPr>
          <w:rFonts w:hint="eastAsia" w:ascii="宋体" w:hAnsi="宋体"/>
          <w:bCs/>
        </w:rPr>
        <w:t>2.3.3潜在投标人或者其他利害关系人对招标文件有异议的，应当在投标截止时间10日前提出。招标人应当自收到异议之日起3日内作出答复；作出答复前，应当暂停招标投标活动。</w:t>
      </w:r>
    </w:p>
    <w:p w14:paraId="5C508D25">
      <w:pPr>
        <w:spacing w:line="360" w:lineRule="auto"/>
        <w:ind w:firstLine="420" w:firstLineChars="200"/>
        <w:rPr>
          <w:rFonts w:ascii="宋体" w:hAnsi="宋体"/>
          <w:bCs/>
        </w:rPr>
      </w:pPr>
      <w:r>
        <w:rPr>
          <w:rFonts w:hint="eastAsia" w:ascii="宋体" w:hAnsi="宋体"/>
          <w:bCs/>
        </w:rPr>
        <w:t>2.3.4招标文件、招标文件澄清、招标文件修改文件内容均以网上发布的为准，当招标文件、招标文件澄清、招标文件修改文件内容相互矛盾时，以最后发出的为准。</w:t>
      </w:r>
    </w:p>
    <w:p w14:paraId="4F6BDDEE">
      <w:pPr>
        <w:pStyle w:val="6"/>
        <w:spacing w:before="156"/>
      </w:pPr>
      <w:bookmarkStart w:id="49" w:name="_Toc85443482"/>
      <w:bookmarkStart w:id="50" w:name="_Toc281"/>
      <w:r>
        <w:rPr>
          <w:rFonts w:hint="eastAsia"/>
        </w:rPr>
        <w:t>3．投标文件</w:t>
      </w:r>
      <w:bookmarkEnd w:id="47"/>
      <w:bookmarkEnd w:id="48"/>
      <w:bookmarkEnd w:id="49"/>
      <w:bookmarkEnd w:id="50"/>
    </w:p>
    <w:p w14:paraId="55AD845A">
      <w:pPr>
        <w:pStyle w:val="7"/>
        <w:rPr>
          <w:rFonts w:hAnsi="宋体"/>
        </w:rPr>
      </w:pPr>
      <w:r>
        <w:rPr>
          <w:rFonts w:hint="eastAsia" w:hAnsi="宋体"/>
        </w:rPr>
        <w:t>3.1 投标文件的组成</w:t>
      </w:r>
    </w:p>
    <w:p w14:paraId="752C6121">
      <w:pPr>
        <w:spacing w:line="360" w:lineRule="auto"/>
        <w:ind w:firstLine="420" w:firstLineChars="200"/>
        <w:rPr>
          <w:rFonts w:ascii="宋体" w:hAnsi="宋体"/>
          <w:szCs w:val="21"/>
        </w:rPr>
      </w:pPr>
      <w:r>
        <w:rPr>
          <w:rFonts w:hint="eastAsia" w:ascii="宋体" w:hAnsi="宋体"/>
          <w:szCs w:val="21"/>
        </w:rPr>
        <w:t>3.1.1 投标文件应包括下列内容：</w:t>
      </w:r>
    </w:p>
    <w:p w14:paraId="594898C3">
      <w:pPr>
        <w:spacing w:line="360" w:lineRule="auto"/>
        <w:ind w:firstLine="420" w:firstLineChars="200"/>
        <w:rPr>
          <w:rFonts w:ascii="宋体" w:hAnsi="宋体"/>
          <w:szCs w:val="21"/>
          <w:highlight w:val="none"/>
        </w:rPr>
      </w:pPr>
      <w:r>
        <w:rPr>
          <w:rFonts w:hint="eastAsia" w:ascii="宋体" w:hAnsi="宋体"/>
          <w:szCs w:val="21"/>
          <w:highlight w:val="none"/>
        </w:rPr>
        <w:t>一、投标函及投标函附录</w:t>
      </w:r>
    </w:p>
    <w:p w14:paraId="232DDB49">
      <w:pPr>
        <w:spacing w:line="360" w:lineRule="auto"/>
        <w:ind w:firstLine="420" w:firstLineChars="200"/>
        <w:rPr>
          <w:rFonts w:ascii="宋体" w:hAnsi="宋体"/>
          <w:szCs w:val="21"/>
          <w:highlight w:val="none"/>
        </w:rPr>
      </w:pPr>
      <w:r>
        <w:rPr>
          <w:rFonts w:hint="eastAsia" w:ascii="宋体" w:hAnsi="宋体"/>
          <w:szCs w:val="21"/>
          <w:highlight w:val="none"/>
        </w:rPr>
        <w:t>二、法定代表人身份证明</w:t>
      </w:r>
    </w:p>
    <w:p w14:paraId="5970F33D">
      <w:pPr>
        <w:spacing w:line="360" w:lineRule="auto"/>
        <w:ind w:firstLine="420" w:firstLineChars="200"/>
        <w:rPr>
          <w:rFonts w:ascii="宋体" w:hAnsi="宋体"/>
          <w:szCs w:val="21"/>
          <w:highlight w:val="none"/>
        </w:rPr>
      </w:pPr>
      <w:r>
        <w:rPr>
          <w:rFonts w:hint="eastAsia" w:ascii="宋体" w:hAnsi="宋体"/>
          <w:szCs w:val="21"/>
          <w:highlight w:val="none"/>
        </w:rPr>
        <w:t>三、法定代表人授权委托书</w:t>
      </w:r>
    </w:p>
    <w:p w14:paraId="3B689105">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四</w:t>
      </w:r>
      <w:r>
        <w:rPr>
          <w:rFonts w:hint="eastAsia" w:ascii="宋体" w:hAnsi="宋体"/>
          <w:szCs w:val="21"/>
          <w:highlight w:val="none"/>
        </w:rPr>
        <w:t>、投标单位资质证书</w:t>
      </w:r>
    </w:p>
    <w:p w14:paraId="53E795AF">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五</w:t>
      </w:r>
      <w:r>
        <w:rPr>
          <w:rFonts w:hint="eastAsia" w:ascii="宋体" w:hAnsi="宋体"/>
          <w:szCs w:val="21"/>
          <w:highlight w:val="none"/>
        </w:rPr>
        <w:t>、施工组织设计</w:t>
      </w:r>
    </w:p>
    <w:p w14:paraId="278A3959">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六</w:t>
      </w:r>
      <w:r>
        <w:rPr>
          <w:rFonts w:hint="eastAsia" w:ascii="宋体" w:hAnsi="宋体"/>
          <w:szCs w:val="21"/>
          <w:highlight w:val="none"/>
        </w:rPr>
        <w:t>、项目管理机构</w:t>
      </w:r>
    </w:p>
    <w:p w14:paraId="46A434E9">
      <w:pPr>
        <w:spacing w:line="360" w:lineRule="auto"/>
        <w:ind w:firstLine="420" w:firstLineChars="200"/>
        <w:rPr>
          <w:rFonts w:hint="eastAsia" w:ascii="宋体" w:hAnsi="宋体"/>
          <w:szCs w:val="21"/>
          <w:highlight w:val="none"/>
        </w:rPr>
      </w:pPr>
      <w:r>
        <w:rPr>
          <w:rFonts w:hint="eastAsia" w:ascii="宋体" w:hAnsi="宋体"/>
          <w:szCs w:val="21"/>
          <w:highlight w:val="none"/>
          <w:lang w:val="en-US" w:eastAsia="zh-CN"/>
        </w:rPr>
        <w:t>七</w:t>
      </w:r>
      <w:r>
        <w:rPr>
          <w:rFonts w:hint="eastAsia" w:ascii="宋体" w:hAnsi="宋体"/>
          <w:szCs w:val="21"/>
          <w:highlight w:val="none"/>
        </w:rPr>
        <w:t xml:space="preserve">、其他资料 </w:t>
      </w:r>
    </w:p>
    <w:p w14:paraId="14AE8750">
      <w:pPr>
        <w:spacing w:line="360" w:lineRule="auto"/>
        <w:ind w:firstLine="420" w:firstLineChars="200"/>
        <w:rPr>
          <w:rFonts w:hint="eastAsia" w:ascii="宋体" w:hAnsi="宋体"/>
          <w:szCs w:val="21"/>
          <w:highlight w:val="none"/>
          <w:lang w:val="en-US" w:eastAsia="zh-CN"/>
        </w:rPr>
      </w:pPr>
      <w:r>
        <w:rPr>
          <w:rFonts w:hint="eastAsia" w:ascii="宋体" w:hAnsi="宋体"/>
          <w:szCs w:val="21"/>
          <w:highlight w:val="none"/>
          <w:lang w:val="en-US" w:eastAsia="zh-CN"/>
        </w:rPr>
        <w:t>八、已标价的工程量清单</w:t>
      </w:r>
    </w:p>
    <w:p w14:paraId="2871D98D">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九、资格审查资料</w:t>
      </w:r>
    </w:p>
    <w:p w14:paraId="754ECD48">
      <w:pPr>
        <w:pStyle w:val="7"/>
        <w:rPr>
          <w:rFonts w:hAnsi="宋体"/>
        </w:rPr>
      </w:pPr>
      <w:r>
        <w:rPr>
          <w:rFonts w:hint="eastAsia" w:hAnsi="宋体"/>
        </w:rPr>
        <w:t>3.2 投标报价</w:t>
      </w:r>
    </w:p>
    <w:p w14:paraId="2581053D">
      <w:pPr>
        <w:spacing w:line="360" w:lineRule="auto"/>
        <w:ind w:firstLine="420" w:firstLineChars="200"/>
        <w:rPr>
          <w:rFonts w:ascii="宋体" w:hAnsi="宋体"/>
          <w:szCs w:val="21"/>
        </w:rPr>
      </w:pPr>
      <w:r>
        <w:rPr>
          <w:rFonts w:hint="eastAsia" w:ascii="宋体" w:hAnsi="宋体"/>
          <w:szCs w:val="21"/>
        </w:rPr>
        <w:t>3.2.1 投标人应按第五章“投标文件格式”的要求填写。</w:t>
      </w:r>
    </w:p>
    <w:p w14:paraId="189EEB7A">
      <w:pPr>
        <w:spacing w:line="360" w:lineRule="auto"/>
        <w:ind w:firstLine="420" w:firstLineChars="200"/>
        <w:rPr>
          <w:rFonts w:ascii="宋体" w:hAnsi="宋体"/>
          <w:szCs w:val="21"/>
        </w:rPr>
      </w:pPr>
      <w:r>
        <w:rPr>
          <w:rFonts w:hint="eastAsia" w:ascii="宋体" w:hAnsi="宋体"/>
          <w:szCs w:val="21"/>
        </w:rPr>
        <w:t>3.2.2 投标人应充分了解施工场地的位置、周边环境、道路、装卸、保管、安装限制以及影响投标报价的其他要素。投标人根据投标设计，结合市场情况进行投标报价，报价包含所有费用。</w:t>
      </w:r>
    </w:p>
    <w:p w14:paraId="78090183">
      <w:pPr>
        <w:spacing w:line="360" w:lineRule="auto"/>
        <w:ind w:firstLine="420" w:firstLineChars="200"/>
        <w:rPr>
          <w:rFonts w:ascii="宋体" w:hAnsi="宋体"/>
          <w:szCs w:val="21"/>
        </w:rPr>
      </w:pPr>
      <w:r>
        <w:rPr>
          <w:rFonts w:hint="eastAsia" w:ascii="宋体" w:hAnsi="宋体"/>
          <w:szCs w:val="21"/>
        </w:rPr>
        <w:t>3.2.3 投标人在投标截止时间前修改投标函中的投标报价总额，应同时修改投标文件中的相应报价，投标报价总额为各分项金额之和。此修改须符合本章第4.3款的有关要求。</w:t>
      </w:r>
    </w:p>
    <w:p w14:paraId="2F974442">
      <w:pPr>
        <w:spacing w:line="360" w:lineRule="auto"/>
        <w:ind w:firstLine="420" w:firstLineChars="200"/>
        <w:rPr>
          <w:rFonts w:ascii="宋体" w:hAnsi="宋体"/>
          <w:szCs w:val="21"/>
        </w:rPr>
      </w:pPr>
      <w:r>
        <w:rPr>
          <w:rFonts w:hint="eastAsia" w:ascii="宋体" w:hAnsi="宋体"/>
          <w:szCs w:val="21"/>
        </w:rPr>
        <w:t>3.2.4 招标人设有最高投标限价的，投标人的投标报价不得超过最高投标限价，最高投标限价或其计算方法在投标人须知前附表中载明。</w:t>
      </w:r>
    </w:p>
    <w:p w14:paraId="354AA35A">
      <w:pPr>
        <w:pStyle w:val="7"/>
        <w:rPr>
          <w:rFonts w:hAnsi="宋体"/>
        </w:rPr>
      </w:pPr>
      <w:r>
        <w:rPr>
          <w:rFonts w:hint="eastAsia" w:hAnsi="宋体"/>
        </w:rPr>
        <w:t>3.3 投标有效期</w:t>
      </w:r>
    </w:p>
    <w:p w14:paraId="785C0474">
      <w:pPr>
        <w:spacing w:line="360" w:lineRule="auto"/>
        <w:ind w:firstLine="420" w:firstLineChars="200"/>
        <w:rPr>
          <w:rFonts w:ascii="宋体" w:hAnsi="宋体"/>
          <w:szCs w:val="21"/>
        </w:rPr>
      </w:pPr>
      <w:r>
        <w:rPr>
          <w:rFonts w:hint="eastAsia" w:ascii="宋体" w:hAnsi="宋体"/>
          <w:szCs w:val="21"/>
        </w:rPr>
        <w:t>3.3.1 除投标人须知前附表另有规定外，投标有效期为</w:t>
      </w:r>
      <w:r>
        <w:rPr>
          <w:rFonts w:ascii="宋体" w:hAnsi="宋体"/>
          <w:szCs w:val="21"/>
        </w:rPr>
        <w:t>9</w:t>
      </w:r>
      <w:r>
        <w:rPr>
          <w:rFonts w:hint="eastAsia" w:ascii="宋体" w:hAnsi="宋体"/>
          <w:szCs w:val="21"/>
        </w:rPr>
        <w:t>0天。</w:t>
      </w:r>
    </w:p>
    <w:p w14:paraId="655C46C7">
      <w:pPr>
        <w:spacing w:line="360" w:lineRule="auto"/>
        <w:ind w:firstLine="420" w:firstLineChars="200"/>
        <w:rPr>
          <w:rFonts w:ascii="宋体" w:hAnsi="宋体"/>
          <w:szCs w:val="21"/>
        </w:rPr>
      </w:pPr>
      <w:r>
        <w:rPr>
          <w:rFonts w:hint="eastAsia" w:ascii="宋体" w:hAnsi="宋体"/>
          <w:szCs w:val="21"/>
        </w:rPr>
        <w:t>3.3.2 在投标有效期内，投标人撤销或修改其投标文件的，应承担招标文件和法律规定的责任。</w:t>
      </w:r>
    </w:p>
    <w:p w14:paraId="5682D292">
      <w:pPr>
        <w:spacing w:line="360" w:lineRule="auto"/>
        <w:ind w:firstLine="420" w:firstLineChars="200"/>
        <w:rPr>
          <w:rFonts w:ascii="宋体" w:hAnsi="宋体"/>
          <w:szCs w:val="21"/>
        </w:rPr>
      </w:pPr>
      <w:r>
        <w:rPr>
          <w:rFonts w:hint="eastAsia" w:ascii="宋体" w:hAnsi="宋体"/>
          <w:szCs w:val="21"/>
        </w:rPr>
        <w:t>3.3.3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4183B0BC">
      <w:pPr>
        <w:pStyle w:val="7"/>
        <w:rPr>
          <w:rFonts w:hAnsi="宋体"/>
        </w:rPr>
      </w:pPr>
      <w:r>
        <w:rPr>
          <w:rFonts w:hint="eastAsia" w:hAnsi="宋体"/>
        </w:rPr>
        <w:t>3.</w:t>
      </w:r>
      <w:r>
        <w:rPr>
          <w:rFonts w:hAnsi="宋体"/>
        </w:rPr>
        <w:t>4</w:t>
      </w:r>
      <w:r>
        <w:rPr>
          <w:rFonts w:hint="eastAsia" w:hAnsi="宋体"/>
        </w:rPr>
        <w:t xml:space="preserve"> 资格审查资料</w:t>
      </w:r>
    </w:p>
    <w:p w14:paraId="61AC702C">
      <w:pPr>
        <w:spacing w:line="360" w:lineRule="auto"/>
        <w:ind w:firstLine="420" w:firstLineChars="200"/>
        <w:rPr>
          <w:rFonts w:ascii="宋体" w:hAnsi="宋体"/>
          <w:szCs w:val="21"/>
        </w:rPr>
      </w:pPr>
      <w:r>
        <w:rPr>
          <w:rFonts w:hint="eastAsia" w:ascii="宋体" w:hAnsi="宋体"/>
          <w:szCs w:val="21"/>
        </w:rPr>
        <w:t>3.5.1 “投标人基本情况表”应附投标人营业执照、资质证书副本等材料的复印件。</w:t>
      </w:r>
    </w:p>
    <w:p w14:paraId="1CEF4104">
      <w:pPr>
        <w:spacing w:line="360" w:lineRule="auto"/>
        <w:ind w:firstLine="420" w:firstLineChars="200"/>
        <w:rPr>
          <w:rFonts w:ascii="宋体" w:hAnsi="宋体"/>
          <w:szCs w:val="21"/>
        </w:rPr>
      </w:pPr>
      <w:r>
        <w:rPr>
          <w:rFonts w:hint="eastAsia" w:ascii="宋体" w:hAnsi="宋体"/>
          <w:szCs w:val="21"/>
        </w:rPr>
        <w:t>3.5.2 “近年财务状况表”应附经会计师事务所或审计机构审计的财务会计报表，包括资产负债表、现金流量表、利润表等复印件，具体年份要求见投标人须知前附表。</w:t>
      </w:r>
    </w:p>
    <w:p w14:paraId="7B944E78">
      <w:pPr>
        <w:spacing w:line="360" w:lineRule="auto"/>
        <w:ind w:firstLine="420" w:firstLineChars="200"/>
        <w:rPr>
          <w:rFonts w:ascii="宋体" w:hAnsi="宋体"/>
          <w:szCs w:val="21"/>
        </w:rPr>
      </w:pPr>
      <w:r>
        <w:rPr>
          <w:rFonts w:hint="eastAsia" w:ascii="宋体" w:hAnsi="宋体"/>
          <w:szCs w:val="21"/>
        </w:rPr>
        <w:t>3.5.</w:t>
      </w:r>
      <w:r>
        <w:rPr>
          <w:rFonts w:ascii="宋体" w:hAnsi="宋体"/>
          <w:szCs w:val="21"/>
        </w:rPr>
        <w:t>3</w:t>
      </w:r>
      <w:r>
        <w:rPr>
          <w:rFonts w:hint="eastAsia" w:ascii="宋体" w:hAnsi="宋体"/>
          <w:szCs w:val="21"/>
        </w:rPr>
        <w:t xml:space="preserve"> “近年发生的重大诉讼及仲裁情况”应说明相关情况，并附法院或仲裁机构作出的判决、裁决等有关法律文书复印件，具体年份要求见投标人须知前附表。</w:t>
      </w:r>
    </w:p>
    <w:p w14:paraId="51B6F308">
      <w:pPr>
        <w:pStyle w:val="7"/>
        <w:rPr>
          <w:rFonts w:hAnsi="宋体"/>
        </w:rPr>
      </w:pPr>
      <w:r>
        <w:rPr>
          <w:rFonts w:hint="eastAsia" w:hAnsi="宋体"/>
        </w:rPr>
        <w:t>3.</w:t>
      </w:r>
      <w:r>
        <w:rPr>
          <w:rFonts w:hAnsi="宋体"/>
        </w:rPr>
        <w:t>5</w:t>
      </w:r>
      <w:r>
        <w:rPr>
          <w:rFonts w:hint="eastAsia" w:hAnsi="宋体"/>
        </w:rPr>
        <w:t xml:space="preserve"> 备选投标方案</w:t>
      </w:r>
    </w:p>
    <w:p w14:paraId="3C1232E2">
      <w:pPr>
        <w:spacing w:line="360" w:lineRule="auto"/>
        <w:ind w:firstLine="420" w:firstLineChars="200"/>
        <w:rPr>
          <w:rFonts w:hint="eastAsia" w:ascii="宋体" w:hAnsi="宋体" w:eastAsia="宋体"/>
          <w:szCs w:val="21"/>
          <w:lang w:eastAsia="zh-CN"/>
        </w:rPr>
      </w:pPr>
      <w:r>
        <w:rPr>
          <w:rFonts w:hint="eastAsia" w:ascii="宋体" w:hAnsi="宋体"/>
          <w:szCs w:val="21"/>
          <w:lang w:val="en-US" w:eastAsia="zh-CN"/>
        </w:rPr>
        <w:t>不接受。</w:t>
      </w:r>
    </w:p>
    <w:p w14:paraId="4BCB0718">
      <w:pPr>
        <w:pStyle w:val="7"/>
        <w:rPr>
          <w:rFonts w:hAnsi="宋体"/>
        </w:rPr>
      </w:pPr>
      <w:r>
        <w:rPr>
          <w:rFonts w:hint="eastAsia" w:hAnsi="宋体"/>
        </w:rPr>
        <w:t>3.</w:t>
      </w:r>
      <w:r>
        <w:rPr>
          <w:rFonts w:hAnsi="宋体"/>
        </w:rPr>
        <w:t>6</w:t>
      </w:r>
      <w:r>
        <w:rPr>
          <w:rFonts w:hint="eastAsia" w:hAnsi="宋体"/>
        </w:rPr>
        <w:t>投标文件的编制</w:t>
      </w:r>
    </w:p>
    <w:p w14:paraId="34E33693">
      <w:pPr>
        <w:spacing w:line="360" w:lineRule="auto"/>
        <w:ind w:firstLine="420" w:firstLineChars="200"/>
        <w:rPr>
          <w:rFonts w:ascii="宋体" w:hAnsi="宋体"/>
          <w:bCs/>
        </w:rPr>
      </w:pPr>
      <w:bookmarkStart w:id="51" w:name="_Toc184635074"/>
      <w:bookmarkStart w:id="52" w:name="_Toc449518382"/>
      <w:r>
        <w:rPr>
          <w:rFonts w:hint="eastAsia" w:ascii="宋体" w:hAnsi="宋体"/>
          <w:bCs/>
        </w:rPr>
        <w:t>3.6.1 电子投标文件必须使用《云南省工程建设模块化投标文件编制系统》制作（电子投标文件，格式为*.BTBJ）。</w:t>
      </w:r>
    </w:p>
    <w:p w14:paraId="11978188">
      <w:pPr>
        <w:spacing w:line="360" w:lineRule="auto"/>
        <w:ind w:firstLine="420" w:firstLineChars="200"/>
        <w:rPr>
          <w:rFonts w:ascii="宋体" w:hAnsi="宋体"/>
          <w:bCs/>
        </w:rPr>
      </w:pPr>
      <w:r>
        <w:rPr>
          <w:rFonts w:hint="eastAsia" w:ascii="宋体" w:hAnsi="宋体"/>
          <w:bCs/>
        </w:rPr>
        <w:t>3.6.2如投标人上传的电子标书不符合3.6.1要求或开标时无法读取导入或解密，其投标文件将不予受理。</w:t>
      </w:r>
    </w:p>
    <w:p w14:paraId="1CCBE2C6">
      <w:pPr>
        <w:spacing w:line="360" w:lineRule="auto"/>
        <w:ind w:firstLine="420" w:firstLineChars="200"/>
        <w:rPr>
          <w:rFonts w:ascii="宋体" w:hAnsi="宋体"/>
          <w:bCs/>
        </w:rPr>
      </w:pPr>
      <w:r>
        <w:rPr>
          <w:rFonts w:hint="eastAsia" w:ascii="宋体" w:hAnsi="宋体"/>
          <w:bCs/>
        </w:rPr>
        <w:t>3.6.3投标文件应当对招标文件有关工期、投标有效期、质量要求、技术标准和要求、招标范围等实质性内容作出响应。</w:t>
      </w:r>
    </w:p>
    <w:p w14:paraId="7CB7FC23">
      <w:pPr>
        <w:spacing w:line="360" w:lineRule="auto"/>
        <w:ind w:firstLine="420" w:firstLineChars="200"/>
        <w:rPr>
          <w:rFonts w:ascii="宋体" w:hAnsi="宋体"/>
          <w:b/>
        </w:rPr>
      </w:pPr>
      <w:r>
        <w:rPr>
          <w:rFonts w:hint="eastAsia" w:ascii="宋体" w:hAnsi="宋体"/>
          <w:bCs/>
        </w:rPr>
        <w:t>3.6.4投标文件电子签章及电子签名要求：</w:t>
      </w:r>
      <w:r>
        <w:rPr>
          <w:rFonts w:hint="eastAsia" w:ascii="宋体" w:hAnsi="宋体"/>
          <w:b/>
        </w:rPr>
        <w:t>见投标人须知前附表。</w:t>
      </w:r>
    </w:p>
    <w:p w14:paraId="2D20614D">
      <w:pPr>
        <w:pStyle w:val="6"/>
        <w:spacing w:before="156"/>
      </w:pPr>
      <w:bookmarkStart w:id="53" w:name="_Toc15070"/>
      <w:bookmarkStart w:id="54" w:name="_Toc85443483"/>
      <w:r>
        <w:rPr>
          <w:rFonts w:hint="eastAsia"/>
        </w:rPr>
        <w:t>4．投标</w:t>
      </w:r>
      <w:bookmarkEnd w:id="51"/>
      <w:bookmarkEnd w:id="52"/>
      <w:bookmarkEnd w:id="53"/>
      <w:bookmarkEnd w:id="54"/>
    </w:p>
    <w:p w14:paraId="569D5D1C">
      <w:pPr>
        <w:spacing w:line="360" w:lineRule="auto"/>
        <w:rPr>
          <w:rFonts w:ascii="宋体" w:hAnsi="宋体"/>
          <w:b/>
        </w:rPr>
      </w:pPr>
      <w:r>
        <w:rPr>
          <w:rFonts w:hint="eastAsia" w:ascii="宋体" w:hAnsi="宋体"/>
          <w:b/>
        </w:rPr>
        <w:t>4.1 投标文件的上传</w:t>
      </w:r>
    </w:p>
    <w:p w14:paraId="44F62F56">
      <w:pPr>
        <w:spacing w:line="360" w:lineRule="auto"/>
        <w:ind w:firstLine="420" w:firstLineChars="200"/>
        <w:rPr>
          <w:rFonts w:ascii="宋体" w:hAnsi="宋体"/>
          <w:bCs/>
        </w:rPr>
      </w:pPr>
      <w:r>
        <w:rPr>
          <w:rFonts w:hint="eastAsia" w:ascii="宋体" w:hAnsi="宋体"/>
          <w:bCs/>
        </w:rPr>
        <w:t>4.1.1投标人应在本章第2.2.2项规定的投标截止时间前将电子投标文件上传到云南省公共资源交易信息网网，未按规定在投标截止时间前上传投标文件的，视为撤回其投标文件。</w:t>
      </w:r>
    </w:p>
    <w:p w14:paraId="0D739388">
      <w:pPr>
        <w:spacing w:line="360" w:lineRule="auto"/>
        <w:ind w:firstLine="420" w:firstLineChars="200"/>
        <w:rPr>
          <w:rFonts w:ascii="宋体" w:hAnsi="宋体"/>
          <w:bCs/>
        </w:rPr>
      </w:pPr>
      <w:r>
        <w:rPr>
          <w:rFonts w:hint="eastAsia" w:ascii="宋体" w:hAnsi="宋体"/>
          <w:bCs/>
        </w:rPr>
        <w:t>4.1.2除投标人须知前附表另有规定外，投标人所递交的投标文件不予退还。</w:t>
      </w:r>
    </w:p>
    <w:p w14:paraId="4E042886">
      <w:pPr>
        <w:spacing w:line="360" w:lineRule="auto"/>
        <w:ind w:firstLine="420" w:firstLineChars="200"/>
        <w:rPr>
          <w:rFonts w:ascii="宋体" w:hAnsi="宋体"/>
          <w:bCs/>
        </w:rPr>
      </w:pPr>
      <w:r>
        <w:rPr>
          <w:rFonts w:hint="eastAsia" w:ascii="宋体" w:hAnsi="宋体"/>
          <w:bCs/>
        </w:rPr>
        <w:t>4.1.3网上上传投标文件：投标人登录“云南省公共资源交易信息网网”，投标人根据拟要投标的项目，按照网上投标系统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p>
    <w:p w14:paraId="4277A767">
      <w:pPr>
        <w:spacing w:line="360" w:lineRule="auto"/>
        <w:rPr>
          <w:rFonts w:ascii="宋体" w:hAnsi="宋体"/>
          <w:b/>
        </w:rPr>
      </w:pPr>
      <w:r>
        <w:rPr>
          <w:rFonts w:hint="eastAsia" w:ascii="宋体" w:hAnsi="宋体"/>
          <w:b/>
        </w:rPr>
        <w:t>4.2投标文件的修改与撤回</w:t>
      </w:r>
    </w:p>
    <w:p w14:paraId="21FD5C9D">
      <w:pPr>
        <w:spacing w:line="360" w:lineRule="auto"/>
        <w:ind w:firstLine="420" w:firstLineChars="200"/>
        <w:rPr>
          <w:rFonts w:ascii="宋体" w:hAnsi="宋体"/>
          <w:bCs/>
        </w:rPr>
      </w:pPr>
      <w:r>
        <w:rPr>
          <w:rFonts w:hint="eastAsia" w:ascii="宋体" w:hAnsi="宋体"/>
          <w:bCs/>
        </w:rPr>
        <w:t>4.2.1在本章第2.2.2项规定的投标截止时间前，投标人可以修改或撤回已在网上上传的投标文件，无须书面形式通知招标人。</w:t>
      </w:r>
    </w:p>
    <w:p w14:paraId="167395A8">
      <w:pPr>
        <w:spacing w:line="360" w:lineRule="auto"/>
        <w:ind w:firstLine="420" w:firstLineChars="200"/>
        <w:rPr>
          <w:rFonts w:ascii="宋体" w:hAnsi="宋体"/>
          <w:bCs/>
        </w:rPr>
      </w:pPr>
      <w:r>
        <w:rPr>
          <w:rFonts w:hint="eastAsia" w:ascii="宋体" w:hAnsi="宋体"/>
          <w:bCs/>
        </w:rPr>
        <w:t>4.2.2投标人撤回投标文件的，可在规定时间内申请退还已缴纳的投标保证金。</w:t>
      </w:r>
    </w:p>
    <w:p w14:paraId="6C0CCA6E">
      <w:pPr>
        <w:spacing w:line="360" w:lineRule="auto"/>
        <w:ind w:firstLine="420" w:firstLineChars="200"/>
        <w:rPr>
          <w:rFonts w:ascii="宋体" w:hAnsi="宋体"/>
          <w:bCs/>
        </w:rPr>
      </w:pPr>
      <w:r>
        <w:rPr>
          <w:rFonts w:hint="eastAsia" w:ascii="宋体" w:hAnsi="宋体"/>
          <w:bCs/>
        </w:rPr>
        <w:t>4.2.3修改的内容为投标文件的组成部分。修改的投标文件应按照本章第3条、第4条规定进行编制和上传。</w:t>
      </w:r>
    </w:p>
    <w:p w14:paraId="067084CA">
      <w:pPr>
        <w:spacing w:line="360" w:lineRule="auto"/>
        <w:outlineLvl w:val="2"/>
        <w:rPr>
          <w:rFonts w:ascii="宋体" w:hAnsi="宋体"/>
          <w:b/>
          <w:sz w:val="24"/>
        </w:rPr>
      </w:pPr>
      <w:bookmarkStart w:id="55" w:name="_Toc20766"/>
      <w:bookmarkStart w:id="56" w:name="_Toc32389"/>
      <w:bookmarkStart w:id="57" w:name="_Toc85443484"/>
      <w:r>
        <w:rPr>
          <w:rFonts w:hint="eastAsia" w:ascii="宋体" w:hAnsi="宋体"/>
          <w:b/>
          <w:sz w:val="24"/>
        </w:rPr>
        <w:t>5. 开标</w:t>
      </w:r>
      <w:bookmarkEnd w:id="55"/>
      <w:bookmarkEnd w:id="56"/>
      <w:bookmarkEnd w:id="57"/>
    </w:p>
    <w:p w14:paraId="761F0019">
      <w:pPr>
        <w:spacing w:line="360" w:lineRule="auto"/>
        <w:rPr>
          <w:rFonts w:ascii="宋体" w:hAnsi="宋体"/>
          <w:b/>
        </w:rPr>
      </w:pPr>
      <w:r>
        <w:rPr>
          <w:rFonts w:hint="eastAsia" w:ascii="宋体" w:hAnsi="宋体"/>
          <w:b/>
        </w:rPr>
        <w:t>5.1 开标时间和地点</w:t>
      </w:r>
    </w:p>
    <w:p w14:paraId="319A2F6A">
      <w:pPr>
        <w:spacing w:line="360" w:lineRule="auto"/>
        <w:ind w:firstLine="420" w:firstLineChars="200"/>
        <w:rPr>
          <w:rFonts w:ascii="宋体" w:hAnsi="宋体"/>
          <w:bCs/>
        </w:rPr>
      </w:pPr>
      <w:r>
        <w:rPr>
          <w:rFonts w:hint="eastAsia" w:ascii="宋体" w:hAnsi="宋体"/>
          <w:bCs/>
        </w:rPr>
        <w:t>招标人在本章投标人须知前附表第2.2.2项规定的投标截止时间（开标时间）和投标人须知前附表规定的地点公开开标。</w:t>
      </w:r>
    </w:p>
    <w:p w14:paraId="0D5A5B9D">
      <w:pPr>
        <w:spacing w:line="360" w:lineRule="auto"/>
        <w:rPr>
          <w:rFonts w:ascii="宋体" w:hAnsi="宋体"/>
          <w:b/>
        </w:rPr>
      </w:pPr>
      <w:r>
        <w:rPr>
          <w:rFonts w:hint="eastAsia" w:ascii="宋体" w:hAnsi="宋体"/>
          <w:b/>
        </w:rPr>
        <w:t>5.2 开标程序</w:t>
      </w:r>
      <w:r>
        <w:rPr>
          <w:rFonts w:hint="eastAsia" w:ascii="宋体" w:hAnsi="宋体"/>
          <w:b/>
        </w:rPr>
        <w:tab/>
      </w:r>
    </w:p>
    <w:p w14:paraId="557F50E9">
      <w:pPr>
        <w:spacing w:line="360" w:lineRule="auto"/>
        <w:ind w:firstLine="420" w:firstLineChars="200"/>
        <w:rPr>
          <w:rFonts w:ascii="宋体" w:hAnsi="宋体"/>
          <w:bCs/>
        </w:rPr>
      </w:pPr>
      <w:r>
        <w:rPr>
          <w:rFonts w:hint="eastAsia" w:ascii="宋体" w:hAnsi="宋体"/>
          <w:bCs/>
        </w:rPr>
        <w:t>主持人按下列程序进行开标：</w:t>
      </w:r>
    </w:p>
    <w:p w14:paraId="791AA516">
      <w:pPr>
        <w:spacing w:line="360" w:lineRule="auto"/>
        <w:ind w:firstLine="420" w:firstLineChars="200"/>
        <w:rPr>
          <w:rFonts w:ascii="宋体" w:hAnsi="宋体"/>
          <w:bCs/>
        </w:rPr>
      </w:pPr>
      <w:r>
        <w:rPr>
          <w:rFonts w:hint="eastAsia" w:ascii="宋体" w:hAnsi="宋体"/>
          <w:bCs/>
        </w:rPr>
        <w:t>(1)宣布开标纪律；</w:t>
      </w:r>
    </w:p>
    <w:p w14:paraId="4C8EBC68">
      <w:pPr>
        <w:spacing w:line="360" w:lineRule="auto"/>
        <w:ind w:firstLine="420" w:firstLineChars="200"/>
        <w:rPr>
          <w:rFonts w:ascii="宋体" w:hAnsi="宋体"/>
          <w:bCs/>
        </w:rPr>
      </w:pPr>
      <w:r>
        <w:rPr>
          <w:rFonts w:hint="eastAsia" w:ascii="宋体" w:hAnsi="宋体"/>
          <w:bCs/>
        </w:rPr>
        <w:t xml:space="preserve">(2)宣布开标人、唱标人、记录人、行政监督等有关人员姓名； </w:t>
      </w:r>
    </w:p>
    <w:p w14:paraId="11A9F57C">
      <w:pPr>
        <w:spacing w:line="360" w:lineRule="auto"/>
        <w:ind w:firstLine="420" w:firstLineChars="200"/>
        <w:rPr>
          <w:rFonts w:ascii="宋体" w:hAnsi="宋体"/>
          <w:bCs/>
        </w:rPr>
      </w:pPr>
      <w:r>
        <w:rPr>
          <w:rFonts w:hint="eastAsia" w:ascii="宋体" w:hAnsi="宋体"/>
          <w:bCs/>
        </w:rPr>
        <w:t>(3)公共资源交易平台提取所有已成功上传的投标文件，由投标人对网上上传已加密的投标文件进行网上远程解密，解密完成后导入有效投标人的电子投标文件（格式为：*.BTBJ）。所有有效投标文件导入完成后进行唱标公布投标人名称、项目名称、、投标报价、质量目标、工期、投标保证金及其他内容，并记录在案。因投标人原因造成投标文件未解密的，视为撤销其投标文件；</w:t>
      </w:r>
    </w:p>
    <w:p w14:paraId="2CC50FC6">
      <w:pPr>
        <w:spacing w:line="360" w:lineRule="auto"/>
        <w:ind w:firstLine="420" w:firstLineChars="200"/>
        <w:rPr>
          <w:rFonts w:ascii="宋体" w:hAnsi="宋体"/>
          <w:bCs/>
        </w:rPr>
      </w:pPr>
      <w:r>
        <w:rPr>
          <w:rFonts w:hint="eastAsia" w:ascii="宋体" w:hAnsi="宋体"/>
          <w:bCs/>
        </w:rPr>
        <w:t>(4)招标人、纪律监察、投标人、行政监管人员、招标代理机构、交易中心有关人员在开标记录上进行电子签章确认；</w:t>
      </w:r>
    </w:p>
    <w:p w14:paraId="50C0D802">
      <w:pPr>
        <w:spacing w:line="360" w:lineRule="auto"/>
        <w:ind w:firstLine="420" w:firstLineChars="200"/>
        <w:rPr>
          <w:rFonts w:ascii="宋体" w:hAnsi="宋体"/>
          <w:bCs/>
        </w:rPr>
      </w:pPr>
      <w:r>
        <w:rPr>
          <w:rFonts w:hint="eastAsia" w:ascii="宋体" w:hAnsi="宋体"/>
          <w:bCs/>
        </w:rPr>
        <w:t>(5)开标结束。</w:t>
      </w:r>
    </w:p>
    <w:p w14:paraId="647FB8EF">
      <w:pPr>
        <w:spacing w:line="360" w:lineRule="auto"/>
        <w:rPr>
          <w:rFonts w:ascii="宋体" w:hAnsi="宋体"/>
          <w:b/>
        </w:rPr>
      </w:pPr>
      <w:r>
        <w:rPr>
          <w:rFonts w:hint="eastAsia" w:ascii="宋体" w:hAnsi="宋体"/>
          <w:b/>
        </w:rPr>
        <w:t>5.3 开标异议</w:t>
      </w:r>
      <w:r>
        <w:rPr>
          <w:rFonts w:hint="eastAsia" w:ascii="宋体" w:hAnsi="宋体"/>
          <w:b/>
        </w:rPr>
        <w:tab/>
      </w:r>
    </w:p>
    <w:p w14:paraId="2508F427">
      <w:pPr>
        <w:spacing w:line="360" w:lineRule="auto"/>
        <w:ind w:firstLine="420" w:firstLineChars="200"/>
        <w:rPr>
          <w:rFonts w:ascii="宋体" w:hAnsi="宋体"/>
        </w:rPr>
      </w:pPr>
      <w:r>
        <w:rPr>
          <w:rFonts w:hint="eastAsia" w:ascii="宋体" w:hAnsi="宋体"/>
          <w:bCs/>
        </w:rPr>
        <w:t>投标人对开标有异议的，应当在投标系统提交异议，招标方可在【查看开标异议】窗口进行查看并回复。</w:t>
      </w:r>
    </w:p>
    <w:p w14:paraId="41D641D8">
      <w:pPr>
        <w:pStyle w:val="6"/>
        <w:spacing w:before="156"/>
      </w:pPr>
      <w:bookmarkStart w:id="58" w:name="_Toc85443485"/>
      <w:bookmarkStart w:id="59" w:name="_Toc31011"/>
      <w:bookmarkStart w:id="60" w:name="_Toc184635076"/>
      <w:bookmarkStart w:id="61" w:name="_Toc449518384"/>
      <w:r>
        <w:rPr>
          <w:rFonts w:hint="eastAsia"/>
        </w:rPr>
        <w:t>6．评标</w:t>
      </w:r>
      <w:bookmarkEnd w:id="58"/>
      <w:bookmarkEnd w:id="59"/>
      <w:bookmarkEnd w:id="60"/>
      <w:bookmarkEnd w:id="61"/>
    </w:p>
    <w:p w14:paraId="0E77003D">
      <w:pPr>
        <w:pStyle w:val="7"/>
        <w:rPr>
          <w:rFonts w:hAnsi="宋体"/>
        </w:rPr>
      </w:pPr>
      <w:r>
        <w:rPr>
          <w:rFonts w:hint="eastAsia" w:hAnsi="宋体"/>
        </w:rPr>
        <w:t>6.1 评标委员会</w:t>
      </w:r>
    </w:p>
    <w:p w14:paraId="296F2756">
      <w:pPr>
        <w:spacing w:line="360" w:lineRule="auto"/>
        <w:ind w:firstLine="420" w:firstLineChars="200"/>
        <w:rPr>
          <w:rFonts w:ascii="宋体" w:hAnsi="宋体"/>
          <w:szCs w:val="21"/>
        </w:rPr>
      </w:pPr>
      <w:r>
        <w:rPr>
          <w:rFonts w:hint="eastAsia" w:ascii="宋体" w:hAnsi="宋体"/>
          <w:szCs w:val="21"/>
        </w:rPr>
        <w:t>6.1.1 评标由招标人依法组建的评标委员会负责。评标委员会由招标人委托的熟悉相关业务的代表，以及有关技术、经济等方面的专家组成。评标委员会成员人数以及技术、经济等方面专家的确定方式见投标人须知前附表。</w:t>
      </w:r>
    </w:p>
    <w:p w14:paraId="06ECB5C8">
      <w:pPr>
        <w:spacing w:line="360" w:lineRule="auto"/>
        <w:ind w:firstLine="420" w:firstLineChars="200"/>
        <w:rPr>
          <w:rFonts w:ascii="宋体" w:hAnsi="宋体"/>
          <w:szCs w:val="21"/>
        </w:rPr>
      </w:pPr>
      <w:r>
        <w:rPr>
          <w:rFonts w:hint="eastAsia" w:ascii="宋体" w:hAnsi="宋体"/>
          <w:szCs w:val="21"/>
        </w:rPr>
        <w:t>6.1.2 评标委员会成员有下列情形之一的，应当回避：</w:t>
      </w:r>
    </w:p>
    <w:p w14:paraId="2B330BC8">
      <w:pPr>
        <w:spacing w:line="360" w:lineRule="auto"/>
        <w:ind w:firstLine="420" w:firstLineChars="200"/>
        <w:rPr>
          <w:rFonts w:ascii="宋体" w:hAnsi="宋体"/>
          <w:szCs w:val="21"/>
        </w:rPr>
      </w:pPr>
      <w:r>
        <w:rPr>
          <w:rFonts w:hint="eastAsia" w:ascii="宋体" w:hAnsi="宋体"/>
          <w:szCs w:val="21"/>
        </w:rPr>
        <w:t>（1）投标人或投标人主要负责人的近亲属；</w:t>
      </w:r>
    </w:p>
    <w:p w14:paraId="619AB724">
      <w:pPr>
        <w:spacing w:line="360" w:lineRule="auto"/>
        <w:ind w:firstLine="420" w:firstLineChars="200"/>
        <w:rPr>
          <w:rFonts w:ascii="宋体" w:hAnsi="宋体"/>
          <w:szCs w:val="21"/>
        </w:rPr>
      </w:pPr>
      <w:r>
        <w:rPr>
          <w:rFonts w:hint="eastAsia" w:ascii="宋体" w:hAnsi="宋体"/>
          <w:szCs w:val="21"/>
        </w:rPr>
        <w:t>（2）项目主管部门或者行政监督部门的人员；</w:t>
      </w:r>
    </w:p>
    <w:p w14:paraId="14729238">
      <w:pPr>
        <w:spacing w:line="360" w:lineRule="auto"/>
        <w:ind w:firstLine="420" w:firstLineChars="200"/>
        <w:rPr>
          <w:rFonts w:ascii="宋体" w:hAnsi="宋体"/>
          <w:szCs w:val="21"/>
        </w:rPr>
      </w:pPr>
      <w:r>
        <w:rPr>
          <w:rFonts w:hint="eastAsia" w:ascii="宋体" w:hAnsi="宋体"/>
          <w:szCs w:val="21"/>
        </w:rPr>
        <w:t>（3）与投标人有经济利益关系，可能影响对投标公正评审的；</w:t>
      </w:r>
    </w:p>
    <w:p w14:paraId="6034A130">
      <w:pPr>
        <w:spacing w:line="360" w:lineRule="auto"/>
        <w:ind w:firstLine="420" w:firstLineChars="200"/>
        <w:rPr>
          <w:rFonts w:ascii="宋体" w:hAnsi="宋体"/>
          <w:szCs w:val="21"/>
        </w:rPr>
      </w:pPr>
      <w:r>
        <w:rPr>
          <w:rFonts w:hint="eastAsia" w:ascii="宋体" w:hAnsi="宋体"/>
          <w:szCs w:val="21"/>
        </w:rPr>
        <w:t>（4）曾因在招标、评标以及其他与招标投标有关活动中从事违法行为而受过行政处罚或刑事处罚的；</w:t>
      </w:r>
    </w:p>
    <w:p w14:paraId="36DB646F">
      <w:pPr>
        <w:spacing w:line="360" w:lineRule="auto"/>
        <w:ind w:firstLine="420" w:firstLineChars="200"/>
        <w:rPr>
          <w:rFonts w:ascii="宋体" w:hAnsi="宋体"/>
          <w:szCs w:val="21"/>
        </w:rPr>
      </w:pPr>
      <w:r>
        <w:rPr>
          <w:rFonts w:hint="eastAsia" w:ascii="宋体" w:hAnsi="宋体"/>
          <w:szCs w:val="21"/>
        </w:rPr>
        <w:t>（5）与投标人有其他利害关系。</w:t>
      </w:r>
    </w:p>
    <w:p w14:paraId="10C25DE7">
      <w:pPr>
        <w:pStyle w:val="7"/>
        <w:rPr>
          <w:rFonts w:hAnsi="宋体"/>
        </w:rPr>
      </w:pPr>
      <w:r>
        <w:rPr>
          <w:rFonts w:hint="eastAsia" w:hAnsi="宋体"/>
        </w:rPr>
        <w:t>6.2 评标原则</w:t>
      </w:r>
    </w:p>
    <w:p w14:paraId="099CD44B">
      <w:pPr>
        <w:spacing w:line="360" w:lineRule="auto"/>
        <w:ind w:firstLine="420" w:firstLineChars="200"/>
        <w:rPr>
          <w:rFonts w:ascii="宋体" w:hAnsi="宋体"/>
          <w:szCs w:val="21"/>
        </w:rPr>
      </w:pPr>
      <w:r>
        <w:rPr>
          <w:rFonts w:hint="eastAsia" w:ascii="宋体" w:hAnsi="宋体"/>
          <w:szCs w:val="21"/>
        </w:rPr>
        <w:t>评标活动遵循公平、公正、科学和择优的原则。</w:t>
      </w:r>
    </w:p>
    <w:p w14:paraId="70089BFB">
      <w:pPr>
        <w:pStyle w:val="7"/>
        <w:rPr>
          <w:rFonts w:hAnsi="宋体"/>
        </w:rPr>
      </w:pPr>
      <w:r>
        <w:rPr>
          <w:rFonts w:hint="eastAsia" w:hAnsi="宋体"/>
        </w:rPr>
        <w:t>6.3 评标</w:t>
      </w:r>
    </w:p>
    <w:p w14:paraId="75A2B198">
      <w:pPr>
        <w:spacing w:line="360" w:lineRule="auto"/>
        <w:ind w:firstLine="420" w:firstLineChars="200"/>
        <w:rPr>
          <w:rFonts w:ascii="宋体" w:hAnsi="宋体"/>
          <w:szCs w:val="21"/>
        </w:rPr>
      </w:pPr>
      <w:r>
        <w:rPr>
          <w:rFonts w:hint="eastAsia" w:ascii="宋体" w:hAnsi="宋体"/>
          <w:szCs w:val="21"/>
        </w:rPr>
        <w:t>评标委员会按照第三章“评标办法”规定的方法、评审因素、标准和程序对投标文件进行评审。第三章“评标办法”没有规定的方法、评审因素和标准，不作为评标依据。</w:t>
      </w:r>
    </w:p>
    <w:p w14:paraId="36119AC6">
      <w:pPr>
        <w:pStyle w:val="6"/>
        <w:spacing w:before="156"/>
      </w:pPr>
      <w:bookmarkStart w:id="62" w:name="_Toc184635077"/>
      <w:bookmarkStart w:id="63" w:name="_Toc24695"/>
      <w:bookmarkStart w:id="64" w:name="_Toc449518385"/>
      <w:bookmarkStart w:id="65" w:name="_Toc85443486"/>
      <w:r>
        <w:rPr>
          <w:rFonts w:hint="eastAsia"/>
        </w:rPr>
        <w:t>7．合同授予</w:t>
      </w:r>
      <w:bookmarkEnd w:id="62"/>
      <w:bookmarkEnd w:id="63"/>
      <w:bookmarkEnd w:id="64"/>
      <w:bookmarkEnd w:id="65"/>
    </w:p>
    <w:p w14:paraId="3DF693C7">
      <w:pPr>
        <w:pStyle w:val="7"/>
        <w:rPr>
          <w:rFonts w:hAnsi="宋体"/>
        </w:rPr>
      </w:pPr>
      <w:r>
        <w:rPr>
          <w:rFonts w:hint="eastAsia" w:hAnsi="宋体"/>
        </w:rPr>
        <w:t>7.1 定标方式</w:t>
      </w:r>
    </w:p>
    <w:p w14:paraId="0E113330">
      <w:pPr>
        <w:spacing w:line="360" w:lineRule="auto"/>
        <w:ind w:firstLine="420" w:firstLineChars="200"/>
        <w:rPr>
          <w:rFonts w:ascii="宋体" w:hAnsi="宋体"/>
          <w:szCs w:val="21"/>
        </w:rPr>
      </w:pPr>
      <w:r>
        <w:rPr>
          <w:rFonts w:hint="eastAsia" w:ascii="宋体" w:hAnsi="宋体"/>
          <w:szCs w:val="21"/>
        </w:rPr>
        <w:t>除投标人须知前附表规定评标委员会直接确定中标人外，招标人依据评标委员会推荐的中标候选人确定中标人，评标委员会推荐中标候选人的人数见投标人须知前附表。</w:t>
      </w:r>
    </w:p>
    <w:p w14:paraId="71D5DFC8">
      <w:pPr>
        <w:pStyle w:val="7"/>
        <w:rPr>
          <w:rFonts w:hAnsi="宋体"/>
        </w:rPr>
      </w:pPr>
      <w:r>
        <w:rPr>
          <w:rFonts w:hint="eastAsia" w:hAnsi="宋体"/>
        </w:rPr>
        <w:t>7.</w:t>
      </w:r>
      <w:r>
        <w:rPr>
          <w:rFonts w:hAnsi="宋体"/>
        </w:rPr>
        <w:t>2</w:t>
      </w:r>
      <w:r>
        <w:rPr>
          <w:rFonts w:hint="eastAsia" w:hAnsi="宋体"/>
        </w:rPr>
        <w:t>中标候选人公示</w:t>
      </w:r>
    </w:p>
    <w:p w14:paraId="514679E2">
      <w:pPr>
        <w:spacing w:line="360" w:lineRule="auto"/>
        <w:ind w:firstLine="420" w:firstLineChars="200"/>
        <w:rPr>
          <w:rFonts w:ascii="宋体" w:hAnsi="宋体"/>
          <w:szCs w:val="21"/>
        </w:rPr>
      </w:pPr>
      <w:r>
        <w:rPr>
          <w:rFonts w:hint="eastAsia" w:ascii="宋体" w:hAnsi="宋体"/>
          <w:szCs w:val="21"/>
        </w:rPr>
        <w:t>招标人在投标人须知前附表规定的媒介公示中标候选人。</w:t>
      </w:r>
    </w:p>
    <w:p w14:paraId="3B68779F">
      <w:pPr>
        <w:pStyle w:val="7"/>
        <w:rPr>
          <w:rFonts w:hAnsi="宋体"/>
        </w:rPr>
      </w:pPr>
      <w:r>
        <w:rPr>
          <w:rFonts w:hint="eastAsia" w:hAnsi="宋体"/>
        </w:rPr>
        <w:t>7.</w:t>
      </w:r>
      <w:r>
        <w:rPr>
          <w:rFonts w:hAnsi="宋体"/>
        </w:rPr>
        <w:t>3</w:t>
      </w:r>
      <w:r>
        <w:rPr>
          <w:rFonts w:hint="eastAsia" w:hAnsi="宋体"/>
        </w:rPr>
        <w:t xml:space="preserve"> 中标通知</w:t>
      </w:r>
    </w:p>
    <w:p w14:paraId="601072AF">
      <w:pPr>
        <w:spacing w:line="360" w:lineRule="auto"/>
        <w:ind w:firstLine="420" w:firstLineChars="200"/>
        <w:rPr>
          <w:rFonts w:ascii="宋体" w:hAnsi="宋体"/>
          <w:szCs w:val="21"/>
        </w:rPr>
      </w:pPr>
      <w:r>
        <w:rPr>
          <w:rFonts w:hint="eastAsia" w:ascii="宋体" w:hAnsi="宋体"/>
          <w:szCs w:val="21"/>
        </w:rPr>
        <w:t>在本章第3.3款规定的投标有效期内，招标人以书面形式向中标人发出中标通知书，同时将中标结果通知未中标的投标人。中标通知书按本章附表格式填写。</w:t>
      </w:r>
    </w:p>
    <w:p w14:paraId="39475D45">
      <w:pPr>
        <w:pStyle w:val="7"/>
        <w:rPr>
          <w:rFonts w:hAnsi="宋体"/>
        </w:rPr>
      </w:pPr>
      <w:r>
        <w:rPr>
          <w:rFonts w:hint="eastAsia" w:hAnsi="宋体"/>
        </w:rPr>
        <w:t>7.</w:t>
      </w:r>
      <w:r>
        <w:rPr>
          <w:rFonts w:hAnsi="宋体"/>
        </w:rPr>
        <w:t>5</w:t>
      </w:r>
      <w:r>
        <w:rPr>
          <w:rFonts w:hint="eastAsia" w:hAnsi="宋体"/>
        </w:rPr>
        <w:t xml:space="preserve"> 签订合同</w:t>
      </w:r>
    </w:p>
    <w:p w14:paraId="0807D196">
      <w:pPr>
        <w:spacing w:line="360" w:lineRule="auto"/>
        <w:ind w:firstLine="420" w:firstLineChars="200"/>
        <w:rPr>
          <w:rFonts w:ascii="宋体" w:hAnsi="宋体"/>
          <w:szCs w:val="21"/>
        </w:rPr>
      </w:pPr>
      <w:r>
        <w:rPr>
          <w:rFonts w:hint="eastAsia" w:ascii="宋体" w:hAnsi="宋体"/>
          <w:szCs w:val="21"/>
        </w:rPr>
        <w:t xml:space="preserve">7.5.1 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 </w:t>
      </w:r>
    </w:p>
    <w:p w14:paraId="37598F37">
      <w:pPr>
        <w:spacing w:line="360" w:lineRule="auto"/>
        <w:ind w:firstLine="420" w:firstLineChars="200"/>
        <w:rPr>
          <w:rFonts w:ascii="宋体" w:hAnsi="宋体"/>
          <w:szCs w:val="21"/>
        </w:rPr>
      </w:pPr>
      <w:r>
        <w:rPr>
          <w:rFonts w:hint="eastAsia" w:ascii="宋体" w:hAnsi="宋体"/>
          <w:szCs w:val="21"/>
        </w:rPr>
        <w:t>7.5.2 发出中标通知书后，招标人无正当理由拒签合同的，招标人向中标人退还投标保证金；给中标人造成损失的，还应当赔偿损失。</w:t>
      </w:r>
    </w:p>
    <w:p w14:paraId="40F7DD91">
      <w:pPr>
        <w:pStyle w:val="6"/>
        <w:spacing w:before="156"/>
      </w:pPr>
      <w:bookmarkStart w:id="66" w:name="_Toc85443487"/>
      <w:bookmarkStart w:id="67" w:name="_Toc184635079"/>
      <w:bookmarkStart w:id="68" w:name="_Toc27969"/>
      <w:bookmarkStart w:id="69" w:name="_Toc449518387"/>
      <w:r>
        <w:t>8</w:t>
      </w:r>
      <w:r>
        <w:rPr>
          <w:rFonts w:hint="eastAsia"/>
        </w:rPr>
        <w:t>．纪律和监督</w:t>
      </w:r>
      <w:bookmarkEnd w:id="66"/>
      <w:bookmarkEnd w:id="67"/>
      <w:bookmarkEnd w:id="68"/>
      <w:bookmarkEnd w:id="69"/>
    </w:p>
    <w:p w14:paraId="3D7219EE">
      <w:pPr>
        <w:pStyle w:val="7"/>
        <w:rPr>
          <w:rFonts w:hAnsi="宋体"/>
        </w:rPr>
      </w:pPr>
      <w:r>
        <w:rPr>
          <w:rFonts w:hAnsi="宋体"/>
        </w:rPr>
        <w:t>8</w:t>
      </w:r>
      <w:r>
        <w:rPr>
          <w:rFonts w:hint="eastAsia" w:hAnsi="宋体"/>
        </w:rPr>
        <w:t>.1 对招标人的纪律要求</w:t>
      </w:r>
    </w:p>
    <w:p w14:paraId="0B7419F4">
      <w:pPr>
        <w:spacing w:line="360" w:lineRule="auto"/>
        <w:ind w:firstLine="420" w:firstLineChars="200"/>
        <w:rPr>
          <w:rFonts w:ascii="宋体" w:hAnsi="宋体"/>
          <w:szCs w:val="21"/>
        </w:rPr>
      </w:pPr>
      <w:r>
        <w:rPr>
          <w:rFonts w:hint="eastAsia" w:ascii="宋体" w:hAnsi="宋体"/>
          <w:szCs w:val="21"/>
        </w:rPr>
        <w:t>招标人不得泄漏招标投标活动中应当保密的情况和资料，不得与投标人串通损害国家利益、社会公共利益或者他人合法权益。</w:t>
      </w:r>
    </w:p>
    <w:p w14:paraId="3C02D5B8">
      <w:pPr>
        <w:pStyle w:val="7"/>
        <w:rPr>
          <w:rFonts w:hAnsi="宋体"/>
        </w:rPr>
      </w:pPr>
      <w:r>
        <w:rPr>
          <w:rFonts w:hAnsi="宋体"/>
        </w:rPr>
        <w:t>8</w:t>
      </w:r>
      <w:r>
        <w:rPr>
          <w:rFonts w:hint="eastAsia" w:hAnsi="宋体"/>
        </w:rPr>
        <w:t>.2 对投标人的纪律要求</w:t>
      </w:r>
    </w:p>
    <w:p w14:paraId="7D44CC49">
      <w:pPr>
        <w:spacing w:line="360" w:lineRule="auto"/>
        <w:ind w:firstLine="420" w:firstLineChars="200"/>
        <w:rPr>
          <w:rFonts w:ascii="宋体" w:hAnsi="宋体"/>
          <w:szCs w:val="21"/>
        </w:rPr>
      </w:pPr>
      <w:r>
        <w:rPr>
          <w:rFonts w:hint="eastAsia" w:ascii="宋体" w:hAnsi="宋体"/>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008E3D79">
      <w:pPr>
        <w:pStyle w:val="7"/>
        <w:rPr>
          <w:rFonts w:hAnsi="宋体"/>
        </w:rPr>
      </w:pPr>
      <w:r>
        <w:rPr>
          <w:rFonts w:hAnsi="宋体"/>
        </w:rPr>
        <w:t>8</w:t>
      </w:r>
      <w:r>
        <w:rPr>
          <w:rFonts w:hint="eastAsia" w:hAnsi="宋体"/>
        </w:rPr>
        <w:t>.3 对评标委员会成员的纪律要求</w:t>
      </w:r>
    </w:p>
    <w:p w14:paraId="257CE036">
      <w:pPr>
        <w:spacing w:line="360" w:lineRule="auto"/>
        <w:ind w:firstLine="420" w:firstLineChars="200"/>
        <w:rPr>
          <w:rFonts w:ascii="宋体" w:hAnsi="宋体"/>
          <w:szCs w:val="21"/>
        </w:rPr>
      </w:pPr>
      <w:r>
        <w:rPr>
          <w:rFonts w:hint="eastAsia" w:ascii="宋体" w:hAnsi="宋体"/>
          <w:szCs w:val="21"/>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50299B7B">
      <w:pPr>
        <w:pStyle w:val="7"/>
        <w:rPr>
          <w:rFonts w:hAnsi="宋体"/>
        </w:rPr>
      </w:pPr>
      <w:r>
        <w:rPr>
          <w:rFonts w:hAnsi="宋体"/>
        </w:rPr>
        <w:t>8</w:t>
      </w:r>
      <w:r>
        <w:rPr>
          <w:rFonts w:hint="eastAsia" w:hAnsi="宋体"/>
        </w:rPr>
        <w:t>.4 对与评标活动有关的工作人员的纪律要求</w:t>
      </w:r>
    </w:p>
    <w:p w14:paraId="39E25477">
      <w:pPr>
        <w:spacing w:line="360" w:lineRule="auto"/>
        <w:ind w:firstLine="420" w:firstLineChars="200"/>
        <w:rPr>
          <w:rFonts w:ascii="宋体" w:hAnsi="宋体"/>
          <w:szCs w:val="21"/>
        </w:rPr>
      </w:pPr>
      <w:r>
        <w:rPr>
          <w:rFonts w:hint="eastAsia" w:ascii="宋体" w:hAnsi="宋体"/>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7DAD1A70">
      <w:pPr>
        <w:pStyle w:val="7"/>
        <w:rPr>
          <w:rFonts w:hint="eastAsia" w:hAnsi="宋体"/>
        </w:rPr>
      </w:pPr>
      <w:bookmarkStart w:id="70" w:name="_Toc449518388"/>
      <w:bookmarkStart w:id="71" w:name="_Toc184635080"/>
      <w:r>
        <w:rPr>
          <w:rFonts w:hint="eastAsia" w:hAnsi="宋体"/>
          <w:lang w:val="en-US" w:eastAsia="zh-CN"/>
        </w:rPr>
        <w:t>8</w:t>
      </w:r>
      <w:r>
        <w:rPr>
          <w:rFonts w:hint="eastAsia" w:hAnsi="宋体"/>
        </w:rPr>
        <w:t>.5异议和投诉</w:t>
      </w:r>
    </w:p>
    <w:p w14:paraId="55F36300">
      <w:pPr>
        <w:spacing w:line="360" w:lineRule="auto"/>
        <w:ind w:firstLine="420" w:firstLineChars="200"/>
        <w:rPr>
          <w:rFonts w:ascii="宋体" w:hAnsi="宋体"/>
          <w:bCs/>
        </w:rPr>
      </w:pPr>
      <w:r>
        <w:rPr>
          <w:rFonts w:hint="eastAsia" w:ascii="宋体" w:hAnsi="宋体"/>
          <w:bCs/>
          <w:lang w:val="en-US" w:eastAsia="zh-CN"/>
        </w:rPr>
        <w:t>8</w:t>
      </w:r>
      <w:r>
        <w:rPr>
          <w:rFonts w:hint="eastAsia" w:ascii="宋体" w:hAnsi="宋体"/>
          <w:bCs/>
        </w:rPr>
        <w:t>.5.1异议</w:t>
      </w:r>
    </w:p>
    <w:p w14:paraId="4F5371DA">
      <w:pPr>
        <w:spacing w:line="360" w:lineRule="auto"/>
        <w:ind w:firstLine="420" w:firstLineChars="200"/>
        <w:rPr>
          <w:rFonts w:ascii="宋体" w:hAnsi="宋体"/>
          <w:bCs/>
        </w:rPr>
      </w:pPr>
      <w:r>
        <w:rPr>
          <w:rFonts w:hint="eastAsia" w:ascii="宋体" w:hAnsi="宋体"/>
          <w:bCs/>
          <w:lang w:val="en-US" w:eastAsia="zh-CN"/>
        </w:rPr>
        <w:t>8</w:t>
      </w:r>
      <w:r>
        <w:rPr>
          <w:rFonts w:hint="eastAsia" w:ascii="宋体" w:hAnsi="宋体"/>
          <w:bCs/>
        </w:rPr>
        <w:t>.5.1.1潜在投标人或者其他利害关系人对招标文件有异议的，应当在投标截止时间10日前提出。招标人应当自收到异议之日起3日内作出答复；作出答复前，应当暂停招标投标活动。</w:t>
      </w:r>
    </w:p>
    <w:p w14:paraId="000C2B9E">
      <w:pPr>
        <w:spacing w:line="360" w:lineRule="auto"/>
        <w:ind w:firstLine="420" w:firstLineChars="200"/>
        <w:rPr>
          <w:rFonts w:ascii="宋体" w:hAnsi="宋体"/>
          <w:bCs/>
        </w:rPr>
      </w:pPr>
      <w:r>
        <w:rPr>
          <w:rFonts w:hint="eastAsia" w:ascii="宋体" w:hAnsi="宋体"/>
          <w:bCs/>
          <w:lang w:val="en-US" w:eastAsia="zh-CN"/>
        </w:rPr>
        <w:t>8</w:t>
      </w:r>
      <w:r>
        <w:rPr>
          <w:rFonts w:hint="eastAsia" w:ascii="宋体" w:hAnsi="宋体"/>
          <w:bCs/>
        </w:rPr>
        <w:t>.5.1.2投标人对开标有异议的，应当在投标系统提交异议，招标方可在【查看开标异议】窗口进行查看并回复。</w:t>
      </w:r>
    </w:p>
    <w:p w14:paraId="65F031A0">
      <w:pPr>
        <w:spacing w:line="360" w:lineRule="auto"/>
        <w:ind w:firstLine="420" w:firstLineChars="200"/>
        <w:rPr>
          <w:rFonts w:ascii="宋体" w:hAnsi="宋体"/>
          <w:bCs/>
        </w:rPr>
      </w:pPr>
      <w:r>
        <w:rPr>
          <w:rFonts w:hint="eastAsia" w:ascii="宋体" w:hAnsi="宋体"/>
          <w:bCs/>
          <w:lang w:val="en-US" w:eastAsia="zh-CN"/>
        </w:rPr>
        <w:t>8</w:t>
      </w:r>
      <w:r>
        <w:rPr>
          <w:rFonts w:hint="eastAsia" w:ascii="宋体" w:hAnsi="宋体"/>
          <w:bCs/>
        </w:rPr>
        <w:t>.5.1.3投标人或者其他利害关系人对依法必须进行招标的项目的评标结果有异议的，应当在中标候选人公示期间提出。招标人应当自收到异议之日起3日内作出答复；作出答复前，应当暂停招标投标活动。</w:t>
      </w:r>
    </w:p>
    <w:p w14:paraId="69AF0A08">
      <w:pPr>
        <w:spacing w:line="360" w:lineRule="auto"/>
        <w:ind w:firstLine="420" w:firstLineChars="200"/>
        <w:rPr>
          <w:rFonts w:ascii="宋体" w:hAnsi="宋体"/>
          <w:bCs/>
        </w:rPr>
      </w:pPr>
      <w:r>
        <w:rPr>
          <w:rFonts w:hint="eastAsia" w:ascii="宋体" w:hAnsi="宋体"/>
          <w:bCs/>
          <w:lang w:val="en-US" w:eastAsia="zh-CN"/>
        </w:rPr>
        <w:t>8</w:t>
      </w:r>
      <w:r>
        <w:rPr>
          <w:rFonts w:hint="eastAsia" w:ascii="宋体" w:hAnsi="宋体"/>
          <w:bCs/>
        </w:rPr>
        <w:t>.5.2投诉</w:t>
      </w:r>
    </w:p>
    <w:p w14:paraId="2961268A">
      <w:pPr>
        <w:spacing w:line="360" w:lineRule="auto"/>
        <w:ind w:firstLine="420" w:firstLineChars="200"/>
        <w:rPr>
          <w:rFonts w:ascii="宋体" w:hAnsi="宋体"/>
          <w:bCs/>
        </w:rPr>
      </w:pPr>
      <w:r>
        <w:rPr>
          <w:rFonts w:hint="eastAsia" w:ascii="宋体" w:hAnsi="宋体"/>
          <w:bCs/>
          <w:lang w:val="en-US" w:eastAsia="zh-CN"/>
        </w:rPr>
        <w:t>8</w:t>
      </w:r>
      <w:r>
        <w:rPr>
          <w:rFonts w:hint="eastAsia" w:ascii="宋体" w:hAnsi="宋体"/>
          <w:bCs/>
        </w:rPr>
        <w:t>.5.2.1投标人或者其他利害关系人认为招标投标活动不符合法律、行政法规规定的，应当在知道或者应当知道其权益受到侵害之日起十日内向有关行政监督部门提出书面投诉，其他利害关系人是指投标人以外的，与招标项目或者招标活动有直接和间接利益关系的法人、其他组织和个人。</w:t>
      </w:r>
    </w:p>
    <w:p w14:paraId="0ABA118A">
      <w:pPr>
        <w:spacing w:line="360" w:lineRule="auto"/>
        <w:ind w:firstLine="420" w:firstLineChars="200"/>
        <w:rPr>
          <w:rFonts w:ascii="宋体" w:hAnsi="宋体"/>
          <w:bCs/>
        </w:rPr>
      </w:pPr>
      <w:r>
        <w:rPr>
          <w:rFonts w:hint="eastAsia" w:ascii="宋体" w:hAnsi="宋体"/>
          <w:bCs/>
          <w:lang w:val="en-US" w:eastAsia="zh-CN"/>
        </w:rPr>
        <w:t>8</w:t>
      </w:r>
      <w:r>
        <w:rPr>
          <w:rFonts w:hint="eastAsia" w:ascii="宋体" w:hAnsi="宋体"/>
          <w:bCs/>
        </w:rPr>
        <w:t>.5.2.2就本章</w:t>
      </w:r>
      <w:r>
        <w:rPr>
          <w:rFonts w:hint="eastAsia" w:ascii="宋体" w:hAnsi="宋体"/>
          <w:bCs/>
          <w:lang w:val="en-US" w:eastAsia="zh-CN"/>
        </w:rPr>
        <w:t>8</w:t>
      </w:r>
      <w:r>
        <w:rPr>
          <w:rFonts w:hint="eastAsia" w:ascii="宋体" w:hAnsi="宋体"/>
          <w:bCs/>
        </w:rPr>
        <w:t>.5.1条规定事项投诉的，应当先向招标人提出异议，异议答复期间不计算在前款规定的期限内。</w:t>
      </w:r>
    </w:p>
    <w:p w14:paraId="0DF8568E">
      <w:pPr>
        <w:spacing w:line="360" w:lineRule="auto"/>
        <w:ind w:firstLine="420" w:firstLineChars="200"/>
        <w:rPr>
          <w:rFonts w:ascii="宋体" w:hAnsi="宋体"/>
          <w:bCs/>
        </w:rPr>
      </w:pPr>
      <w:r>
        <w:rPr>
          <w:rFonts w:hint="eastAsia" w:ascii="宋体" w:hAnsi="宋体"/>
          <w:bCs/>
          <w:lang w:val="en-US" w:eastAsia="zh-CN"/>
        </w:rPr>
        <w:t>8</w:t>
      </w:r>
      <w:r>
        <w:rPr>
          <w:rFonts w:hint="eastAsia" w:ascii="宋体" w:hAnsi="宋体"/>
          <w:bCs/>
        </w:rPr>
        <w:t>.5.2.3投诉人投诉时，应当提交投诉书。投诉书应当包括下列内容：</w:t>
      </w:r>
    </w:p>
    <w:p w14:paraId="36C6B0A2">
      <w:pPr>
        <w:spacing w:line="360" w:lineRule="auto"/>
        <w:ind w:firstLine="420" w:firstLineChars="200"/>
        <w:rPr>
          <w:rFonts w:ascii="宋体" w:hAnsi="宋体"/>
          <w:bCs/>
        </w:rPr>
      </w:pPr>
      <w:r>
        <w:rPr>
          <w:rFonts w:hint="eastAsia" w:ascii="宋体" w:hAnsi="宋体"/>
          <w:bCs/>
        </w:rPr>
        <w:t>（一）投诉人的名称、地址及有效联系方式；</w:t>
      </w:r>
    </w:p>
    <w:p w14:paraId="45FE4AF6">
      <w:pPr>
        <w:spacing w:line="360" w:lineRule="auto"/>
        <w:ind w:firstLine="420" w:firstLineChars="200"/>
        <w:rPr>
          <w:rFonts w:ascii="宋体" w:hAnsi="宋体"/>
          <w:bCs/>
        </w:rPr>
      </w:pPr>
      <w:r>
        <w:rPr>
          <w:rFonts w:hint="eastAsia" w:ascii="宋体" w:hAnsi="宋体"/>
          <w:bCs/>
        </w:rPr>
        <w:t>（二）被投诉人的名称、地址及有效联系方式；</w:t>
      </w:r>
    </w:p>
    <w:p w14:paraId="69F7D017">
      <w:pPr>
        <w:spacing w:line="360" w:lineRule="auto"/>
        <w:ind w:firstLine="420" w:firstLineChars="200"/>
        <w:rPr>
          <w:rFonts w:ascii="宋体" w:hAnsi="宋体"/>
          <w:bCs/>
        </w:rPr>
      </w:pPr>
      <w:r>
        <w:rPr>
          <w:rFonts w:hint="eastAsia" w:ascii="宋体" w:hAnsi="宋体"/>
          <w:bCs/>
        </w:rPr>
        <w:t>（三）投诉事项的基本事实；</w:t>
      </w:r>
    </w:p>
    <w:p w14:paraId="6AFF7F85">
      <w:pPr>
        <w:spacing w:line="360" w:lineRule="auto"/>
        <w:ind w:firstLine="420" w:firstLineChars="200"/>
        <w:rPr>
          <w:rFonts w:ascii="宋体" w:hAnsi="宋体"/>
          <w:bCs/>
        </w:rPr>
      </w:pPr>
      <w:r>
        <w:rPr>
          <w:rFonts w:hint="eastAsia" w:ascii="宋体" w:hAnsi="宋体"/>
          <w:bCs/>
        </w:rPr>
        <w:t>（四）相关请求及主张；</w:t>
      </w:r>
    </w:p>
    <w:p w14:paraId="20A7A97A">
      <w:pPr>
        <w:spacing w:line="360" w:lineRule="auto"/>
        <w:ind w:firstLine="420" w:firstLineChars="200"/>
        <w:rPr>
          <w:rFonts w:ascii="宋体" w:hAnsi="宋体"/>
          <w:bCs/>
        </w:rPr>
      </w:pPr>
      <w:r>
        <w:rPr>
          <w:rFonts w:hint="eastAsia" w:ascii="宋体" w:hAnsi="宋体"/>
          <w:bCs/>
        </w:rPr>
        <w:t>（五）有效线索和相关证明材料。</w:t>
      </w:r>
    </w:p>
    <w:p w14:paraId="05DC8B3B">
      <w:pPr>
        <w:spacing w:line="360" w:lineRule="auto"/>
        <w:ind w:firstLine="420" w:firstLineChars="200"/>
        <w:rPr>
          <w:rFonts w:ascii="宋体" w:hAnsi="宋体"/>
          <w:bCs/>
        </w:rPr>
      </w:pPr>
      <w:r>
        <w:rPr>
          <w:rFonts w:hint="eastAsia" w:ascii="宋体" w:hAnsi="宋体"/>
          <w:bCs/>
        </w:rPr>
        <w:t>投诉人是法人的，投诉书必须由其法定代表人或者授权代表签字并盖章；其他组织或者个人投诉的，投诉书必须由其主要负责人或者投诉人本人签字，并附有效身份证明复印件。投诉书有关材料是外文的，投诉人应当同时提供其中文译本。</w:t>
      </w:r>
    </w:p>
    <w:p w14:paraId="39F80683">
      <w:pPr>
        <w:spacing w:line="360" w:lineRule="auto"/>
        <w:ind w:firstLine="420" w:firstLineChars="200"/>
        <w:rPr>
          <w:rFonts w:ascii="宋体" w:hAnsi="宋体"/>
          <w:bCs/>
        </w:rPr>
      </w:pPr>
      <w:r>
        <w:rPr>
          <w:rFonts w:hint="eastAsia" w:ascii="宋体" w:hAnsi="宋体"/>
          <w:bCs/>
          <w:lang w:val="en-US" w:eastAsia="zh-CN"/>
        </w:rPr>
        <w:t>8</w:t>
      </w:r>
      <w:r>
        <w:rPr>
          <w:rFonts w:hint="eastAsia" w:ascii="宋体" w:hAnsi="宋体"/>
          <w:bCs/>
        </w:rPr>
        <w:t>.5.2.4投诉人不得以投诉为名排挤竞争对手，不得进行虚假、恶意投诉，阻碍招标投标活动的正常进行。</w:t>
      </w:r>
    </w:p>
    <w:p w14:paraId="0B25A72D">
      <w:pPr>
        <w:spacing w:line="360" w:lineRule="auto"/>
        <w:ind w:firstLine="420" w:firstLineChars="200"/>
        <w:rPr>
          <w:rFonts w:ascii="宋体" w:hAnsi="宋体"/>
          <w:bCs/>
        </w:rPr>
      </w:pPr>
      <w:r>
        <w:rPr>
          <w:rFonts w:hint="eastAsia" w:ascii="宋体" w:hAnsi="宋体"/>
          <w:bCs/>
          <w:lang w:val="en-US" w:eastAsia="zh-CN"/>
        </w:rPr>
        <w:t>8</w:t>
      </w:r>
      <w:r>
        <w:rPr>
          <w:rFonts w:hint="eastAsia" w:ascii="宋体" w:hAnsi="宋体"/>
          <w:bCs/>
        </w:rPr>
        <w:t>.5.2.5投诉人可以直接投诉，也可以委托代理人办理投诉事务。代理人办理投诉事务时，应将授权委托书连同投诉书一并提交给行政监督部门。授权委托书应当明确有关委托代理权限和事项。</w:t>
      </w:r>
    </w:p>
    <w:p w14:paraId="64402732">
      <w:pPr>
        <w:spacing w:line="360" w:lineRule="auto"/>
        <w:ind w:firstLine="420" w:firstLineChars="200"/>
        <w:rPr>
          <w:rFonts w:ascii="宋体" w:hAnsi="宋体"/>
          <w:bCs/>
        </w:rPr>
      </w:pPr>
      <w:r>
        <w:rPr>
          <w:rFonts w:hint="eastAsia" w:ascii="宋体" w:hAnsi="宋体"/>
          <w:bCs/>
          <w:lang w:val="en-US" w:eastAsia="zh-CN"/>
        </w:rPr>
        <w:t>8</w:t>
      </w:r>
      <w:r>
        <w:rPr>
          <w:rFonts w:hint="eastAsia" w:ascii="宋体" w:hAnsi="宋体"/>
          <w:bCs/>
        </w:rPr>
        <w:t>.5.2.6有下列情形之一的投诉，不予受理；</w:t>
      </w:r>
    </w:p>
    <w:p w14:paraId="4D33DBFD">
      <w:pPr>
        <w:spacing w:line="360" w:lineRule="auto"/>
        <w:ind w:firstLine="420" w:firstLineChars="200"/>
        <w:rPr>
          <w:rFonts w:ascii="宋体" w:hAnsi="宋体"/>
          <w:bCs/>
        </w:rPr>
      </w:pPr>
      <w:r>
        <w:rPr>
          <w:rFonts w:hint="eastAsia" w:ascii="宋体" w:hAnsi="宋体"/>
          <w:bCs/>
        </w:rPr>
        <w:t>（一）投诉人不是所投诉招标投标活动的参与者，或者与投诉项目无任何利害关系；</w:t>
      </w:r>
    </w:p>
    <w:p w14:paraId="249CF087">
      <w:pPr>
        <w:spacing w:line="360" w:lineRule="auto"/>
        <w:ind w:firstLine="420" w:firstLineChars="200"/>
        <w:rPr>
          <w:rFonts w:ascii="宋体" w:hAnsi="宋体"/>
          <w:bCs/>
        </w:rPr>
      </w:pPr>
      <w:r>
        <w:rPr>
          <w:rFonts w:hint="eastAsia" w:ascii="宋体" w:hAnsi="宋体"/>
          <w:bCs/>
        </w:rPr>
        <w:t>（二）投诉事项不具体，且未提供有效线索，难以查证的；</w:t>
      </w:r>
    </w:p>
    <w:p w14:paraId="5EE5DBB7">
      <w:pPr>
        <w:spacing w:line="360" w:lineRule="auto"/>
        <w:ind w:firstLine="420" w:firstLineChars="200"/>
        <w:rPr>
          <w:rFonts w:ascii="宋体" w:hAnsi="宋体"/>
          <w:bCs/>
        </w:rPr>
      </w:pPr>
      <w:r>
        <w:rPr>
          <w:rFonts w:hint="eastAsia" w:ascii="宋体" w:hAnsi="宋体"/>
          <w:bCs/>
        </w:rPr>
        <w:t>（三）投诉书未署具投诉人真实姓名、签字和有效联系方式的；以法人名义投诉的，投诉书未经法定代表人签字并加盖公章的；</w:t>
      </w:r>
    </w:p>
    <w:p w14:paraId="648CDDA9">
      <w:pPr>
        <w:spacing w:line="360" w:lineRule="auto"/>
        <w:ind w:firstLine="420" w:firstLineChars="200"/>
        <w:rPr>
          <w:rFonts w:ascii="宋体" w:hAnsi="宋体"/>
          <w:bCs/>
        </w:rPr>
      </w:pPr>
      <w:r>
        <w:rPr>
          <w:rFonts w:hint="eastAsia" w:ascii="宋体" w:hAnsi="宋体"/>
          <w:bCs/>
        </w:rPr>
        <w:t>（四）超过投诉时效的；</w:t>
      </w:r>
    </w:p>
    <w:p w14:paraId="416C9C32">
      <w:pPr>
        <w:spacing w:line="360" w:lineRule="auto"/>
        <w:ind w:firstLine="420" w:firstLineChars="200"/>
        <w:rPr>
          <w:rFonts w:ascii="宋体" w:hAnsi="宋体"/>
          <w:bCs/>
        </w:rPr>
      </w:pPr>
      <w:r>
        <w:rPr>
          <w:rFonts w:hint="eastAsia" w:ascii="宋体" w:hAnsi="宋体"/>
          <w:bCs/>
        </w:rPr>
        <w:t>（五）已经作出处理决定，并且投诉人没有提出新的证据；</w:t>
      </w:r>
    </w:p>
    <w:p w14:paraId="60D44B91">
      <w:pPr>
        <w:spacing w:line="360" w:lineRule="auto"/>
        <w:ind w:firstLine="420" w:firstLineChars="200"/>
        <w:rPr>
          <w:rFonts w:ascii="宋体" w:hAnsi="宋体"/>
          <w:bCs/>
        </w:rPr>
      </w:pPr>
      <w:r>
        <w:rPr>
          <w:rFonts w:hint="eastAsia" w:ascii="宋体" w:hAnsi="宋体"/>
          <w:bCs/>
        </w:rPr>
        <w:t>（六）投诉事项已进入行政复议或者行政诉讼程序的。</w:t>
      </w:r>
    </w:p>
    <w:p w14:paraId="613D6B12">
      <w:pPr>
        <w:spacing w:line="360" w:lineRule="auto"/>
        <w:ind w:firstLine="420" w:firstLineChars="200"/>
        <w:rPr>
          <w:rFonts w:ascii="宋体" w:hAnsi="宋体"/>
          <w:bCs/>
        </w:rPr>
      </w:pPr>
      <w:r>
        <w:rPr>
          <w:rFonts w:hint="eastAsia" w:ascii="宋体" w:hAnsi="宋体"/>
          <w:bCs/>
          <w:lang w:val="en-US" w:eastAsia="zh-CN"/>
        </w:rPr>
        <w:t>8</w:t>
      </w:r>
      <w:r>
        <w:rPr>
          <w:rFonts w:hint="eastAsia" w:ascii="宋体" w:hAnsi="宋体"/>
          <w:bCs/>
        </w:rPr>
        <w:t>.5.2.7未尽事宜，按国家现行有关法律法规、七部委11号令《工程建设项目招标投标活动投诉处理办法》和《云南省招标投标活动投诉处理办法》的规定执行。</w:t>
      </w:r>
    </w:p>
    <w:p w14:paraId="65CC19BB">
      <w:pPr>
        <w:pStyle w:val="6"/>
        <w:spacing w:before="156"/>
      </w:pPr>
      <w:bookmarkStart w:id="72" w:name="_Toc85443488"/>
      <w:bookmarkStart w:id="73" w:name="_Toc7107"/>
      <w:r>
        <w:t>9</w:t>
      </w:r>
      <w:r>
        <w:rPr>
          <w:rFonts w:hint="eastAsia"/>
        </w:rPr>
        <w:t>．需要补充的其他内容</w:t>
      </w:r>
      <w:bookmarkEnd w:id="70"/>
      <w:bookmarkEnd w:id="71"/>
      <w:bookmarkEnd w:id="72"/>
      <w:bookmarkEnd w:id="73"/>
    </w:p>
    <w:p w14:paraId="55FAF980">
      <w:pPr>
        <w:spacing w:line="360" w:lineRule="auto"/>
        <w:ind w:firstLine="420" w:firstLineChars="200"/>
        <w:rPr>
          <w:rFonts w:ascii="宋体" w:hAnsi="宋体"/>
          <w:bCs/>
        </w:rPr>
      </w:pPr>
      <w:r>
        <w:rPr>
          <w:rFonts w:hint="eastAsia" w:ascii="宋体" w:hAnsi="宋体"/>
          <w:bCs/>
        </w:rPr>
        <w:t>9.1需要补充的其他内容：见投标人须知前附表。</w:t>
      </w:r>
    </w:p>
    <w:p w14:paraId="01537E8F">
      <w:pPr>
        <w:spacing w:line="360" w:lineRule="auto"/>
        <w:ind w:firstLine="420" w:firstLineChars="200"/>
        <w:rPr>
          <w:rFonts w:ascii="宋体" w:hAnsi="宋体"/>
          <w:bCs/>
        </w:rPr>
      </w:pPr>
      <w:r>
        <w:rPr>
          <w:rFonts w:hint="eastAsia" w:ascii="宋体" w:hAnsi="宋体"/>
          <w:bCs/>
        </w:rPr>
        <w:t xml:space="preserve">9.2自下载招标文件之日起，投标人应保证其提供的联系方式（电话、传真、电子邮件）一直有效，以便及时收到招标人发出的函件(招标文件的澄清、修改等)，并应及时向招标人反馈信息，否则招标人不承担由此引起的一切后果。 </w:t>
      </w:r>
    </w:p>
    <w:p w14:paraId="52825140">
      <w:pPr>
        <w:spacing w:line="360" w:lineRule="auto"/>
        <w:ind w:firstLine="420" w:firstLineChars="200"/>
        <w:rPr>
          <w:rFonts w:ascii="宋体" w:hAnsi="宋体"/>
          <w:bCs/>
        </w:rPr>
      </w:pPr>
      <w:r>
        <w:rPr>
          <w:rFonts w:hint="eastAsia" w:ascii="宋体" w:hAnsi="宋体"/>
          <w:bCs/>
        </w:rPr>
        <w:t>9.3投标人提交的投标文件因签章、签字遮盖投标文件内容而影响投标的，责任由投标人承担。参加投标的投标人，须在投标函中说明愿意接受本招标文件所有条款，未说明的做否决投标处理。</w:t>
      </w:r>
    </w:p>
    <w:p w14:paraId="6FA8FF87">
      <w:pPr>
        <w:spacing w:line="480" w:lineRule="exact"/>
        <w:ind w:firstLine="480" w:firstLineChars="200"/>
        <w:rPr>
          <w:rFonts w:ascii="宋体" w:hAnsi="宋体"/>
          <w:sz w:val="24"/>
        </w:rPr>
      </w:pPr>
    </w:p>
    <w:p w14:paraId="0D276D7C"/>
    <w:p w14:paraId="5C772DF8">
      <w:pPr>
        <w:spacing w:line="480" w:lineRule="exact"/>
        <w:ind w:firstLine="480" w:firstLineChars="200"/>
        <w:rPr>
          <w:rFonts w:ascii="宋体" w:hAnsi="宋体"/>
          <w:sz w:val="24"/>
        </w:rPr>
      </w:pPr>
    </w:p>
    <w:p w14:paraId="17FB6DE2"/>
    <w:p w14:paraId="46DA6A97">
      <w:pPr>
        <w:adjustRightInd w:val="0"/>
        <w:snapToGrid w:val="0"/>
        <w:spacing w:line="360" w:lineRule="auto"/>
        <w:ind w:firstLine="271" w:firstLineChars="100"/>
        <w:rPr>
          <w:rFonts w:ascii="宋体" w:hAnsi="宋体" w:cs="宋体"/>
          <w:b/>
          <w:bCs/>
          <w:sz w:val="27"/>
          <w:szCs w:val="27"/>
        </w:rPr>
      </w:pPr>
      <w:bookmarkStart w:id="74" w:name="_Toc501956897"/>
      <w:r>
        <w:rPr>
          <w:rFonts w:hint="eastAsia" w:ascii="宋体" w:hAnsi="宋体" w:cs="宋体"/>
          <w:b/>
          <w:bCs/>
          <w:sz w:val="27"/>
          <w:szCs w:val="27"/>
        </w:rPr>
        <w:t>附件：</w:t>
      </w:r>
      <w:bookmarkEnd w:id="74"/>
      <w:r>
        <w:rPr>
          <w:rFonts w:hint="eastAsia" w:ascii="宋体" w:hAnsi="宋体" w:cs="宋体"/>
          <w:b/>
          <w:bCs/>
          <w:sz w:val="27"/>
          <w:szCs w:val="27"/>
        </w:rPr>
        <w:t>电子投标文件上传要求</w:t>
      </w:r>
    </w:p>
    <w:p w14:paraId="4AC73091">
      <w:pPr>
        <w:adjustRightInd w:val="0"/>
        <w:snapToGrid w:val="0"/>
        <w:spacing w:line="360" w:lineRule="auto"/>
        <w:ind w:firstLine="210" w:firstLineChars="100"/>
        <w:rPr>
          <w:rFonts w:hint="eastAsia" w:ascii="宋体" w:hAnsi="宋体"/>
          <w:kern w:val="0"/>
          <w:szCs w:val="21"/>
        </w:rPr>
      </w:pPr>
      <w:r>
        <w:rPr>
          <w:rFonts w:hint="eastAsia" w:ascii="宋体" w:hAnsi="宋体"/>
          <w:kern w:val="0"/>
          <w:szCs w:val="21"/>
        </w:rPr>
        <w:t>网上上传投标文件：投标人根据拟要投标的项目，按照网上投标系统要求上传全部投标文件，投标文件上传后须自行检查投标文件的完整性并进行确认签名后，方完成全部投标文件网上上传操作。投标截止时间前未完成投标文件传输的，视为撤回投标文件。</w:t>
      </w:r>
      <w:bookmarkStart w:id="75" w:name="_Toc310437980"/>
      <w:bookmarkStart w:id="76" w:name="_Toc31245"/>
    </w:p>
    <w:p w14:paraId="2484588E">
      <w:pPr>
        <w:rPr>
          <w:rFonts w:hint="eastAsia"/>
          <w:lang w:val="en-US" w:eastAsia="zh-CN"/>
        </w:rPr>
      </w:pPr>
      <w:r>
        <w:rPr>
          <w:rFonts w:hint="eastAsia"/>
          <w:lang w:val="en-US" w:eastAsia="zh-CN"/>
        </w:rPr>
        <w:br w:type="page"/>
      </w:r>
    </w:p>
    <w:p w14:paraId="22F3428A">
      <w:pPr>
        <w:rPr>
          <w:rFonts w:hint="eastAsia"/>
          <w:lang w:val="en-US" w:eastAsia="zh-CN"/>
        </w:rPr>
      </w:pPr>
    </w:p>
    <w:p w14:paraId="13E3F655">
      <w:pPr>
        <w:rPr>
          <w:rFonts w:hint="eastAsia"/>
          <w:lang w:val="en-US" w:eastAsia="zh-CN"/>
        </w:rPr>
      </w:pPr>
    </w:p>
    <w:p w14:paraId="398C1F8D">
      <w:pPr>
        <w:pStyle w:val="4"/>
        <w:spacing w:before="312" w:after="312"/>
        <w:jc w:val="center"/>
        <w:rPr>
          <w:rFonts w:hAnsi="宋体"/>
          <w:bCs w:val="0"/>
          <w:sz w:val="48"/>
        </w:rPr>
      </w:pPr>
      <w:r>
        <w:rPr>
          <w:rFonts w:hint="eastAsia" w:hAnsi="宋体"/>
          <w:bCs w:val="0"/>
          <w:sz w:val="48"/>
        </w:rPr>
        <w:t>第三章 评标办法</w:t>
      </w:r>
      <w:bookmarkEnd w:id="75"/>
      <w:r>
        <w:rPr>
          <w:rFonts w:hint="eastAsia" w:hAnsi="宋体"/>
          <w:bCs w:val="0"/>
          <w:sz w:val="48"/>
        </w:rPr>
        <w:t>（综合评估法）</w:t>
      </w:r>
      <w:bookmarkEnd w:id="76"/>
    </w:p>
    <w:p w14:paraId="73EFAA3B">
      <w:pPr>
        <w:ind w:firstLine="3213" w:firstLineChars="800"/>
        <w:rPr>
          <w:rFonts w:ascii="宋体" w:hAnsi="宋体"/>
          <w:b/>
          <w:sz w:val="40"/>
          <w:szCs w:val="21"/>
        </w:rPr>
      </w:pPr>
      <w:bookmarkStart w:id="77" w:name="_Toc304808710"/>
      <w:bookmarkStart w:id="78" w:name="_Toc304811307"/>
      <w:r>
        <w:rPr>
          <w:rFonts w:hint="eastAsia" w:ascii="宋体" w:hAnsi="宋体"/>
          <w:b/>
          <w:sz w:val="40"/>
          <w:szCs w:val="21"/>
        </w:rPr>
        <w:t>评标办法前附表</w:t>
      </w:r>
      <w:bookmarkEnd w:id="77"/>
      <w:bookmarkEnd w:id="78"/>
    </w:p>
    <w:tbl>
      <w:tblPr>
        <w:tblStyle w:val="73"/>
        <w:tblW w:w="932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53"/>
        <w:gridCol w:w="141"/>
        <w:gridCol w:w="550"/>
        <w:gridCol w:w="43"/>
        <w:gridCol w:w="594"/>
        <w:gridCol w:w="1365"/>
        <w:gridCol w:w="5850"/>
        <w:gridCol w:w="26"/>
      </w:tblGrid>
      <w:tr w14:paraId="645B1D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487" w:type="dxa"/>
            <w:gridSpan w:val="4"/>
            <w:vAlign w:val="center"/>
          </w:tcPr>
          <w:p w14:paraId="295A50CD">
            <w:pPr>
              <w:jc w:val="center"/>
              <w:rPr>
                <w:rFonts w:ascii="宋体" w:hAnsi="宋体"/>
                <w:szCs w:val="21"/>
              </w:rPr>
            </w:pPr>
            <w:r>
              <w:rPr>
                <w:rFonts w:ascii="宋体" w:hAnsi="宋体"/>
                <w:szCs w:val="21"/>
              </w:rPr>
              <w:t>条款号</w:t>
            </w:r>
          </w:p>
        </w:tc>
        <w:tc>
          <w:tcPr>
            <w:tcW w:w="1959" w:type="dxa"/>
            <w:gridSpan w:val="2"/>
            <w:vAlign w:val="center"/>
          </w:tcPr>
          <w:p w14:paraId="50AC0368">
            <w:pPr>
              <w:jc w:val="center"/>
              <w:rPr>
                <w:rFonts w:ascii="宋体" w:hAnsi="宋体"/>
                <w:szCs w:val="21"/>
              </w:rPr>
            </w:pPr>
            <w:r>
              <w:rPr>
                <w:rFonts w:ascii="宋体" w:hAnsi="宋体"/>
                <w:szCs w:val="21"/>
              </w:rPr>
              <w:t>评审因素</w:t>
            </w:r>
          </w:p>
        </w:tc>
        <w:tc>
          <w:tcPr>
            <w:tcW w:w="5876" w:type="dxa"/>
            <w:gridSpan w:val="2"/>
            <w:vAlign w:val="center"/>
          </w:tcPr>
          <w:p w14:paraId="4CA1D60C">
            <w:pPr>
              <w:jc w:val="center"/>
              <w:rPr>
                <w:rFonts w:ascii="宋体" w:hAnsi="宋体"/>
                <w:szCs w:val="21"/>
              </w:rPr>
            </w:pPr>
            <w:r>
              <w:rPr>
                <w:rFonts w:ascii="宋体" w:hAnsi="宋体"/>
                <w:szCs w:val="21"/>
              </w:rPr>
              <w:t>评审标准</w:t>
            </w:r>
          </w:p>
        </w:tc>
      </w:tr>
      <w:tr w14:paraId="2DD00F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33" w:hRule="atLeast"/>
          <w:jc w:val="center"/>
        </w:trPr>
        <w:tc>
          <w:tcPr>
            <w:tcW w:w="894" w:type="dxa"/>
            <w:gridSpan w:val="2"/>
            <w:vMerge w:val="restart"/>
            <w:vAlign w:val="center"/>
          </w:tcPr>
          <w:p w14:paraId="342BDDDC">
            <w:pPr>
              <w:jc w:val="center"/>
              <w:rPr>
                <w:rFonts w:ascii="宋体" w:hAnsi="宋体"/>
                <w:szCs w:val="21"/>
              </w:rPr>
            </w:pPr>
            <w:r>
              <w:rPr>
                <w:rFonts w:ascii="宋体" w:hAnsi="宋体"/>
                <w:szCs w:val="21"/>
              </w:rPr>
              <w:t>1.1</w:t>
            </w:r>
          </w:p>
        </w:tc>
        <w:tc>
          <w:tcPr>
            <w:tcW w:w="593" w:type="dxa"/>
            <w:gridSpan w:val="2"/>
            <w:vMerge w:val="restart"/>
            <w:vAlign w:val="center"/>
          </w:tcPr>
          <w:p w14:paraId="445830E3">
            <w:pPr>
              <w:autoSpaceDE w:val="0"/>
              <w:autoSpaceDN w:val="0"/>
              <w:jc w:val="center"/>
              <w:rPr>
                <w:rFonts w:ascii="宋体" w:hAnsi="宋体"/>
                <w:szCs w:val="21"/>
              </w:rPr>
            </w:pPr>
            <w:r>
              <w:rPr>
                <w:rFonts w:ascii="宋体" w:hAnsi="宋体"/>
                <w:szCs w:val="21"/>
              </w:rPr>
              <w:t>形式评审标准</w:t>
            </w:r>
          </w:p>
        </w:tc>
        <w:tc>
          <w:tcPr>
            <w:tcW w:w="1959" w:type="dxa"/>
            <w:gridSpan w:val="2"/>
            <w:vAlign w:val="center"/>
          </w:tcPr>
          <w:p w14:paraId="72D15BCA">
            <w:pPr>
              <w:autoSpaceDE w:val="0"/>
              <w:autoSpaceDN w:val="0"/>
              <w:rPr>
                <w:rFonts w:ascii="宋体" w:hAnsi="宋体"/>
                <w:szCs w:val="21"/>
              </w:rPr>
            </w:pPr>
            <w:r>
              <w:rPr>
                <w:rFonts w:ascii="宋体" w:hAnsi="宋体"/>
                <w:szCs w:val="21"/>
              </w:rPr>
              <w:t>投标人名称</w:t>
            </w:r>
          </w:p>
        </w:tc>
        <w:tc>
          <w:tcPr>
            <w:tcW w:w="5876" w:type="dxa"/>
            <w:gridSpan w:val="2"/>
            <w:vAlign w:val="center"/>
          </w:tcPr>
          <w:p w14:paraId="5F34D380">
            <w:pPr>
              <w:autoSpaceDE w:val="0"/>
              <w:autoSpaceDN w:val="0"/>
              <w:rPr>
                <w:rFonts w:ascii="宋体" w:hAnsi="宋体"/>
              </w:rPr>
            </w:pPr>
            <w:r>
              <w:rPr>
                <w:rFonts w:ascii="宋体" w:hAnsi="宋体"/>
              </w:rPr>
              <w:t>与营业执照、资质证书一致</w:t>
            </w:r>
          </w:p>
        </w:tc>
      </w:tr>
      <w:tr w14:paraId="237330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7" w:hRule="atLeast"/>
          <w:jc w:val="center"/>
        </w:trPr>
        <w:tc>
          <w:tcPr>
            <w:tcW w:w="894" w:type="dxa"/>
            <w:gridSpan w:val="2"/>
            <w:vMerge w:val="continue"/>
            <w:vAlign w:val="center"/>
          </w:tcPr>
          <w:p w14:paraId="2D9834A5">
            <w:pPr>
              <w:jc w:val="center"/>
              <w:rPr>
                <w:rFonts w:ascii="宋体" w:hAnsi="宋体"/>
                <w:szCs w:val="21"/>
              </w:rPr>
            </w:pPr>
          </w:p>
        </w:tc>
        <w:tc>
          <w:tcPr>
            <w:tcW w:w="593" w:type="dxa"/>
            <w:gridSpan w:val="2"/>
            <w:vMerge w:val="continue"/>
            <w:vAlign w:val="center"/>
          </w:tcPr>
          <w:p w14:paraId="5F611128">
            <w:pPr>
              <w:jc w:val="center"/>
              <w:rPr>
                <w:rFonts w:ascii="宋体" w:hAnsi="宋体"/>
                <w:szCs w:val="21"/>
              </w:rPr>
            </w:pPr>
          </w:p>
        </w:tc>
        <w:tc>
          <w:tcPr>
            <w:tcW w:w="1959" w:type="dxa"/>
            <w:gridSpan w:val="2"/>
            <w:vAlign w:val="center"/>
          </w:tcPr>
          <w:p w14:paraId="3907C0F0">
            <w:pPr>
              <w:rPr>
                <w:rFonts w:ascii="宋体" w:hAnsi="宋体"/>
                <w:szCs w:val="21"/>
              </w:rPr>
            </w:pPr>
            <w:r>
              <w:rPr>
                <w:rFonts w:ascii="宋体" w:hAnsi="宋体"/>
                <w:szCs w:val="21"/>
              </w:rPr>
              <w:t>签字盖章</w:t>
            </w:r>
          </w:p>
        </w:tc>
        <w:tc>
          <w:tcPr>
            <w:tcW w:w="5876" w:type="dxa"/>
            <w:gridSpan w:val="2"/>
            <w:vAlign w:val="center"/>
          </w:tcPr>
          <w:p w14:paraId="31E5BD58">
            <w:pPr>
              <w:rPr>
                <w:rFonts w:ascii="宋体" w:hAnsi="宋体"/>
              </w:rPr>
            </w:pPr>
            <w:r>
              <w:rPr>
                <w:rFonts w:ascii="宋体" w:hAnsi="宋体"/>
              </w:rPr>
              <w:t>有法定代表人或其委托代理人签字</w:t>
            </w:r>
            <w:r>
              <w:rPr>
                <w:rFonts w:hint="eastAsia" w:ascii="宋体" w:hAnsi="宋体"/>
              </w:rPr>
              <w:t>且</w:t>
            </w:r>
            <w:r>
              <w:rPr>
                <w:rFonts w:hint="eastAsia" w:ascii="宋体" w:hAnsi="宋体"/>
                <w:lang w:val="en-US" w:eastAsia="zh-CN"/>
              </w:rPr>
              <w:t>或</w:t>
            </w:r>
            <w:r>
              <w:rPr>
                <w:rFonts w:hint="eastAsia" w:ascii="宋体" w:hAnsi="宋体"/>
              </w:rPr>
              <w:t>电子签章</w:t>
            </w:r>
          </w:p>
        </w:tc>
      </w:tr>
      <w:tr w14:paraId="2B1F77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75" w:hRule="atLeast"/>
          <w:jc w:val="center"/>
        </w:trPr>
        <w:tc>
          <w:tcPr>
            <w:tcW w:w="894" w:type="dxa"/>
            <w:gridSpan w:val="2"/>
            <w:vMerge w:val="continue"/>
            <w:tcBorders>
              <w:bottom w:val="single" w:color="auto" w:sz="4" w:space="0"/>
            </w:tcBorders>
            <w:vAlign w:val="center"/>
          </w:tcPr>
          <w:p w14:paraId="008817D9">
            <w:pPr>
              <w:jc w:val="center"/>
              <w:rPr>
                <w:rFonts w:ascii="宋体" w:hAnsi="宋体"/>
                <w:szCs w:val="21"/>
              </w:rPr>
            </w:pPr>
          </w:p>
        </w:tc>
        <w:tc>
          <w:tcPr>
            <w:tcW w:w="593" w:type="dxa"/>
            <w:gridSpan w:val="2"/>
            <w:vMerge w:val="continue"/>
            <w:tcBorders>
              <w:bottom w:val="single" w:color="auto" w:sz="4" w:space="0"/>
            </w:tcBorders>
            <w:vAlign w:val="center"/>
          </w:tcPr>
          <w:p w14:paraId="61DEAC6E">
            <w:pPr>
              <w:jc w:val="center"/>
              <w:rPr>
                <w:rFonts w:ascii="宋体" w:hAnsi="宋体"/>
                <w:szCs w:val="21"/>
              </w:rPr>
            </w:pPr>
          </w:p>
        </w:tc>
        <w:tc>
          <w:tcPr>
            <w:tcW w:w="1959" w:type="dxa"/>
            <w:gridSpan w:val="2"/>
            <w:vAlign w:val="center"/>
          </w:tcPr>
          <w:p w14:paraId="2A5F3DFE">
            <w:pPr>
              <w:rPr>
                <w:rFonts w:ascii="宋体" w:hAnsi="宋体"/>
                <w:szCs w:val="21"/>
              </w:rPr>
            </w:pPr>
            <w:r>
              <w:rPr>
                <w:rFonts w:ascii="宋体" w:hAnsi="宋体"/>
                <w:szCs w:val="21"/>
              </w:rPr>
              <w:t>报价唯一</w:t>
            </w:r>
          </w:p>
        </w:tc>
        <w:tc>
          <w:tcPr>
            <w:tcW w:w="5876" w:type="dxa"/>
            <w:gridSpan w:val="2"/>
            <w:vAlign w:val="center"/>
          </w:tcPr>
          <w:p w14:paraId="57408052">
            <w:pPr>
              <w:rPr>
                <w:rFonts w:ascii="宋体" w:hAnsi="宋体"/>
              </w:rPr>
            </w:pPr>
            <w:r>
              <w:rPr>
                <w:rFonts w:ascii="宋体" w:hAnsi="宋体"/>
              </w:rPr>
              <w:t>只能有一个有效报价</w:t>
            </w:r>
          </w:p>
        </w:tc>
      </w:tr>
      <w:tr w14:paraId="4F0638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68" w:hRule="atLeast"/>
          <w:jc w:val="center"/>
        </w:trPr>
        <w:tc>
          <w:tcPr>
            <w:tcW w:w="894" w:type="dxa"/>
            <w:gridSpan w:val="2"/>
            <w:vMerge w:val="restart"/>
            <w:tcBorders>
              <w:top w:val="single" w:color="auto" w:sz="4" w:space="0"/>
            </w:tcBorders>
            <w:vAlign w:val="center"/>
          </w:tcPr>
          <w:p w14:paraId="63BD4D87">
            <w:pPr>
              <w:jc w:val="center"/>
              <w:rPr>
                <w:rFonts w:ascii="宋体" w:hAnsi="宋体"/>
                <w:szCs w:val="21"/>
              </w:rPr>
            </w:pPr>
            <w:r>
              <w:rPr>
                <w:rFonts w:ascii="宋体" w:hAnsi="宋体"/>
                <w:szCs w:val="21"/>
              </w:rPr>
              <w:t>1.2</w:t>
            </w:r>
          </w:p>
        </w:tc>
        <w:tc>
          <w:tcPr>
            <w:tcW w:w="593" w:type="dxa"/>
            <w:gridSpan w:val="2"/>
            <w:vMerge w:val="restart"/>
            <w:tcBorders>
              <w:top w:val="single" w:color="auto" w:sz="4" w:space="0"/>
            </w:tcBorders>
            <w:vAlign w:val="center"/>
          </w:tcPr>
          <w:p w14:paraId="41C96C74">
            <w:pPr>
              <w:autoSpaceDE w:val="0"/>
              <w:autoSpaceDN w:val="0"/>
              <w:jc w:val="center"/>
              <w:rPr>
                <w:rFonts w:ascii="宋体" w:hAnsi="宋体"/>
                <w:szCs w:val="21"/>
              </w:rPr>
            </w:pPr>
            <w:r>
              <w:rPr>
                <w:rFonts w:ascii="宋体" w:hAnsi="宋体"/>
                <w:szCs w:val="21"/>
              </w:rPr>
              <w:t>资格评审标准</w:t>
            </w:r>
          </w:p>
        </w:tc>
        <w:tc>
          <w:tcPr>
            <w:tcW w:w="1959" w:type="dxa"/>
            <w:gridSpan w:val="2"/>
            <w:vAlign w:val="center"/>
          </w:tcPr>
          <w:p w14:paraId="369D834B">
            <w:pPr>
              <w:rPr>
                <w:rFonts w:ascii="宋体" w:hAnsi="宋体"/>
                <w:szCs w:val="21"/>
              </w:rPr>
            </w:pPr>
            <w:r>
              <w:rPr>
                <w:rFonts w:ascii="宋体" w:hAnsi="宋体"/>
                <w:szCs w:val="21"/>
              </w:rPr>
              <w:t>营业执照</w:t>
            </w:r>
          </w:p>
        </w:tc>
        <w:tc>
          <w:tcPr>
            <w:tcW w:w="5876" w:type="dxa"/>
            <w:gridSpan w:val="2"/>
            <w:vAlign w:val="center"/>
          </w:tcPr>
          <w:p w14:paraId="7587C4D8">
            <w:pPr>
              <w:rPr>
                <w:rFonts w:ascii="宋体" w:hAnsi="宋体"/>
              </w:rPr>
            </w:pPr>
            <w:r>
              <w:rPr>
                <w:rFonts w:ascii="宋体" w:hAnsi="宋体"/>
              </w:rPr>
              <w:t>具备有效的营业执照</w:t>
            </w:r>
          </w:p>
        </w:tc>
      </w:tr>
      <w:tr w14:paraId="785361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06" w:hRule="atLeast"/>
          <w:jc w:val="center"/>
        </w:trPr>
        <w:tc>
          <w:tcPr>
            <w:tcW w:w="894" w:type="dxa"/>
            <w:gridSpan w:val="2"/>
            <w:vMerge w:val="continue"/>
            <w:vAlign w:val="center"/>
          </w:tcPr>
          <w:p w14:paraId="728026D4">
            <w:pPr>
              <w:jc w:val="center"/>
              <w:rPr>
                <w:rFonts w:ascii="宋体" w:hAnsi="宋体"/>
                <w:szCs w:val="21"/>
              </w:rPr>
            </w:pPr>
          </w:p>
        </w:tc>
        <w:tc>
          <w:tcPr>
            <w:tcW w:w="593" w:type="dxa"/>
            <w:gridSpan w:val="2"/>
            <w:vMerge w:val="continue"/>
            <w:vAlign w:val="center"/>
          </w:tcPr>
          <w:p w14:paraId="332B798C">
            <w:pPr>
              <w:autoSpaceDE w:val="0"/>
              <w:autoSpaceDN w:val="0"/>
              <w:jc w:val="center"/>
              <w:rPr>
                <w:rFonts w:ascii="宋体" w:hAnsi="宋体"/>
                <w:szCs w:val="21"/>
              </w:rPr>
            </w:pPr>
          </w:p>
        </w:tc>
        <w:tc>
          <w:tcPr>
            <w:tcW w:w="1959" w:type="dxa"/>
            <w:gridSpan w:val="2"/>
            <w:vAlign w:val="center"/>
          </w:tcPr>
          <w:p w14:paraId="651D0041">
            <w:pPr>
              <w:rPr>
                <w:rFonts w:ascii="宋体" w:hAnsi="宋体"/>
                <w:szCs w:val="21"/>
              </w:rPr>
            </w:pPr>
            <w:r>
              <w:rPr>
                <w:rFonts w:ascii="宋体" w:hAnsi="宋体"/>
                <w:szCs w:val="21"/>
              </w:rPr>
              <w:t>安全生产许可证</w:t>
            </w:r>
          </w:p>
        </w:tc>
        <w:tc>
          <w:tcPr>
            <w:tcW w:w="5876" w:type="dxa"/>
            <w:gridSpan w:val="2"/>
            <w:vAlign w:val="center"/>
          </w:tcPr>
          <w:p w14:paraId="1FE317BC">
            <w:pPr>
              <w:rPr>
                <w:rFonts w:ascii="宋体" w:hAnsi="宋体"/>
                <w:szCs w:val="21"/>
              </w:rPr>
            </w:pPr>
            <w:r>
              <w:rPr>
                <w:rFonts w:ascii="宋体" w:hAnsi="宋体"/>
                <w:szCs w:val="21"/>
              </w:rPr>
              <w:t>具备有效的安全生产许可证</w:t>
            </w:r>
          </w:p>
        </w:tc>
      </w:tr>
      <w:tr w14:paraId="7359FC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46" w:hRule="atLeast"/>
          <w:jc w:val="center"/>
        </w:trPr>
        <w:tc>
          <w:tcPr>
            <w:tcW w:w="894" w:type="dxa"/>
            <w:gridSpan w:val="2"/>
            <w:vMerge w:val="continue"/>
            <w:vAlign w:val="center"/>
          </w:tcPr>
          <w:p w14:paraId="7FC794D2">
            <w:pPr>
              <w:jc w:val="center"/>
              <w:rPr>
                <w:rFonts w:ascii="宋体" w:hAnsi="宋体"/>
                <w:szCs w:val="21"/>
              </w:rPr>
            </w:pPr>
          </w:p>
        </w:tc>
        <w:tc>
          <w:tcPr>
            <w:tcW w:w="593" w:type="dxa"/>
            <w:gridSpan w:val="2"/>
            <w:vMerge w:val="continue"/>
            <w:vAlign w:val="center"/>
          </w:tcPr>
          <w:p w14:paraId="2F87A618">
            <w:pPr>
              <w:jc w:val="center"/>
              <w:rPr>
                <w:rFonts w:ascii="宋体" w:hAnsi="宋体"/>
                <w:szCs w:val="21"/>
              </w:rPr>
            </w:pPr>
          </w:p>
        </w:tc>
        <w:tc>
          <w:tcPr>
            <w:tcW w:w="1959" w:type="dxa"/>
            <w:gridSpan w:val="2"/>
            <w:vAlign w:val="center"/>
          </w:tcPr>
          <w:p w14:paraId="1E702187">
            <w:pPr>
              <w:rPr>
                <w:rFonts w:ascii="宋体" w:hAnsi="宋体"/>
                <w:szCs w:val="21"/>
              </w:rPr>
            </w:pPr>
            <w:r>
              <w:rPr>
                <w:rFonts w:ascii="宋体" w:hAnsi="宋体"/>
                <w:szCs w:val="21"/>
              </w:rPr>
              <w:t>项目</w:t>
            </w:r>
            <w:r>
              <w:rPr>
                <w:rFonts w:hint="eastAsia" w:ascii="宋体" w:hAnsi="宋体"/>
                <w:szCs w:val="21"/>
              </w:rPr>
              <w:t>团队人员</w:t>
            </w:r>
          </w:p>
        </w:tc>
        <w:tc>
          <w:tcPr>
            <w:tcW w:w="5876" w:type="dxa"/>
            <w:gridSpan w:val="2"/>
            <w:vAlign w:val="center"/>
          </w:tcPr>
          <w:p w14:paraId="3F8633DF">
            <w:pPr>
              <w:rPr>
                <w:rFonts w:hint="default" w:ascii="宋体" w:hAnsi="宋体" w:eastAsia="宋体"/>
                <w:lang w:val="en-US" w:eastAsia="zh-CN"/>
              </w:rPr>
            </w:pPr>
            <w:r>
              <w:rPr>
                <w:rFonts w:hint="eastAsia" w:ascii="宋体" w:hAnsi="宋体"/>
                <w:lang w:val="en-US" w:eastAsia="zh-CN"/>
              </w:rPr>
              <w:t>满足招标文件的要求</w:t>
            </w:r>
          </w:p>
        </w:tc>
      </w:tr>
      <w:tr w14:paraId="0A2AB8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83" w:hRule="atLeast"/>
          <w:jc w:val="center"/>
        </w:trPr>
        <w:tc>
          <w:tcPr>
            <w:tcW w:w="894" w:type="dxa"/>
            <w:gridSpan w:val="2"/>
            <w:vMerge w:val="continue"/>
            <w:vAlign w:val="center"/>
          </w:tcPr>
          <w:p w14:paraId="32E2EF55">
            <w:pPr>
              <w:jc w:val="center"/>
              <w:rPr>
                <w:rFonts w:ascii="宋体" w:hAnsi="宋体"/>
                <w:szCs w:val="21"/>
              </w:rPr>
            </w:pPr>
          </w:p>
        </w:tc>
        <w:tc>
          <w:tcPr>
            <w:tcW w:w="593" w:type="dxa"/>
            <w:gridSpan w:val="2"/>
            <w:vMerge w:val="continue"/>
            <w:vAlign w:val="center"/>
          </w:tcPr>
          <w:p w14:paraId="1887B7CA">
            <w:pPr>
              <w:jc w:val="center"/>
              <w:rPr>
                <w:rFonts w:ascii="宋体" w:hAnsi="宋体"/>
                <w:szCs w:val="21"/>
              </w:rPr>
            </w:pPr>
          </w:p>
        </w:tc>
        <w:tc>
          <w:tcPr>
            <w:tcW w:w="1959" w:type="dxa"/>
            <w:gridSpan w:val="2"/>
            <w:vAlign w:val="center"/>
          </w:tcPr>
          <w:p w14:paraId="14243850">
            <w:pPr>
              <w:rPr>
                <w:rFonts w:ascii="宋体" w:hAnsi="宋体"/>
                <w:szCs w:val="21"/>
              </w:rPr>
            </w:pPr>
            <w:r>
              <w:rPr>
                <w:rFonts w:ascii="宋体" w:hAnsi="宋体"/>
                <w:szCs w:val="21"/>
              </w:rPr>
              <w:t>资质等级</w:t>
            </w:r>
          </w:p>
        </w:tc>
        <w:tc>
          <w:tcPr>
            <w:tcW w:w="5876" w:type="dxa"/>
            <w:gridSpan w:val="2"/>
            <w:vAlign w:val="center"/>
          </w:tcPr>
          <w:p w14:paraId="011B302C">
            <w:pPr>
              <w:rPr>
                <w:rFonts w:ascii="宋体" w:hAnsi="宋体"/>
                <w:szCs w:val="21"/>
              </w:rPr>
            </w:pPr>
            <w:r>
              <w:rPr>
                <w:rFonts w:ascii="宋体" w:hAnsi="宋体"/>
                <w:szCs w:val="21"/>
              </w:rPr>
              <w:t>符合第二章“投标人须知”规定</w:t>
            </w:r>
          </w:p>
        </w:tc>
      </w:tr>
      <w:tr w14:paraId="338487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83" w:hRule="atLeast"/>
          <w:jc w:val="center"/>
        </w:trPr>
        <w:tc>
          <w:tcPr>
            <w:tcW w:w="894" w:type="dxa"/>
            <w:gridSpan w:val="2"/>
            <w:vMerge w:val="continue"/>
            <w:vAlign w:val="center"/>
          </w:tcPr>
          <w:p w14:paraId="5F31257D">
            <w:pPr>
              <w:jc w:val="center"/>
              <w:rPr>
                <w:rFonts w:ascii="宋体" w:hAnsi="宋体"/>
                <w:szCs w:val="21"/>
              </w:rPr>
            </w:pPr>
          </w:p>
        </w:tc>
        <w:tc>
          <w:tcPr>
            <w:tcW w:w="593" w:type="dxa"/>
            <w:gridSpan w:val="2"/>
            <w:vMerge w:val="continue"/>
            <w:vAlign w:val="center"/>
          </w:tcPr>
          <w:p w14:paraId="5F034594">
            <w:pPr>
              <w:jc w:val="center"/>
              <w:rPr>
                <w:rFonts w:ascii="宋体" w:hAnsi="宋体"/>
                <w:szCs w:val="21"/>
              </w:rPr>
            </w:pPr>
          </w:p>
        </w:tc>
        <w:tc>
          <w:tcPr>
            <w:tcW w:w="1959" w:type="dxa"/>
            <w:gridSpan w:val="2"/>
            <w:vAlign w:val="center"/>
          </w:tcPr>
          <w:p w14:paraId="1B17E5AE">
            <w:pPr>
              <w:rPr>
                <w:rFonts w:ascii="宋体" w:hAnsi="宋体"/>
                <w:szCs w:val="21"/>
              </w:rPr>
            </w:pPr>
            <w:r>
              <w:rPr>
                <w:rFonts w:hint="eastAsia" w:ascii="宋体" w:hAnsi="宋体"/>
                <w:szCs w:val="21"/>
              </w:rPr>
              <w:t>财务状况</w:t>
            </w:r>
          </w:p>
        </w:tc>
        <w:tc>
          <w:tcPr>
            <w:tcW w:w="5876" w:type="dxa"/>
            <w:gridSpan w:val="2"/>
            <w:vAlign w:val="center"/>
          </w:tcPr>
          <w:p w14:paraId="621F0241">
            <w:pPr>
              <w:rPr>
                <w:rFonts w:ascii="宋体" w:hAnsi="宋体"/>
                <w:szCs w:val="21"/>
              </w:rPr>
            </w:pPr>
            <w:r>
              <w:rPr>
                <w:rFonts w:ascii="宋体" w:hAnsi="宋体"/>
                <w:szCs w:val="21"/>
              </w:rPr>
              <w:t>符合第二章“投标人须知”规定</w:t>
            </w:r>
          </w:p>
        </w:tc>
      </w:tr>
      <w:tr w14:paraId="6C5960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65" w:hRule="atLeast"/>
          <w:jc w:val="center"/>
        </w:trPr>
        <w:tc>
          <w:tcPr>
            <w:tcW w:w="894" w:type="dxa"/>
            <w:gridSpan w:val="2"/>
            <w:vMerge w:val="continue"/>
            <w:vAlign w:val="center"/>
          </w:tcPr>
          <w:p w14:paraId="339A0301">
            <w:pPr>
              <w:jc w:val="center"/>
              <w:rPr>
                <w:rFonts w:ascii="宋体" w:hAnsi="宋体"/>
                <w:szCs w:val="21"/>
              </w:rPr>
            </w:pPr>
          </w:p>
        </w:tc>
        <w:tc>
          <w:tcPr>
            <w:tcW w:w="593" w:type="dxa"/>
            <w:gridSpan w:val="2"/>
            <w:vMerge w:val="continue"/>
            <w:vAlign w:val="center"/>
          </w:tcPr>
          <w:p w14:paraId="527BC930">
            <w:pPr>
              <w:jc w:val="center"/>
              <w:rPr>
                <w:rFonts w:ascii="宋体" w:hAnsi="宋体"/>
                <w:szCs w:val="21"/>
              </w:rPr>
            </w:pPr>
          </w:p>
        </w:tc>
        <w:tc>
          <w:tcPr>
            <w:tcW w:w="1959" w:type="dxa"/>
            <w:gridSpan w:val="2"/>
            <w:vAlign w:val="center"/>
          </w:tcPr>
          <w:p w14:paraId="5584D318">
            <w:pPr>
              <w:rPr>
                <w:rFonts w:hint="default" w:ascii="宋体" w:hAnsi="宋体" w:eastAsia="宋体"/>
                <w:szCs w:val="21"/>
                <w:lang w:val="en-US" w:eastAsia="zh-CN"/>
              </w:rPr>
            </w:pPr>
            <w:r>
              <w:rPr>
                <w:rFonts w:hint="eastAsia" w:ascii="宋体" w:hAnsi="宋体"/>
                <w:szCs w:val="21"/>
                <w:lang w:val="en-US" w:eastAsia="zh-CN"/>
              </w:rPr>
              <w:t>信誉及其他要求</w:t>
            </w:r>
          </w:p>
        </w:tc>
        <w:tc>
          <w:tcPr>
            <w:tcW w:w="5876" w:type="dxa"/>
            <w:gridSpan w:val="2"/>
            <w:vAlign w:val="center"/>
          </w:tcPr>
          <w:p w14:paraId="7BA461D6">
            <w:pPr>
              <w:rPr>
                <w:rFonts w:ascii="宋体" w:hAnsi="宋体"/>
                <w:szCs w:val="21"/>
              </w:rPr>
            </w:pPr>
            <w:r>
              <w:rPr>
                <w:rFonts w:ascii="宋体" w:hAnsi="宋体"/>
                <w:szCs w:val="21"/>
              </w:rPr>
              <w:t xml:space="preserve">符合第二章“投标人须知”规定 </w:t>
            </w:r>
          </w:p>
        </w:tc>
      </w:tr>
      <w:tr w14:paraId="6E09B5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49" w:hRule="atLeast"/>
          <w:jc w:val="center"/>
        </w:trPr>
        <w:tc>
          <w:tcPr>
            <w:tcW w:w="894" w:type="dxa"/>
            <w:gridSpan w:val="2"/>
            <w:vMerge w:val="restart"/>
            <w:vAlign w:val="center"/>
          </w:tcPr>
          <w:p w14:paraId="3FA7CF52">
            <w:pPr>
              <w:jc w:val="center"/>
              <w:rPr>
                <w:rFonts w:ascii="宋体" w:hAnsi="宋体"/>
                <w:szCs w:val="21"/>
              </w:rPr>
            </w:pPr>
            <w:r>
              <w:rPr>
                <w:rFonts w:ascii="宋体" w:hAnsi="宋体"/>
                <w:szCs w:val="21"/>
              </w:rPr>
              <w:t>1.3</w:t>
            </w:r>
          </w:p>
        </w:tc>
        <w:tc>
          <w:tcPr>
            <w:tcW w:w="593" w:type="dxa"/>
            <w:gridSpan w:val="2"/>
            <w:vMerge w:val="restart"/>
            <w:vAlign w:val="center"/>
          </w:tcPr>
          <w:p w14:paraId="229D804B">
            <w:pPr>
              <w:jc w:val="center"/>
              <w:rPr>
                <w:rFonts w:ascii="宋体" w:hAnsi="宋体"/>
                <w:szCs w:val="21"/>
              </w:rPr>
            </w:pPr>
            <w:r>
              <w:rPr>
                <w:rFonts w:ascii="宋体" w:hAnsi="宋体"/>
                <w:szCs w:val="21"/>
              </w:rPr>
              <w:t>响应性评审标准</w:t>
            </w:r>
          </w:p>
        </w:tc>
        <w:tc>
          <w:tcPr>
            <w:tcW w:w="1959" w:type="dxa"/>
            <w:gridSpan w:val="2"/>
            <w:vAlign w:val="center"/>
          </w:tcPr>
          <w:p w14:paraId="1C9F04E7">
            <w:pPr>
              <w:rPr>
                <w:rFonts w:ascii="宋体" w:hAnsi="宋体"/>
                <w:szCs w:val="21"/>
              </w:rPr>
            </w:pPr>
            <w:r>
              <w:rPr>
                <w:rFonts w:ascii="宋体" w:hAnsi="宋体"/>
                <w:szCs w:val="21"/>
              </w:rPr>
              <w:t>投标内容</w:t>
            </w:r>
          </w:p>
        </w:tc>
        <w:tc>
          <w:tcPr>
            <w:tcW w:w="5876" w:type="dxa"/>
            <w:gridSpan w:val="2"/>
            <w:vAlign w:val="center"/>
          </w:tcPr>
          <w:p w14:paraId="083FC861">
            <w:pPr>
              <w:rPr>
                <w:rFonts w:ascii="宋体" w:hAnsi="宋体"/>
                <w:szCs w:val="21"/>
              </w:rPr>
            </w:pPr>
            <w:r>
              <w:rPr>
                <w:rFonts w:ascii="宋体" w:hAnsi="宋体"/>
                <w:szCs w:val="21"/>
              </w:rPr>
              <w:t>符合第二章“投标人须知”规定</w:t>
            </w:r>
          </w:p>
        </w:tc>
      </w:tr>
      <w:tr w14:paraId="685032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6" w:hRule="atLeast"/>
          <w:jc w:val="center"/>
        </w:trPr>
        <w:tc>
          <w:tcPr>
            <w:tcW w:w="894" w:type="dxa"/>
            <w:gridSpan w:val="2"/>
            <w:vMerge w:val="continue"/>
            <w:vAlign w:val="center"/>
          </w:tcPr>
          <w:p w14:paraId="6392B7F3">
            <w:pPr>
              <w:jc w:val="center"/>
              <w:rPr>
                <w:rFonts w:ascii="宋体" w:hAnsi="宋体"/>
                <w:szCs w:val="21"/>
              </w:rPr>
            </w:pPr>
          </w:p>
        </w:tc>
        <w:tc>
          <w:tcPr>
            <w:tcW w:w="593" w:type="dxa"/>
            <w:gridSpan w:val="2"/>
            <w:vMerge w:val="continue"/>
            <w:vAlign w:val="center"/>
          </w:tcPr>
          <w:p w14:paraId="1EEF5BCF">
            <w:pPr>
              <w:jc w:val="center"/>
              <w:rPr>
                <w:rFonts w:ascii="宋体" w:hAnsi="宋体"/>
                <w:szCs w:val="21"/>
              </w:rPr>
            </w:pPr>
          </w:p>
        </w:tc>
        <w:tc>
          <w:tcPr>
            <w:tcW w:w="1959" w:type="dxa"/>
            <w:gridSpan w:val="2"/>
            <w:vAlign w:val="center"/>
          </w:tcPr>
          <w:p w14:paraId="5337D4F7">
            <w:pPr>
              <w:rPr>
                <w:rFonts w:ascii="宋体" w:hAnsi="宋体"/>
                <w:szCs w:val="21"/>
              </w:rPr>
            </w:pPr>
            <w:r>
              <w:rPr>
                <w:rFonts w:ascii="宋体" w:hAnsi="宋体"/>
                <w:szCs w:val="21"/>
              </w:rPr>
              <w:t>工期</w:t>
            </w:r>
          </w:p>
        </w:tc>
        <w:tc>
          <w:tcPr>
            <w:tcW w:w="5876" w:type="dxa"/>
            <w:gridSpan w:val="2"/>
            <w:vAlign w:val="center"/>
          </w:tcPr>
          <w:p w14:paraId="554BCBEC">
            <w:pPr>
              <w:rPr>
                <w:rFonts w:ascii="宋体" w:hAnsi="宋体"/>
                <w:szCs w:val="21"/>
              </w:rPr>
            </w:pPr>
            <w:r>
              <w:rPr>
                <w:rFonts w:ascii="宋体" w:hAnsi="宋体"/>
                <w:szCs w:val="21"/>
              </w:rPr>
              <w:t>符合第二章“投标人须知”规定</w:t>
            </w:r>
          </w:p>
        </w:tc>
      </w:tr>
      <w:tr w14:paraId="4F36B0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57" w:hRule="atLeast"/>
          <w:jc w:val="center"/>
        </w:trPr>
        <w:tc>
          <w:tcPr>
            <w:tcW w:w="894" w:type="dxa"/>
            <w:gridSpan w:val="2"/>
            <w:vMerge w:val="continue"/>
            <w:vAlign w:val="center"/>
          </w:tcPr>
          <w:p w14:paraId="34110118">
            <w:pPr>
              <w:jc w:val="center"/>
              <w:rPr>
                <w:rFonts w:ascii="宋体" w:hAnsi="宋体"/>
                <w:szCs w:val="21"/>
              </w:rPr>
            </w:pPr>
          </w:p>
        </w:tc>
        <w:tc>
          <w:tcPr>
            <w:tcW w:w="593" w:type="dxa"/>
            <w:gridSpan w:val="2"/>
            <w:vMerge w:val="continue"/>
            <w:vAlign w:val="center"/>
          </w:tcPr>
          <w:p w14:paraId="31EF2A55">
            <w:pPr>
              <w:jc w:val="center"/>
              <w:rPr>
                <w:rFonts w:ascii="宋体" w:hAnsi="宋体"/>
                <w:szCs w:val="21"/>
              </w:rPr>
            </w:pPr>
          </w:p>
        </w:tc>
        <w:tc>
          <w:tcPr>
            <w:tcW w:w="1959" w:type="dxa"/>
            <w:gridSpan w:val="2"/>
            <w:vAlign w:val="center"/>
          </w:tcPr>
          <w:p w14:paraId="6FEC71FC">
            <w:pPr>
              <w:rPr>
                <w:rFonts w:ascii="宋体" w:hAnsi="宋体"/>
                <w:szCs w:val="21"/>
              </w:rPr>
            </w:pPr>
            <w:r>
              <w:rPr>
                <w:rFonts w:ascii="宋体" w:hAnsi="宋体"/>
                <w:szCs w:val="21"/>
              </w:rPr>
              <w:t>工程质量</w:t>
            </w:r>
          </w:p>
        </w:tc>
        <w:tc>
          <w:tcPr>
            <w:tcW w:w="5876" w:type="dxa"/>
            <w:gridSpan w:val="2"/>
            <w:vAlign w:val="center"/>
          </w:tcPr>
          <w:p w14:paraId="58C1BD5E">
            <w:pPr>
              <w:rPr>
                <w:rFonts w:ascii="宋体" w:hAnsi="宋体"/>
                <w:szCs w:val="21"/>
              </w:rPr>
            </w:pPr>
            <w:r>
              <w:rPr>
                <w:rFonts w:ascii="宋体" w:hAnsi="宋体"/>
                <w:szCs w:val="21"/>
              </w:rPr>
              <w:t>符合第二章“投标人须知”规定</w:t>
            </w:r>
          </w:p>
        </w:tc>
      </w:tr>
      <w:tr w14:paraId="4E1F81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07" w:hRule="atLeast"/>
          <w:jc w:val="center"/>
        </w:trPr>
        <w:tc>
          <w:tcPr>
            <w:tcW w:w="894" w:type="dxa"/>
            <w:gridSpan w:val="2"/>
            <w:vMerge w:val="continue"/>
            <w:vAlign w:val="center"/>
          </w:tcPr>
          <w:p w14:paraId="7CFFC0F0">
            <w:pPr>
              <w:jc w:val="center"/>
              <w:rPr>
                <w:rFonts w:ascii="宋体" w:hAnsi="宋体"/>
                <w:szCs w:val="21"/>
              </w:rPr>
            </w:pPr>
          </w:p>
        </w:tc>
        <w:tc>
          <w:tcPr>
            <w:tcW w:w="593" w:type="dxa"/>
            <w:gridSpan w:val="2"/>
            <w:vMerge w:val="continue"/>
            <w:vAlign w:val="center"/>
          </w:tcPr>
          <w:p w14:paraId="09857DC2">
            <w:pPr>
              <w:jc w:val="center"/>
              <w:rPr>
                <w:rFonts w:ascii="宋体" w:hAnsi="宋体"/>
                <w:szCs w:val="21"/>
              </w:rPr>
            </w:pPr>
          </w:p>
        </w:tc>
        <w:tc>
          <w:tcPr>
            <w:tcW w:w="1959" w:type="dxa"/>
            <w:gridSpan w:val="2"/>
            <w:vAlign w:val="center"/>
          </w:tcPr>
          <w:p w14:paraId="694C86DF">
            <w:pPr>
              <w:rPr>
                <w:rFonts w:ascii="宋体" w:hAnsi="宋体"/>
                <w:szCs w:val="21"/>
              </w:rPr>
            </w:pPr>
            <w:r>
              <w:rPr>
                <w:rFonts w:ascii="宋体" w:hAnsi="宋体"/>
                <w:szCs w:val="21"/>
              </w:rPr>
              <w:t>投标有效期</w:t>
            </w:r>
          </w:p>
        </w:tc>
        <w:tc>
          <w:tcPr>
            <w:tcW w:w="5876" w:type="dxa"/>
            <w:gridSpan w:val="2"/>
            <w:vAlign w:val="center"/>
          </w:tcPr>
          <w:p w14:paraId="568B4E68">
            <w:pPr>
              <w:rPr>
                <w:rFonts w:ascii="宋体" w:hAnsi="宋体"/>
                <w:szCs w:val="21"/>
              </w:rPr>
            </w:pPr>
            <w:r>
              <w:rPr>
                <w:rFonts w:ascii="宋体" w:hAnsi="宋体"/>
                <w:szCs w:val="21"/>
              </w:rPr>
              <w:t>符合第二章“投标人须知”规定</w:t>
            </w:r>
          </w:p>
        </w:tc>
      </w:tr>
      <w:tr w14:paraId="6B6BD3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3" w:hRule="atLeast"/>
          <w:jc w:val="center"/>
        </w:trPr>
        <w:tc>
          <w:tcPr>
            <w:tcW w:w="894" w:type="dxa"/>
            <w:gridSpan w:val="2"/>
            <w:vMerge w:val="continue"/>
            <w:vAlign w:val="center"/>
          </w:tcPr>
          <w:p w14:paraId="080EDA6C">
            <w:pPr>
              <w:jc w:val="center"/>
              <w:rPr>
                <w:rFonts w:ascii="宋体" w:hAnsi="宋体"/>
                <w:szCs w:val="21"/>
              </w:rPr>
            </w:pPr>
          </w:p>
        </w:tc>
        <w:tc>
          <w:tcPr>
            <w:tcW w:w="593" w:type="dxa"/>
            <w:gridSpan w:val="2"/>
            <w:vMerge w:val="continue"/>
            <w:vAlign w:val="center"/>
          </w:tcPr>
          <w:p w14:paraId="422E961F">
            <w:pPr>
              <w:jc w:val="center"/>
              <w:rPr>
                <w:rFonts w:ascii="宋体" w:hAnsi="宋体"/>
                <w:szCs w:val="21"/>
              </w:rPr>
            </w:pPr>
          </w:p>
        </w:tc>
        <w:tc>
          <w:tcPr>
            <w:tcW w:w="1959" w:type="dxa"/>
            <w:gridSpan w:val="2"/>
            <w:vAlign w:val="center"/>
          </w:tcPr>
          <w:p w14:paraId="79EE35C4">
            <w:pPr>
              <w:rPr>
                <w:rFonts w:ascii="宋体" w:hAnsi="宋体"/>
                <w:szCs w:val="21"/>
              </w:rPr>
            </w:pPr>
            <w:r>
              <w:rPr>
                <w:rFonts w:hint="eastAsia" w:ascii="宋体" w:hAnsi="宋体"/>
                <w:szCs w:val="21"/>
              </w:rPr>
              <w:t>投标报价</w:t>
            </w:r>
          </w:p>
        </w:tc>
        <w:tc>
          <w:tcPr>
            <w:tcW w:w="5876" w:type="dxa"/>
            <w:gridSpan w:val="2"/>
            <w:vAlign w:val="center"/>
          </w:tcPr>
          <w:p w14:paraId="6C81E3CE">
            <w:pPr>
              <w:rPr>
                <w:rFonts w:ascii="宋体" w:hAnsi="宋体"/>
                <w:szCs w:val="21"/>
              </w:rPr>
            </w:pPr>
            <w:r>
              <w:rPr>
                <w:rFonts w:ascii="宋体" w:hAnsi="宋体"/>
                <w:szCs w:val="21"/>
              </w:rPr>
              <w:t>符合第二章“投标人须知”规定</w:t>
            </w:r>
          </w:p>
        </w:tc>
      </w:tr>
      <w:tr w14:paraId="6CE3E3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2" w:hRule="atLeast"/>
          <w:jc w:val="center"/>
        </w:trPr>
        <w:tc>
          <w:tcPr>
            <w:tcW w:w="894" w:type="dxa"/>
            <w:gridSpan w:val="2"/>
            <w:vAlign w:val="center"/>
          </w:tcPr>
          <w:p w14:paraId="3C0EECE6">
            <w:pPr>
              <w:jc w:val="center"/>
              <w:rPr>
                <w:rFonts w:ascii="宋体" w:hAnsi="宋体"/>
                <w:szCs w:val="21"/>
              </w:rPr>
            </w:pPr>
            <w:r>
              <w:rPr>
                <w:rFonts w:ascii="宋体" w:hAnsi="宋体"/>
                <w:szCs w:val="21"/>
              </w:rPr>
              <w:t>条款号</w:t>
            </w:r>
          </w:p>
        </w:tc>
        <w:tc>
          <w:tcPr>
            <w:tcW w:w="2552" w:type="dxa"/>
            <w:gridSpan w:val="4"/>
            <w:vAlign w:val="center"/>
          </w:tcPr>
          <w:p w14:paraId="2D8A7FA1">
            <w:pPr>
              <w:jc w:val="center"/>
              <w:rPr>
                <w:rFonts w:ascii="宋体" w:hAnsi="宋体"/>
                <w:szCs w:val="21"/>
              </w:rPr>
            </w:pPr>
            <w:r>
              <w:rPr>
                <w:rFonts w:ascii="宋体" w:hAnsi="宋体"/>
                <w:szCs w:val="21"/>
              </w:rPr>
              <w:t>条款内容</w:t>
            </w:r>
          </w:p>
        </w:tc>
        <w:tc>
          <w:tcPr>
            <w:tcW w:w="5876" w:type="dxa"/>
            <w:gridSpan w:val="2"/>
            <w:vAlign w:val="center"/>
          </w:tcPr>
          <w:p w14:paraId="648C8CC3">
            <w:pPr>
              <w:jc w:val="center"/>
              <w:rPr>
                <w:rFonts w:ascii="宋体" w:hAnsi="宋体"/>
                <w:szCs w:val="21"/>
              </w:rPr>
            </w:pPr>
            <w:r>
              <w:rPr>
                <w:rFonts w:ascii="宋体" w:hAnsi="宋体"/>
                <w:szCs w:val="21"/>
              </w:rPr>
              <w:t>编列内容</w:t>
            </w:r>
          </w:p>
        </w:tc>
      </w:tr>
      <w:tr w14:paraId="1B4248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68" w:hRule="atLeast"/>
          <w:jc w:val="center"/>
        </w:trPr>
        <w:tc>
          <w:tcPr>
            <w:tcW w:w="894" w:type="dxa"/>
            <w:gridSpan w:val="2"/>
            <w:vAlign w:val="center"/>
          </w:tcPr>
          <w:p w14:paraId="3CCA4F17">
            <w:pPr>
              <w:jc w:val="center"/>
              <w:rPr>
                <w:rFonts w:ascii="宋体" w:hAnsi="宋体"/>
                <w:szCs w:val="21"/>
              </w:rPr>
            </w:pPr>
            <w:r>
              <w:rPr>
                <w:rFonts w:ascii="宋体" w:hAnsi="宋体"/>
                <w:szCs w:val="21"/>
              </w:rPr>
              <w:t>2.1</w:t>
            </w:r>
          </w:p>
        </w:tc>
        <w:tc>
          <w:tcPr>
            <w:tcW w:w="2552" w:type="dxa"/>
            <w:gridSpan w:val="4"/>
            <w:vAlign w:val="center"/>
          </w:tcPr>
          <w:p w14:paraId="16C21B75">
            <w:pPr>
              <w:jc w:val="center"/>
              <w:rPr>
                <w:rFonts w:ascii="宋体" w:hAnsi="宋体"/>
                <w:szCs w:val="21"/>
              </w:rPr>
            </w:pPr>
            <w:r>
              <w:rPr>
                <w:rFonts w:ascii="宋体" w:hAnsi="宋体"/>
                <w:szCs w:val="21"/>
              </w:rPr>
              <w:t>分值构成</w:t>
            </w:r>
          </w:p>
          <w:p w14:paraId="1507FFF2">
            <w:pPr>
              <w:jc w:val="center"/>
              <w:rPr>
                <w:rFonts w:ascii="宋体" w:hAnsi="宋体"/>
                <w:szCs w:val="21"/>
              </w:rPr>
            </w:pPr>
            <w:r>
              <w:rPr>
                <w:rFonts w:ascii="宋体" w:hAnsi="宋体"/>
                <w:szCs w:val="21"/>
              </w:rPr>
              <w:t>（总分100分）</w:t>
            </w:r>
          </w:p>
        </w:tc>
        <w:tc>
          <w:tcPr>
            <w:tcW w:w="5876" w:type="dxa"/>
            <w:gridSpan w:val="2"/>
            <w:vAlign w:val="center"/>
          </w:tcPr>
          <w:p w14:paraId="259BB677">
            <w:pPr>
              <w:spacing w:line="360" w:lineRule="auto"/>
            </w:pPr>
            <w:r>
              <w:t>投标报价：</w:t>
            </w:r>
            <w:r>
              <w:rPr>
                <w:rFonts w:hint="eastAsia"/>
                <w:lang w:val="en-US" w:eastAsia="zh-CN"/>
              </w:rPr>
              <w:t>35</w:t>
            </w:r>
            <w:r>
              <w:t>分</w:t>
            </w:r>
          </w:p>
          <w:p w14:paraId="6D94B38F">
            <w:pPr>
              <w:spacing w:line="360" w:lineRule="auto"/>
            </w:pPr>
            <w:r>
              <w:rPr>
                <w:rFonts w:hint="eastAsia"/>
              </w:rPr>
              <w:t>技术部份：</w:t>
            </w:r>
            <w:r>
              <w:rPr>
                <w:rFonts w:hint="eastAsia"/>
                <w:lang w:val="en-US" w:eastAsia="zh-CN"/>
              </w:rPr>
              <w:t>65</w:t>
            </w:r>
            <w:r>
              <w:rPr>
                <w:rFonts w:hint="eastAsia"/>
              </w:rPr>
              <w:t>分</w:t>
            </w:r>
          </w:p>
          <w:p w14:paraId="5401CA7B">
            <w:pPr>
              <w:spacing w:line="360" w:lineRule="auto"/>
              <w:rPr>
                <w:rFonts w:ascii="宋体" w:hAnsi="宋体"/>
              </w:rPr>
            </w:pPr>
            <w:r>
              <w:rPr>
                <w:rFonts w:hint="eastAsia" w:ascii="宋体" w:hAnsi="宋体"/>
              </w:rPr>
              <w:t>投标人评标综合得分＝报价部分得分＋技术部分得分。</w:t>
            </w:r>
          </w:p>
        </w:tc>
      </w:tr>
      <w:tr w14:paraId="737F73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72" w:hRule="atLeast"/>
          <w:jc w:val="center"/>
        </w:trPr>
        <w:tc>
          <w:tcPr>
            <w:tcW w:w="894" w:type="dxa"/>
            <w:gridSpan w:val="2"/>
            <w:vAlign w:val="center"/>
          </w:tcPr>
          <w:p w14:paraId="00D965B6">
            <w:pPr>
              <w:jc w:val="center"/>
              <w:rPr>
                <w:rFonts w:ascii="宋体" w:hAnsi="宋体"/>
                <w:szCs w:val="21"/>
              </w:rPr>
            </w:pPr>
            <w:r>
              <w:rPr>
                <w:rFonts w:ascii="宋体" w:hAnsi="宋体"/>
                <w:szCs w:val="21"/>
              </w:rPr>
              <w:t>2.2</w:t>
            </w:r>
          </w:p>
        </w:tc>
        <w:tc>
          <w:tcPr>
            <w:tcW w:w="2552" w:type="dxa"/>
            <w:gridSpan w:val="4"/>
            <w:vAlign w:val="center"/>
          </w:tcPr>
          <w:p w14:paraId="14029156">
            <w:pPr>
              <w:jc w:val="center"/>
              <w:rPr>
                <w:rFonts w:ascii="宋体" w:hAnsi="宋体"/>
                <w:szCs w:val="21"/>
              </w:rPr>
            </w:pPr>
            <w:r>
              <w:rPr>
                <w:rFonts w:ascii="宋体" w:hAnsi="宋体"/>
                <w:szCs w:val="21"/>
              </w:rPr>
              <w:t>评标基准价计算</w:t>
            </w:r>
            <w:r>
              <w:rPr>
                <w:rFonts w:hint="eastAsia" w:ascii="宋体" w:hAnsi="宋体"/>
                <w:szCs w:val="21"/>
              </w:rPr>
              <w:t>方法</w:t>
            </w:r>
          </w:p>
        </w:tc>
        <w:tc>
          <w:tcPr>
            <w:tcW w:w="5876" w:type="dxa"/>
            <w:gridSpan w:val="2"/>
            <w:vAlign w:val="center"/>
          </w:tcPr>
          <w:p w14:paraId="65A4C1DC">
            <w:pPr>
              <w:rPr>
                <w:rFonts w:hint="eastAsia" w:ascii="宋体" w:hAnsi="宋体"/>
                <w:szCs w:val="21"/>
                <w:lang w:val="en-US" w:eastAsia="zh-CN"/>
              </w:rPr>
            </w:pPr>
            <w:r>
              <w:rPr>
                <w:rFonts w:hint="eastAsia" w:ascii="宋体" w:hAnsi="宋体"/>
                <w:szCs w:val="21"/>
                <w:lang w:val="en-US" w:eastAsia="zh-CN"/>
              </w:rPr>
              <w:t>当投标家数小于或等于5家时，全部有效投标报价参与评标基准价计算；当投标家数大于5家时，有效投标价中去掉最高和最低报价，其余有效投标价参与评标基准价计算。</w:t>
            </w:r>
          </w:p>
          <w:p w14:paraId="1DD483D0">
            <w:pPr>
              <w:rPr>
                <w:rFonts w:ascii="宋体" w:hAnsi="宋体"/>
                <w:b/>
                <w:bCs/>
                <w:szCs w:val="21"/>
              </w:rPr>
            </w:pPr>
            <w:r>
              <w:rPr>
                <w:rFonts w:hint="eastAsia" w:ascii="宋体" w:hAnsi="宋体"/>
                <w:b/>
                <w:bCs/>
                <w:szCs w:val="21"/>
              </w:rPr>
              <w:t>基准价=有效投标报价的算术平均值作为评标基准价</w:t>
            </w:r>
          </w:p>
        </w:tc>
      </w:tr>
      <w:tr w14:paraId="516772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733" w:hRule="atLeast"/>
          <w:jc w:val="center"/>
        </w:trPr>
        <w:tc>
          <w:tcPr>
            <w:tcW w:w="894" w:type="dxa"/>
            <w:gridSpan w:val="2"/>
            <w:vMerge w:val="restart"/>
            <w:vAlign w:val="center"/>
          </w:tcPr>
          <w:p w14:paraId="3A4DA9D8">
            <w:pPr>
              <w:jc w:val="center"/>
              <w:rPr>
                <w:rFonts w:ascii="宋体" w:hAnsi="宋体"/>
                <w:szCs w:val="21"/>
              </w:rPr>
            </w:pPr>
            <w:r>
              <w:rPr>
                <w:rFonts w:ascii="宋体" w:hAnsi="宋体"/>
                <w:szCs w:val="21"/>
              </w:rPr>
              <w:t>2.3</w:t>
            </w:r>
          </w:p>
        </w:tc>
        <w:tc>
          <w:tcPr>
            <w:tcW w:w="1187" w:type="dxa"/>
            <w:gridSpan w:val="3"/>
            <w:vMerge w:val="restart"/>
            <w:tcBorders>
              <w:right w:val="single" w:color="auto" w:sz="4" w:space="0"/>
            </w:tcBorders>
            <w:vAlign w:val="center"/>
          </w:tcPr>
          <w:p w14:paraId="3784D8C7">
            <w:pPr>
              <w:jc w:val="center"/>
              <w:rPr>
                <w:rFonts w:ascii="宋体" w:hAnsi="宋体"/>
                <w:b/>
                <w:bCs/>
                <w:szCs w:val="21"/>
              </w:rPr>
            </w:pPr>
            <w:r>
              <w:rPr>
                <w:rFonts w:hint="eastAsia" w:ascii="宋体" w:hAnsi="宋体"/>
                <w:b/>
                <w:bCs/>
                <w:szCs w:val="21"/>
              </w:rPr>
              <w:t>投标报价</w:t>
            </w:r>
          </w:p>
          <w:p w14:paraId="5050B251">
            <w:pPr>
              <w:jc w:val="center"/>
              <w:rPr>
                <w:rFonts w:ascii="宋体" w:hAnsi="宋体"/>
                <w:b/>
                <w:bCs/>
                <w:szCs w:val="21"/>
              </w:rPr>
            </w:pPr>
            <w:r>
              <w:rPr>
                <w:rFonts w:hint="eastAsia" w:ascii="宋体" w:hAnsi="宋体"/>
                <w:b/>
                <w:bCs/>
                <w:szCs w:val="21"/>
                <w:lang w:val="en-US" w:eastAsia="zh-CN"/>
              </w:rPr>
              <w:t>35</w:t>
            </w:r>
            <w:r>
              <w:rPr>
                <w:rFonts w:hint="eastAsia" w:ascii="宋体" w:hAnsi="宋体"/>
                <w:b/>
                <w:bCs/>
                <w:szCs w:val="21"/>
              </w:rPr>
              <w:t>分</w:t>
            </w:r>
          </w:p>
        </w:tc>
        <w:tc>
          <w:tcPr>
            <w:tcW w:w="1365" w:type="dxa"/>
            <w:tcBorders>
              <w:left w:val="single" w:color="auto" w:sz="4" w:space="0"/>
            </w:tcBorders>
            <w:vAlign w:val="center"/>
          </w:tcPr>
          <w:p w14:paraId="1BF88B9A">
            <w:pPr>
              <w:rPr>
                <w:rFonts w:hint="eastAsia" w:ascii="宋体" w:hAnsi="宋体" w:eastAsia="宋体" w:cs="Times New Roman"/>
                <w:b/>
                <w:bCs/>
                <w:szCs w:val="21"/>
                <w:lang w:val="zh-CN" w:eastAsia="zh-CN"/>
              </w:rPr>
            </w:pPr>
            <w:r>
              <w:rPr>
                <w:rFonts w:hint="eastAsia" w:ascii="宋体" w:hAnsi="宋体" w:eastAsia="宋体" w:cs="Times New Roman"/>
                <w:b/>
                <w:bCs/>
                <w:szCs w:val="21"/>
                <w:lang w:val="zh-CN" w:eastAsia="zh-CN"/>
              </w:rPr>
              <w:t>投标总报价</w:t>
            </w:r>
          </w:p>
          <w:p w14:paraId="582D9351">
            <w:pPr>
              <w:pStyle w:val="593"/>
              <w:snapToGrid w:val="0"/>
              <w:spacing w:line="300" w:lineRule="exact"/>
              <w:jc w:val="center"/>
              <w:rPr>
                <w:rFonts w:hint="default" w:hAnsi="宋体" w:eastAsia="宋体"/>
                <w:b/>
                <w:bCs/>
                <w:szCs w:val="21"/>
                <w:lang w:val="en-US" w:eastAsia="zh-CN"/>
              </w:rPr>
            </w:pPr>
            <w:r>
              <w:rPr>
                <w:rFonts w:hint="eastAsia" w:hAnsi="宋体"/>
                <w:b/>
                <w:bCs/>
                <w:szCs w:val="21"/>
                <w:lang w:val="en-US" w:eastAsia="zh-CN"/>
              </w:rPr>
              <w:t>（25分）</w:t>
            </w:r>
          </w:p>
        </w:tc>
        <w:tc>
          <w:tcPr>
            <w:tcW w:w="5876" w:type="dxa"/>
            <w:gridSpan w:val="2"/>
            <w:vAlign w:val="center"/>
          </w:tcPr>
          <w:p w14:paraId="4FB2F530">
            <w:pPr>
              <w:rPr>
                <w:rFonts w:hint="eastAsia" w:ascii="宋体" w:hAnsi="宋体"/>
                <w:szCs w:val="21"/>
              </w:rPr>
            </w:pPr>
            <w:r>
              <w:rPr>
                <w:rFonts w:hint="eastAsia" w:ascii="宋体" w:hAnsi="宋体"/>
                <w:szCs w:val="21"/>
              </w:rPr>
              <w:t>1、投标总报价说明：投标人的投标总报价指经评标委员会评审，满足初步评审要求的投标文件投标函中的文字报价（包括按招标文件要求进行算术修正后的报价，若评标过程中投标文件为无效标的，其投标总报价不参与计算，投标文件不参加评审）。</w:t>
            </w:r>
          </w:p>
          <w:p w14:paraId="331DF6A6">
            <w:pPr>
              <w:rPr>
                <w:rFonts w:hint="eastAsia" w:ascii="宋体" w:hAnsi="宋体"/>
                <w:szCs w:val="21"/>
              </w:rPr>
            </w:pPr>
            <w:r>
              <w:rPr>
                <w:rFonts w:hint="eastAsia" w:ascii="宋体" w:hAnsi="宋体"/>
                <w:szCs w:val="21"/>
              </w:rPr>
              <w:t>2、投标总报价得分计算公式：</w:t>
            </w:r>
          </w:p>
          <w:p w14:paraId="12B64183">
            <w:pPr>
              <w:rPr>
                <w:rFonts w:hint="eastAsia" w:ascii="宋体" w:hAnsi="宋体"/>
                <w:szCs w:val="21"/>
              </w:rPr>
            </w:pPr>
            <w:r>
              <w:rPr>
                <w:rFonts w:hint="eastAsia" w:ascii="宋体" w:hAnsi="宋体"/>
                <w:szCs w:val="21"/>
                <w:lang w:val="en-US" w:eastAsia="zh-CN"/>
              </w:rPr>
              <w:t>2.</w:t>
            </w:r>
            <w:r>
              <w:rPr>
                <w:rFonts w:hint="eastAsia" w:ascii="宋体" w:hAnsi="宋体"/>
                <w:szCs w:val="21"/>
              </w:rPr>
              <w:t>1.若投标人的投标总报价＞评标基准价，则：</w:t>
            </w:r>
          </w:p>
          <w:p w14:paraId="6A3803B3">
            <w:pPr>
              <w:rPr>
                <w:rFonts w:hint="eastAsia" w:ascii="宋体" w:hAnsi="宋体"/>
                <w:szCs w:val="21"/>
              </w:rPr>
            </w:pPr>
            <w:r>
              <w:rPr>
                <w:rFonts w:hint="eastAsia" w:ascii="宋体" w:hAnsi="宋体"/>
                <w:szCs w:val="21"/>
              </w:rPr>
              <w:t>投标总报价得分＝</w:t>
            </w:r>
            <w:r>
              <w:rPr>
                <w:rFonts w:hint="eastAsia" w:ascii="宋体" w:hAnsi="宋体"/>
                <w:szCs w:val="21"/>
                <w:lang w:val="en-US" w:eastAsia="zh-CN"/>
              </w:rPr>
              <w:t>2</w:t>
            </w:r>
            <w:r>
              <w:rPr>
                <w:rFonts w:hint="eastAsia" w:ascii="宋体" w:hAnsi="宋体"/>
                <w:szCs w:val="21"/>
              </w:rPr>
              <w:t>5-偏差率×100×</w:t>
            </w:r>
            <w:r>
              <w:rPr>
                <w:rFonts w:hint="eastAsia" w:ascii="宋体" w:hAnsi="宋体"/>
                <w:szCs w:val="21"/>
                <w:lang w:val="en-US" w:eastAsia="zh-CN"/>
              </w:rPr>
              <w:t>0.25</w:t>
            </w:r>
            <w:r>
              <w:rPr>
                <w:rFonts w:hint="eastAsia" w:ascii="宋体" w:hAnsi="宋体"/>
                <w:szCs w:val="21"/>
              </w:rPr>
              <w:t>；</w:t>
            </w:r>
          </w:p>
          <w:p w14:paraId="7ED1DECD">
            <w:pPr>
              <w:rPr>
                <w:rFonts w:hint="eastAsia" w:ascii="宋体" w:hAnsi="宋体"/>
                <w:szCs w:val="21"/>
              </w:rPr>
            </w:pPr>
            <w:r>
              <w:rPr>
                <w:rFonts w:hint="eastAsia" w:ascii="宋体" w:hAnsi="宋体"/>
                <w:szCs w:val="21"/>
              </w:rPr>
              <w:t>2</w:t>
            </w:r>
            <w:r>
              <w:rPr>
                <w:rFonts w:hint="eastAsia" w:ascii="宋体" w:hAnsi="宋体"/>
                <w:szCs w:val="21"/>
                <w:lang w:val="en-US" w:eastAsia="zh-CN"/>
              </w:rPr>
              <w:t>.2.</w:t>
            </w:r>
            <w:r>
              <w:rPr>
                <w:rFonts w:hint="eastAsia" w:ascii="宋体" w:hAnsi="宋体"/>
                <w:szCs w:val="21"/>
              </w:rPr>
              <w:t>若投标人的投标报价≤评标基准价，则：</w:t>
            </w:r>
          </w:p>
          <w:p w14:paraId="02388401">
            <w:pPr>
              <w:rPr>
                <w:rFonts w:hint="eastAsia" w:ascii="宋体" w:hAnsi="宋体"/>
                <w:szCs w:val="21"/>
              </w:rPr>
            </w:pPr>
            <w:r>
              <w:rPr>
                <w:rFonts w:hint="eastAsia" w:ascii="宋体" w:hAnsi="宋体"/>
                <w:szCs w:val="21"/>
              </w:rPr>
              <w:t>投标总报价得分＝</w:t>
            </w:r>
            <w:r>
              <w:rPr>
                <w:rFonts w:hint="eastAsia" w:ascii="宋体" w:hAnsi="宋体"/>
                <w:szCs w:val="21"/>
                <w:lang w:val="en-US" w:eastAsia="zh-CN"/>
              </w:rPr>
              <w:t>2</w:t>
            </w:r>
            <w:r>
              <w:rPr>
                <w:rFonts w:hint="eastAsia" w:ascii="宋体" w:hAnsi="宋体"/>
                <w:szCs w:val="21"/>
              </w:rPr>
              <w:t>5+偏差率×100×</w:t>
            </w:r>
            <w:r>
              <w:rPr>
                <w:rFonts w:hint="eastAsia" w:ascii="宋体" w:hAnsi="宋体"/>
                <w:szCs w:val="21"/>
                <w:lang w:val="en-US" w:eastAsia="zh-CN"/>
              </w:rPr>
              <w:t>0.2</w:t>
            </w:r>
            <w:r>
              <w:rPr>
                <w:rFonts w:hint="eastAsia" w:ascii="宋体" w:hAnsi="宋体"/>
                <w:szCs w:val="21"/>
              </w:rPr>
              <w:t>；</w:t>
            </w:r>
          </w:p>
          <w:p w14:paraId="004FD711">
            <w:pPr>
              <w:rPr>
                <w:rFonts w:ascii="宋体" w:hAnsi="宋体"/>
                <w:szCs w:val="21"/>
              </w:rPr>
            </w:pPr>
            <w:r>
              <w:rPr>
                <w:rFonts w:hint="eastAsia" w:ascii="宋体" w:hAnsi="宋体"/>
                <w:szCs w:val="21"/>
              </w:rPr>
              <w:t>投标总报价得分分值取小数点后两位，第三位四舍五入。若投标总报价得分计算后小于或等于0分，则按0分计。</w:t>
            </w:r>
          </w:p>
        </w:tc>
      </w:tr>
      <w:tr w14:paraId="13FD3B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733" w:hRule="atLeast"/>
          <w:jc w:val="center"/>
        </w:trPr>
        <w:tc>
          <w:tcPr>
            <w:tcW w:w="894" w:type="dxa"/>
            <w:gridSpan w:val="2"/>
            <w:vMerge w:val="continue"/>
            <w:vAlign w:val="center"/>
          </w:tcPr>
          <w:p w14:paraId="229886D6">
            <w:pPr>
              <w:pStyle w:val="593"/>
              <w:snapToGrid w:val="0"/>
              <w:spacing w:line="300" w:lineRule="exact"/>
              <w:jc w:val="center"/>
            </w:pPr>
          </w:p>
        </w:tc>
        <w:tc>
          <w:tcPr>
            <w:tcW w:w="1187" w:type="dxa"/>
            <w:gridSpan w:val="3"/>
            <w:vMerge w:val="continue"/>
            <w:tcBorders>
              <w:right w:val="single" w:color="auto" w:sz="4" w:space="0"/>
            </w:tcBorders>
            <w:vAlign w:val="center"/>
          </w:tcPr>
          <w:p w14:paraId="1BB888DD">
            <w:pPr>
              <w:pStyle w:val="593"/>
              <w:snapToGrid w:val="0"/>
              <w:spacing w:line="300" w:lineRule="exact"/>
              <w:jc w:val="center"/>
            </w:pPr>
          </w:p>
        </w:tc>
        <w:tc>
          <w:tcPr>
            <w:tcW w:w="1365" w:type="dxa"/>
            <w:tcBorders>
              <w:left w:val="single" w:color="auto" w:sz="4" w:space="0"/>
            </w:tcBorders>
            <w:vAlign w:val="center"/>
          </w:tcPr>
          <w:p w14:paraId="793A1A7D">
            <w:pPr>
              <w:pStyle w:val="593"/>
              <w:snapToGrid w:val="0"/>
              <w:spacing w:line="300" w:lineRule="exact"/>
              <w:jc w:val="center"/>
              <w:rPr>
                <w:rFonts w:hint="default" w:ascii="宋体" w:hAnsi="宋体" w:eastAsia="宋体" w:cs="Times New Roman"/>
                <w:b/>
                <w:bCs/>
                <w:color w:val="auto"/>
                <w:kern w:val="2"/>
                <w:sz w:val="21"/>
                <w:szCs w:val="21"/>
                <w:lang w:val="en-US" w:eastAsia="zh-CN" w:bidi="ar-SA"/>
              </w:rPr>
            </w:pPr>
            <w:r>
              <w:rPr>
                <w:rFonts w:hint="default" w:ascii="宋体" w:hAnsi="宋体" w:eastAsia="宋体" w:cs="Times New Roman"/>
                <w:b/>
                <w:bCs/>
                <w:color w:val="auto"/>
                <w:kern w:val="2"/>
                <w:sz w:val="21"/>
                <w:szCs w:val="21"/>
                <w:lang w:val="en-US" w:eastAsia="zh-CN" w:bidi="ar-SA"/>
              </w:rPr>
              <w:t>主要单价合理性</w:t>
            </w:r>
            <w:r>
              <w:rPr>
                <w:rFonts w:hint="eastAsia" w:ascii="宋体" w:hAnsi="宋体" w:eastAsia="宋体" w:cs="Times New Roman"/>
                <w:b/>
                <w:bCs/>
                <w:color w:val="auto"/>
                <w:kern w:val="2"/>
                <w:sz w:val="21"/>
                <w:szCs w:val="21"/>
                <w:lang w:val="en-US" w:eastAsia="zh-CN" w:bidi="ar-SA"/>
              </w:rPr>
              <w:t>（10分）</w:t>
            </w:r>
          </w:p>
          <w:p w14:paraId="5DF1A496">
            <w:pPr>
              <w:pStyle w:val="593"/>
              <w:snapToGrid w:val="0"/>
              <w:spacing w:line="300" w:lineRule="exact"/>
              <w:jc w:val="center"/>
              <w:rPr>
                <w:rFonts w:hint="default" w:hAnsi="宋体" w:eastAsia="宋体"/>
                <w:b/>
                <w:bCs/>
                <w:szCs w:val="21"/>
                <w:lang w:val="en-US" w:eastAsia="zh-CN"/>
              </w:rPr>
            </w:pPr>
          </w:p>
        </w:tc>
        <w:tc>
          <w:tcPr>
            <w:tcW w:w="5876" w:type="dxa"/>
            <w:gridSpan w:val="2"/>
            <w:vAlign w:val="center"/>
          </w:tcPr>
          <w:p w14:paraId="5F96BAA0">
            <w:pPr>
              <w:numPr>
                <w:ilvl w:val="0"/>
                <w:numId w:val="3"/>
              </w:numPr>
              <w:rPr>
                <w:rFonts w:hint="eastAsia" w:ascii="宋体" w:hAnsi="宋体" w:eastAsia="宋体" w:cs="Times New Roman"/>
                <w:szCs w:val="21"/>
                <w:lang w:val="en-US" w:eastAsia="zh-CN"/>
              </w:rPr>
            </w:pPr>
            <w:r>
              <w:rPr>
                <w:rFonts w:hint="default" w:ascii="宋体" w:hAnsi="宋体" w:eastAsia="宋体" w:cs="Times New Roman"/>
                <w:szCs w:val="21"/>
                <w:lang w:val="en-US" w:eastAsia="zh-CN"/>
              </w:rPr>
              <w:t>主要单价的选定：招标人从招标文件“工程量清单”中挑选出5个单价作为主要单价，</w:t>
            </w:r>
            <w:r>
              <w:rPr>
                <w:rFonts w:hint="eastAsia" w:ascii="宋体" w:hAnsi="宋体" w:eastAsia="宋体" w:cs="Times New Roman"/>
                <w:szCs w:val="21"/>
                <w:lang w:val="en-US" w:eastAsia="zh-CN"/>
              </w:rPr>
              <w:t>五项主要单价分别为：小方田截洪沟</w:t>
            </w:r>
            <w:r>
              <w:rPr>
                <w:rFonts w:hint="eastAsia" w:ascii="宋体" w:hAnsi="宋体" w:cs="Times New Roman"/>
                <w:szCs w:val="21"/>
                <w:lang w:val="en-US" w:eastAsia="zh-CN"/>
              </w:rPr>
              <w:t>工程量中的</w:t>
            </w:r>
            <w:r>
              <w:rPr>
                <w:rFonts w:hint="eastAsia" w:ascii="宋体" w:hAnsi="宋体" w:eastAsia="宋体" w:cs="Times New Roman"/>
                <w:szCs w:val="21"/>
                <w:lang w:val="en-US" w:eastAsia="zh-CN"/>
              </w:rPr>
              <w:t>槽挖石方</w:t>
            </w:r>
            <w:r>
              <w:rPr>
                <w:rFonts w:hint="eastAsia" w:ascii="宋体" w:hAnsi="宋体" w:cs="Times New Roman"/>
                <w:szCs w:val="21"/>
                <w:lang w:val="en-US" w:eastAsia="zh-CN"/>
              </w:rPr>
              <w:t>、C25混凝土、C25钢筋混凝土、钢筋制安、模板。</w:t>
            </w:r>
          </w:p>
          <w:p w14:paraId="14A0BFC8">
            <w:pPr>
              <w:numPr>
                <w:ilvl w:val="0"/>
                <w:numId w:val="0"/>
              </w:numPr>
              <w:rPr>
                <w:rFonts w:hint="default" w:ascii="宋体" w:hAnsi="宋体" w:eastAsia="宋体" w:cs="Times New Roman"/>
                <w:szCs w:val="21"/>
                <w:lang w:val="en-US" w:eastAsia="zh-CN"/>
              </w:rPr>
            </w:pPr>
            <w:r>
              <w:rPr>
                <w:rFonts w:hint="default" w:ascii="宋体" w:hAnsi="宋体" w:eastAsia="宋体" w:cs="Times New Roman"/>
                <w:szCs w:val="21"/>
                <w:lang w:val="en-US" w:eastAsia="zh-CN"/>
              </w:rPr>
              <w:t>2、主要单价的评分分值</w:t>
            </w:r>
            <w:r>
              <w:rPr>
                <w:rFonts w:hint="eastAsia" w:ascii="宋体" w:hAnsi="宋体" w:eastAsia="宋体" w:cs="Times New Roman"/>
                <w:szCs w:val="21"/>
                <w:lang w:val="en-US" w:eastAsia="zh-CN"/>
              </w:rPr>
              <w:t>为2分</w:t>
            </w:r>
            <w:r>
              <w:rPr>
                <w:rFonts w:hint="default" w:ascii="宋体" w:hAnsi="宋体" w:eastAsia="宋体" w:cs="Times New Roman"/>
                <w:szCs w:val="21"/>
                <w:lang w:val="en-US" w:eastAsia="zh-CN"/>
              </w:rPr>
              <w:t>：</w:t>
            </w:r>
          </w:p>
          <w:p w14:paraId="5B9F4208">
            <w:pPr>
              <w:rPr>
                <w:rFonts w:hint="default" w:ascii="宋体" w:hAnsi="宋体" w:eastAsia="宋体" w:cs="Times New Roman"/>
                <w:szCs w:val="21"/>
                <w:lang w:val="en-US" w:eastAsia="zh-CN"/>
              </w:rPr>
            </w:pPr>
            <w:r>
              <w:rPr>
                <w:rFonts w:hint="eastAsia" w:ascii="宋体" w:hAnsi="宋体" w:cs="Times New Roman"/>
                <w:szCs w:val="21"/>
                <w:lang w:val="en-US" w:eastAsia="zh-CN"/>
              </w:rPr>
              <w:t>3.</w:t>
            </w:r>
            <w:r>
              <w:rPr>
                <w:rFonts w:hint="default" w:ascii="宋体" w:hAnsi="宋体" w:eastAsia="宋体" w:cs="Times New Roman"/>
                <w:szCs w:val="21"/>
                <w:lang w:val="en-US" w:eastAsia="zh-CN"/>
              </w:rPr>
              <w:t>评标委员会对主要单价的《单价分析表》中的单价与《单价汇总表》中对应的单价是否一致进行核对，若出现不一致的情况，则对应的主要单价不得分。</w:t>
            </w:r>
          </w:p>
          <w:p w14:paraId="203BF450">
            <w:pPr>
              <w:rPr>
                <w:rFonts w:hint="default" w:ascii="宋体" w:hAnsi="宋体" w:eastAsia="宋体" w:cs="Times New Roman"/>
                <w:szCs w:val="21"/>
                <w:lang w:val="en-US" w:eastAsia="zh-CN"/>
              </w:rPr>
            </w:pPr>
            <w:r>
              <w:rPr>
                <w:rFonts w:hint="eastAsia" w:ascii="宋体" w:hAnsi="宋体" w:cs="Times New Roman"/>
                <w:szCs w:val="21"/>
                <w:lang w:val="en-US" w:eastAsia="zh-CN"/>
              </w:rPr>
              <w:t>4</w:t>
            </w:r>
            <w:r>
              <w:rPr>
                <w:rFonts w:hint="default" w:ascii="宋体" w:hAnsi="宋体" w:eastAsia="宋体" w:cs="Times New Roman"/>
                <w:szCs w:val="21"/>
                <w:lang w:val="en-US" w:eastAsia="zh-CN"/>
              </w:rPr>
              <w:t>、各个主要单价得分计算</w:t>
            </w:r>
          </w:p>
          <w:p w14:paraId="4A30D2AC">
            <w:pPr>
              <w:rPr>
                <w:rFonts w:hint="default" w:ascii="宋体" w:hAnsi="宋体" w:eastAsia="宋体" w:cs="Times New Roman"/>
                <w:szCs w:val="21"/>
                <w:lang w:val="en-US" w:eastAsia="zh-CN"/>
              </w:rPr>
            </w:pPr>
            <w:r>
              <w:rPr>
                <w:rFonts w:hint="eastAsia" w:ascii="宋体" w:hAnsi="宋体" w:cs="Times New Roman"/>
                <w:szCs w:val="21"/>
                <w:lang w:val="en-US" w:eastAsia="zh-CN"/>
              </w:rPr>
              <w:t>4.</w:t>
            </w:r>
            <w:r>
              <w:rPr>
                <w:rFonts w:hint="default" w:ascii="宋体" w:hAnsi="宋体" w:eastAsia="宋体" w:cs="Times New Roman"/>
                <w:szCs w:val="21"/>
                <w:lang w:val="en-US" w:eastAsia="zh-CN"/>
              </w:rPr>
              <w:t>1. 若投标人的主要单价＞主要单价评标基准价，则：</w:t>
            </w:r>
          </w:p>
          <w:p w14:paraId="43EB6C92">
            <w:pPr>
              <w:rPr>
                <w:rFonts w:hint="default" w:ascii="宋体" w:hAnsi="宋体" w:eastAsia="宋体" w:cs="Times New Roman"/>
                <w:szCs w:val="21"/>
                <w:lang w:val="en-US" w:eastAsia="zh-CN"/>
              </w:rPr>
            </w:pPr>
            <w:r>
              <w:rPr>
                <w:rFonts w:hint="default" w:ascii="宋体" w:hAnsi="宋体" w:eastAsia="宋体" w:cs="Times New Roman"/>
                <w:szCs w:val="21"/>
                <w:lang w:val="en-US" w:eastAsia="zh-CN"/>
              </w:rPr>
              <w:t>投标人的主要单价得分＝</w:t>
            </w:r>
            <w:r>
              <w:rPr>
                <w:rFonts w:hint="eastAsia" w:ascii="宋体" w:hAnsi="宋体" w:eastAsia="宋体" w:cs="Times New Roman"/>
                <w:szCs w:val="21"/>
                <w:lang w:val="en-US" w:eastAsia="zh-CN"/>
              </w:rPr>
              <w:t>2</w:t>
            </w:r>
            <w:r>
              <w:rPr>
                <w:rFonts w:hint="default" w:ascii="宋体" w:hAnsi="宋体" w:eastAsia="宋体" w:cs="Times New Roman"/>
                <w:szCs w:val="21"/>
                <w:lang w:val="en-US" w:eastAsia="zh-CN"/>
              </w:rPr>
              <w:t>-偏差率×100×</w:t>
            </w:r>
            <w:r>
              <w:rPr>
                <w:rFonts w:hint="eastAsia" w:ascii="宋体" w:hAnsi="宋体" w:eastAsia="宋体" w:cs="Times New Roman"/>
                <w:szCs w:val="21"/>
                <w:lang w:val="en-US" w:eastAsia="zh-CN"/>
              </w:rPr>
              <w:t>0.02</w:t>
            </w:r>
            <w:r>
              <w:rPr>
                <w:rFonts w:hint="default" w:ascii="宋体" w:hAnsi="宋体" w:eastAsia="宋体" w:cs="Times New Roman"/>
                <w:szCs w:val="21"/>
                <w:lang w:val="en-US" w:eastAsia="zh-CN"/>
              </w:rPr>
              <w:t>；</w:t>
            </w:r>
          </w:p>
          <w:p w14:paraId="4E4DF1A5">
            <w:pPr>
              <w:rPr>
                <w:rFonts w:hint="default" w:ascii="宋体" w:hAnsi="宋体" w:eastAsia="宋体" w:cs="Times New Roman"/>
                <w:szCs w:val="21"/>
                <w:lang w:val="en-US" w:eastAsia="zh-CN"/>
              </w:rPr>
            </w:pPr>
            <w:r>
              <w:rPr>
                <w:rFonts w:hint="eastAsia" w:ascii="宋体" w:hAnsi="宋体" w:cs="Times New Roman"/>
                <w:szCs w:val="21"/>
                <w:lang w:val="en-US" w:eastAsia="zh-CN"/>
              </w:rPr>
              <w:t>4.</w:t>
            </w:r>
            <w:r>
              <w:rPr>
                <w:rFonts w:hint="default" w:ascii="宋体" w:hAnsi="宋体" w:eastAsia="宋体" w:cs="Times New Roman"/>
                <w:szCs w:val="21"/>
                <w:lang w:val="en-US" w:eastAsia="zh-CN"/>
              </w:rPr>
              <w:t>2．若投标人的主要单价≤主要单价评标基准价，则：</w:t>
            </w:r>
          </w:p>
          <w:p w14:paraId="73806CEA">
            <w:pPr>
              <w:rPr>
                <w:rFonts w:hint="default" w:ascii="宋体" w:hAnsi="宋体" w:eastAsia="宋体" w:cs="Times New Roman"/>
                <w:szCs w:val="21"/>
                <w:lang w:val="en-US" w:eastAsia="zh-CN"/>
              </w:rPr>
            </w:pPr>
            <w:r>
              <w:rPr>
                <w:rFonts w:hint="default" w:ascii="宋体" w:hAnsi="宋体" w:eastAsia="宋体" w:cs="Times New Roman"/>
                <w:szCs w:val="21"/>
                <w:lang w:val="en-US" w:eastAsia="zh-CN"/>
              </w:rPr>
              <w:t>主要单价得分＝</w:t>
            </w:r>
            <w:r>
              <w:rPr>
                <w:rFonts w:hint="eastAsia" w:ascii="宋体" w:hAnsi="宋体" w:cs="Times New Roman"/>
                <w:szCs w:val="21"/>
                <w:lang w:val="en-US" w:eastAsia="zh-CN"/>
              </w:rPr>
              <w:t>2</w:t>
            </w:r>
            <w:r>
              <w:rPr>
                <w:rFonts w:hint="default" w:ascii="宋体" w:hAnsi="宋体" w:eastAsia="宋体" w:cs="Times New Roman"/>
                <w:szCs w:val="21"/>
                <w:lang w:val="en-US" w:eastAsia="zh-CN"/>
              </w:rPr>
              <w:t>+偏差率×100×</w:t>
            </w:r>
            <w:r>
              <w:rPr>
                <w:rFonts w:hint="eastAsia" w:ascii="宋体" w:hAnsi="宋体" w:eastAsia="宋体" w:cs="Times New Roman"/>
                <w:szCs w:val="21"/>
                <w:lang w:val="en-US" w:eastAsia="zh-CN"/>
              </w:rPr>
              <w:t>0.01</w:t>
            </w:r>
            <w:r>
              <w:rPr>
                <w:rFonts w:hint="default" w:ascii="宋体" w:hAnsi="宋体" w:eastAsia="宋体" w:cs="Times New Roman"/>
                <w:szCs w:val="21"/>
                <w:lang w:val="en-US" w:eastAsia="zh-CN"/>
              </w:rPr>
              <w:t>；</w:t>
            </w:r>
          </w:p>
          <w:p w14:paraId="6B18EE60">
            <w:pPr>
              <w:rPr>
                <w:rFonts w:hint="default" w:ascii="宋体" w:hAnsi="宋体" w:eastAsia="宋体" w:cs="Times New Roman"/>
                <w:szCs w:val="21"/>
                <w:lang w:val="en-US" w:eastAsia="zh-CN"/>
              </w:rPr>
            </w:pPr>
            <w:r>
              <w:rPr>
                <w:rFonts w:hint="default" w:ascii="宋体" w:hAnsi="宋体" w:eastAsia="宋体" w:cs="Times New Roman"/>
                <w:szCs w:val="21"/>
                <w:lang w:val="en-US" w:eastAsia="zh-CN"/>
              </w:rPr>
              <w:t>主要单价得分分值取小数点后两位，第三位四舍五入。主要单价得分计算后小于或等于0分，则按0分计。4、主要单价的一致性：</w:t>
            </w:r>
          </w:p>
          <w:p w14:paraId="23A9F562">
            <w:pPr>
              <w:rPr>
                <w:rFonts w:hint="default" w:hAnsi="宋体" w:eastAsia="宋体"/>
                <w:b/>
                <w:bCs/>
                <w:szCs w:val="21"/>
                <w:lang w:val="en-US" w:eastAsia="zh-CN"/>
              </w:rPr>
            </w:pPr>
          </w:p>
        </w:tc>
      </w:tr>
      <w:tr w14:paraId="51BE36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26" w:type="dxa"/>
          <w:cantSplit/>
          <w:jc w:val="center"/>
        </w:trPr>
        <w:tc>
          <w:tcPr>
            <w:tcW w:w="1444" w:type="dxa"/>
            <w:gridSpan w:val="3"/>
            <w:tcBorders>
              <w:top w:val="nil"/>
              <w:bottom w:val="single" w:color="auto" w:sz="4" w:space="0"/>
              <w:right w:val="single" w:color="auto" w:sz="4" w:space="0"/>
            </w:tcBorders>
            <w:vAlign w:val="center"/>
          </w:tcPr>
          <w:p w14:paraId="0BE7F971">
            <w:pPr>
              <w:spacing w:line="440" w:lineRule="exact"/>
              <w:jc w:val="center"/>
              <w:rPr>
                <w:rFonts w:ascii="宋体" w:hAnsi="宋体"/>
                <w:b/>
                <w:szCs w:val="21"/>
              </w:rPr>
            </w:pPr>
            <w:r>
              <w:rPr>
                <w:rFonts w:ascii="宋体" w:hAnsi="宋体"/>
                <w:b/>
                <w:szCs w:val="21"/>
              </w:rPr>
              <w:t>条款号</w:t>
            </w:r>
          </w:p>
        </w:tc>
        <w:tc>
          <w:tcPr>
            <w:tcW w:w="2002" w:type="dxa"/>
            <w:gridSpan w:val="3"/>
            <w:tcBorders>
              <w:top w:val="single" w:color="auto" w:sz="4" w:space="0"/>
              <w:left w:val="single" w:color="auto" w:sz="4" w:space="0"/>
              <w:bottom w:val="single" w:color="auto" w:sz="4" w:space="0"/>
              <w:right w:val="single" w:color="auto" w:sz="4" w:space="0"/>
            </w:tcBorders>
            <w:vAlign w:val="center"/>
          </w:tcPr>
          <w:p w14:paraId="716EBAC7">
            <w:pPr>
              <w:spacing w:line="440" w:lineRule="exact"/>
              <w:jc w:val="center"/>
              <w:rPr>
                <w:rFonts w:ascii="宋体" w:hAnsi="宋体"/>
                <w:b/>
                <w:szCs w:val="21"/>
              </w:rPr>
            </w:pPr>
            <w:r>
              <w:rPr>
                <w:rFonts w:ascii="宋体" w:hAnsi="宋体"/>
                <w:b/>
                <w:szCs w:val="21"/>
              </w:rPr>
              <w:t>评分因素</w:t>
            </w:r>
          </w:p>
        </w:tc>
        <w:tc>
          <w:tcPr>
            <w:tcW w:w="5850" w:type="dxa"/>
            <w:tcBorders>
              <w:top w:val="single" w:color="auto" w:sz="4" w:space="0"/>
              <w:left w:val="single" w:color="auto" w:sz="4" w:space="0"/>
              <w:bottom w:val="single" w:color="auto" w:sz="4" w:space="0"/>
              <w:right w:val="single" w:color="auto" w:sz="4" w:space="0"/>
            </w:tcBorders>
            <w:vAlign w:val="center"/>
          </w:tcPr>
          <w:p w14:paraId="52AB3F1A">
            <w:pPr>
              <w:spacing w:line="440" w:lineRule="exact"/>
              <w:jc w:val="center"/>
              <w:rPr>
                <w:rFonts w:ascii="宋体" w:hAnsi="宋体"/>
                <w:b/>
                <w:szCs w:val="21"/>
              </w:rPr>
            </w:pPr>
            <w:r>
              <w:rPr>
                <w:rFonts w:ascii="宋体" w:hAnsi="宋体"/>
                <w:b/>
                <w:szCs w:val="21"/>
              </w:rPr>
              <w:t>评分标准</w:t>
            </w:r>
          </w:p>
        </w:tc>
      </w:tr>
      <w:tr w14:paraId="369506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26" w:type="dxa"/>
          <w:cantSplit/>
          <w:trHeight w:val="1399" w:hRule="atLeast"/>
          <w:jc w:val="center"/>
        </w:trPr>
        <w:tc>
          <w:tcPr>
            <w:tcW w:w="753" w:type="dxa"/>
            <w:vMerge w:val="restart"/>
            <w:tcBorders>
              <w:top w:val="single" w:color="auto" w:sz="4" w:space="0"/>
              <w:right w:val="single" w:color="auto" w:sz="4" w:space="0"/>
            </w:tcBorders>
            <w:vAlign w:val="center"/>
          </w:tcPr>
          <w:p w14:paraId="31CAC5EB">
            <w:pPr>
              <w:spacing w:line="440" w:lineRule="exact"/>
              <w:jc w:val="center"/>
              <w:rPr>
                <w:rFonts w:hint="eastAsia" w:ascii="宋体" w:hAnsi="宋体" w:eastAsia="宋体"/>
                <w:szCs w:val="21"/>
                <w:lang w:eastAsia="zh-CN"/>
              </w:rPr>
            </w:pPr>
            <w:r>
              <w:rPr>
                <w:rFonts w:ascii="宋体" w:hAnsi="宋体"/>
                <w:szCs w:val="21"/>
              </w:rPr>
              <w:t>2.4.</w:t>
            </w:r>
            <w:r>
              <w:rPr>
                <w:rFonts w:hint="eastAsia" w:ascii="宋体" w:hAnsi="宋体"/>
                <w:szCs w:val="21"/>
                <w:lang w:val="en-US" w:eastAsia="zh-CN"/>
              </w:rPr>
              <w:t>1</w:t>
            </w:r>
          </w:p>
        </w:tc>
        <w:tc>
          <w:tcPr>
            <w:tcW w:w="691" w:type="dxa"/>
            <w:gridSpan w:val="2"/>
            <w:vMerge w:val="restart"/>
            <w:tcBorders>
              <w:top w:val="single" w:color="auto" w:sz="4" w:space="0"/>
              <w:right w:val="single" w:color="auto" w:sz="4" w:space="0"/>
            </w:tcBorders>
            <w:vAlign w:val="center"/>
          </w:tcPr>
          <w:p w14:paraId="238E28D8">
            <w:pPr>
              <w:spacing w:line="440" w:lineRule="exact"/>
              <w:jc w:val="center"/>
              <w:rPr>
                <w:rFonts w:hint="default" w:ascii="宋体" w:hAnsi="宋体" w:eastAsia="宋体"/>
                <w:szCs w:val="21"/>
                <w:lang w:val="en-US" w:eastAsia="zh-CN"/>
              </w:rPr>
            </w:pPr>
            <w:r>
              <w:rPr>
                <w:rFonts w:hint="eastAsia" w:ascii="宋体" w:hAnsi="宋体"/>
                <w:b/>
                <w:bCs/>
                <w:szCs w:val="21"/>
                <w:lang w:val="en-US" w:eastAsia="zh-CN"/>
              </w:rPr>
              <w:t>施工组织设计（55分）</w:t>
            </w:r>
          </w:p>
        </w:tc>
        <w:tc>
          <w:tcPr>
            <w:tcW w:w="2002" w:type="dxa"/>
            <w:gridSpan w:val="3"/>
            <w:tcBorders>
              <w:top w:val="single" w:color="auto" w:sz="4" w:space="0"/>
              <w:left w:val="single" w:color="auto" w:sz="4" w:space="0"/>
              <w:right w:val="single" w:color="auto" w:sz="4" w:space="0"/>
            </w:tcBorders>
            <w:vAlign w:val="center"/>
          </w:tcPr>
          <w:p w14:paraId="1F2744CF">
            <w:pPr>
              <w:spacing w:line="360" w:lineRule="auto"/>
              <w:jc w:val="center"/>
              <w:rPr>
                <w:rFonts w:ascii="宋体" w:hAnsi="宋体"/>
                <w:szCs w:val="21"/>
              </w:rPr>
            </w:pPr>
            <w:r>
              <w:rPr>
                <w:rFonts w:hint="eastAsia" w:ascii="宋体" w:hAnsi="宋体" w:cs="Tahoma"/>
                <w:b/>
                <w:bCs/>
                <w:color w:val="auto"/>
                <w:kern w:val="0"/>
                <w:sz w:val="22"/>
                <w:szCs w:val="22"/>
                <w:highlight w:val="none"/>
              </w:rPr>
              <w:t>施工总布置（</w:t>
            </w:r>
            <w:r>
              <w:rPr>
                <w:rFonts w:hint="eastAsia" w:ascii="宋体" w:hAnsi="宋体" w:cs="Tahoma"/>
                <w:b/>
                <w:bCs/>
                <w:color w:val="auto"/>
                <w:kern w:val="0"/>
                <w:sz w:val="22"/>
                <w:szCs w:val="22"/>
                <w:highlight w:val="none"/>
                <w:lang w:val="en-US" w:eastAsia="zh-CN"/>
              </w:rPr>
              <w:t>15</w:t>
            </w:r>
            <w:r>
              <w:rPr>
                <w:rFonts w:hint="eastAsia" w:ascii="宋体" w:hAnsi="宋体" w:cs="Tahoma"/>
                <w:b/>
                <w:bCs/>
                <w:color w:val="auto"/>
                <w:kern w:val="0"/>
                <w:sz w:val="22"/>
                <w:szCs w:val="22"/>
                <w:highlight w:val="none"/>
              </w:rPr>
              <w:t>分）</w:t>
            </w:r>
          </w:p>
        </w:tc>
        <w:tc>
          <w:tcPr>
            <w:tcW w:w="5850" w:type="dxa"/>
            <w:tcBorders>
              <w:top w:val="single" w:color="auto" w:sz="4" w:space="0"/>
              <w:left w:val="single" w:color="auto" w:sz="4" w:space="0"/>
              <w:right w:val="single" w:color="auto" w:sz="4" w:space="0"/>
            </w:tcBorders>
            <w:vAlign w:val="center"/>
          </w:tcPr>
          <w:p w14:paraId="728F7609">
            <w:pPr>
              <w:autoSpaceDE w:val="0"/>
              <w:autoSpaceDN w:val="0"/>
              <w:adjustRightInd w:val="0"/>
              <w:spacing w:after="0" w:line="240" w:lineRule="auto"/>
              <w:rPr>
                <w:rFonts w:hint="eastAsia" w:ascii="宋体" w:hAnsi="宋体" w:eastAsia="宋体" w:cs="Tahoma"/>
                <w:color w:val="auto"/>
                <w:kern w:val="0"/>
                <w:sz w:val="22"/>
                <w:szCs w:val="22"/>
                <w:highlight w:val="none"/>
                <w:lang w:val="en-US" w:eastAsia="zh-CN"/>
              </w:rPr>
            </w:pPr>
            <w:r>
              <w:rPr>
                <w:rFonts w:hint="eastAsia" w:ascii="宋体" w:hAnsi="宋体" w:eastAsia="宋体" w:cs="Tahoma"/>
                <w:color w:val="auto"/>
                <w:kern w:val="0"/>
                <w:sz w:val="22"/>
                <w:szCs w:val="22"/>
                <w:highlight w:val="none"/>
                <w:lang w:val="en-US" w:eastAsia="zh-CN"/>
              </w:rPr>
              <w:t>第一个档次（10-15分）：</w:t>
            </w:r>
            <w:r>
              <w:rPr>
                <w:rFonts w:hint="eastAsia" w:ascii="宋体" w:hAnsi="宋体" w:eastAsia="宋体" w:cs="Tahoma"/>
                <w:color w:val="auto"/>
                <w:kern w:val="0"/>
                <w:sz w:val="22"/>
                <w:szCs w:val="22"/>
                <w:highlight w:val="none"/>
              </w:rPr>
              <w:t>施工内容布置合理，施工辅助企业和临时设施内容全面</w:t>
            </w:r>
            <w:r>
              <w:rPr>
                <w:rFonts w:hint="eastAsia" w:ascii="宋体" w:hAnsi="宋体" w:eastAsia="宋体" w:cs="Tahoma"/>
                <w:color w:val="auto"/>
                <w:kern w:val="0"/>
                <w:sz w:val="22"/>
                <w:szCs w:val="22"/>
                <w:highlight w:val="none"/>
                <w:lang w:val="en-US" w:eastAsia="zh-CN"/>
              </w:rPr>
              <w:t>；</w:t>
            </w:r>
          </w:p>
          <w:p w14:paraId="449A0493">
            <w:pPr>
              <w:autoSpaceDE w:val="0"/>
              <w:autoSpaceDN w:val="0"/>
              <w:adjustRightInd w:val="0"/>
              <w:spacing w:after="0" w:line="240" w:lineRule="auto"/>
              <w:rPr>
                <w:rFonts w:hint="eastAsia" w:ascii="宋体" w:hAnsi="宋体" w:eastAsia="宋体" w:cs="Tahoma"/>
                <w:color w:val="auto"/>
                <w:kern w:val="0"/>
                <w:sz w:val="22"/>
                <w:szCs w:val="22"/>
                <w:highlight w:val="none"/>
                <w:lang w:val="en-US" w:eastAsia="zh-CN"/>
              </w:rPr>
            </w:pPr>
            <w:r>
              <w:rPr>
                <w:rFonts w:hint="eastAsia" w:ascii="宋体" w:hAnsi="宋体" w:eastAsia="宋体" w:cs="Tahoma"/>
                <w:color w:val="auto"/>
                <w:kern w:val="0"/>
                <w:sz w:val="22"/>
                <w:szCs w:val="22"/>
                <w:highlight w:val="none"/>
                <w:lang w:val="en-US" w:eastAsia="zh-CN"/>
              </w:rPr>
              <w:t>第二个档次（6-9分）：施工总布置基本合理、</w:t>
            </w:r>
            <w:r>
              <w:rPr>
                <w:rFonts w:hint="eastAsia" w:ascii="宋体" w:hAnsi="宋体" w:eastAsia="宋体" w:cs="Tahoma"/>
                <w:color w:val="auto"/>
                <w:kern w:val="0"/>
                <w:sz w:val="22"/>
                <w:szCs w:val="22"/>
                <w:highlight w:val="none"/>
              </w:rPr>
              <w:t>施工辅助企业和临时设施内容</w:t>
            </w:r>
            <w:r>
              <w:rPr>
                <w:rFonts w:hint="eastAsia" w:ascii="宋体" w:hAnsi="宋体" w:eastAsia="宋体" w:cs="Tahoma"/>
                <w:color w:val="auto"/>
                <w:kern w:val="0"/>
                <w:sz w:val="22"/>
                <w:szCs w:val="22"/>
                <w:highlight w:val="none"/>
                <w:lang w:val="en-US" w:eastAsia="zh-CN"/>
              </w:rPr>
              <w:t>合理但存在一些问题的；</w:t>
            </w:r>
          </w:p>
          <w:p w14:paraId="6FB02A3B">
            <w:pPr>
              <w:autoSpaceDE w:val="0"/>
              <w:autoSpaceDN w:val="0"/>
              <w:adjustRightInd w:val="0"/>
              <w:spacing w:after="0" w:line="240" w:lineRule="auto"/>
              <w:rPr>
                <w:rFonts w:hint="eastAsia" w:ascii="宋体" w:hAnsi="宋体" w:eastAsia="宋体" w:cs="Tahoma"/>
                <w:color w:val="auto"/>
                <w:kern w:val="0"/>
                <w:sz w:val="22"/>
                <w:szCs w:val="22"/>
                <w:highlight w:val="none"/>
                <w:lang w:val="en-US" w:eastAsia="zh-CN"/>
              </w:rPr>
            </w:pPr>
            <w:r>
              <w:rPr>
                <w:rFonts w:hint="eastAsia" w:ascii="宋体" w:hAnsi="宋体" w:eastAsia="宋体" w:cs="Tahoma"/>
                <w:color w:val="auto"/>
                <w:kern w:val="0"/>
                <w:sz w:val="22"/>
                <w:szCs w:val="22"/>
                <w:highlight w:val="none"/>
                <w:lang w:val="en-US" w:eastAsia="zh-CN"/>
              </w:rPr>
              <w:t>第三个档次（1-5分）：施工总布置、</w:t>
            </w:r>
            <w:r>
              <w:rPr>
                <w:rFonts w:hint="eastAsia" w:ascii="宋体" w:hAnsi="宋体" w:eastAsia="宋体" w:cs="Tahoma"/>
                <w:color w:val="auto"/>
                <w:kern w:val="0"/>
                <w:sz w:val="22"/>
                <w:szCs w:val="22"/>
                <w:highlight w:val="none"/>
              </w:rPr>
              <w:t>施工辅助企业和临时设施内容</w:t>
            </w:r>
            <w:r>
              <w:rPr>
                <w:rFonts w:hint="eastAsia" w:ascii="宋体" w:hAnsi="宋体" w:eastAsia="宋体" w:cs="Tahoma"/>
                <w:color w:val="auto"/>
                <w:kern w:val="0"/>
                <w:sz w:val="22"/>
                <w:szCs w:val="22"/>
                <w:highlight w:val="none"/>
                <w:lang w:val="en-US" w:eastAsia="zh-CN"/>
              </w:rPr>
              <w:t>有明显错误的。</w:t>
            </w:r>
          </w:p>
          <w:p w14:paraId="429D04CA">
            <w:pPr>
              <w:autoSpaceDE w:val="0"/>
              <w:autoSpaceDN w:val="0"/>
              <w:adjustRightInd w:val="0"/>
              <w:spacing w:after="0" w:line="240" w:lineRule="auto"/>
              <w:rPr>
                <w:rFonts w:hint="eastAsia" w:ascii="宋体" w:hAnsi="宋体" w:eastAsia="宋体" w:cs="Tahoma"/>
                <w:color w:val="auto"/>
                <w:kern w:val="0"/>
                <w:sz w:val="22"/>
                <w:szCs w:val="22"/>
                <w:highlight w:val="none"/>
              </w:rPr>
            </w:pPr>
            <w:r>
              <w:rPr>
                <w:rFonts w:hint="eastAsia" w:ascii="宋体" w:hAnsi="宋体" w:eastAsia="宋体" w:cs="Tahoma"/>
                <w:color w:val="auto"/>
                <w:kern w:val="0"/>
                <w:sz w:val="22"/>
                <w:szCs w:val="22"/>
                <w:highlight w:val="none"/>
                <w:lang w:val="en-US" w:eastAsia="zh-CN"/>
              </w:rPr>
              <w:t>注：无施工技术方案的,得0分。</w:t>
            </w:r>
          </w:p>
        </w:tc>
      </w:tr>
      <w:tr w14:paraId="669FAA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26" w:type="dxa"/>
          <w:cantSplit/>
          <w:trHeight w:val="1399" w:hRule="atLeast"/>
          <w:jc w:val="center"/>
        </w:trPr>
        <w:tc>
          <w:tcPr>
            <w:tcW w:w="753" w:type="dxa"/>
            <w:vMerge w:val="continue"/>
            <w:tcBorders>
              <w:right w:val="single" w:color="auto" w:sz="4" w:space="0"/>
            </w:tcBorders>
            <w:vAlign w:val="center"/>
          </w:tcPr>
          <w:p w14:paraId="3AC5367D">
            <w:pPr>
              <w:spacing w:line="440" w:lineRule="exact"/>
              <w:jc w:val="center"/>
              <w:rPr>
                <w:rFonts w:ascii="宋体" w:hAnsi="宋体"/>
                <w:szCs w:val="21"/>
              </w:rPr>
            </w:pPr>
          </w:p>
        </w:tc>
        <w:tc>
          <w:tcPr>
            <w:tcW w:w="691" w:type="dxa"/>
            <w:gridSpan w:val="2"/>
            <w:vMerge w:val="continue"/>
            <w:tcBorders>
              <w:right w:val="single" w:color="auto" w:sz="4" w:space="0"/>
            </w:tcBorders>
            <w:vAlign w:val="center"/>
          </w:tcPr>
          <w:p w14:paraId="72728388">
            <w:pPr>
              <w:spacing w:line="440" w:lineRule="exact"/>
              <w:jc w:val="center"/>
              <w:rPr>
                <w:rFonts w:hint="eastAsia" w:ascii="宋体" w:hAnsi="宋体"/>
                <w:szCs w:val="21"/>
                <w:lang w:val="en-US" w:eastAsia="zh-CN"/>
              </w:rPr>
            </w:pPr>
          </w:p>
        </w:tc>
        <w:tc>
          <w:tcPr>
            <w:tcW w:w="2002" w:type="dxa"/>
            <w:gridSpan w:val="3"/>
            <w:tcBorders>
              <w:top w:val="single" w:color="auto" w:sz="4" w:space="0"/>
              <w:left w:val="single" w:color="auto" w:sz="4" w:space="0"/>
              <w:right w:val="single" w:color="auto" w:sz="4" w:space="0"/>
            </w:tcBorders>
            <w:vAlign w:val="center"/>
          </w:tcPr>
          <w:p w14:paraId="4B82FB4D">
            <w:pPr>
              <w:spacing w:line="360" w:lineRule="auto"/>
              <w:jc w:val="center"/>
              <w:rPr>
                <w:rFonts w:hint="eastAsia" w:ascii="宋体" w:hAnsi="宋体" w:cs="Tahoma"/>
                <w:b/>
                <w:bCs/>
                <w:color w:val="auto"/>
                <w:kern w:val="0"/>
                <w:sz w:val="22"/>
                <w:szCs w:val="22"/>
                <w:highlight w:val="none"/>
              </w:rPr>
            </w:pPr>
            <w:r>
              <w:rPr>
                <w:rFonts w:hint="eastAsia" w:ascii="宋体" w:hAnsi="宋体" w:cs="Tahoma"/>
                <w:b/>
                <w:bCs/>
                <w:color w:val="auto"/>
                <w:kern w:val="0"/>
                <w:sz w:val="22"/>
                <w:szCs w:val="22"/>
                <w:highlight w:val="none"/>
              </w:rPr>
              <w:t>施工方案与措施（</w:t>
            </w:r>
            <w:r>
              <w:rPr>
                <w:rFonts w:hint="eastAsia" w:ascii="宋体" w:hAnsi="宋体" w:cs="Tahoma"/>
                <w:b/>
                <w:bCs/>
                <w:color w:val="auto"/>
                <w:kern w:val="0"/>
                <w:sz w:val="22"/>
                <w:szCs w:val="22"/>
                <w:highlight w:val="none"/>
                <w:lang w:val="en-US" w:eastAsia="zh-CN"/>
              </w:rPr>
              <w:t>15</w:t>
            </w:r>
            <w:r>
              <w:rPr>
                <w:rFonts w:hint="eastAsia" w:ascii="宋体" w:hAnsi="宋体" w:cs="Tahoma"/>
                <w:b/>
                <w:bCs/>
                <w:color w:val="auto"/>
                <w:kern w:val="0"/>
                <w:sz w:val="22"/>
                <w:szCs w:val="22"/>
                <w:highlight w:val="none"/>
              </w:rPr>
              <w:t>分）</w:t>
            </w:r>
          </w:p>
        </w:tc>
        <w:tc>
          <w:tcPr>
            <w:tcW w:w="5850" w:type="dxa"/>
            <w:tcBorders>
              <w:top w:val="single" w:color="auto" w:sz="4" w:space="0"/>
              <w:left w:val="single" w:color="auto" w:sz="4" w:space="0"/>
              <w:right w:val="single" w:color="auto" w:sz="4" w:space="0"/>
            </w:tcBorders>
            <w:vAlign w:val="center"/>
          </w:tcPr>
          <w:p w14:paraId="378F9091">
            <w:pPr>
              <w:autoSpaceDE w:val="0"/>
              <w:autoSpaceDN w:val="0"/>
              <w:adjustRightInd w:val="0"/>
              <w:spacing w:after="0" w:line="240" w:lineRule="auto"/>
              <w:rPr>
                <w:rFonts w:hint="eastAsia" w:ascii="宋体" w:hAnsi="宋体" w:eastAsia="宋体" w:cs="Tahoma"/>
                <w:color w:val="auto"/>
                <w:kern w:val="0"/>
                <w:sz w:val="22"/>
                <w:szCs w:val="22"/>
                <w:highlight w:val="none"/>
                <w:lang w:val="en-US" w:eastAsia="zh-CN"/>
              </w:rPr>
            </w:pPr>
            <w:r>
              <w:rPr>
                <w:rFonts w:hint="eastAsia" w:ascii="宋体" w:hAnsi="宋体" w:eastAsia="宋体" w:cs="Tahoma"/>
                <w:color w:val="auto"/>
                <w:kern w:val="0"/>
                <w:sz w:val="22"/>
                <w:szCs w:val="22"/>
                <w:highlight w:val="none"/>
                <w:lang w:val="en-US" w:eastAsia="zh-CN"/>
              </w:rPr>
              <w:t>第一个档次（10-15分）：施工技术方案合理且能指导施工，施工措施具体且有针对性，施工部署全面的；</w:t>
            </w:r>
          </w:p>
          <w:p w14:paraId="73B2284D">
            <w:pPr>
              <w:autoSpaceDE w:val="0"/>
              <w:autoSpaceDN w:val="0"/>
              <w:adjustRightInd w:val="0"/>
              <w:spacing w:after="0" w:line="240" w:lineRule="auto"/>
              <w:rPr>
                <w:rFonts w:hint="eastAsia" w:ascii="宋体" w:hAnsi="宋体" w:eastAsia="宋体" w:cs="Tahoma"/>
                <w:color w:val="auto"/>
                <w:kern w:val="0"/>
                <w:sz w:val="22"/>
                <w:szCs w:val="22"/>
                <w:highlight w:val="none"/>
                <w:lang w:val="en-US" w:eastAsia="zh-CN"/>
              </w:rPr>
            </w:pPr>
            <w:r>
              <w:rPr>
                <w:rFonts w:hint="eastAsia" w:ascii="宋体" w:hAnsi="宋体" w:eastAsia="宋体" w:cs="Tahoma"/>
                <w:color w:val="auto"/>
                <w:kern w:val="0"/>
                <w:sz w:val="22"/>
                <w:szCs w:val="22"/>
                <w:highlight w:val="none"/>
                <w:lang w:val="en-US" w:eastAsia="zh-CN"/>
              </w:rPr>
              <w:t>第二个档次（6-9分）：施工技术方案基本合理、对施工缺乏指导性，施工措施、施工部署基本合理但存在一些问题的；</w:t>
            </w:r>
          </w:p>
          <w:p w14:paraId="0E99C262">
            <w:pPr>
              <w:autoSpaceDE w:val="0"/>
              <w:autoSpaceDN w:val="0"/>
              <w:adjustRightInd w:val="0"/>
              <w:spacing w:after="0" w:line="240" w:lineRule="auto"/>
              <w:rPr>
                <w:rFonts w:hint="eastAsia" w:ascii="宋体" w:hAnsi="宋体" w:eastAsia="宋体" w:cs="Tahoma"/>
                <w:color w:val="auto"/>
                <w:kern w:val="0"/>
                <w:sz w:val="22"/>
                <w:szCs w:val="22"/>
                <w:highlight w:val="none"/>
                <w:lang w:val="en-US" w:eastAsia="zh-CN"/>
              </w:rPr>
            </w:pPr>
            <w:r>
              <w:rPr>
                <w:rFonts w:hint="eastAsia" w:ascii="宋体" w:hAnsi="宋体" w:eastAsia="宋体" w:cs="Tahoma"/>
                <w:color w:val="auto"/>
                <w:kern w:val="0"/>
                <w:sz w:val="22"/>
                <w:szCs w:val="22"/>
                <w:highlight w:val="none"/>
                <w:lang w:val="en-US" w:eastAsia="zh-CN"/>
              </w:rPr>
              <w:t>第三个档次（1-5分）：施工技术方案、施工措施、施工部署存在有明显错误的。</w:t>
            </w:r>
          </w:p>
          <w:p w14:paraId="5E75C3F1">
            <w:pPr>
              <w:autoSpaceDE w:val="0"/>
              <w:autoSpaceDN w:val="0"/>
              <w:adjustRightInd w:val="0"/>
              <w:spacing w:after="0" w:line="240" w:lineRule="auto"/>
              <w:rPr>
                <w:rFonts w:hint="eastAsia" w:ascii="宋体" w:hAnsi="宋体" w:eastAsia="宋体" w:cs="Tahoma"/>
                <w:color w:val="auto"/>
                <w:kern w:val="0"/>
                <w:sz w:val="22"/>
                <w:szCs w:val="22"/>
                <w:highlight w:val="none"/>
              </w:rPr>
            </w:pPr>
            <w:r>
              <w:rPr>
                <w:rFonts w:hint="eastAsia" w:ascii="宋体" w:hAnsi="宋体" w:eastAsia="宋体" w:cs="Tahoma"/>
                <w:color w:val="auto"/>
                <w:kern w:val="0"/>
                <w:sz w:val="22"/>
                <w:szCs w:val="22"/>
                <w:highlight w:val="none"/>
                <w:lang w:val="en-US" w:eastAsia="zh-CN"/>
              </w:rPr>
              <w:t>注：无施工技术方案的,得0分。</w:t>
            </w:r>
          </w:p>
        </w:tc>
      </w:tr>
      <w:tr w14:paraId="7818CE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26" w:type="dxa"/>
          <w:cantSplit/>
          <w:trHeight w:val="1399" w:hRule="atLeast"/>
          <w:jc w:val="center"/>
        </w:trPr>
        <w:tc>
          <w:tcPr>
            <w:tcW w:w="753" w:type="dxa"/>
            <w:vMerge w:val="continue"/>
            <w:tcBorders>
              <w:right w:val="single" w:color="auto" w:sz="4" w:space="0"/>
            </w:tcBorders>
            <w:vAlign w:val="center"/>
          </w:tcPr>
          <w:p w14:paraId="7AD1127B">
            <w:pPr>
              <w:spacing w:line="440" w:lineRule="exact"/>
              <w:jc w:val="center"/>
              <w:rPr>
                <w:rFonts w:ascii="宋体" w:hAnsi="宋体"/>
                <w:szCs w:val="21"/>
              </w:rPr>
            </w:pPr>
          </w:p>
        </w:tc>
        <w:tc>
          <w:tcPr>
            <w:tcW w:w="691" w:type="dxa"/>
            <w:gridSpan w:val="2"/>
            <w:vMerge w:val="continue"/>
            <w:tcBorders>
              <w:right w:val="single" w:color="auto" w:sz="4" w:space="0"/>
            </w:tcBorders>
            <w:vAlign w:val="center"/>
          </w:tcPr>
          <w:p w14:paraId="7A706F6A">
            <w:pPr>
              <w:spacing w:line="440" w:lineRule="exact"/>
              <w:jc w:val="center"/>
              <w:rPr>
                <w:rFonts w:hint="eastAsia" w:ascii="宋体" w:hAnsi="宋体"/>
                <w:szCs w:val="21"/>
                <w:lang w:val="en-US" w:eastAsia="zh-CN"/>
              </w:rPr>
            </w:pPr>
          </w:p>
        </w:tc>
        <w:tc>
          <w:tcPr>
            <w:tcW w:w="2002" w:type="dxa"/>
            <w:gridSpan w:val="3"/>
            <w:tcBorders>
              <w:top w:val="single" w:color="auto" w:sz="4" w:space="0"/>
              <w:left w:val="single" w:color="auto" w:sz="4" w:space="0"/>
              <w:right w:val="single" w:color="auto" w:sz="4" w:space="0"/>
            </w:tcBorders>
            <w:vAlign w:val="center"/>
          </w:tcPr>
          <w:p w14:paraId="0A923BCA">
            <w:pPr>
              <w:spacing w:line="360" w:lineRule="auto"/>
              <w:jc w:val="center"/>
              <w:rPr>
                <w:rFonts w:hint="eastAsia" w:ascii="宋体" w:hAnsi="宋体" w:cs="Tahoma"/>
                <w:b/>
                <w:bCs/>
                <w:color w:val="auto"/>
                <w:kern w:val="0"/>
                <w:sz w:val="22"/>
                <w:szCs w:val="22"/>
                <w:highlight w:val="none"/>
              </w:rPr>
            </w:pPr>
            <w:r>
              <w:rPr>
                <w:rFonts w:hint="eastAsia" w:ascii="宋体" w:hAnsi="宋体" w:cs="Tahoma"/>
                <w:b/>
                <w:bCs/>
                <w:color w:val="auto"/>
                <w:kern w:val="0"/>
                <w:sz w:val="22"/>
                <w:szCs w:val="22"/>
                <w:highlight w:val="none"/>
              </w:rPr>
              <w:t>质量管理体系与措施（</w:t>
            </w:r>
            <w:r>
              <w:rPr>
                <w:rFonts w:hint="eastAsia" w:ascii="宋体" w:hAnsi="宋体" w:cs="Tahoma"/>
                <w:b/>
                <w:bCs/>
                <w:color w:val="auto"/>
                <w:kern w:val="0"/>
                <w:sz w:val="22"/>
                <w:szCs w:val="22"/>
                <w:highlight w:val="none"/>
                <w:lang w:val="en-US" w:eastAsia="zh-CN"/>
              </w:rPr>
              <w:t>5</w:t>
            </w:r>
            <w:r>
              <w:rPr>
                <w:rFonts w:hint="eastAsia" w:ascii="宋体" w:hAnsi="宋体" w:cs="Tahoma"/>
                <w:b/>
                <w:bCs/>
                <w:color w:val="auto"/>
                <w:kern w:val="0"/>
                <w:sz w:val="22"/>
                <w:szCs w:val="22"/>
                <w:highlight w:val="none"/>
              </w:rPr>
              <w:t>分）</w:t>
            </w:r>
          </w:p>
        </w:tc>
        <w:tc>
          <w:tcPr>
            <w:tcW w:w="5850" w:type="dxa"/>
            <w:tcBorders>
              <w:top w:val="single" w:color="auto" w:sz="4" w:space="0"/>
              <w:left w:val="single" w:color="auto" w:sz="4" w:space="0"/>
              <w:right w:val="single" w:color="auto" w:sz="4" w:space="0"/>
            </w:tcBorders>
            <w:vAlign w:val="center"/>
          </w:tcPr>
          <w:p w14:paraId="4ACA07B0">
            <w:pPr>
              <w:autoSpaceDE w:val="0"/>
              <w:autoSpaceDN w:val="0"/>
              <w:adjustRightInd w:val="0"/>
              <w:spacing w:after="0" w:line="240" w:lineRule="auto"/>
              <w:rPr>
                <w:rFonts w:hint="eastAsia" w:ascii="宋体" w:hAnsi="宋体" w:eastAsia="宋体" w:cs="Tahoma"/>
                <w:color w:val="auto"/>
                <w:kern w:val="0"/>
                <w:sz w:val="22"/>
                <w:szCs w:val="22"/>
                <w:highlight w:val="none"/>
                <w:lang w:val="en-US" w:eastAsia="zh-CN"/>
              </w:rPr>
            </w:pPr>
            <w:r>
              <w:rPr>
                <w:rFonts w:hint="eastAsia" w:ascii="宋体" w:hAnsi="宋体" w:eastAsia="宋体" w:cs="Tahoma"/>
                <w:color w:val="auto"/>
                <w:kern w:val="0"/>
                <w:sz w:val="22"/>
                <w:szCs w:val="22"/>
                <w:highlight w:val="none"/>
                <w:lang w:val="en-US" w:eastAsia="zh-CN"/>
              </w:rPr>
              <w:t>第一个档次（5分）：质量承诺满足招标文件且有具体的违约责任承诺，质量保证措施合理且有针对性的；</w:t>
            </w:r>
          </w:p>
          <w:p w14:paraId="2533455A">
            <w:pPr>
              <w:autoSpaceDE w:val="0"/>
              <w:autoSpaceDN w:val="0"/>
              <w:adjustRightInd w:val="0"/>
              <w:spacing w:after="0" w:line="240" w:lineRule="auto"/>
              <w:rPr>
                <w:rFonts w:hint="eastAsia" w:ascii="宋体" w:hAnsi="宋体" w:eastAsia="宋体" w:cs="Tahoma"/>
                <w:color w:val="auto"/>
                <w:kern w:val="0"/>
                <w:sz w:val="22"/>
                <w:szCs w:val="22"/>
                <w:highlight w:val="none"/>
                <w:lang w:val="en-US" w:eastAsia="zh-CN"/>
              </w:rPr>
            </w:pPr>
            <w:r>
              <w:rPr>
                <w:rFonts w:hint="eastAsia" w:ascii="宋体" w:hAnsi="宋体" w:eastAsia="宋体" w:cs="Tahoma"/>
                <w:color w:val="auto"/>
                <w:kern w:val="0"/>
                <w:sz w:val="22"/>
                <w:szCs w:val="22"/>
                <w:highlight w:val="none"/>
                <w:lang w:val="en-US" w:eastAsia="zh-CN"/>
              </w:rPr>
              <w:t>第二个档次（3-4分）：质量承诺满足招标文件且有具体的违约责任承诺，质量保证措施基本合理的；</w:t>
            </w:r>
          </w:p>
          <w:p w14:paraId="6763AF0B">
            <w:pPr>
              <w:autoSpaceDE w:val="0"/>
              <w:autoSpaceDN w:val="0"/>
              <w:adjustRightInd w:val="0"/>
              <w:spacing w:after="0" w:line="240" w:lineRule="auto"/>
              <w:rPr>
                <w:rFonts w:hint="eastAsia" w:ascii="宋体" w:hAnsi="宋体" w:eastAsia="宋体" w:cs="Tahoma"/>
                <w:color w:val="auto"/>
                <w:kern w:val="0"/>
                <w:sz w:val="22"/>
                <w:szCs w:val="22"/>
                <w:highlight w:val="none"/>
                <w:lang w:val="en-US" w:eastAsia="zh-CN"/>
              </w:rPr>
            </w:pPr>
            <w:r>
              <w:rPr>
                <w:rFonts w:hint="eastAsia" w:ascii="宋体" w:hAnsi="宋体" w:eastAsia="宋体" w:cs="Tahoma"/>
                <w:color w:val="auto"/>
                <w:kern w:val="0"/>
                <w:sz w:val="22"/>
                <w:szCs w:val="22"/>
                <w:highlight w:val="none"/>
                <w:lang w:val="en-US" w:eastAsia="zh-CN"/>
              </w:rPr>
              <w:t>第三个档次（1-2分）：质量承诺满足招标文件且有具体的违约责任承诺，质量保证措施存在问题的。</w:t>
            </w:r>
          </w:p>
          <w:p w14:paraId="6453B49E">
            <w:pPr>
              <w:autoSpaceDE w:val="0"/>
              <w:autoSpaceDN w:val="0"/>
              <w:adjustRightInd w:val="0"/>
              <w:spacing w:after="0" w:line="240" w:lineRule="auto"/>
              <w:rPr>
                <w:rFonts w:hint="eastAsia" w:ascii="宋体" w:hAnsi="宋体" w:eastAsia="宋体" w:cs="Tahoma"/>
                <w:color w:val="auto"/>
                <w:kern w:val="0"/>
                <w:sz w:val="22"/>
                <w:szCs w:val="22"/>
                <w:highlight w:val="none"/>
              </w:rPr>
            </w:pPr>
            <w:r>
              <w:rPr>
                <w:rFonts w:hint="eastAsia" w:ascii="宋体" w:hAnsi="宋体" w:eastAsia="宋体" w:cs="Tahoma"/>
                <w:color w:val="auto"/>
                <w:kern w:val="0"/>
                <w:sz w:val="22"/>
                <w:szCs w:val="22"/>
                <w:highlight w:val="none"/>
                <w:lang w:val="en-US" w:eastAsia="zh-CN"/>
              </w:rPr>
              <w:t>注：无质量保证措施或无具体的违约责任承诺的，得0分。</w:t>
            </w:r>
          </w:p>
        </w:tc>
      </w:tr>
      <w:tr w14:paraId="6A873B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26" w:type="dxa"/>
          <w:cantSplit/>
          <w:trHeight w:val="1399" w:hRule="atLeast"/>
          <w:jc w:val="center"/>
        </w:trPr>
        <w:tc>
          <w:tcPr>
            <w:tcW w:w="753" w:type="dxa"/>
            <w:vMerge w:val="continue"/>
            <w:tcBorders>
              <w:right w:val="single" w:color="auto" w:sz="4" w:space="0"/>
            </w:tcBorders>
            <w:vAlign w:val="center"/>
          </w:tcPr>
          <w:p w14:paraId="064343C4">
            <w:pPr>
              <w:spacing w:line="440" w:lineRule="exact"/>
              <w:jc w:val="center"/>
              <w:rPr>
                <w:rFonts w:ascii="宋体" w:hAnsi="宋体"/>
                <w:szCs w:val="21"/>
              </w:rPr>
            </w:pPr>
          </w:p>
        </w:tc>
        <w:tc>
          <w:tcPr>
            <w:tcW w:w="691" w:type="dxa"/>
            <w:gridSpan w:val="2"/>
            <w:vMerge w:val="continue"/>
            <w:tcBorders>
              <w:right w:val="single" w:color="auto" w:sz="4" w:space="0"/>
            </w:tcBorders>
            <w:vAlign w:val="center"/>
          </w:tcPr>
          <w:p w14:paraId="2B3E465F">
            <w:pPr>
              <w:spacing w:line="440" w:lineRule="exact"/>
              <w:jc w:val="center"/>
              <w:rPr>
                <w:rFonts w:hint="eastAsia" w:ascii="宋体" w:hAnsi="宋体"/>
                <w:szCs w:val="21"/>
                <w:lang w:val="en-US" w:eastAsia="zh-CN"/>
              </w:rPr>
            </w:pPr>
          </w:p>
        </w:tc>
        <w:tc>
          <w:tcPr>
            <w:tcW w:w="2002" w:type="dxa"/>
            <w:gridSpan w:val="3"/>
            <w:tcBorders>
              <w:top w:val="single" w:color="auto" w:sz="4" w:space="0"/>
              <w:left w:val="single" w:color="auto" w:sz="4" w:space="0"/>
              <w:right w:val="single" w:color="auto" w:sz="4" w:space="0"/>
            </w:tcBorders>
            <w:vAlign w:val="center"/>
          </w:tcPr>
          <w:p w14:paraId="5FFA7BAC">
            <w:pPr>
              <w:spacing w:line="360" w:lineRule="auto"/>
              <w:jc w:val="center"/>
              <w:rPr>
                <w:rFonts w:hint="eastAsia" w:ascii="宋体" w:hAnsi="宋体" w:cs="Tahoma"/>
                <w:b/>
                <w:bCs/>
                <w:color w:val="auto"/>
                <w:kern w:val="0"/>
                <w:sz w:val="22"/>
                <w:szCs w:val="22"/>
                <w:highlight w:val="none"/>
              </w:rPr>
            </w:pPr>
            <w:r>
              <w:rPr>
                <w:rFonts w:hint="eastAsia" w:ascii="宋体" w:hAnsi="宋体" w:cs="Tahoma"/>
                <w:b/>
                <w:bCs/>
                <w:color w:val="auto"/>
                <w:spacing w:val="-2"/>
                <w:kern w:val="0"/>
                <w:sz w:val="22"/>
                <w:szCs w:val="22"/>
                <w:highlight w:val="none"/>
              </w:rPr>
              <w:t>安全管理体系及措施（5分）</w:t>
            </w:r>
          </w:p>
        </w:tc>
        <w:tc>
          <w:tcPr>
            <w:tcW w:w="5850" w:type="dxa"/>
            <w:tcBorders>
              <w:top w:val="single" w:color="auto" w:sz="4" w:space="0"/>
              <w:left w:val="single" w:color="auto" w:sz="4" w:space="0"/>
              <w:right w:val="single" w:color="auto" w:sz="4" w:space="0"/>
            </w:tcBorders>
            <w:vAlign w:val="center"/>
          </w:tcPr>
          <w:p w14:paraId="6C081A3E">
            <w:pPr>
              <w:autoSpaceDE w:val="0"/>
              <w:autoSpaceDN w:val="0"/>
              <w:adjustRightInd w:val="0"/>
              <w:spacing w:after="0" w:line="240" w:lineRule="auto"/>
              <w:rPr>
                <w:rFonts w:hint="eastAsia" w:ascii="宋体" w:hAnsi="宋体" w:eastAsia="宋体" w:cs="Tahoma"/>
                <w:color w:val="auto"/>
                <w:kern w:val="0"/>
                <w:sz w:val="22"/>
                <w:szCs w:val="22"/>
                <w:highlight w:val="none"/>
                <w:lang w:val="zh-TW" w:eastAsia="zh-TW"/>
              </w:rPr>
            </w:pPr>
            <w:r>
              <w:rPr>
                <w:rFonts w:hint="eastAsia" w:ascii="宋体" w:hAnsi="宋体" w:eastAsia="宋体" w:cs="Tahoma"/>
                <w:color w:val="auto"/>
                <w:kern w:val="0"/>
                <w:sz w:val="22"/>
                <w:szCs w:val="22"/>
                <w:highlight w:val="none"/>
                <w:lang w:val="zh-TW" w:eastAsia="zh-TW"/>
              </w:rPr>
              <w:t>第一档（</w:t>
            </w:r>
            <w:r>
              <w:rPr>
                <w:rFonts w:hint="eastAsia" w:ascii="宋体" w:hAnsi="宋体" w:eastAsia="宋体" w:cs="Tahoma"/>
                <w:color w:val="auto"/>
                <w:kern w:val="0"/>
                <w:sz w:val="22"/>
                <w:szCs w:val="22"/>
                <w:highlight w:val="none"/>
                <w:lang w:val="en-US" w:eastAsia="zh-CN"/>
              </w:rPr>
              <w:t>3</w:t>
            </w:r>
            <w:r>
              <w:rPr>
                <w:rFonts w:hint="eastAsia" w:ascii="宋体" w:hAnsi="宋体" w:eastAsia="宋体" w:cs="Tahoma"/>
                <w:color w:val="auto"/>
                <w:kern w:val="0"/>
                <w:sz w:val="22"/>
                <w:szCs w:val="22"/>
                <w:highlight w:val="none"/>
                <w:lang w:val="zh-TW" w:eastAsia="zh-TW"/>
              </w:rPr>
              <w:t>-</w:t>
            </w:r>
            <w:r>
              <w:rPr>
                <w:rFonts w:hint="eastAsia" w:ascii="宋体" w:hAnsi="宋体" w:eastAsia="宋体" w:cs="Tahoma"/>
                <w:color w:val="auto"/>
                <w:kern w:val="0"/>
                <w:sz w:val="22"/>
                <w:szCs w:val="22"/>
                <w:highlight w:val="none"/>
                <w:lang w:val="en-US" w:eastAsia="zh-CN"/>
              </w:rPr>
              <w:t>5</w:t>
            </w:r>
            <w:r>
              <w:rPr>
                <w:rFonts w:hint="eastAsia" w:ascii="宋体" w:hAnsi="宋体" w:eastAsia="宋体" w:cs="Tahoma"/>
                <w:color w:val="auto"/>
                <w:kern w:val="0"/>
                <w:sz w:val="22"/>
                <w:szCs w:val="22"/>
                <w:highlight w:val="none"/>
                <w:lang w:val="zh-TW" w:eastAsia="zh-TW"/>
              </w:rPr>
              <w:t>分）：投标人持有安全生产许可证书且在有效期内；投标书中有具体、完整、可行的安全文明施工实施保证措施，并符合国家、省、州（市）的有关规定的；</w:t>
            </w:r>
          </w:p>
          <w:p w14:paraId="5B44C3B4">
            <w:pPr>
              <w:autoSpaceDE w:val="0"/>
              <w:autoSpaceDN w:val="0"/>
              <w:adjustRightInd w:val="0"/>
              <w:spacing w:after="0" w:line="240" w:lineRule="auto"/>
              <w:rPr>
                <w:rFonts w:hint="eastAsia" w:ascii="宋体" w:hAnsi="宋体" w:eastAsia="宋体" w:cs="Tahoma"/>
                <w:color w:val="auto"/>
                <w:kern w:val="0"/>
                <w:sz w:val="22"/>
                <w:szCs w:val="22"/>
                <w:highlight w:val="none"/>
                <w:lang w:val="zh-TW" w:eastAsia="zh-TW"/>
              </w:rPr>
            </w:pPr>
            <w:r>
              <w:rPr>
                <w:rFonts w:hint="eastAsia" w:ascii="宋体" w:hAnsi="宋体" w:eastAsia="宋体" w:cs="Tahoma"/>
                <w:color w:val="auto"/>
                <w:kern w:val="0"/>
                <w:sz w:val="22"/>
                <w:szCs w:val="22"/>
                <w:highlight w:val="none"/>
                <w:lang w:val="zh-TW" w:eastAsia="zh-TW"/>
              </w:rPr>
              <w:t>第二档（1-</w:t>
            </w:r>
            <w:r>
              <w:rPr>
                <w:rFonts w:hint="eastAsia" w:ascii="宋体" w:hAnsi="宋体" w:eastAsia="宋体" w:cs="Tahoma"/>
                <w:color w:val="auto"/>
                <w:kern w:val="0"/>
                <w:sz w:val="22"/>
                <w:szCs w:val="22"/>
                <w:highlight w:val="none"/>
                <w:lang w:val="en-US" w:eastAsia="zh-CN"/>
              </w:rPr>
              <w:t>2</w:t>
            </w:r>
            <w:r>
              <w:rPr>
                <w:rFonts w:hint="eastAsia" w:ascii="宋体" w:hAnsi="宋体" w:eastAsia="宋体" w:cs="Tahoma"/>
                <w:color w:val="auto"/>
                <w:kern w:val="0"/>
                <w:sz w:val="22"/>
                <w:szCs w:val="22"/>
                <w:highlight w:val="none"/>
                <w:lang w:val="zh-TW" w:eastAsia="zh-TW"/>
              </w:rPr>
              <w:t>分）：投标人持有安全生产许可证书且在有效期内；投标书中有安全文明施工实施保证措施，并符合国家、省、州（市）的有关规定的；</w:t>
            </w:r>
          </w:p>
          <w:p w14:paraId="3A8CBB53">
            <w:pPr>
              <w:autoSpaceDE w:val="0"/>
              <w:autoSpaceDN w:val="0"/>
              <w:adjustRightInd w:val="0"/>
              <w:spacing w:after="0" w:line="240" w:lineRule="auto"/>
              <w:rPr>
                <w:rFonts w:hint="eastAsia" w:ascii="宋体" w:hAnsi="宋体" w:eastAsia="宋体" w:cs="Tahoma"/>
                <w:color w:val="auto"/>
                <w:kern w:val="0"/>
                <w:sz w:val="22"/>
                <w:szCs w:val="22"/>
                <w:highlight w:val="none"/>
              </w:rPr>
            </w:pPr>
            <w:r>
              <w:rPr>
                <w:rFonts w:hint="eastAsia" w:ascii="宋体" w:hAnsi="宋体" w:eastAsia="宋体" w:cs="Tahoma"/>
                <w:color w:val="auto"/>
                <w:kern w:val="0"/>
                <w:sz w:val="22"/>
                <w:szCs w:val="22"/>
                <w:highlight w:val="none"/>
                <w:lang w:val="zh-TW" w:eastAsia="zh-TW"/>
              </w:rPr>
              <w:t>第三档（0分）：无安全文明施工保证措施的。</w:t>
            </w:r>
          </w:p>
        </w:tc>
      </w:tr>
      <w:tr w14:paraId="076E66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26" w:type="dxa"/>
          <w:cantSplit/>
          <w:trHeight w:val="1399" w:hRule="atLeast"/>
          <w:jc w:val="center"/>
        </w:trPr>
        <w:tc>
          <w:tcPr>
            <w:tcW w:w="753" w:type="dxa"/>
            <w:vMerge w:val="continue"/>
            <w:tcBorders>
              <w:right w:val="single" w:color="auto" w:sz="4" w:space="0"/>
            </w:tcBorders>
            <w:vAlign w:val="center"/>
          </w:tcPr>
          <w:p w14:paraId="61E1365E">
            <w:pPr>
              <w:spacing w:line="440" w:lineRule="exact"/>
              <w:jc w:val="center"/>
              <w:rPr>
                <w:rFonts w:ascii="宋体" w:hAnsi="宋体"/>
                <w:szCs w:val="21"/>
              </w:rPr>
            </w:pPr>
          </w:p>
        </w:tc>
        <w:tc>
          <w:tcPr>
            <w:tcW w:w="691" w:type="dxa"/>
            <w:gridSpan w:val="2"/>
            <w:vMerge w:val="continue"/>
            <w:tcBorders>
              <w:right w:val="single" w:color="auto" w:sz="4" w:space="0"/>
            </w:tcBorders>
            <w:vAlign w:val="center"/>
          </w:tcPr>
          <w:p w14:paraId="53206C31">
            <w:pPr>
              <w:spacing w:line="440" w:lineRule="exact"/>
              <w:jc w:val="center"/>
              <w:rPr>
                <w:rFonts w:hint="eastAsia" w:ascii="宋体" w:hAnsi="宋体"/>
                <w:szCs w:val="21"/>
                <w:lang w:val="en-US" w:eastAsia="zh-CN"/>
              </w:rPr>
            </w:pPr>
          </w:p>
        </w:tc>
        <w:tc>
          <w:tcPr>
            <w:tcW w:w="2002" w:type="dxa"/>
            <w:gridSpan w:val="3"/>
            <w:tcBorders>
              <w:top w:val="single" w:color="auto" w:sz="4" w:space="0"/>
              <w:left w:val="single" w:color="auto" w:sz="4" w:space="0"/>
              <w:right w:val="single" w:color="auto" w:sz="4" w:space="0"/>
            </w:tcBorders>
            <w:vAlign w:val="center"/>
          </w:tcPr>
          <w:p w14:paraId="2C3788D4">
            <w:pPr>
              <w:spacing w:line="360" w:lineRule="auto"/>
              <w:jc w:val="center"/>
              <w:rPr>
                <w:rFonts w:hint="eastAsia" w:ascii="宋体" w:hAnsi="宋体" w:cs="Tahoma"/>
                <w:b/>
                <w:bCs/>
                <w:color w:val="auto"/>
                <w:kern w:val="0"/>
                <w:sz w:val="22"/>
                <w:szCs w:val="22"/>
                <w:highlight w:val="none"/>
              </w:rPr>
            </w:pPr>
            <w:r>
              <w:rPr>
                <w:rFonts w:hint="eastAsia" w:ascii="宋体" w:hAnsi="宋体" w:cs="Tahoma"/>
                <w:b/>
                <w:bCs/>
                <w:color w:val="auto"/>
                <w:spacing w:val="-2"/>
                <w:kern w:val="0"/>
                <w:sz w:val="22"/>
                <w:szCs w:val="22"/>
                <w:highlight w:val="none"/>
              </w:rPr>
              <w:t>文明施工、环境保护管理体系与措施（5分）</w:t>
            </w:r>
          </w:p>
        </w:tc>
        <w:tc>
          <w:tcPr>
            <w:tcW w:w="5850" w:type="dxa"/>
            <w:tcBorders>
              <w:top w:val="single" w:color="auto" w:sz="4" w:space="0"/>
              <w:left w:val="single" w:color="auto" w:sz="4" w:space="0"/>
              <w:right w:val="single" w:color="auto" w:sz="4" w:space="0"/>
            </w:tcBorders>
            <w:vAlign w:val="center"/>
          </w:tcPr>
          <w:p w14:paraId="73B3AFE0">
            <w:pPr>
              <w:autoSpaceDE w:val="0"/>
              <w:autoSpaceDN w:val="0"/>
              <w:adjustRightInd w:val="0"/>
              <w:spacing w:after="0" w:line="240" w:lineRule="auto"/>
              <w:rPr>
                <w:rFonts w:hint="eastAsia" w:ascii="宋体" w:hAnsi="宋体" w:eastAsia="宋体" w:cs="Tahoma"/>
                <w:color w:val="auto"/>
                <w:kern w:val="0"/>
                <w:sz w:val="22"/>
                <w:szCs w:val="22"/>
                <w:highlight w:val="none"/>
              </w:rPr>
            </w:pPr>
            <w:r>
              <w:rPr>
                <w:rFonts w:hint="eastAsia" w:ascii="宋体" w:hAnsi="宋体" w:eastAsia="宋体" w:cs="Tahoma"/>
                <w:color w:val="auto"/>
                <w:kern w:val="0"/>
                <w:sz w:val="22"/>
                <w:szCs w:val="22"/>
                <w:highlight w:val="none"/>
              </w:rPr>
              <w:t>根据方案内容中提供的文明施工管理保证体系内容、制定文明施工措施内容的全面性、可行性进行综合评审打分，分值为2～5分。</w:t>
            </w:r>
          </w:p>
          <w:p w14:paraId="5274703A">
            <w:pPr>
              <w:autoSpaceDE w:val="0"/>
              <w:autoSpaceDN w:val="0"/>
              <w:adjustRightInd w:val="0"/>
              <w:spacing w:after="0" w:line="240" w:lineRule="auto"/>
              <w:rPr>
                <w:rFonts w:hint="eastAsia" w:ascii="宋体" w:hAnsi="宋体" w:eastAsia="宋体" w:cs="Tahoma"/>
                <w:color w:val="auto"/>
                <w:kern w:val="0"/>
                <w:sz w:val="22"/>
                <w:szCs w:val="22"/>
                <w:highlight w:val="none"/>
              </w:rPr>
            </w:pPr>
            <w:r>
              <w:rPr>
                <w:rFonts w:hint="eastAsia" w:ascii="宋体" w:hAnsi="宋体" w:eastAsia="宋体" w:cs="Tahoma"/>
                <w:color w:val="auto"/>
                <w:kern w:val="0"/>
                <w:sz w:val="22"/>
                <w:szCs w:val="22"/>
                <w:highlight w:val="none"/>
              </w:rPr>
              <w:t>无保证措施或者内容条理混乱的，分值在0～</w:t>
            </w:r>
            <w:r>
              <w:rPr>
                <w:rFonts w:hint="eastAsia" w:ascii="宋体" w:hAnsi="宋体" w:eastAsia="宋体" w:cs="Tahoma"/>
                <w:color w:val="auto"/>
                <w:kern w:val="0"/>
                <w:sz w:val="22"/>
                <w:szCs w:val="22"/>
                <w:highlight w:val="none"/>
                <w:lang w:val="en-US" w:eastAsia="zh-CN"/>
              </w:rPr>
              <w:t>2</w:t>
            </w:r>
            <w:r>
              <w:rPr>
                <w:rFonts w:hint="eastAsia" w:ascii="宋体" w:hAnsi="宋体" w:eastAsia="宋体" w:cs="Tahoma"/>
                <w:color w:val="auto"/>
                <w:kern w:val="0"/>
                <w:sz w:val="22"/>
                <w:szCs w:val="22"/>
                <w:highlight w:val="none"/>
              </w:rPr>
              <w:t>分之间得分。</w:t>
            </w:r>
          </w:p>
        </w:tc>
      </w:tr>
      <w:tr w14:paraId="109B16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26" w:type="dxa"/>
          <w:cantSplit/>
          <w:trHeight w:val="1399" w:hRule="atLeast"/>
          <w:jc w:val="center"/>
        </w:trPr>
        <w:tc>
          <w:tcPr>
            <w:tcW w:w="753" w:type="dxa"/>
            <w:vMerge w:val="continue"/>
            <w:tcBorders>
              <w:right w:val="single" w:color="auto" w:sz="4" w:space="0"/>
            </w:tcBorders>
            <w:vAlign w:val="center"/>
          </w:tcPr>
          <w:p w14:paraId="117BE38C">
            <w:pPr>
              <w:spacing w:line="440" w:lineRule="exact"/>
              <w:jc w:val="center"/>
              <w:rPr>
                <w:rFonts w:ascii="宋体" w:hAnsi="宋体"/>
                <w:szCs w:val="21"/>
              </w:rPr>
            </w:pPr>
          </w:p>
        </w:tc>
        <w:tc>
          <w:tcPr>
            <w:tcW w:w="691" w:type="dxa"/>
            <w:gridSpan w:val="2"/>
            <w:vMerge w:val="continue"/>
            <w:tcBorders>
              <w:right w:val="single" w:color="auto" w:sz="4" w:space="0"/>
            </w:tcBorders>
            <w:vAlign w:val="center"/>
          </w:tcPr>
          <w:p w14:paraId="6373D6A1">
            <w:pPr>
              <w:spacing w:line="440" w:lineRule="exact"/>
              <w:jc w:val="center"/>
              <w:rPr>
                <w:rFonts w:hint="eastAsia" w:ascii="宋体" w:hAnsi="宋体"/>
                <w:szCs w:val="21"/>
                <w:lang w:val="en-US" w:eastAsia="zh-CN"/>
              </w:rPr>
            </w:pPr>
          </w:p>
        </w:tc>
        <w:tc>
          <w:tcPr>
            <w:tcW w:w="2002" w:type="dxa"/>
            <w:gridSpan w:val="3"/>
            <w:tcBorders>
              <w:top w:val="single" w:color="auto" w:sz="4" w:space="0"/>
              <w:left w:val="single" w:color="auto" w:sz="4" w:space="0"/>
              <w:right w:val="single" w:color="auto" w:sz="4" w:space="0"/>
            </w:tcBorders>
            <w:vAlign w:val="center"/>
          </w:tcPr>
          <w:p w14:paraId="534F0802">
            <w:pPr>
              <w:spacing w:line="360" w:lineRule="auto"/>
              <w:jc w:val="center"/>
              <w:rPr>
                <w:rFonts w:hint="eastAsia" w:ascii="宋体" w:hAnsi="宋体" w:cs="Tahoma"/>
                <w:b/>
                <w:bCs/>
                <w:color w:val="auto"/>
                <w:kern w:val="0"/>
                <w:sz w:val="22"/>
                <w:szCs w:val="22"/>
                <w:highlight w:val="none"/>
              </w:rPr>
            </w:pPr>
            <w:r>
              <w:rPr>
                <w:rFonts w:hint="eastAsia" w:ascii="宋体" w:hAnsi="宋体" w:cs="Tahoma"/>
                <w:b/>
                <w:bCs/>
                <w:color w:val="auto"/>
                <w:spacing w:val="-2"/>
                <w:kern w:val="0"/>
                <w:sz w:val="22"/>
                <w:szCs w:val="22"/>
                <w:highlight w:val="none"/>
              </w:rPr>
              <w:t>工程进度计划及措施（5分）</w:t>
            </w:r>
          </w:p>
        </w:tc>
        <w:tc>
          <w:tcPr>
            <w:tcW w:w="5850" w:type="dxa"/>
            <w:tcBorders>
              <w:top w:val="single" w:color="auto" w:sz="4" w:space="0"/>
              <w:left w:val="single" w:color="auto" w:sz="4" w:space="0"/>
              <w:right w:val="single" w:color="auto" w:sz="4" w:space="0"/>
            </w:tcBorders>
            <w:vAlign w:val="center"/>
          </w:tcPr>
          <w:p w14:paraId="43754C20">
            <w:pPr>
              <w:autoSpaceDE w:val="0"/>
              <w:autoSpaceDN w:val="0"/>
              <w:adjustRightInd w:val="0"/>
              <w:spacing w:after="0" w:line="240" w:lineRule="auto"/>
              <w:rPr>
                <w:rFonts w:hint="eastAsia" w:ascii="宋体" w:hAnsi="宋体" w:eastAsia="宋体" w:cs="Tahoma"/>
                <w:color w:val="auto"/>
                <w:kern w:val="0"/>
                <w:sz w:val="22"/>
                <w:szCs w:val="22"/>
                <w:highlight w:val="none"/>
                <w:lang w:val="en-US" w:eastAsia="zh-CN"/>
              </w:rPr>
            </w:pPr>
            <w:r>
              <w:rPr>
                <w:rFonts w:hint="eastAsia" w:ascii="宋体" w:hAnsi="宋体" w:eastAsia="宋体" w:cs="Tahoma"/>
                <w:color w:val="auto"/>
                <w:kern w:val="0"/>
                <w:sz w:val="22"/>
                <w:szCs w:val="22"/>
                <w:highlight w:val="none"/>
                <w:lang w:val="en-US" w:eastAsia="zh-CN"/>
              </w:rPr>
              <w:t>第一个档次（</w:t>
            </w:r>
            <w:r>
              <w:rPr>
                <w:rFonts w:hint="eastAsia" w:ascii="宋体" w:hAnsi="宋体" w:cs="Tahoma"/>
                <w:color w:val="auto"/>
                <w:kern w:val="0"/>
                <w:sz w:val="22"/>
                <w:szCs w:val="22"/>
                <w:highlight w:val="none"/>
                <w:lang w:val="en-US" w:eastAsia="zh-CN"/>
              </w:rPr>
              <w:t>5</w:t>
            </w:r>
            <w:r>
              <w:rPr>
                <w:rFonts w:hint="eastAsia" w:ascii="宋体" w:hAnsi="宋体" w:eastAsia="宋体" w:cs="Tahoma"/>
                <w:color w:val="auto"/>
                <w:kern w:val="0"/>
                <w:sz w:val="22"/>
                <w:szCs w:val="22"/>
                <w:highlight w:val="none"/>
                <w:lang w:val="en-US" w:eastAsia="zh-CN"/>
              </w:rPr>
              <w:t>分）：劳动力安排和材料投入计划与施工进度计划呼应，能较好满足施工需要，调配投入计划合理，能指导施工且针对性好的；</w:t>
            </w:r>
          </w:p>
          <w:p w14:paraId="04F576EF">
            <w:pPr>
              <w:autoSpaceDE w:val="0"/>
              <w:autoSpaceDN w:val="0"/>
              <w:adjustRightInd w:val="0"/>
              <w:spacing w:after="0" w:line="240" w:lineRule="auto"/>
              <w:rPr>
                <w:rFonts w:hint="eastAsia" w:ascii="宋体" w:hAnsi="宋体" w:eastAsia="宋体" w:cs="Tahoma"/>
                <w:color w:val="auto"/>
                <w:kern w:val="0"/>
                <w:sz w:val="22"/>
                <w:szCs w:val="22"/>
                <w:highlight w:val="none"/>
                <w:lang w:val="en-US" w:eastAsia="zh-CN"/>
              </w:rPr>
            </w:pPr>
            <w:r>
              <w:rPr>
                <w:rFonts w:hint="eastAsia" w:ascii="宋体" w:hAnsi="宋体" w:eastAsia="宋体" w:cs="Tahoma"/>
                <w:color w:val="auto"/>
                <w:kern w:val="0"/>
                <w:sz w:val="22"/>
                <w:szCs w:val="22"/>
                <w:highlight w:val="none"/>
                <w:lang w:val="en-US" w:eastAsia="zh-CN"/>
              </w:rPr>
              <w:t>第二个档次（</w:t>
            </w:r>
            <w:r>
              <w:rPr>
                <w:rFonts w:hint="eastAsia" w:ascii="宋体" w:hAnsi="宋体" w:cs="Tahoma"/>
                <w:color w:val="auto"/>
                <w:kern w:val="0"/>
                <w:sz w:val="22"/>
                <w:szCs w:val="22"/>
                <w:highlight w:val="none"/>
                <w:lang w:val="en-US" w:eastAsia="zh-CN"/>
              </w:rPr>
              <w:t>3</w:t>
            </w:r>
            <w:r>
              <w:rPr>
                <w:rFonts w:hint="eastAsia" w:ascii="宋体" w:hAnsi="宋体" w:eastAsia="宋体" w:cs="Tahoma"/>
                <w:color w:val="auto"/>
                <w:kern w:val="0"/>
                <w:sz w:val="22"/>
                <w:szCs w:val="22"/>
                <w:highlight w:val="none"/>
                <w:lang w:val="en-US" w:eastAsia="zh-CN"/>
              </w:rPr>
              <w:t>-</w:t>
            </w:r>
            <w:r>
              <w:rPr>
                <w:rFonts w:hint="eastAsia" w:ascii="宋体" w:hAnsi="宋体" w:cs="Tahoma"/>
                <w:color w:val="auto"/>
                <w:kern w:val="0"/>
                <w:sz w:val="22"/>
                <w:szCs w:val="22"/>
                <w:highlight w:val="none"/>
                <w:lang w:val="en-US" w:eastAsia="zh-CN"/>
              </w:rPr>
              <w:t>4</w:t>
            </w:r>
            <w:r>
              <w:rPr>
                <w:rFonts w:hint="eastAsia" w:ascii="宋体" w:hAnsi="宋体" w:eastAsia="宋体" w:cs="Tahoma"/>
                <w:color w:val="auto"/>
                <w:kern w:val="0"/>
                <w:sz w:val="22"/>
                <w:szCs w:val="22"/>
                <w:highlight w:val="none"/>
                <w:lang w:val="en-US" w:eastAsia="zh-CN"/>
              </w:rPr>
              <w:t>分）：劳动力安排和材料投入计划与施工进度计划基本呼应，能基本满足施工需要，调配投入计划基本合理，但缺乏针对性的；</w:t>
            </w:r>
          </w:p>
          <w:p w14:paraId="492B7E7A">
            <w:pPr>
              <w:autoSpaceDE w:val="0"/>
              <w:autoSpaceDN w:val="0"/>
              <w:adjustRightInd w:val="0"/>
              <w:spacing w:after="0" w:line="240" w:lineRule="auto"/>
              <w:rPr>
                <w:rFonts w:hint="eastAsia" w:ascii="宋体" w:hAnsi="宋体" w:eastAsia="宋体" w:cs="Tahoma"/>
                <w:color w:val="auto"/>
                <w:kern w:val="0"/>
                <w:sz w:val="22"/>
                <w:szCs w:val="22"/>
                <w:highlight w:val="none"/>
                <w:lang w:val="en-US" w:eastAsia="zh-CN"/>
              </w:rPr>
            </w:pPr>
            <w:r>
              <w:rPr>
                <w:rFonts w:hint="eastAsia" w:ascii="宋体" w:hAnsi="宋体" w:eastAsia="宋体" w:cs="Tahoma"/>
                <w:color w:val="auto"/>
                <w:kern w:val="0"/>
                <w:sz w:val="22"/>
                <w:szCs w:val="22"/>
                <w:highlight w:val="none"/>
                <w:lang w:val="en-US" w:eastAsia="zh-CN"/>
              </w:rPr>
              <w:t>第三个档次（</w:t>
            </w:r>
            <w:r>
              <w:rPr>
                <w:rFonts w:hint="eastAsia" w:ascii="宋体" w:hAnsi="宋体" w:cs="Tahoma"/>
                <w:color w:val="auto"/>
                <w:kern w:val="0"/>
                <w:sz w:val="22"/>
                <w:szCs w:val="22"/>
                <w:highlight w:val="none"/>
                <w:lang w:val="en-US" w:eastAsia="zh-CN"/>
              </w:rPr>
              <w:t>1-2</w:t>
            </w:r>
            <w:r>
              <w:rPr>
                <w:rFonts w:hint="eastAsia" w:ascii="宋体" w:hAnsi="宋体" w:eastAsia="宋体" w:cs="Tahoma"/>
                <w:color w:val="auto"/>
                <w:kern w:val="0"/>
                <w:sz w:val="22"/>
                <w:szCs w:val="22"/>
                <w:highlight w:val="none"/>
                <w:lang w:val="en-US" w:eastAsia="zh-CN"/>
              </w:rPr>
              <w:t>分）：劳动力安排和材料投入计划与施工进度计划不能呼应的。</w:t>
            </w:r>
          </w:p>
          <w:p w14:paraId="7FA7E756">
            <w:pPr>
              <w:autoSpaceDE w:val="0"/>
              <w:autoSpaceDN w:val="0"/>
              <w:adjustRightInd w:val="0"/>
              <w:spacing w:after="0" w:line="240" w:lineRule="auto"/>
              <w:rPr>
                <w:rFonts w:hint="eastAsia" w:ascii="宋体" w:hAnsi="宋体" w:eastAsia="宋体" w:cs="Tahoma"/>
                <w:color w:val="auto"/>
                <w:kern w:val="0"/>
                <w:sz w:val="22"/>
                <w:szCs w:val="22"/>
                <w:highlight w:val="none"/>
              </w:rPr>
            </w:pPr>
            <w:r>
              <w:rPr>
                <w:rFonts w:hint="eastAsia" w:ascii="宋体" w:hAnsi="宋体" w:eastAsia="宋体" w:cs="Tahoma"/>
                <w:color w:val="auto"/>
                <w:kern w:val="0"/>
                <w:sz w:val="22"/>
                <w:szCs w:val="22"/>
                <w:highlight w:val="none"/>
                <w:lang w:val="en-US" w:eastAsia="zh-CN"/>
              </w:rPr>
              <w:t>注：无劳动力安排和材料投入计划的，得0分。</w:t>
            </w:r>
          </w:p>
        </w:tc>
      </w:tr>
      <w:tr w14:paraId="3CFBED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26" w:type="dxa"/>
          <w:cantSplit/>
          <w:trHeight w:val="1399" w:hRule="atLeast"/>
          <w:jc w:val="center"/>
        </w:trPr>
        <w:tc>
          <w:tcPr>
            <w:tcW w:w="753" w:type="dxa"/>
            <w:vMerge w:val="continue"/>
            <w:tcBorders>
              <w:right w:val="single" w:color="auto" w:sz="4" w:space="0"/>
            </w:tcBorders>
            <w:vAlign w:val="center"/>
          </w:tcPr>
          <w:p w14:paraId="530B970D">
            <w:pPr>
              <w:spacing w:line="440" w:lineRule="exact"/>
              <w:jc w:val="center"/>
              <w:rPr>
                <w:rFonts w:ascii="宋体" w:hAnsi="宋体"/>
                <w:szCs w:val="21"/>
              </w:rPr>
            </w:pPr>
          </w:p>
        </w:tc>
        <w:tc>
          <w:tcPr>
            <w:tcW w:w="691" w:type="dxa"/>
            <w:gridSpan w:val="2"/>
            <w:vMerge w:val="continue"/>
            <w:tcBorders>
              <w:right w:val="single" w:color="auto" w:sz="4" w:space="0"/>
            </w:tcBorders>
            <w:vAlign w:val="center"/>
          </w:tcPr>
          <w:p w14:paraId="0C45094E">
            <w:pPr>
              <w:spacing w:line="440" w:lineRule="exact"/>
              <w:jc w:val="center"/>
              <w:rPr>
                <w:rFonts w:hint="eastAsia" w:ascii="宋体" w:hAnsi="宋体"/>
                <w:szCs w:val="21"/>
                <w:lang w:val="en-US" w:eastAsia="zh-CN"/>
              </w:rPr>
            </w:pPr>
          </w:p>
        </w:tc>
        <w:tc>
          <w:tcPr>
            <w:tcW w:w="2002" w:type="dxa"/>
            <w:gridSpan w:val="3"/>
            <w:tcBorders>
              <w:top w:val="single" w:color="auto" w:sz="4" w:space="0"/>
              <w:left w:val="single" w:color="auto" w:sz="4" w:space="0"/>
              <w:right w:val="single" w:color="auto" w:sz="4" w:space="0"/>
            </w:tcBorders>
            <w:vAlign w:val="center"/>
          </w:tcPr>
          <w:p w14:paraId="000984C7">
            <w:pPr>
              <w:spacing w:line="360" w:lineRule="auto"/>
              <w:jc w:val="center"/>
              <w:rPr>
                <w:rFonts w:hint="eastAsia" w:ascii="宋体" w:hAnsi="宋体" w:eastAsia="宋体" w:cs="Tahoma"/>
                <w:b/>
                <w:bCs/>
                <w:color w:val="auto"/>
                <w:spacing w:val="-2"/>
                <w:kern w:val="0"/>
                <w:sz w:val="22"/>
                <w:szCs w:val="22"/>
                <w:highlight w:val="none"/>
                <w:lang w:eastAsia="zh-CN"/>
              </w:rPr>
            </w:pPr>
            <w:r>
              <w:rPr>
                <w:rFonts w:hint="eastAsia" w:ascii="宋体" w:hAnsi="宋体" w:cs="Tahoma"/>
                <w:b/>
                <w:bCs/>
                <w:color w:val="auto"/>
                <w:spacing w:val="-2"/>
                <w:kern w:val="0"/>
                <w:sz w:val="22"/>
                <w:szCs w:val="22"/>
                <w:highlight w:val="none"/>
              </w:rPr>
              <w:t>施工机械设备配置及试验和检测仪器设备配置</w:t>
            </w:r>
            <w:r>
              <w:rPr>
                <w:rFonts w:hint="eastAsia" w:ascii="宋体" w:hAnsi="宋体" w:cs="Tahoma"/>
                <w:b/>
                <w:bCs/>
                <w:color w:val="auto"/>
                <w:spacing w:val="-2"/>
                <w:kern w:val="0"/>
                <w:sz w:val="22"/>
                <w:szCs w:val="22"/>
                <w:highlight w:val="none"/>
                <w:lang w:eastAsia="zh-CN"/>
              </w:rPr>
              <w:t>（</w:t>
            </w:r>
            <w:r>
              <w:rPr>
                <w:rFonts w:hint="eastAsia" w:ascii="宋体" w:hAnsi="宋体" w:cs="Tahoma"/>
                <w:b/>
                <w:bCs/>
                <w:color w:val="auto"/>
                <w:spacing w:val="-2"/>
                <w:kern w:val="0"/>
                <w:sz w:val="22"/>
                <w:szCs w:val="22"/>
                <w:highlight w:val="none"/>
                <w:lang w:val="en-US" w:eastAsia="zh-CN"/>
              </w:rPr>
              <w:t>5分</w:t>
            </w:r>
            <w:r>
              <w:rPr>
                <w:rFonts w:hint="eastAsia" w:ascii="宋体" w:hAnsi="宋体" w:cs="Tahoma"/>
                <w:b/>
                <w:bCs/>
                <w:color w:val="auto"/>
                <w:spacing w:val="-2"/>
                <w:kern w:val="0"/>
                <w:sz w:val="22"/>
                <w:szCs w:val="22"/>
                <w:highlight w:val="none"/>
                <w:lang w:eastAsia="zh-CN"/>
              </w:rPr>
              <w:t>）</w:t>
            </w:r>
          </w:p>
        </w:tc>
        <w:tc>
          <w:tcPr>
            <w:tcW w:w="5850" w:type="dxa"/>
            <w:tcBorders>
              <w:top w:val="single" w:color="auto" w:sz="4" w:space="0"/>
              <w:left w:val="single" w:color="auto" w:sz="4" w:space="0"/>
              <w:right w:val="single" w:color="auto" w:sz="4" w:space="0"/>
            </w:tcBorders>
            <w:vAlign w:val="center"/>
          </w:tcPr>
          <w:p w14:paraId="3A29353F">
            <w:pPr>
              <w:autoSpaceDE w:val="0"/>
              <w:autoSpaceDN w:val="0"/>
              <w:adjustRightInd w:val="0"/>
              <w:spacing w:after="0" w:line="240" w:lineRule="auto"/>
              <w:rPr>
                <w:rFonts w:hint="eastAsia" w:ascii="宋体" w:hAnsi="宋体" w:eastAsia="宋体" w:cs="Tahoma"/>
                <w:color w:val="auto"/>
                <w:kern w:val="0"/>
                <w:sz w:val="22"/>
                <w:szCs w:val="22"/>
                <w:highlight w:val="none"/>
              </w:rPr>
            </w:pPr>
            <w:r>
              <w:rPr>
                <w:rFonts w:hint="eastAsia" w:ascii="宋体" w:hAnsi="宋体" w:eastAsia="宋体" w:cs="Tahoma"/>
                <w:color w:val="auto"/>
                <w:kern w:val="0"/>
                <w:sz w:val="22"/>
                <w:szCs w:val="22"/>
                <w:highlight w:val="none"/>
              </w:rPr>
              <w:t>1．施工机械设备配置满足施工工艺要求，施工进度计划、设备配套及数量在0～</w:t>
            </w:r>
            <w:r>
              <w:rPr>
                <w:rFonts w:hint="eastAsia" w:ascii="宋体" w:hAnsi="宋体" w:eastAsia="宋体" w:cs="Tahoma"/>
                <w:color w:val="auto"/>
                <w:kern w:val="0"/>
                <w:sz w:val="22"/>
                <w:szCs w:val="22"/>
                <w:highlight w:val="none"/>
                <w:lang w:val="en-US" w:eastAsia="zh-CN"/>
              </w:rPr>
              <w:t>3</w:t>
            </w:r>
            <w:r>
              <w:rPr>
                <w:rFonts w:hint="eastAsia" w:ascii="宋体" w:hAnsi="宋体" w:eastAsia="宋体" w:cs="Tahoma"/>
                <w:color w:val="auto"/>
                <w:kern w:val="0"/>
                <w:sz w:val="22"/>
                <w:szCs w:val="22"/>
                <w:highlight w:val="none"/>
              </w:rPr>
              <w:t>分之间得分。</w:t>
            </w:r>
          </w:p>
          <w:p w14:paraId="0190AA49">
            <w:pPr>
              <w:autoSpaceDE w:val="0"/>
              <w:autoSpaceDN w:val="0"/>
              <w:adjustRightInd w:val="0"/>
              <w:spacing w:after="0" w:line="240" w:lineRule="auto"/>
              <w:rPr>
                <w:rFonts w:hint="eastAsia" w:ascii="宋体" w:hAnsi="宋体" w:eastAsia="宋体" w:cs="Tahoma"/>
                <w:color w:val="auto"/>
                <w:kern w:val="0"/>
                <w:sz w:val="22"/>
                <w:szCs w:val="22"/>
                <w:highlight w:val="none"/>
              </w:rPr>
            </w:pPr>
            <w:r>
              <w:rPr>
                <w:rFonts w:hint="eastAsia" w:ascii="宋体" w:hAnsi="宋体" w:eastAsia="宋体" w:cs="Tahoma"/>
                <w:color w:val="auto"/>
                <w:kern w:val="0"/>
                <w:sz w:val="22"/>
                <w:szCs w:val="22"/>
                <w:highlight w:val="none"/>
              </w:rPr>
              <w:t>2．施工单位自检试验和检测仪器设备配置对本项目的材料、构</w:t>
            </w:r>
            <w:r>
              <w:rPr>
                <w:rFonts w:hint="eastAsia" w:ascii="宋体" w:hAnsi="宋体" w:eastAsia="宋体" w:cs="Tahoma"/>
                <w:color w:val="auto"/>
                <w:kern w:val="0"/>
                <w:sz w:val="22"/>
                <w:szCs w:val="22"/>
                <w:highlight w:val="none"/>
              </w:rPr>
              <w:fldChar w:fldCharType="begin"/>
            </w:r>
            <w:r>
              <w:rPr>
                <w:rFonts w:hint="eastAsia" w:ascii="宋体" w:hAnsi="宋体" w:eastAsia="宋体" w:cs="Tahoma"/>
                <w:color w:val="auto"/>
                <w:kern w:val="0"/>
                <w:sz w:val="22"/>
                <w:szCs w:val="22"/>
                <w:highlight w:val="none"/>
              </w:rPr>
              <w:instrText xml:space="preserve"> HYPERLINK "http://baike.baidu.com/view/894725.htm" \t "_blank" </w:instrText>
            </w:r>
            <w:r>
              <w:rPr>
                <w:rFonts w:hint="eastAsia" w:ascii="宋体" w:hAnsi="宋体" w:eastAsia="宋体" w:cs="Tahoma"/>
                <w:color w:val="auto"/>
                <w:kern w:val="0"/>
                <w:sz w:val="22"/>
                <w:szCs w:val="22"/>
                <w:highlight w:val="none"/>
              </w:rPr>
              <w:fldChar w:fldCharType="separate"/>
            </w:r>
            <w:r>
              <w:rPr>
                <w:rFonts w:hint="eastAsia" w:ascii="宋体" w:hAnsi="宋体" w:eastAsia="宋体" w:cs="Tahoma"/>
                <w:color w:val="auto"/>
                <w:kern w:val="0"/>
                <w:sz w:val="22"/>
                <w:szCs w:val="22"/>
                <w:highlight w:val="none"/>
              </w:rPr>
              <w:t>配件</w:t>
            </w:r>
            <w:r>
              <w:rPr>
                <w:rFonts w:hint="eastAsia" w:ascii="宋体" w:hAnsi="宋体" w:eastAsia="宋体" w:cs="Tahoma"/>
                <w:color w:val="auto"/>
                <w:kern w:val="0"/>
                <w:sz w:val="22"/>
                <w:szCs w:val="22"/>
                <w:highlight w:val="none"/>
              </w:rPr>
              <w:fldChar w:fldCharType="end"/>
            </w:r>
            <w:r>
              <w:rPr>
                <w:rFonts w:hint="eastAsia" w:ascii="宋体" w:hAnsi="宋体" w:eastAsia="宋体" w:cs="Tahoma"/>
                <w:color w:val="auto"/>
                <w:kern w:val="0"/>
                <w:sz w:val="22"/>
                <w:szCs w:val="22"/>
                <w:highlight w:val="none"/>
              </w:rPr>
              <w:t>、</w:t>
            </w:r>
            <w:r>
              <w:rPr>
                <w:rFonts w:hint="eastAsia" w:ascii="宋体" w:hAnsi="宋体" w:eastAsia="宋体" w:cs="Tahoma"/>
                <w:color w:val="auto"/>
                <w:kern w:val="0"/>
                <w:sz w:val="22"/>
                <w:szCs w:val="22"/>
                <w:highlight w:val="none"/>
              </w:rPr>
              <w:fldChar w:fldCharType="begin"/>
            </w:r>
            <w:r>
              <w:rPr>
                <w:rFonts w:hint="eastAsia" w:ascii="宋体" w:hAnsi="宋体" w:eastAsia="宋体" w:cs="Tahoma"/>
                <w:color w:val="auto"/>
                <w:kern w:val="0"/>
                <w:sz w:val="22"/>
                <w:szCs w:val="22"/>
                <w:highlight w:val="none"/>
              </w:rPr>
              <w:instrText xml:space="preserve"> HYPERLINK "http://baike.baidu.com/view/209665.htm" \t "_blank" </w:instrText>
            </w:r>
            <w:r>
              <w:rPr>
                <w:rFonts w:hint="eastAsia" w:ascii="宋体" w:hAnsi="宋体" w:eastAsia="宋体" w:cs="Tahoma"/>
                <w:color w:val="auto"/>
                <w:kern w:val="0"/>
                <w:sz w:val="22"/>
                <w:szCs w:val="22"/>
                <w:highlight w:val="none"/>
              </w:rPr>
              <w:fldChar w:fldCharType="separate"/>
            </w:r>
            <w:r>
              <w:rPr>
                <w:rFonts w:hint="eastAsia" w:ascii="宋体" w:hAnsi="宋体" w:eastAsia="宋体" w:cs="Tahoma"/>
                <w:color w:val="auto"/>
                <w:kern w:val="0"/>
                <w:sz w:val="22"/>
                <w:szCs w:val="22"/>
                <w:highlight w:val="none"/>
              </w:rPr>
              <w:t>设备</w:t>
            </w:r>
            <w:r>
              <w:rPr>
                <w:rFonts w:hint="eastAsia" w:ascii="宋体" w:hAnsi="宋体" w:eastAsia="宋体" w:cs="Tahoma"/>
                <w:color w:val="auto"/>
                <w:kern w:val="0"/>
                <w:sz w:val="22"/>
                <w:szCs w:val="22"/>
                <w:highlight w:val="none"/>
              </w:rPr>
              <w:fldChar w:fldCharType="end"/>
            </w:r>
            <w:r>
              <w:rPr>
                <w:rFonts w:hint="eastAsia" w:ascii="宋体" w:hAnsi="宋体" w:eastAsia="宋体" w:cs="Tahoma"/>
                <w:color w:val="auto"/>
                <w:kern w:val="0"/>
                <w:sz w:val="22"/>
                <w:szCs w:val="22"/>
                <w:highlight w:val="none"/>
              </w:rPr>
              <w:t>，以及工程实体的测试满足规范要求，设备配套、数量在0～</w:t>
            </w:r>
            <w:r>
              <w:rPr>
                <w:rFonts w:hint="eastAsia" w:ascii="宋体" w:hAnsi="宋体" w:eastAsia="宋体" w:cs="Tahoma"/>
                <w:color w:val="auto"/>
                <w:kern w:val="0"/>
                <w:sz w:val="22"/>
                <w:szCs w:val="22"/>
                <w:highlight w:val="none"/>
                <w:lang w:val="en-US" w:eastAsia="zh-CN"/>
              </w:rPr>
              <w:t>2</w:t>
            </w:r>
            <w:r>
              <w:rPr>
                <w:rFonts w:hint="eastAsia" w:ascii="宋体" w:hAnsi="宋体" w:eastAsia="宋体" w:cs="Tahoma"/>
                <w:color w:val="auto"/>
                <w:kern w:val="0"/>
                <w:sz w:val="22"/>
                <w:szCs w:val="22"/>
                <w:highlight w:val="none"/>
              </w:rPr>
              <w:t>分之间得分。</w:t>
            </w:r>
          </w:p>
        </w:tc>
      </w:tr>
      <w:tr w14:paraId="47D2AF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26" w:type="dxa"/>
          <w:cantSplit/>
          <w:trHeight w:val="1399" w:hRule="atLeast"/>
          <w:jc w:val="center"/>
        </w:trPr>
        <w:tc>
          <w:tcPr>
            <w:tcW w:w="753" w:type="dxa"/>
            <w:tcBorders>
              <w:top w:val="single" w:color="auto" w:sz="4" w:space="0"/>
              <w:right w:val="single" w:color="auto" w:sz="4" w:space="0"/>
            </w:tcBorders>
            <w:vAlign w:val="center"/>
          </w:tcPr>
          <w:p w14:paraId="70A01484">
            <w:pPr>
              <w:jc w:val="center"/>
              <w:rPr>
                <w:rFonts w:hint="eastAsia" w:ascii="宋体" w:hAnsi="宋体" w:eastAsia="宋体"/>
                <w:szCs w:val="21"/>
                <w:lang w:eastAsia="zh-CN"/>
              </w:rPr>
            </w:pPr>
            <w:r>
              <w:rPr>
                <w:rFonts w:hint="eastAsia" w:ascii="宋体" w:hAnsi="宋体"/>
                <w:szCs w:val="21"/>
              </w:rPr>
              <w:t>2.4.</w:t>
            </w:r>
            <w:r>
              <w:rPr>
                <w:rFonts w:hint="eastAsia" w:ascii="宋体" w:hAnsi="宋体"/>
                <w:szCs w:val="21"/>
                <w:lang w:val="en-US" w:eastAsia="zh-CN"/>
              </w:rPr>
              <w:t>2</w:t>
            </w:r>
          </w:p>
        </w:tc>
        <w:tc>
          <w:tcPr>
            <w:tcW w:w="691" w:type="dxa"/>
            <w:gridSpan w:val="2"/>
            <w:tcBorders>
              <w:top w:val="single" w:color="auto" w:sz="4" w:space="0"/>
              <w:right w:val="single" w:color="auto" w:sz="4" w:space="0"/>
            </w:tcBorders>
            <w:vAlign w:val="center"/>
          </w:tcPr>
          <w:p w14:paraId="52131E47">
            <w:pPr>
              <w:jc w:val="center"/>
              <w:rPr>
                <w:rFonts w:hint="eastAsia" w:ascii="宋体" w:hAnsi="宋体"/>
                <w:szCs w:val="21"/>
              </w:rPr>
            </w:pPr>
            <w:r>
              <w:rPr>
                <w:rFonts w:hint="eastAsia" w:ascii="宋体" w:hAnsi="宋体" w:cs="Tahoma"/>
                <w:b/>
                <w:bCs/>
                <w:color w:val="auto"/>
                <w:spacing w:val="-2"/>
                <w:kern w:val="0"/>
                <w:sz w:val="22"/>
                <w:szCs w:val="22"/>
                <w:highlight w:val="none"/>
              </w:rPr>
              <w:t>项目管理机构（</w:t>
            </w:r>
            <w:r>
              <w:rPr>
                <w:rFonts w:hint="eastAsia" w:ascii="宋体" w:hAnsi="宋体" w:cs="Tahoma"/>
                <w:b/>
                <w:bCs/>
                <w:color w:val="auto"/>
                <w:spacing w:val="-2"/>
                <w:kern w:val="0"/>
                <w:sz w:val="22"/>
                <w:szCs w:val="22"/>
                <w:highlight w:val="none"/>
                <w:lang w:val="en-US" w:eastAsia="zh-CN"/>
              </w:rPr>
              <w:t>10</w:t>
            </w:r>
            <w:r>
              <w:rPr>
                <w:rFonts w:hint="eastAsia" w:ascii="宋体" w:hAnsi="宋体" w:cs="Tahoma"/>
                <w:b/>
                <w:bCs/>
                <w:color w:val="auto"/>
                <w:spacing w:val="-2"/>
                <w:kern w:val="0"/>
                <w:sz w:val="22"/>
                <w:szCs w:val="22"/>
                <w:highlight w:val="none"/>
              </w:rPr>
              <w:t>分）</w:t>
            </w:r>
          </w:p>
        </w:tc>
        <w:tc>
          <w:tcPr>
            <w:tcW w:w="2002" w:type="dxa"/>
            <w:gridSpan w:val="3"/>
            <w:tcBorders>
              <w:top w:val="single" w:color="auto" w:sz="4" w:space="0"/>
              <w:left w:val="single" w:color="auto" w:sz="4" w:space="0"/>
              <w:bottom w:val="single" w:color="auto" w:sz="4" w:space="0"/>
              <w:right w:val="single" w:color="auto" w:sz="4" w:space="0"/>
            </w:tcBorders>
            <w:vAlign w:val="center"/>
          </w:tcPr>
          <w:p w14:paraId="1B10B872">
            <w:pPr>
              <w:jc w:val="center"/>
              <w:rPr>
                <w:rFonts w:hint="eastAsia" w:ascii="宋体" w:hAnsi="宋体"/>
                <w:szCs w:val="21"/>
              </w:rPr>
            </w:pPr>
            <w:r>
              <w:rPr>
                <w:rFonts w:hint="eastAsia" w:ascii="宋体" w:hAnsi="宋体" w:cs="Tahoma"/>
                <w:b/>
                <w:bCs/>
                <w:color w:val="auto"/>
                <w:kern w:val="0"/>
                <w:sz w:val="22"/>
                <w:szCs w:val="22"/>
                <w:highlight w:val="none"/>
              </w:rPr>
              <w:t>项目组织机构（</w:t>
            </w:r>
            <w:r>
              <w:rPr>
                <w:rFonts w:hint="eastAsia" w:ascii="宋体" w:hAnsi="宋体" w:cs="Tahoma"/>
                <w:b/>
                <w:bCs/>
                <w:color w:val="auto"/>
                <w:kern w:val="0"/>
                <w:sz w:val="22"/>
                <w:szCs w:val="22"/>
                <w:highlight w:val="none"/>
                <w:lang w:val="en-US" w:eastAsia="zh-CN"/>
              </w:rPr>
              <w:t>10</w:t>
            </w:r>
            <w:r>
              <w:rPr>
                <w:rFonts w:hint="eastAsia" w:ascii="宋体" w:hAnsi="宋体" w:cs="Tahoma"/>
                <w:b/>
                <w:bCs/>
                <w:color w:val="auto"/>
                <w:kern w:val="0"/>
                <w:sz w:val="22"/>
                <w:szCs w:val="22"/>
                <w:highlight w:val="none"/>
              </w:rPr>
              <w:t>分）</w:t>
            </w:r>
          </w:p>
        </w:tc>
        <w:tc>
          <w:tcPr>
            <w:tcW w:w="5850" w:type="dxa"/>
            <w:tcBorders>
              <w:top w:val="single" w:color="auto" w:sz="4" w:space="0"/>
              <w:left w:val="single" w:color="auto" w:sz="4" w:space="0"/>
              <w:bottom w:val="single" w:color="auto" w:sz="4" w:space="0"/>
              <w:right w:val="single" w:color="auto" w:sz="4" w:space="0"/>
            </w:tcBorders>
            <w:vAlign w:val="center"/>
          </w:tcPr>
          <w:p w14:paraId="101D7280">
            <w:pPr>
              <w:autoSpaceDE w:val="0"/>
              <w:autoSpaceDN w:val="0"/>
              <w:adjustRightInd w:val="0"/>
              <w:spacing w:after="0" w:line="240" w:lineRule="auto"/>
              <w:rPr>
                <w:rFonts w:hint="eastAsia" w:ascii="宋体" w:hAnsi="宋体" w:eastAsia="宋体" w:cs="Tahoma"/>
                <w:color w:val="auto"/>
                <w:kern w:val="0"/>
                <w:sz w:val="22"/>
                <w:szCs w:val="22"/>
                <w:highlight w:val="none"/>
              </w:rPr>
            </w:pPr>
            <w:r>
              <w:rPr>
                <w:rFonts w:hint="eastAsia" w:ascii="宋体" w:hAnsi="宋体" w:eastAsia="宋体" w:cs="Tahoma"/>
                <w:color w:val="auto"/>
                <w:kern w:val="0"/>
                <w:sz w:val="22"/>
                <w:szCs w:val="22"/>
                <w:highlight w:val="none"/>
              </w:rPr>
              <w:t>机构组成职责分工明确，岗位责任制</w:t>
            </w:r>
            <w:bookmarkStart w:id="2416" w:name="_GoBack"/>
            <w:bookmarkEnd w:id="2416"/>
            <w:r>
              <w:rPr>
                <w:rFonts w:hint="eastAsia" w:ascii="宋体" w:hAnsi="宋体" w:eastAsia="宋体" w:cs="Tahoma"/>
                <w:color w:val="auto"/>
                <w:kern w:val="0"/>
                <w:sz w:val="22"/>
                <w:szCs w:val="22"/>
                <w:highlight w:val="none"/>
              </w:rPr>
              <w:t>度健全，机构人员专业配备齐全、技术工种及数量合理、办公设备满足需要得</w:t>
            </w:r>
            <w:r>
              <w:rPr>
                <w:rFonts w:hint="eastAsia" w:ascii="宋体" w:hAnsi="宋体" w:eastAsia="宋体" w:cs="Tahoma"/>
                <w:color w:val="auto"/>
                <w:kern w:val="0"/>
                <w:sz w:val="22"/>
                <w:szCs w:val="22"/>
                <w:highlight w:val="none"/>
                <w:lang w:val="en-US" w:eastAsia="zh-CN"/>
              </w:rPr>
              <w:t>0</w:t>
            </w:r>
            <w:r>
              <w:rPr>
                <w:rFonts w:hint="eastAsia" w:ascii="宋体" w:hAnsi="宋体" w:eastAsia="宋体" w:cs="Tahoma"/>
                <w:color w:val="auto"/>
                <w:kern w:val="0"/>
                <w:sz w:val="22"/>
                <w:szCs w:val="22"/>
                <w:highlight w:val="none"/>
              </w:rPr>
              <w:t>～</w:t>
            </w:r>
            <w:r>
              <w:rPr>
                <w:rFonts w:hint="eastAsia" w:ascii="宋体" w:hAnsi="宋体" w:cs="Tahoma"/>
                <w:color w:val="auto"/>
                <w:kern w:val="0"/>
                <w:sz w:val="22"/>
                <w:szCs w:val="22"/>
                <w:highlight w:val="none"/>
                <w:lang w:val="en-US" w:eastAsia="zh-CN"/>
              </w:rPr>
              <w:t>10</w:t>
            </w:r>
            <w:r>
              <w:rPr>
                <w:rFonts w:hint="eastAsia" w:ascii="宋体" w:hAnsi="宋体" w:eastAsia="宋体" w:cs="Tahoma"/>
                <w:color w:val="auto"/>
                <w:kern w:val="0"/>
                <w:sz w:val="22"/>
                <w:szCs w:val="22"/>
                <w:highlight w:val="none"/>
              </w:rPr>
              <w:t>分。</w:t>
            </w:r>
          </w:p>
        </w:tc>
      </w:tr>
    </w:tbl>
    <w:p w14:paraId="2FE8DFA4">
      <w:pPr>
        <w:pageBreakBefore/>
        <w:jc w:val="center"/>
        <w:rPr>
          <w:rFonts w:ascii="宋体" w:hAnsi="宋体"/>
          <w:b/>
          <w:kern w:val="0"/>
          <w:szCs w:val="21"/>
        </w:rPr>
      </w:pPr>
      <w:bookmarkStart w:id="79" w:name="_Toc304811308"/>
      <w:bookmarkStart w:id="80" w:name="_Toc304808711"/>
      <w:bookmarkStart w:id="81" w:name="_Toc310451991"/>
      <w:bookmarkStart w:id="82" w:name="_Toc304994427"/>
      <w:bookmarkStart w:id="83" w:name="_Toc302769232"/>
      <w:bookmarkStart w:id="84" w:name="_Toc310437981"/>
      <w:bookmarkStart w:id="85" w:name="_Toc310451808"/>
      <w:r>
        <w:rPr>
          <w:rFonts w:hint="eastAsia" w:ascii="宋体" w:hAnsi="宋体"/>
          <w:b/>
          <w:szCs w:val="21"/>
        </w:rPr>
        <w:t>评标办法正文部分</w:t>
      </w:r>
      <w:bookmarkEnd w:id="79"/>
      <w:bookmarkEnd w:id="80"/>
      <w:bookmarkEnd w:id="81"/>
      <w:bookmarkEnd w:id="82"/>
      <w:bookmarkEnd w:id="83"/>
      <w:bookmarkEnd w:id="84"/>
      <w:bookmarkEnd w:id="85"/>
      <w:bookmarkStart w:id="86" w:name="_Toc186513209"/>
    </w:p>
    <w:p w14:paraId="7286E50E">
      <w:pPr>
        <w:ind w:firstLine="422" w:firstLineChars="200"/>
        <w:rPr>
          <w:rFonts w:ascii="宋体" w:hAnsi="宋体"/>
          <w:b/>
          <w:szCs w:val="21"/>
        </w:rPr>
      </w:pPr>
      <w:bookmarkStart w:id="87" w:name="_Toc310451992"/>
      <w:bookmarkStart w:id="88" w:name="_Toc310437982"/>
      <w:bookmarkStart w:id="89" w:name="_Toc304994428"/>
      <w:bookmarkStart w:id="90" w:name="_Toc302769233"/>
      <w:bookmarkStart w:id="91" w:name="_Toc304808712"/>
      <w:bookmarkStart w:id="92" w:name="_Toc310451809"/>
      <w:bookmarkStart w:id="93" w:name="_Toc304811309"/>
      <w:r>
        <w:rPr>
          <w:rFonts w:hint="eastAsia" w:ascii="宋体" w:hAnsi="宋体"/>
          <w:b/>
          <w:szCs w:val="21"/>
        </w:rPr>
        <w:t>1.评标方法</w:t>
      </w:r>
      <w:bookmarkEnd w:id="86"/>
      <w:bookmarkEnd w:id="87"/>
      <w:bookmarkEnd w:id="88"/>
      <w:bookmarkEnd w:id="89"/>
      <w:bookmarkEnd w:id="90"/>
      <w:bookmarkEnd w:id="91"/>
      <w:bookmarkEnd w:id="92"/>
      <w:bookmarkEnd w:id="93"/>
    </w:p>
    <w:p w14:paraId="45EBCDE7">
      <w:pPr>
        <w:ind w:firstLine="420" w:firstLineChars="200"/>
        <w:rPr>
          <w:rFonts w:ascii="宋体" w:hAnsi="宋体"/>
          <w:szCs w:val="21"/>
        </w:rPr>
      </w:pPr>
      <w:bookmarkStart w:id="94" w:name="_Toc310451812"/>
      <w:bookmarkStart w:id="95" w:name="_Toc304994431"/>
      <w:bookmarkStart w:id="96" w:name="_Toc310451995"/>
      <w:bookmarkStart w:id="97" w:name="_Toc310437985"/>
      <w:bookmarkStart w:id="98" w:name="_Toc304808715"/>
      <w:bookmarkStart w:id="99" w:name="_Toc304811312"/>
      <w:bookmarkStart w:id="100" w:name="_Toc186513210"/>
      <w:bookmarkStart w:id="101" w:name="_Toc302769236"/>
      <w:r>
        <w:rPr>
          <w:rFonts w:hint="eastAsia" w:ascii="宋体" w:hAnsi="宋体"/>
          <w:szCs w:val="21"/>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w:t>
      </w:r>
      <w:r>
        <w:rPr>
          <w:rFonts w:hint="eastAsia" w:ascii="宋体" w:hAnsi="宋体"/>
          <w:b/>
          <w:bCs/>
          <w:szCs w:val="21"/>
        </w:rPr>
        <w:t>综合评分相等时，以投标报价低的优先；投标报价也相等的，以</w:t>
      </w:r>
      <w:r>
        <w:rPr>
          <w:rFonts w:hint="eastAsia" w:ascii="宋体" w:hAnsi="宋体" w:cs="宋体"/>
          <w:b/>
          <w:bCs/>
          <w:kern w:val="0"/>
          <w:szCs w:val="21"/>
        </w:rPr>
        <w:t>技术标得分高的优先；若投标报价及技术标得分均相同</w:t>
      </w:r>
      <w:r>
        <w:rPr>
          <w:rFonts w:hint="eastAsia" w:ascii="宋体" w:hAnsi="宋体"/>
          <w:b/>
          <w:bCs/>
          <w:szCs w:val="21"/>
        </w:rPr>
        <w:t>由招标人或者经招标人授权评标委员会自行确定。</w:t>
      </w:r>
    </w:p>
    <w:p w14:paraId="38ECE0C4">
      <w:pPr>
        <w:ind w:firstLine="422" w:firstLineChars="200"/>
        <w:rPr>
          <w:rFonts w:ascii="宋体" w:hAnsi="宋体"/>
          <w:b/>
          <w:szCs w:val="21"/>
        </w:rPr>
      </w:pPr>
      <w:r>
        <w:rPr>
          <w:rFonts w:hint="eastAsia" w:ascii="宋体" w:hAnsi="宋体"/>
          <w:b/>
          <w:szCs w:val="21"/>
        </w:rPr>
        <w:t>2.评审标准</w:t>
      </w:r>
      <w:bookmarkEnd w:id="94"/>
      <w:bookmarkEnd w:id="95"/>
      <w:bookmarkEnd w:id="96"/>
      <w:bookmarkEnd w:id="97"/>
      <w:bookmarkEnd w:id="98"/>
      <w:bookmarkEnd w:id="99"/>
      <w:bookmarkEnd w:id="100"/>
      <w:bookmarkEnd w:id="101"/>
      <w:bookmarkStart w:id="102" w:name="_Toc186513211"/>
    </w:p>
    <w:p w14:paraId="214C147A">
      <w:pPr>
        <w:ind w:firstLine="422" w:firstLineChars="200"/>
        <w:rPr>
          <w:rFonts w:ascii="宋体" w:hAnsi="宋体"/>
          <w:b/>
          <w:szCs w:val="21"/>
        </w:rPr>
      </w:pPr>
      <w:bookmarkStart w:id="103" w:name="_Toc310437986"/>
      <w:bookmarkStart w:id="104" w:name="_Toc310451813"/>
      <w:bookmarkStart w:id="105" w:name="_Toc304811313"/>
      <w:bookmarkStart w:id="106" w:name="_Toc304994432"/>
      <w:bookmarkStart w:id="107" w:name="_Toc302769237"/>
      <w:bookmarkStart w:id="108" w:name="_Toc310451996"/>
      <w:bookmarkStart w:id="109" w:name="_Toc304808716"/>
      <w:r>
        <w:rPr>
          <w:rFonts w:hint="eastAsia" w:ascii="宋体" w:hAnsi="宋体"/>
          <w:b/>
          <w:szCs w:val="21"/>
        </w:rPr>
        <w:t>2.1 初步评审标准</w:t>
      </w:r>
      <w:bookmarkEnd w:id="102"/>
      <w:bookmarkEnd w:id="103"/>
      <w:bookmarkEnd w:id="104"/>
      <w:bookmarkEnd w:id="105"/>
      <w:bookmarkEnd w:id="106"/>
      <w:bookmarkEnd w:id="107"/>
      <w:bookmarkEnd w:id="108"/>
      <w:bookmarkEnd w:id="109"/>
    </w:p>
    <w:p w14:paraId="4CFDB4F6">
      <w:pPr>
        <w:ind w:firstLine="420" w:firstLineChars="200"/>
        <w:rPr>
          <w:rFonts w:ascii="宋体" w:hAnsi="宋体"/>
          <w:szCs w:val="21"/>
        </w:rPr>
      </w:pPr>
      <w:bookmarkStart w:id="110" w:name="_Toc304994436"/>
      <w:bookmarkStart w:id="111" w:name="_Toc186513212"/>
      <w:bookmarkStart w:id="112" w:name="_Toc304808720"/>
      <w:bookmarkStart w:id="113" w:name="_Toc304811317"/>
      <w:bookmarkStart w:id="114" w:name="_Toc310437990"/>
      <w:bookmarkStart w:id="115" w:name="_Toc310451817"/>
      <w:bookmarkStart w:id="116" w:name="_Toc310452000"/>
      <w:bookmarkStart w:id="117" w:name="_Toc302769241"/>
      <w:r>
        <w:rPr>
          <w:rFonts w:hint="eastAsia" w:ascii="宋体" w:hAnsi="宋体"/>
          <w:szCs w:val="21"/>
        </w:rPr>
        <w:t>2.1.1 形式评审标准：见评标办法前附表。</w:t>
      </w:r>
    </w:p>
    <w:p w14:paraId="77C55663">
      <w:pPr>
        <w:ind w:firstLine="420" w:firstLineChars="200"/>
        <w:rPr>
          <w:rFonts w:ascii="宋体" w:hAnsi="宋体"/>
          <w:szCs w:val="21"/>
        </w:rPr>
      </w:pPr>
      <w:r>
        <w:rPr>
          <w:rFonts w:hint="eastAsia" w:ascii="宋体" w:hAnsi="宋体"/>
          <w:szCs w:val="21"/>
        </w:rPr>
        <w:t>2.1.2 资格评审标准：见评标办法前附表。</w:t>
      </w:r>
    </w:p>
    <w:p w14:paraId="05CF3642">
      <w:pPr>
        <w:ind w:firstLine="420" w:firstLineChars="200"/>
        <w:rPr>
          <w:rFonts w:ascii="宋体" w:hAnsi="宋体"/>
          <w:szCs w:val="21"/>
        </w:rPr>
      </w:pPr>
      <w:r>
        <w:rPr>
          <w:rFonts w:hint="eastAsia" w:ascii="宋体" w:hAnsi="宋体"/>
          <w:szCs w:val="21"/>
        </w:rPr>
        <w:t>2.1.3 响应性评审标准：见评标办法前附表。</w:t>
      </w:r>
    </w:p>
    <w:p w14:paraId="057867C7">
      <w:pPr>
        <w:ind w:firstLine="422" w:firstLineChars="200"/>
        <w:rPr>
          <w:rFonts w:ascii="宋体" w:hAnsi="宋体"/>
          <w:b/>
          <w:szCs w:val="21"/>
        </w:rPr>
      </w:pPr>
      <w:r>
        <w:rPr>
          <w:rFonts w:hint="eastAsia" w:ascii="宋体" w:hAnsi="宋体"/>
          <w:b/>
          <w:szCs w:val="21"/>
        </w:rPr>
        <w:t>2.2</w:t>
      </w:r>
      <w:bookmarkEnd w:id="110"/>
      <w:bookmarkEnd w:id="111"/>
      <w:bookmarkEnd w:id="112"/>
      <w:bookmarkEnd w:id="113"/>
      <w:bookmarkEnd w:id="114"/>
      <w:bookmarkEnd w:id="115"/>
      <w:bookmarkEnd w:id="116"/>
      <w:bookmarkEnd w:id="117"/>
      <w:r>
        <w:rPr>
          <w:rFonts w:hint="eastAsia" w:ascii="宋体" w:hAnsi="宋体"/>
          <w:b/>
          <w:szCs w:val="21"/>
        </w:rPr>
        <w:t>分值构成与评分标准</w:t>
      </w:r>
    </w:p>
    <w:p w14:paraId="7C3D916F">
      <w:pPr>
        <w:ind w:firstLine="420" w:firstLineChars="200"/>
        <w:rPr>
          <w:rFonts w:ascii="宋体" w:hAnsi="宋体"/>
          <w:szCs w:val="21"/>
        </w:rPr>
      </w:pPr>
      <w:r>
        <w:rPr>
          <w:rFonts w:hint="eastAsia" w:ascii="宋体" w:hAnsi="宋体"/>
          <w:szCs w:val="21"/>
        </w:rPr>
        <w:t>2.2.1 分值构成</w:t>
      </w:r>
    </w:p>
    <w:p w14:paraId="2C323CD0">
      <w:pPr>
        <w:ind w:firstLine="420" w:firstLineChars="200"/>
        <w:rPr>
          <w:rFonts w:ascii="宋体" w:hAnsi="宋体"/>
          <w:szCs w:val="21"/>
        </w:rPr>
      </w:pPr>
      <w:r>
        <w:rPr>
          <w:rFonts w:hint="eastAsia" w:ascii="宋体" w:hAnsi="宋体"/>
          <w:szCs w:val="21"/>
        </w:rPr>
        <w:t>（1）施工组织设计：见评标办法前附表；</w:t>
      </w:r>
    </w:p>
    <w:p w14:paraId="74EF5D4C">
      <w:pPr>
        <w:ind w:firstLine="420" w:firstLineChars="200"/>
        <w:rPr>
          <w:rFonts w:ascii="宋体" w:hAnsi="宋体"/>
          <w:szCs w:val="21"/>
        </w:rPr>
      </w:pPr>
      <w:r>
        <w:rPr>
          <w:rFonts w:hint="eastAsia" w:ascii="宋体" w:hAnsi="宋体"/>
          <w:szCs w:val="21"/>
        </w:rPr>
        <w:t>（2）项目管理机构：见评标办法前附表；</w:t>
      </w:r>
    </w:p>
    <w:p w14:paraId="0754F1E8">
      <w:pPr>
        <w:ind w:firstLine="420" w:firstLineChars="200"/>
        <w:rPr>
          <w:rFonts w:ascii="宋体" w:hAnsi="宋体"/>
          <w:szCs w:val="21"/>
        </w:rPr>
      </w:pPr>
      <w:r>
        <w:rPr>
          <w:rFonts w:hint="eastAsia" w:ascii="宋体" w:hAnsi="宋体"/>
          <w:szCs w:val="21"/>
        </w:rPr>
        <w:t>（3）其他评审因素：见评标办法前附表；</w:t>
      </w:r>
    </w:p>
    <w:p w14:paraId="62A1F66F">
      <w:pPr>
        <w:ind w:firstLine="420" w:firstLineChars="200"/>
        <w:rPr>
          <w:rFonts w:ascii="宋体" w:hAnsi="宋体"/>
          <w:szCs w:val="21"/>
        </w:rPr>
      </w:pPr>
      <w:r>
        <w:rPr>
          <w:rFonts w:hint="eastAsia" w:ascii="宋体" w:hAnsi="宋体"/>
          <w:szCs w:val="21"/>
        </w:rPr>
        <w:t>2.2.2 评标基准价计算</w:t>
      </w:r>
    </w:p>
    <w:p w14:paraId="649760C3">
      <w:pPr>
        <w:ind w:firstLine="420" w:firstLineChars="200"/>
        <w:rPr>
          <w:rFonts w:ascii="宋体" w:hAnsi="宋体"/>
          <w:szCs w:val="21"/>
        </w:rPr>
      </w:pPr>
      <w:r>
        <w:rPr>
          <w:rFonts w:hint="eastAsia" w:ascii="宋体" w:hAnsi="宋体"/>
          <w:szCs w:val="21"/>
        </w:rPr>
        <w:t>评标基准价计算方法：见评标办法前附表。</w:t>
      </w:r>
    </w:p>
    <w:p w14:paraId="46F5B594">
      <w:pPr>
        <w:ind w:firstLine="420" w:firstLineChars="200"/>
        <w:rPr>
          <w:rFonts w:ascii="宋体" w:hAnsi="宋体"/>
          <w:szCs w:val="21"/>
        </w:rPr>
      </w:pPr>
      <w:r>
        <w:rPr>
          <w:rFonts w:hint="eastAsia" w:ascii="宋体" w:hAnsi="宋体"/>
          <w:szCs w:val="21"/>
        </w:rPr>
        <w:t>2.2.3 投标报价的偏差率计算</w:t>
      </w:r>
    </w:p>
    <w:p w14:paraId="60C00314">
      <w:pPr>
        <w:ind w:firstLine="420" w:firstLineChars="200"/>
        <w:rPr>
          <w:rFonts w:ascii="宋体" w:hAnsi="宋体"/>
          <w:szCs w:val="21"/>
        </w:rPr>
      </w:pPr>
      <w:r>
        <w:rPr>
          <w:rFonts w:hint="eastAsia" w:ascii="宋体" w:hAnsi="宋体"/>
          <w:szCs w:val="21"/>
        </w:rPr>
        <w:t>投标报价的偏差率计算公式：见评标办法前附表。</w:t>
      </w:r>
    </w:p>
    <w:p w14:paraId="4D8EC9D4">
      <w:pPr>
        <w:ind w:firstLine="420" w:firstLineChars="200"/>
        <w:rPr>
          <w:rFonts w:ascii="宋体" w:hAnsi="宋体"/>
          <w:szCs w:val="21"/>
        </w:rPr>
      </w:pPr>
      <w:r>
        <w:rPr>
          <w:rFonts w:hint="eastAsia" w:ascii="宋体" w:hAnsi="宋体"/>
          <w:szCs w:val="21"/>
        </w:rPr>
        <w:t>2.2.4 评分标准</w:t>
      </w:r>
    </w:p>
    <w:p w14:paraId="393627B0">
      <w:pPr>
        <w:ind w:firstLine="420" w:firstLineChars="200"/>
        <w:rPr>
          <w:rFonts w:ascii="宋体" w:hAnsi="宋体"/>
          <w:szCs w:val="21"/>
        </w:rPr>
      </w:pPr>
      <w:bookmarkStart w:id="118" w:name="_Toc304808728"/>
      <w:bookmarkStart w:id="119" w:name="_Toc302769249"/>
      <w:bookmarkStart w:id="120" w:name="_Toc310452008"/>
      <w:bookmarkStart w:id="121" w:name="_Toc304811325"/>
      <w:bookmarkStart w:id="122" w:name="_Toc304994444"/>
      <w:bookmarkStart w:id="123" w:name="_Toc310451825"/>
      <w:bookmarkStart w:id="124" w:name="_Toc186513213"/>
      <w:bookmarkStart w:id="125" w:name="_Toc310437998"/>
      <w:r>
        <w:rPr>
          <w:rFonts w:hint="eastAsia" w:ascii="宋体" w:hAnsi="宋体"/>
          <w:szCs w:val="21"/>
        </w:rPr>
        <w:t>（1）施工组织设计：见评标办法前附表；</w:t>
      </w:r>
    </w:p>
    <w:p w14:paraId="1A3EB0FC">
      <w:pPr>
        <w:ind w:firstLine="420" w:firstLineChars="200"/>
        <w:rPr>
          <w:rFonts w:ascii="宋体" w:hAnsi="宋体"/>
          <w:szCs w:val="21"/>
        </w:rPr>
      </w:pPr>
      <w:r>
        <w:rPr>
          <w:rFonts w:hint="eastAsia" w:ascii="宋体" w:hAnsi="宋体"/>
          <w:szCs w:val="21"/>
        </w:rPr>
        <w:t>（2）项目管理机构：见评标办法前附表；</w:t>
      </w:r>
    </w:p>
    <w:p w14:paraId="07CDB014">
      <w:pPr>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3</w:t>
      </w:r>
      <w:r>
        <w:rPr>
          <w:rFonts w:hint="eastAsia" w:ascii="宋体" w:hAnsi="宋体"/>
          <w:szCs w:val="21"/>
        </w:rPr>
        <w:t>）投标报价：见评标办法前附表。</w:t>
      </w:r>
    </w:p>
    <w:p w14:paraId="4F1BF032">
      <w:pPr>
        <w:ind w:firstLine="422" w:firstLineChars="200"/>
        <w:rPr>
          <w:rFonts w:ascii="宋体" w:hAnsi="宋体"/>
          <w:b/>
          <w:szCs w:val="21"/>
        </w:rPr>
      </w:pPr>
      <w:r>
        <w:rPr>
          <w:rFonts w:hint="eastAsia" w:ascii="宋体" w:hAnsi="宋体"/>
          <w:b/>
          <w:szCs w:val="21"/>
        </w:rPr>
        <w:t>3.评标程序</w:t>
      </w:r>
      <w:bookmarkEnd w:id="118"/>
      <w:bookmarkEnd w:id="119"/>
      <w:bookmarkEnd w:id="120"/>
      <w:bookmarkEnd w:id="121"/>
      <w:bookmarkEnd w:id="122"/>
      <w:bookmarkEnd w:id="123"/>
      <w:bookmarkEnd w:id="124"/>
      <w:bookmarkEnd w:id="125"/>
      <w:bookmarkStart w:id="126" w:name="_Toc186513214"/>
    </w:p>
    <w:p w14:paraId="4A5A2DB9">
      <w:pPr>
        <w:ind w:firstLine="422" w:firstLineChars="200"/>
        <w:rPr>
          <w:rFonts w:ascii="宋体" w:hAnsi="宋体"/>
          <w:b/>
          <w:szCs w:val="21"/>
        </w:rPr>
      </w:pPr>
      <w:bookmarkStart w:id="127" w:name="_Toc304811326"/>
      <w:bookmarkStart w:id="128" w:name="_Toc310451826"/>
      <w:bookmarkStart w:id="129" w:name="_Toc302769250"/>
      <w:bookmarkStart w:id="130" w:name="_Toc310437999"/>
      <w:bookmarkStart w:id="131" w:name="_Toc304994445"/>
      <w:bookmarkStart w:id="132" w:name="_Toc304808729"/>
      <w:bookmarkStart w:id="133" w:name="_Toc310452009"/>
      <w:r>
        <w:rPr>
          <w:rFonts w:hint="eastAsia" w:ascii="宋体" w:hAnsi="宋体"/>
          <w:b/>
          <w:szCs w:val="21"/>
        </w:rPr>
        <w:t>3.1 初步评审</w:t>
      </w:r>
      <w:bookmarkEnd w:id="126"/>
      <w:bookmarkEnd w:id="127"/>
      <w:bookmarkEnd w:id="128"/>
      <w:bookmarkEnd w:id="129"/>
      <w:bookmarkEnd w:id="130"/>
      <w:bookmarkEnd w:id="131"/>
      <w:bookmarkEnd w:id="132"/>
      <w:bookmarkEnd w:id="133"/>
    </w:p>
    <w:p w14:paraId="256F8D26">
      <w:pPr>
        <w:ind w:firstLine="420" w:firstLineChars="200"/>
        <w:rPr>
          <w:rFonts w:ascii="宋体" w:hAnsi="宋体"/>
          <w:szCs w:val="21"/>
        </w:rPr>
      </w:pPr>
      <w:bookmarkStart w:id="134" w:name="_Toc186513215"/>
      <w:r>
        <w:rPr>
          <w:rFonts w:hint="eastAsia" w:ascii="宋体" w:hAnsi="宋体"/>
          <w:szCs w:val="21"/>
        </w:rPr>
        <w:t>3.1.1评标委员会依据本章第2.1款规定的标准对投标文件进行初步评审。有一项不符合评审标准的，评标委员会应当否决其投标。</w:t>
      </w:r>
    </w:p>
    <w:p w14:paraId="6E003F3C">
      <w:pPr>
        <w:ind w:firstLine="420" w:firstLineChars="200"/>
        <w:rPr>
          <w:rFonts w:ascii="宋体" w:hAnsi="宋体"/>
          <w:szCs w:val="21"/>
        </w:rPr>
      </w:pPr>
      <w:r>
        <w:rPr>
          <w:rFonts w:hint="eastAsia" w:ascii="宋体" w:hAnsi="宋体"/>
          <w:szCs w:val="21"/>
        </w:rPr>
        <w:t>3.1.2 投标人有以下情形之一的，评标委员会应当否决其投标：</w:t>
      </w:r>
    </w:p>
    <w:p w14:paraId="5AA35B31">
      <w:pPr>
        <w:ind w:firstLine="420" w:firstLineChars="200"/>
        <w:rPr>
          <w:rFonts w:ascii="宋体" w:hAnsi="宋体"/>
          <w:szCs w:val="21"/>
        </w:rPr>
      </w:pPr>
      <w:r>
        <w:rPr>
          <w:rFonts w:hint="eastAsia" w:ascii="宋体" w:hAnsi="宋体"/>
          <w:szCs w:val="21"/>
        </w:rPr>
        <w:t>（1）第二章“投标人须知”第1.4.3项规定的任何一种情形的；</w:t>
      </w:r>
    </w:p>
    <w:p w14:paraId="5B723778">
      <w:pPr>
        <w:ind w:firstLine="420" w:firstLineChars="200"/>
        <w:rPr>
          <w:rFonts w:ascii="宋体" w:hAnsi="宋体"/>
          <w:szCs w:val="21"/>
        </w:rPr>
      </w:pPr>
      <w:r>
        <w:rPr>
          <w:rFonts w:hint="eastAsia" w:ascii="宋体" w:hAnsi="宋体"/>
          <w:szCs w:val="21"/>
        </w:rPr>
        <w:t>（2）串通投标或弄虚作假或有其他违法行为的；</w:t>
      </w:r>
    </w:p>
    <w:p w14:paraId="0FAA6388">
      <w:pPr>
        <w:ind w:firstLine="420" w:firstLineChars="200"/>
        <w:rPr>
          <w:rFonts w:ascii="宋体" w:hAnsi="宋体"/>
          <w:szCs w:val="21"/>
        </w:rPr>
      </w:pPr>
      <w:r>
        <w:rPr>
          <w:rFonts w:hint="eastAsia" w:ascii="宋体" w:hAnsi="宋体"/>
          <w:szCs w:val="21"/>
        </w:rPr>
        <w:t>（3）不按评标委员会要求澄清、说明或补正的。</w:t>
      </w:r>
    </w:p>
    <w:p w14:paraId="4E3B769D">
      <w:pPr>
        <w:ind w:firstLine="420" w:firstLineChars="200"/>
        <w:rPr>
          <w:rFonts w:ascii="宋体" w:hAnsi="宋体"/>
          <w:szCs w:val="21"/>
        </w:rPr>
      </w:pPr>
      <w:r>
        <w:rPr>
          <w:rFonts w:hint="eastAsia" w:ascii="宋体" w:hAnsi="宋体"/>
          <w:szCs w:val="21"/>
        </w:rPr>
        <w:t>3.1.3 投标报价有算术错误的，评标委员会按以下原则对投标报价进行修正，修正的价格经投标人书面确认后具有约束力。投标人不接受修正价格的，评标委员会应当否决其投标。</w:t>
      </w:r>
    </w:p>
    <w:p w14:paraId="4DE1253A">
      <w:pPr>
        <w:ind w:firstLine="420" w:firstLineChars="200"/>
        <w:rPr>
          <w:rFonts w:ascii="宋体" w:hAnsi="宋体"/>
          <w:szCs w:val="21"/>
        </w:rPr>
      </w:pPr>
      <w:r>
        <w:rPr>
          <w:rFonts w:hint="eastAsia" w:ascii="宋体" w:hAnsi="宋体"/>
          <w:szCs w:val="21"/>
        </w:rPr>
        <w:t>（1）投标文件中的大写金额与小写金额不一致的，以大写金额为准；</w:t>
      </w:r>
    </w:p>
    <w:p w14:paraId="3D7E1000">
      <w:pPr>
        <w:ind w:firstLine="420" w:firstLineChars="200"/>
        <w:rPr>
          <w:rFonts w:ascii="宋体" w:hAnsi="宋体"/>
          <w:szCs w:val="21"/>
        </w:rPr>
      </w:pPr>
      <w:r>
        <w:rPr>
          <w:rFonts w:hint="eastAsia" w:ascii="宋体" w:hAnsi="宋体"/>
          <w:szCs w:val="21"/>
        </w:rPr>
        <w:t>（2）总价金额与依据单价计算出的结果不一致的，以单价金额为准修正总价，但单价金额小数点有明显错误的除外。</w:t>
      </w:r>
    </w:p>
    <w:p w14:paraId="05B0DF6F">
      <w:pPr>
        <w:ind w:firstLine="422" w:firstLineChars="200"/>
        <w:rPr>
          <w:rFonts w:ascii="宋体" w:hAnsi="宋体"/>
          <w:b/>
          <w:szCs w:val="21"/>
        </w:rPr>
      </w:pPr>
      <w:bookmarkStart w:id="135" w:name="_Toc310451836"/>
      <w:bookmarkStart w:id="136" w:name="_Toc304808739"/>
      <w:bookmarkStart w:id="137" w:name="_Toc304994455"/>
      <w:bookmarkStart w:id="138" w:name="_Toc304811336"/>
      <w:bookmarkStart w:id="139" w:name="_Toc302769260"/>
      <w:bookmarkStart w:id="140" w:name="_Toc310452019"/>
      <w:r>
        <w:rPr>
          <w:rFonts w:hint="eastAsia" w:ascii="宋体" w:hAnsi="宋体"/>
          <w:b/>
          <w:szCs w:val="21"/>
        </w:rPr>
        <w:t>3.2 详细评审</w:t>
      </w:r>
      <w:bookmarkEnd w:id="134"/>
      <w:bookmarkEnd w:id="135"/>
      <w:bookmarkEnd w:id="136"/>
      <w:bookmarkEnd w:id="137"/>
      <w:bookmarkEnd w:id="138"/>
      <w:bookmarkEnd w:id="139"/>
      <w:bookmarkEnd w:id="140"/>
    </w:p>
    <w:p w14:paraId="007E95C4">
      <w:pPr>
        <w:ind w:firstLine="420" w:firstLineChars="200"/>
        <w:rPr>
          <w:rFonts w:ascii="宋体" w:hAnsi="宋体"/>
          <w:szCs w:val="21"/>
        </w:rPr>
      </w:pPr>
      <w:bookmarkStart w:id="141" w:name="_Toc186513216"/>
      <w:r>
        <w:rPr>
          <w:rFonts w:hint="eastAsia" w:ascii="宋体" w:hAnsi="宋体"/>
          <w:szCs w:val="21"/>
        </w:rPr>
        <w:t>3.2.1 评标委员会按本章第2.2款规定的量化因素和分值进行打分，并计算出综合评估得分。评标办法前附表对承包人建议书中的设计文件评审有特殊规定的，从其规定。</w:t>
      </w:r>
    </w:p>
    <w:p w14:paraId="4D199254">
      <w:pPr>
        <w:ind w:firstLine="420" w:firstLineChars="200"/>
        <w:rPr>
          <w:rFonts w:ascii="宋体" w:hAnsi="宋体"/>
          <w:b/>
          <w:bCs/>
          <w:szCs w:val="21"/>
        </w:rPr>
      </w:pPr>
      <w:r>
        <w:rPr>
          <w:rFonts w:hint="eastAsia" w:ascii="宋体" w:hAnsi="宋体"/>
          <w:szCs w:val="21"/>
        </w:rPr>
        <w:t>（</w:t>
      </w:r>
      <w:r>
        <w:rPr>
          <w:rFonts w:hint="eastAsia" w:ascii="宋体" w:hAnsi="宋体"/>
          <w:b/>
          <w:bCs/>
          <w:szCs w:val="21"/>
        </w:rPr>
        <w:t xml:space="preserve">1）按本章第2.4.1规定的评审因素和分值计算出得分； </w:t>
      </w:r>
    </w:p>
    <w:p w14:paraId="13049C62">
      <w:pPr>
        <w:ind w:firstLine="422" w:firstLineChars="200"/>
        <w:rPr>
          <w:rFonts w:ascii="宋体" w:hAnsi="宋体"/>
          <w:b/>
          <w:bCs/>
          <w:szCs w:val="21"/>
        </w:rPr>
      </w:pPr>
      <w:r>
        <w:rPr>
          <w:rFonts w:hint="eastAsia" w:ascii="宋体" w:hAnsi="宋体"/>
          <w:b/>
          <w:bCs/>
          <w:szCs w:val="21"/>
        </w:rPr>
        <w:t>（2）按本章第2.4.2规定的评审因素和分值计算出得分；</w:t>
      </w:r>
    </w:p>
    <w:p w14:paraId="724B2D30">
      <w:pPr>
        <w:pStyle w:val="38"/>
      </w:pPr>
      <w:r>
        <w:rPr>
          <w:rFonts w:hint="eastAsia" w:hAnsi="宋体"/>
          <w:b/>
          <w:bCs/>
          <w:szCs w:val="21"/>
        </w:rPr>
        <w:t xml:space="preserve">     以上所有得分项计算平均分值为投标人技术部分的得分A</w:t>
      </w:r>
    </w:p>
    <w:p w14:paraId="1F32A7A0">
      <w:pPr>
        <w:ind w:firstLine="422" w:firstLineChars="200"/>
        <w:rPr>
          <w:rFonts w:ascii="宋体" w:hAnsi="宋体"/>
          <w:b/>
          <w:bCs/>
          <w:szCs w:val="21"/>
        </w:rPr>
      </w:pPr>
      <w:r>
        <w:rPr>
          <w:rFonts w:hint="eastAsia" w:ascii="宋体" w:hAnsi="宋体"/>
          <w:b/>
          <w:bCs/>
          <w:szCs w:val="21"/>
        </w:rPr>
        <w:t>（</w:t>
      </w:r>
      <w:r>
        <w:rPr>
          <w:rFonts w:hint="eastAsia" w:ascii="宋体" w:hAnsi="宋体"/>
          <w:b/>
          <w:bCs/>
          <w:szCs w:val="21"/>
          <w:lang w:val="en-US" w:eastAsia="zh-CN"/>
        </w:rPr>
        <w:t>3</w:t>
      </w:r>
      <w:r>
        <w:rPr>
          <w:rFonts w:hint="eastAsia" w:ascii="宋体" w:hAnsi="宋体"/>
          <w:b/>
          <w:bCs/>
          <w:szCs w:val="21"/>
        </w:rPr>
        <w:t xml:space="preserve">）按本章第2.3规定的评审因素和分值对投标报价计算出得分B。 </w:t>
      </w:r>
    </w:p>
    <w:p w14:paraId="33702B42">
      <w:pPr>
        <w:ind w:firstLine="422" w:firstLineChars="200"/>
        <w:rPr>
          <w:rFonts w:ascii="宋体" w:hAnsi="宋体"/>
          <w:b/>
          <w:bCs/>
          <w:szCs w:val="21"/>
        </w:rPr>
      </w:pPr>
      <w:r>
        <w:rPr>
          <w:rFonts w:hint="eastAsia" w:ascii="宋体" w:hAnsi="宋体"/>
          <w:b/>
          <w:bCs/>
          <w:szCs w:val="21"/>
        </w:rPr>
        <w:t>3.2.2 评分分值计算保留小数点后两位，小数点后第三位“四舍五入”。</w:t>
      </w:r>
    </w:p>
    <w:p w14:paraId="2CBCEDC9">
      <w:pPr>
        <w:ind w:firstLine="422" w:firstLineChars="200"/>
        <w:rPr>
          <w:rFonts w:ascii="宋体" w:hAnsi="宋体"/>
          <w:szCs w:val="21"/>
        </w:rPr>
      </w:pPr>
      <w:r>
        <w:rPr>
          <w:rFonts w:hint="eastAsia" w:ascii="宋体" w:hAnsi="宋体"/>
          <w:b/>
          <w:bCs/>
          <w:szCs w:val="21"/>
        </w:rPr>
        <w:t>3.2.3 投标人得分=A+B</w:t>
      </w:r>
      <w:r>
        <w:rPr>
          <w:rFonts w:hint="eastAsia" w:ascii="宋体" w:hAnsi="宋体"/>
          <w:szCs w:val="21"/>
        </w:rPr>
        <w:t>。</w:t>
      </w:r>
    </w:p>
    <w:p w14:paraId="64648789">
      <w:pPr>
        <w:ind w:firstLine="420" w:firstLineChars="200"/>
        <w:rPr>
          <w:rFonts w:ascii="宋体" w:hAnsi="宋体"/>
          <w:szCs w:val="21"/>
        </w:rPr>
      </w:pPr>
      <w:r>
        <w:rPr>
          <w:rFonts w:hint="eastAsia" w:ascii="宋体" w:hAnsi="宋体"/>
          <w:szCs w:val="21"/>
        </w:rPr>
        <w:t>3.2.4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评标委员会应当认定该投标人以低于成本报价竞标，应当否决其投标。</w:t>
      </w:r>
    </w:p>
    <w:p w14:paraId="79D310D2">
      <w:pPr>
        <w:ind w:firstLine="422" w:firstLineChars="200"/>
        <w:rPr>
          <w:rFonts w:ascii="宋体" w:hAnsi="宋体"/>
          <w:b/>
          <w:szCs w:val="21"/>
        </w:rPr>
      </w:pPr>
      <w:bookmarkStart w:id="142" w:name="_Toc304994459"/>
      <w:bookmarkStart w:id="143" w:name="_Toc310452023"/>
      <w:bookmarkStart w:id="144" w:name="_Toc304811340"/>
      <w:bookmarkStart w:id="145" w:name="_Toc310451840"/>
      <w:bookmarkStart w:id="146" w:name="_Toc304808743"/>
      <w:bookmarkStart w:id="147" w:name="_Toc302769264"/>
      <w:r>
        <w:rPr>
          <w:rFonts w:hint="eastAsia" w:ascii="宋体" w:hAnsi="宋体"/>
          <w:b/>
          <w:szCs w:val="21"/>
        </w:rPr>
        <w:t>3.3 投标文件的澄清和补正</w:t>
      </w:r>
      <w:bookmarkEnd w:id="141"/>
      <w:bookmarkEnd w:id="142"/>
      <w:bookmarkEnd w:id="143"/>
      <w:bookmarkEnd w:id="144"/>
      <w:bookmarkEnd w:id="145"/>
      <w:bookmarkEnd w:id="146"/>
      <w:bookmarkEnd w:id="147"/>
    </w:p>
    <w:p w14:paraId="7ABD086A">
      <w:pPr>
        <w:ind w:firstLine="420" w:firstLineChars="200"/>
        <w:rPr>
          <w:rFonts w:ascii="宋体" w:hAnsi="宋体"/>
          <w:szCs w:val="21"/>
        </w:rPr>
      </w:pPr>
      <w:bookmarkStart w:id="148" w:name="_Toc186513217"/>
      <w:r>
        <w:rPr>
          <w:rFonts w:hint="eastAsia" w:ascii="宋体" w:hAnsi="宋体"/>
          <w:szCs w:val="21"/>
        </w:rPr>
        <w:t>3.3.1 在评标过程中，评标委员会可以书面形式要求投标人对所提交投标文件中不明确的内容进行书面澄清或说明，或者对细微偏差进行补正。评标委员会不接受投标人主动提出的澄清、说明或补正。</w:t>
      </w:r>
    </w:p>
    <w:p w14:paraId="5DE2D15C">
      <w:pPr>
        <w:ind w:firstLine="420" w:firstLineChars="200"/>
        <w:rPr>
          <w:rFonts w:ascii="宋体" w:hAnsi="宋体"/>
          <w:szCs w:val="21"/>
        </w:rPr>
      </w:pPr>
      <w:r>
        <w:rPr>
          <w:rFonts w:hint="eastAsia" w:ascii="宋体" w:hAnsi="宋体"/>
          <w:szCs w:val="21"/>
        </w:rPr>
        <w:t>3.3.2 澄清、说明和补正不得改变投标文件的实质性内容。投标人的书面澄清、说明和补正属于投标文件的组成部分。</w:t>
      </w:r>
    </w:p>
    <w:p w14:paraId="63A21FF1">
      <w:pPr>
        <w:ind w:firstLine="420" w:firstLineChars="200"/>
        <w:rPr>
          <w:rFonts w:ascii="宋体" w:hAnsi="宋体"/>
          <w:szCs w:val="21"/>
        </w:rPr>
      </w:pPr>
      <w:r>
        <w:rPr>
          <w:rFonts w:hint="eastAsia" w:ascii="宋体" w:hAnsi="宋体"/>
          <w:szCs w:val="21"/>
        </w:rPr>
        <w:t>3.3.3 评标委员会对投标人提交的澄清、说明或补正有疑问的，可以要求投标人进一步澄清、说明或补正，直至满足评标委员会的要求。</w:t>
      </w:r>
    </w:p>
    <w:p w14:paraId="2E966B7E">
      <w:pPr>
        <w:ind w:firstLine="422" w:firstLineChars="200"/>
        <w:rPr>
          <w:rFonts w:ascii="宋体" w:hAnsi="宋体"/>
          <w:b/>
          <w:szCs w:val="21"/>
        </w:rPr>
      </w:pPr>
      <w:bookmarkStart w:id="149" w:name="_Toc304994463"/>
      <w:bookmarkStart w:id="150" w:name="_Toc310451844"/>
      <w:bookmarkStart w:id="151" w:name="_Toc302769268"/>
      <w:bookmarkStart w:id="152" w:name="_Toc310452027"/>
      <w:bookmarkStart w:id="153" w:name="_Toc304808747"/>
      <w:bookmarkStart w:id="154" w:name="_Toc304811344"/>
      <w:bookmarkStart w:id="155" w:name="_Toc310438017"/>
      <w:bookmarkStart w:id="156" w:name="_Toc310438581"/>
      <w:r>
        <w:rPr>
          <w:rFonts w:hint="eastAsia" w:ascii="宋体" w:hAnsi="宋体"/>
          <w:b/>
          <w:szCs w:val="21"/>
        </w:rPr>
        <w:t>3.4 评标结果</w:t>
      </w:r>
      <w:bookmarkEnd w:id="148"/>
      <w:bookmarkEnd w:id="149"/>
      <w:bookmarkEnd w:id="150"/>
      <w:bookmarkEnd w:id="151"/>
      <w:bookmarkEnd w:id="152"/>
      <w:bookmarkEnd w:id="153"/>
      <w:bookmarkEnd w:id="154"/>
      <w:bookmarkEnd w:id="155"/>
      <w:bookmarkEnd w:id="156"/>
    </w:p>
    <w:p w14:paraId="5CF0A5F0">
      <w:pPr>
        <w:ind w:firstLine="420" w:firstLineChars="200"/>
        <w:rPr>
          <w:rFonts w:ascii="宋体" w:hAnsi="宋体"/>
          <w:szCs w:val="21"/>
        </w:rPr>
      </w:pPr>
      <w:bookmarkStart w:id="157" w:name="_Toc304808748"/>
      <w:bookmarkStart w:id="158" w:name="_Toc304994464"/>
      <w:bookmarkStart w:id="159" w:name="_Toc310438582"/>
      <w:bookmarkStart w:id="160" w:name="_Toc310438126"/>
      <w:bookmarkStart w:id="161" w:name="_Toc310452028"/>
      <w:bookmarkStart w:id="162" w:name="_Toc302769269"/>
      <w:bookmarkStart w:id="163" w:name="_Toc304811345"/>
      <w:bookmarkStart w:id="164" w:name="_Toc310451845"/>
      <w:bookmarkStart w:id="165" w:name="_Toc310438018"/>
      <w:r>
        <w:rPr>
          <w:rFonts w:hint="eastAsia" w:ascii="宋体" w:hAnsi="宋体"/>
          <w:szCs w:val="21"/>
        </w:rPr>
        <w:t>3.4.1 除第二章“投标人须知”前附表授权直接确定中标人外，评标委员会按照得分由高到低的顺序推荐中标候选人。</w:t>
      </w:r>
      <w:bookmarkEnd w:id="157"/>
      <w:bookmarkEnd w:id="158"/>
      <w:bookmarkEnd w:id="159"/>
      <w:bookmarkEnd w:id="160"/>
      <w:bookmarkEnd w:id="161"/>
      <w:bookmarkEnd w:id="162"/>
      <w:bookmarkEnd w:id="163"/>
      <w:bookmarkEnd w:id="164"/>
      <w:bookmarkEnd w:id="165"/>
    </w:p>
    <w:p w14:paraId="5ABD7459">
      <w:pPr>
        <w:adjustRightInd w:val="0"/>
        <w:snapToGrid w:val="0"/>
        <w:ind w:firstLine="420" w:firstLineChars="200"/>
        <w:rPr>
          <w:rFonts w:ascii="宋体" w:hAnsi="宋体"/>
          <w:szCs w:val="21"/>
        </w:rPr>
      </w:pPr>
      <w:bookmarkStart w:id="166" w:name="_Toc310451846"/>
      <w:bookmarkStart w:id="167" w:name="_Toc310438583"/>
      <w:bookmarkStart w:id="168" w:name="_Toc304811346"/>
      <w:bookmarkStart w:id="169" w:name="_Toc304808749"/>
      <w:bookmarkStart w:id="170" w:name="_Toc310438019"/>
      <w:bookmarkStart w:id="171" w:name="_Toc310452029"/>
      <w:bookmarkStart w:id="172" w:name="_Toc302769270"/>
      <w:bookmarkStart w:id="173" w:name="_Toc310438127"/>
      <w:bookmarkStart w:id="174" w:name="_Toc304994465"/>
      <w:r>
        <w:rPr>
          <w:rFonts w:hint="eastAsia" w:ascii="宋体" w:hAnsi="宋体"/>
          <w:szCs w:val="21"/>
        </w:rPr>
        <w:t>3.4.2 评标委员会完成评标后，应当向招标人提交书面评标报告。</w:t>
      </w:r>
      <w:bookmarkEnd w:id="166"/>
      <w:bookmarkEnd w:id="167"/>
      <w:bookmarkEnd w:id="168"/>
      <w:bookmarkEnd w:id="169"/>
      <w:bookmarkEnd w:id="170"/>
      <w:bookmarkEnd w:id="171"/>
      <w:bookmarkEnd w:id="172"/>
      <w:bookmarkEnd w:id="173"/>
      <w:bookmarkEnd w:id="174"/>
    </w:p>
    <w:p w14:paraId="29A9DF98">
      <w:pPr>
        <w:adjustRightInd w:val="0"/>
        <w:snapToGrid w:val="0"/>
        <w:ind w:firstLine="422" w:firstLineChars="200"/>
        <w:rPr>
          <w:rFonts w:ascii="宋体" w:hAnsi="宋体"/>
          <w:b/>
          <w:szCs w:val="21"/>
        </w:rPr>
      </w:pPr>
    </w:p>
    <w:p w14:paraId="6998D9D6">
      <w:pPr>
        <w:adjustRightInd w:val="0"/>
        <w:snapToGrid w:val="0"/>
        <w:ind w:firstLine="422" w:firstLineChars="200"/>
        <w:rPr>
          <w:rFonts w:ascii="宋体" w:hAnsi="宋体"/>
          <w:b/>
          <w:szCs w:val="21"/>
        </w:rPr>
      </w:pPr>
    </w:p>
    <w:p w14:paraId="7C526DD2">
      <w:pPr>
        <w:adjustRightInd w:val="0"/>
        <w:snapToGrid w:val="0"/>
        <w:ind w:firstLine="422" w:firstLineChars="200"/>
        <w:rPr>
          <w:rFonts w:ascii="宋体" w:hAnsi="宋体"/>
          <w:b/>
          <w:szCs w:val="21"/>
        </w:rPr>
      </w:pPr>
    </w:p>
    <w:p w14:paraId="4AF91364">
      <w:pPr>
        <w:adjustRightInd w:val="0"/>
        <w:snapToGrid w:val="0"/>
        <w:ind w:firstLine="422" w:firstLineChars="200"/>
        <w:rPr>
          <w:rFonts w:ascii="宋体" w:hAnsi="宋体"/>
          <w:b/>
          <w:szCs w:val="21"/>
        </w:rPr>
      </w:pPr>
    </w:p>
    <w:p w14:paraId="4E5730BA">
      <w:pPr>
        <w:adjustRightInd w:val="0"/>
        <w:snapToGrid w:val="0"/>
        <w:ind w:firstLine="422" w:firstLineChars="200"/>
        <w:rPr>
          <w:rFonts w:ascii="宋体" w:hAnsi="宋体"/>
          <w:b/>
          <w:szCs w:val="21"/>
        </w:rPr>
      </w:pPr>
    </w:p>
    <w:p w14:paraId="4F06EB26">
      <w:pPr>
        <w:adjustRightInd w:val="0"/>
        <w:snapToGrid w:val="0"/>
        <w:ind w:firstLine="422" w:firstLineChars="200"/>
        <w:rPr>
          <w:rFonts w:ascii="宋体" w:hAnsi="宋体"/>
          <w:b/>
          <w:szCs w:val="21"/>
        </w:rPr>
      </w:pPr>
    </w:p>
    <w:p w14:paraId="24985AA3">
      <w:pPr>
        <w:adjustRightInd w:val="0"/>
        <w:snapToGrid w:val="0"/>
        <w:ind w:firstLine="422" w:firstLineChars="200"/>
        <w:rPr>
          <w:rFonts w:ascii="宋体" w:hAnsi="宋体"/>
          <w:b/>
          <w:szCs w:val="21"/>
        </w:rPr>
      </w:pPr>
    </w:p>
    <w:p w14:paraId="54E59564">
      <w:pPr>
        <w:adjustRightInd w:val="0"/>
        <w:snapToGrid w:val="0"/>
        <w:ind w:firstLine="422" w:firstLineChars="200"/>
        <w:rPr>
          <w:rFonts w:ascii="宋体" w:hAnsi="宋体"/>
          <w:b/>
          <w:szCs w:val="21"/>
        </w:rPr>
      </w:pPr>
    </w:p>
    <w:p w14:paraId="31160000">
      <w:pPr>
        <w:adjustRightInd w:val="0"/>
        <w:snapToGrid w:val="0"/>
        <w:ind w:firstLine="422" w:firstLineChars="200"/>
        <w:rPr>
          <w:rFonts w:ascii="宋体" w:hAnsi="宋体"/>
          <w:b/>
          <w:szCs w:val="21"/>
        </w:rPr>
      </w:pPr>
    </w:p>
    <w:p w14:paraId="3D09E321">
      <w:pPr>
        <w:adjustRightInd w:val="0"/>
        <w:snapToGrid w:val="0"/>
        <w:ind w:firstLine="422" w:firstLineChars="200"/>
        <w:rPr>
          <w:rFonts w:ascii="宋体" w:hAnsi="宋体"/>
          <w:b/>
          <w:szCs w:val="21"/>
        </w:rPr>
      </w:pPr>
    </w:p>
    <w:p w14:paraId="1BBFCBB5">
      <w:pPr>
        <w:adjustRightInd w:val="0"/>
        <w:snapToGrid w:val="0"/>
        <w:ind w:firstLine="422" w:firstLineChars="200"/>
        <w:rPr>
          <w:rFonts w:ascii="宋体" w:hAnsi="宋体"/>
          <w:b/>
          <w:szCs w:val="21"/>
        </w:rPr>
      </w:pPr>
    </w:p>
    <w:p w14:paraId="5EF21EA6">
      <w:pPr>
        <w:adjustRightInd w:val="0"/>
        <w:snapToGrid w:val="0"/>
        <w:ind w:firstLine="422" w:firstLineChars="200"/>
        <w:rPr>
          <w:rFonts w:ascii="宋体" w:hAnsi="宋体"/>
          <w:b/>
          <w:szCs w:val="21"/>
        </w:rPr>
      </w:pPr>
    </w:p>
    <w:p w14:paraId="117F59A8">
      <w:pPr>
        <w:adjustRightInd w:val="0"/>
        <w:snapToGrid w:val="0"/>
        <w:ind w:firstLine="422" w:firstLineChars="200"/>
        <w:rPr>
          <w:rFonts w:ascii="宋体" w:hAnsi="宋体"/>
          <w:b/>
          <w:szCs w:val="21"/>
        </w:rPr>
      </w:pPr>
    </w:p>
    <w:p w14:paraId="0CCB3110">
      <w:pPr>
        <w:adjustRightInd w:val="0"/>
        <w:snapToGrid w:val="0"/>
        <w:ind w:firstLine="422" w:firstLineChars="200"/>
        <w:rPr>
          <w:rFonts w:ascii="宋体" w:hAnsi="宋体"/>
          <w:b/>
          <w:szCs w:val="21"/>
        </w:rPr>
      </w:pPr>
    </w:p>
    <w:p w14:paraId="255307DA">
      <w:pPr>
        <w:adjustRightInd w:val="0"/>
        <w:snapToGrid w:val="0"/>
        <w:ind w:firstLine="422" w:firstLineChars="200"/>
        <w:rPr>
          <w:rFonts w:ascii="宋体" w:hAnsi="宋体"/>
          <w:b/>
          <w:szCs w:val="21"/>
        </w:rPr>
      </w:pPr>
    </w:p>
    <w:p w14:paraId="3D767C15">
      <w:pPr>
        <w:adjustRightInd w:val="0"/>
        <w:snapToGrid w:val="0"/>
        <w:ind w:firstLine="422" w:firstLineChars="200"/>
        <w:rPr>
          <w:rFonts w:ascii="宋体" w:hAnsi="宋体"/>
          <w:b/>
          <w:szCs w:val="21"/>
        </w:rPr>
      </w:pPr>
    </w:p>
    <w:p w14:paraId="28B444CD">
      <w:pPr>
        <w:adjustRightInd w:val="0"/>
        <w:snapToGrid w:val="0"/>
        <w:ind w:firstLine="422" w:firstLineChars="200"/>
        <w:rPr>
          <w:rFonts w:ascii="宋体" w:hAnsi="宋体"/>
          <w:b/>
          <w:szCs w:val="21"/>
        </w:rPr>
      </w:pPr>
    </w:p>
    <w:p w14:paraId="159D9D30">
      <w:pPr>
        <w:adjustRightInd w:val="0"/>
        <w:snapToGrid w:val="0"/>
        <w:ind w:firstLine="422" w:firstLineChars="200"/>
        <w:rPr>
          <w:rFonts w:ascii="宋体" w:hAnsi="宋体"/>
          <w:b/>
          <w:szCs w:val="21"/>
        </w:rPr>
      </w:pPr>
    </w:p>
    <w:p w14:paraId="09DF4BC3">
      <w:pPr>
        <w:adjustRightInd w:val="0"/>
        <w:snapToGrid w:val="0"/>
        <w:ind w:firstLine="422" w:firstLineChars="200"/>
        <w:rPr>
          <w:rFonts w:ascii="宋体" w:hAnsi="宋体"/>
          <w:b/>
          <w:szCs w:val="21"/>
        </w:rPr>
      </w:pPr>
    </w:p>
    <w:p w14:paraId="0622F5D9">
      <w:pPr>
        <w:adjustRightInd w:val="0"/>
        <w:snapToGrid w:val="0"/>
        <w:ind w:firstLine="422" w:firstLineChars="200"/>
        <w:rPr>
          <w:rFonts w:ascii="宋体" w:hAnsi="宋体"/>
          <w:b/>
          <w:szCs w:val="21"/>
        </w:rPr>
      </w:pPr>
    </w:p>
    <w:p w14:paraId="1F9D41A4">
      <w:pPr>
        <w:pStyle w:val="72"/>
        <w:rPr>
          <w:rFonts w:ascii="宋体" w:hAnsi="宋体"/>
          <w:b/>
          <w:szCs w:val="21"/>
        </w:rPr>
      </w:pPr>
    </w:p>
    <w:p w14:paraId="2CB88764">
      <w:pPr>
        <w:rPr>
          <w:rFonts w:ascii="宋体" w:hAnsi="宋体"/>
          <w:b/>
          <w:szCs w:val="21"/>
        </w:rPr>
      </w:pPr>
    </w:p>
    <w:p w14:paraId="34B80768">
      <w:pPr>
        <w:pStyle w:val="72"/>
        <w:rPr>
          <w:rFonts w:ascii="宋体" w:hAnsi="宋体"/>
          <w:b/>
          <w:szCs w:val="21"/>
        </w:rPr>
      </w:pPr>
    </w:p>
    <w:p w14:paraId="33467B83">
      <w:pPr>
        <w:rPr>
          <w:rFonts w:ascii="宋体" w:hAnsi="宋体"/>
          <w:b/>
          <w:szCs w:val="21"/>
        </w:rPr>
      </w:pPr>
    </w:p>
    <w:p w14:paraId="2BD208D6">
      <w:pPr>
        <w:pStyle w:val="72"/>
        <w:rPr>
          <w:rFonts w:ascii="宋体" w:hAnsi="宋体"/>
          <w:b/>
          <w:szCs w:val="21"/>
        </w:rPr>
      </w:pPr>
    </w:p>
    <w:p w14:paraId="723014A9">
      <w:pPr>
        <w:rPr>
          <w:rFonts w:ascii="宋体" w:hAnsi="宋体"/>
          <w:b/>
          <w:szCs w:val="21"/>
        </w:rPr>
      </w:pPr>
    </w:p>
    <w:p w14:paraId="362291A3">
      <w:pPr>
        <w:pStyle w:val="72"/>
        <w:rPr>
          <w:rFonts w:ascii="宋体" w:hAnsi="宋体"/>
          <w:b/>
          <w:szCs w:val="21"/>
        </w:rPr>
      </w:pPr>
    </w:p>
    <w:p w14:paraId="14B7DF50"/>
    <w:p w14:paraId="6AA462D5">
      <w:r>
        <w:br w:type="page"/>
      </w:r>
    </w:p>
    <w:p w14:paraId="30B69606">
      <w:pPr>
        <w:adjustRightInd w:val="0"/>
        <w:snapToGrid w:val="0"/>
        <w:ind w:firstLine="422" w:firstLineChars="200"/>
        <w:rPr>
          <w:rFonts w:ascii="宋体" w:hAnsi="宋体"/>
          <w:b/>
          <w:szCs w:val="21"/>
        </w:rPr>
      </w:pPr>
    </w:p>
    <w:p w14:paraId="41BE0537">
      <w:pPr>
        <w:adjustRightInd w:val="0"/>
        <w:snapToGrid w:val="0"/>
        <w:ind w:firstLine="422" w:firstLineChars="200"/>
        <w:rPr>
          <w:rFonts w:ascii="宋体" w:hAnsi="宋体"/>
          <w:b/>
          <w:szCs w:val="21"/>
        </w:rPr>
      </w:pPr>
      <w:r>
        <w:rPr>
          <w:rFonts w:hint="eastAsia" w:ascii="宋体" w:hAnsi="宋体"/>
          <w:b/>
          <w:szCs w:val="21"/>
        </w:rPr>
        <w:t>附件：否决投标条件</w:t>
      </w:r>
    </w:p>
    <w:p w14:paraId="01370765">
      <w:pPr>
        <w:adjustRightInd w:val="0"/>
        <w:snapToGrid w:val="0"/>
        <w:spacing w:before="312" w:beforeLines="100" w:after="312" w:afterLines="100"/>
        <w:ind w:firstLine="422" w:firstLineChars="200"/>
        <w:jc w:val="center"/>
        <w:rPr>
          <w:rFonts w:ascii="宋体" w:hAnsi="宋体"/>
          <w:b/>
          <w:szCs w:val="21"/>
        </w:rPr>
      </w:pPr>
      <w:r>
        <w:rPr>
          <w:rFonts w:hint="eastAsia" w:ascii="宋体" w:hAnsi="宋体"/>
          <w:b/>
          <w:szCs w:val="21"/>
        </w:rPr>
        <w:t>否决投标条件</w:t>
      </w:r>
    </w:p>
    <w:p w14:paraId="540F666A">
      <w:pPr>
        <w:adjustRightInd w:val="0"/>
        <w:snapToGrid w:val="0"/>
        <w:rPr>
          <w:rFonts w:ascii="宋体" w:hAnsi="宋体"/>
          <w:b/>
          <w:szCs w:val="21"/>
        </w:rPr>
      </w:pPr>
      <w:r>
        <w:rPr>
          <w:rFonts w:ascii="宋体" w:hAnsi="宋体"/>
          <w:b/>
          <w:szCs w:val="21"/>
        </w:rPr>
        <w:t>1</w:t>
      </w:r>
      <w:r>
        <w:rPr>
          <w:rFonts w:hint="eastAsia" w:ascii="宋体" w:hAnsi="宋体"/>
          <w:b/>
          <w:szCs w:val="21"/>
        </w:rPr>
        <w:t>.总则</w:t>
      </w:r>
    </w:p>
    <w:p w14:paraId="35850C82">
      <w:pPr>
        <w:adjustRightInd w:val="0"/>
        <w:snapToGrid w:val="0"/>
        <w:ind w:firstLine="420" w:firstLineChars="200"/>
        <w:rPr>
          <w:rFonts w:ascii="宋体" w:hAnsi="宋体"/>
          <w:szCs w:val="21"/>
        </w:rPr>
      </w:pPr>
      <w:r>
        <w:rPr>
          <w:rFonts w:hint="eastAsia" w:ascii="宋体" w:hAnsi="宋体"/>
          <w:szCs w:val="21"/>
        </w:rPr>
        <w:t>本附件所集中列示的否决投标条件，是本章“评标办法”的组成部分，是对第二章“投标人须知”和本章正文部分所规定的否决投标条件的总结和补充，如果出现相互矛盾的情况，以本附件的规定为准，其他地方列出的否决投标条件无效，评标委员会不能依据招标文件“否决投标条件”之外的条款否决投标。</w:t>
      </w:r>
    </w:p>
    <w:p w14:paraId="798BE98A">
      <w:pPr>
        <w:adjustRightInd w:val="0"/>
        <w:snapToGrid w:val="0"/>
        <w:rPr>
          <w:rFonts w:ascii="宋体" w:hAnsi="宋体"/>
          <w:b/>
          <w:szCs w:val="21"/>
        </w:rPr>
      </w:pPr>
      <w:r>
        <w:rPr>
          <w:rFonts w:ascii="宋体" w:hAnsi="宋体"/>
          <w:b/>
          <w:szCs w:val="21"/>
        </w:rPr>
        <w:t>2</w:t>
      </w:r>
      <w:r>
        <w:rPr>
          <w:rFonts w:hint="eastAsia" w:ascii="宋体" w:hAnsi="宋体"/>
          <w:b/>
          <w:szCs w:val="21"/>
        </w:rPr>
        <w:t>.</w:t>
      </w:r>
      <w:r>
        <w:rPr>
          <w:rFonts w:ascii="宋体" w:hAnsi="宋体"/>
          <w:b/>
          <w:szCs w:val="21"/>
        </w:rPr>
        <w:t>否决投标条件</w:t>
      </w:r>
    </w:p>
    <w:p w14:paraId="3ACF027B">
      <w:pPr>
        <w:autoSpaceDE w:val="0"/>
        <w:autoSpaceDN w:val="0"/>
        <w:adjustRightInd w:val="0"/>
        <w:ind w:firstLine="422" w:firstLineChars="200"/>
        <w:rPr>
          <w:rFonts w:ascii="宋体" w:hAnsi="宋体"/>
          <w:b/>
          <w:szCs w:val="21"/>
        </w:rPr>
      </w:pPr>
      <w:r>
        <w:rPr>
          <w:rFonts w:hint="eastAsia" w:ascii="宋体" w:hAnsi="宋体"/>
          <w:b/>
          <w:szCs w:val="21"/>
        </w:rPr>
        <w:t>投标人或投标文件有下列情形之一的,其投标作否决投标处理(其他</w:t>
      </w:r>
      <w:r>
        <w:rPr>
          <w:rFonts w:ascii="宋体" w:hAnsi="宋体"/>
          <w:b/>
          <w:szCs w:val="21"/>
        </w:rPr>
        <w:t>情形视为</w:t>
      </w:r>
      <w:r>
        <w:rPr>
          <w:rFonts w:hint="eastAsia" w:ascii="宋体" w:hAnsi="宋体"/>
          <w:b/>
          <w:szCs w:val="21"/>
        </w:rPr>
        <w:t>细微</w:t>
      </w:r>
      <w:r>
        <w:rPr>
          <w:rFonts w:ascii="宋体" w:hAnsi="宋体"/>
          <w:b/>
          <w:szCs w:val="21"/>
        </w:rPr>
        <w:t>偏差</w:t>
      </w:r>
      <w:r>
        <w:rPr>
          <w:rFonts w:hint="eastAsia" w:ascii="宋体" w:hAnsi="宋体"/>
          <w:b/>
          <w:szCs w:val="21"/>
        </w:rPr>
        <w:t>，</w:t>
      </w:r>
      <w:r>
        <w:rPr>
          <w:rFonts w:ascii="宋体" w:hAnsi="宋体"/>
          <w:b/>
          <w:szCs w:val="21"/>
        </w:rPr>
        <w:t>不作否决投标处理</w:t>
      </w:r>
      <w:r>
        <w:rPr>
          <w:rFonts w:hint="eastAsia" w:ascii="宋体" w:hAnsi="宋体"/>
          <w:b/>
          <w:szCs w:val="21"/>
        </w:rPr>
        <w:t>)：</w:t>
      </w:r>
    </w:p>
    <w:p w14:paraId="5F1BBF56">
      <w:pPr>
        <w:adjustRightInd w:val="0"/>
        <w:snapToGrid w:val="0"/>
        <w:ind w:firstLine="420" w:firstLineChars="200"/>
        <w:rPr>
          <w:rFonts w:ascii="宋体" w:hAnsi="宋体"/>
          <w:szCs w:val="21"/>
        </w:rPr>
      </w:pPr>
      <w:r>
        <w:rPr>
          <w:rFonts w:hint="eastAsia" w:ascii="宋体" w:hAnsi="宋体"/>
          <w:szCs w:val="21"/>
        </w:rPr>
        <w:t>2.1有串通投标行为或弄虚作假或有其他违法行为的。</w:t>
      </w:r>
    </w:p>
    <w:p w14:paraId="596BD7F3">
      <w:pPr>
        <w:adjustRightInd w:val="0"/>
        <w:snapToGrid w:val="0"/>
        <w:ind w:firstLine="420" w:firstLineChars="200"/>
        <w:rPr>
          <w:rFonts w:ascii="宋体" w:hAnsi="宋体"/>
          <w:szCs w:val="21"/>
        </w:rPr>
      </w:pPr>
      <w:r>
        <w:rPr>
          <w:rFonts w:hint="eastAsia" w:ascii="宋体" w:hAnsi="宋体"/>
          <w:szCs w:val="21"/>
        </w:rPr>
        <w:t>2.2不按评标委员会要求澄清、说明或补正的；</w:t>
      </w:r>
    </w:p>
    <w:p w14:paraId="7AD5C829">
      <w:pPr>
        <w:adjustRightInd w:val="0"/>
        <w:snapToGrid w:val="0"/>
        <w:ind w:firstLine="420" w:firstLineChars="200"/>
        <w:rPr>
          <w:rFonts w:ascii="宋体" w:hAnsi="宋体"/>
          <w:szCs w:val="21"/>
        </w:rPr>
      </w:pPr>
      <w:r>
        <w:rPr>
          <w:rFonts w:hint="eastAsia" w:ascii="宋体" w:hAnsi="宋体"/>
          <w:szCs w:val="21"/>
        </w:rPr>
        <w:t>2.3投标人报价存在有重大漏项、缺项，且在投标书中没有明确的阐述和承诺的；</w:t>
      </w:r>
    </w:p>
    <w:p w14:paraId="750ACD14">
      <w:pPr>
        <w:adjustRightInd w:val="0"/>
        <w:snapToGrid w:val="0"/>
        <w:ind w:firstLine="420" w:firstLineChars="200"/>
        <w:rPr>
          <w:rFonts w:ascii="宋体" w:hAnsi="宋体"/>
          <w:szCs w:val="21"/>
        </w:rPr>
      </w:pPr>
      <w:r>
        <w:rPr>
          <w:rFonts w:hint="eastAsia" w:ascii="宋体" w:hAnsi="宋体"/>
          <w:szCs w:val="21"/>
        </w:rPr>
        <w:t>2.4未按规定的格式填写,内容不全或关键内容字迹模糊、无法辨认的；</w:t>
      </w:r>
    </w:p>
    <w:p w14:paraId="2FB1E036">
      <w:pPr>
        <w:adjustRightInd w:val="0"/>
        <w:snapToGrid w:val="0"/>
        <w:ind w:firstLine="420" w:firstLineChars="200"/>
        <w:rPr>
          <w:rFonts w:ascii="宋体" w:hAnsi="宋体"/>
          <w:szCs w:val="21"/>
        </w:rPr>
      </w:pPr>
      <w:r>
        <w:rPr>
          <w:rFonts w:hint="eastAsia" w:ascii="宋体" w:hAnsi="宋体"/>
          <w:szCs w:val="21"/>
        </w:rPr>
        <w:t>2.5在形式评审、资格评审、响应性评审、价格审查中，评标委员会认定投标人的投标不符合评标办法前附表中规定的任何一项评审标准的。</w:t>
      </w:r>
    </w:p>
    <w:p w14:paraId="669CC8A2">
      <w:pPr>
        <w:adjustRightInd w:val="0"/>
        <w:snapToGrid w:val="0"/>
        <w:ind w:firstLine="420" w:firstLineChars="200"/>
        <w:rPr>
          <w:rFonts w:ascii="宋体" w:hAnsi="宋体"/>
          <w:szCs w:val="21"/>
        </w:rPr>
      </w:pPr>
    </w:p>
    <w:p w14:paraId="047268AC">
      <w:pPr>
        <w:ind w:firstLine="420" w:firstLineChars="200"/>
        <w:rPr>
          <w:rFonts w:ascii="宋体" w:hAnsi="宋体"/>
          <w:szCs w:val="21"/>
        </w:rPr>
      </w:pPr>
    </w:p>
    <w:p w14:paraId="61D79CE2">
      <w:pPr>
        <w:ind w:firstLine="420" w:firstLineChars="200"/>
        <w:rPr>
          <w:rFonts w:ascii="宋体" w:hAnsi="宋体"/>
          <w:szCs w:val="21"/>
        </w:rPr>
      </w:pPr>
    </w:p>
    <w:p w14:paraId="7736649A">
      <w:pPr>
        <w:ind w:firstLine="420" w:firstLineChars="200"/>
        <w:rPr>
          <w:rFonts w:ascii="宋体" w:hAnsi="宋体"/>
          <w:szCs w:val="21"/>
        </w:rPr>
      </w:pPr>
    </w:p>
    <w:p w14:paraId="4F2CF4EC">
      <w:pPr>
        <w:ind w:firstLine="420" w:firstLineChars="200"/>
        <w:rPr>
          <w:rFonts w:ascii="宋体" w:hAnsi="宋体"/>
          <w:szCs w:val="21"/>
        </w:rPr>
      </w:pPr>
    </w:p>
    <w:p w14:paraId="4E39D0D0">
      <w:pPr>
        <w:ind w:firstLine="420" w:firstLineChars="200"/>
        <w:rPr>
          <w:rFonts w:ascii="宋体" w:hAnsi="宋体"/>
          <w:szCs w:val="21"/>
        </w:rPr>
      </w:pPr>
    </w:p>
    <w:p w14:paraId="6C64211A">
      <w:pPr>
        <w:ind w:firstLine="420" w:firstLineChars="200"/>
        <w:rPr>
          <w:rFonts w:ascii="宋体" w:hAnsi="宋体"/>
          <w:szCs w:val="21"/>
        </w:rPr>
      </w:pPr>
    </w:p>
    <w:p w14:paraId="5CABF2AB">
      <w:pPr>
        <w:ind w:firstLine="420" w:firstLineChars="200"/>
        <w:rPr>
          <w:rFonts w:ascii="宋体" w:hAnsi="宋体"/>
          <w:szCs w:val="21"/>
        </w:rPr>
      </w:pPr>
    </w:p>
    <w:p w14:paraId="185087F4">
      <w:pPr>
        <w:ind w:firstLine="420" w:firstLineChars="200"/>
        <w:rPr>
          <w:rFonts w:ascii="宋体" w:hAnsi="宋体"/>
          <w:szCs w:val="21"/>
        </w:rPr>
      </w:pPr>
    </w:p>
    <w:p w14:paraId="77E50D89">
      <w:pPr>
        <w:ind w:firstLine="420" w:firstLineChars="200"/>
        <w:rPr>
          <w:rFonts w:ascii="宋体" w:hAnsi="宋体"/>
          <w:szCs w:val="21"/>
        </w:rPr>
      </w:pPr>
    </w:p>
    <w:p w14:paraId="6645678A">
      <w:pPr>
        <w:ind w:firstLine="420" w:firstLineChars="200"/>
        <w:rPr>
          <w:rFonts w:ascii="宋体" w:hAnsi="宋体"/>
          <w:szCs w:val="21"/>
        </w:rPr>
      </w:pPr>
    </w:p>
    <w:p w14:paraId="7D14A987">
      <w:pPr>
        <w:ind w:firstLine="420" w:firstLineChars="200"/>
        <w:rPr>
          <w:rFonts w:ascii="宋体" w:hAnsi="宋体"/>
          <w:szCs w:val="21"/>
        </w:rPr>
      </w:pPr>
    </w:p>
    <w:p w14:paraId="3C5DA30E">
      <w:pPr>
        <w:ind w:firstLine="420" w:firstLineChars="200"/>
        <w:rPr>
          <w:rFonts w:ascii="宋体" w:hAnsi="宋体"/>
          <w:szCs w:val="21"/>
        </w:rPr>
      </w:pPr>
    </w:p>
    <w:p w14:paraId="72B457A0">
      <w:pPr>
        <w:ind w:firstLine="420" w:firstLineChars="200"/>
        <w:rPr>
          <w:rFonts w:ascii="宋体" w:hAnsi="宋体"/>
          <w:szCs w:val="21"/>
        </w:rPr>
      </w:pPr>
    </w:p>
    <w:p w14:paraId="7BB5D7D9">
      <w:pPr>
        <w:ind w:firstLine="420" w:firstLineChars="200"/>
        <w:rPr>
          <w:rFonts w:ascii="宋体" w:hAnsi="宋体"/>
          <w:szCs w:val="21"/>
        </w:rPr>
      </w:pPr>
    </w:p>
    <w:p w14:paraId="76AE6EE7">
      <w:pPr>
        <w:ind w:firstLine="420" w:firstLineChars="200"/>
        <w:rPr>
          <w:rFonts w:ascii="宋体" w:hAnsi="宋体"/>
          <w:szCs w:val="21"/>
        </w:rPr>
      </w:pPr>
    </w:p>
    <w:p w14:paraId="2C13C7E4">
      <w:pPr>
        <w:ind w:firstLine="420" w:firstLineChars="200"/>
        <w:rPr>
          <w:rFonts w:ascii="宋体" w:hAnsi="宋体"/>
          <w:szCs w:val="21"/>
        </w:rPr>
      </w:pPr>
    </w:p>
    <w:p w14:paraId="70B7E1FF">
      <w:pPr>
        <w:ind w:firstLine="420" w:firstLineChars="200"/>
        <w:rPr>
          <w:rFonts w:ascii="宋体" w:hAnsi="宋体"/>
          <w:szCs w:val="21"/>
        </w:rPr>
      </w:pPr>
    </w:p>
    <w:p w14:paraId="118E2007">
      <w:pPr>
        <w:ind w:firstLine="420" w:firstLineChars="200"/>
        <w:rPr>
          <w:rFonts w:ascii="宋体" w:hAnsi="宋体"/>
          <w:szCs w:val="21"/>
        </w:rPr>
      </w:pPr>
    </w:p>
    <w:p w14:paraId="31117527">
      <w:pPr>
        <w:ind w:firstLine="420" w:firstLineChars="200"/>
        <w:rPr>
          <w:rFonts w:ascii="宋体" w:hAnsi="宋体"/>
          <w:szCs w:val="21"/>
        </w:rPr>
      </w:pPr>
    </w:p>
    <w:p w14:paraId="6A377AFD">
      <w:pPr>
        <w:ind w:firstLine="420" w:firstLineChars="200"/>
        <w:rPr>
          <w:rFonts w:ascii="宋体" w:hAnsi="宋体"/>
          <w:szCs w:val="21"/>
        </w:rPr>
      </w:pPr>
    </w:p>
    <w:p w14:paraId="76386862">
      <w:pPr>
        <w:ind w:firstLine="420" w:firstLineChars="200"/>
        <w:rPr>
          <w:rFonts w:ascii="宋体" w:hAnsi="宋体"/>
          <w:szCs w:val="21"/>
        </w:rPr>
      </w:pPr>
    </w:p>
    <w:p w14:paraId="065CBE84">
      <w:pPr>
        <w:ind w:firstLine="420" w:firstLineChars="200"/>
        <w:rPr>
          <w:rFonts w:ascii="宋体" w:hAnsi="宋体"/>
          <w:szCs w:val="21"/>
        </w:rPr>
      </w:pPr>
    </w:p>
    <w:p w14:paraId="7835CEB2">
      <w:pPr>
        <w:ind w:firstLine="420" w:firstLineChars="200"/>
        <w:rPr>
          <w:rFonts w:ascii="宋体" w:hAnsi="宋体"/>
          <w:szCs w:val="21"/>
        </w:rPr>
      </w:pPr>
    </w:p>
    <w:p w14:paraId="397B0F21">
      <w:pPr>
        <w:rPr>
          <w:rFonts w:ascii="宋体" w:hAnsi="宋体"/>
          <w:szCs w:val="21"/>
        </w:rPr>
      </w:pPr>
      <w:r>
        <w:rPr>
          <w:rFonts w:ascii="宋体" w:hAnsi="宋体"/>
          <w:szCs w:val="21"/>
        </w:rPr>
        <w:br w:type="page"/>
      </w:r>
    </w:p>
    <w:p w14:paraId="0D9A54F2">
      <w:pPr>
        <w:pStyle w:val="72"/>
      </w:pPr>
    </w:p>
    <w:p w14:paraId="675EAA86">
      <w:pPr>
        <w:pStyle w:val="4"/>
        <w:spacing w:line="240" w:lineRule="auto"/>
        <w:jc w:val="center"/>
        <w:rPr>
          <w:rFonts w:hint="eastAsia" w:ascii="宋体" w:hAnsi="宋体" w:eastAsia="宋体" w:cs="Times New Roman"/>
          <w:b/>
          <w:bCs w:val="0"/>
          <w:kern w:val="44"/>
          <w:sz w:val="48"/>
          <w:szCs w:val="30"/>
          <w:lang w:val="en-US" w:eastAsia="zh-CN" w:bidi="ar-SA"/>
        </w:rPr>
      </w:pPr>
      <w:bookmarkStart w:id="175" w:name="_Toc83384476"/>
      <w:r>
        <w:rPr>
          <w:rFonts w:hint="eastAsia" w:ascii="宋体" w:hAnsi="宋体" w:eastAsia="宋体" w:cs="Times New Roman"/>
          <w:b/>
          <w:bCs w:val="0"/>
          <w:kern w:val="44"/>
          <w:sz w:val="48"/>
          <w:szCs w:val="30"/>
          <w:lang w:val="en-US" w:eastAsia="zh-CN" w:bidi="ar-SA"/>
        </w:rPr>
        <w:t xml:space="preserve">第四章   </w:t>
      </w:r>
      <w:bookmarkEnd w:id="175"/>
      <w:bookmarkStart w:id="176" w:name="_Toc7838"/>
      <w:r>
        <w:rPr>
          <w:rFonts w:hint="eastAsia" w:ascii="宋体" w:hAnsi="宋体" w:eastAsia="宋体" w:cs="Times New Roman"/>
          <w:b/>
          <w:bCs w:val="0"/>
          <w:kern w:val="44"/>
          <w:sz w:val="48"/>
          <w:szCs w:val="30"/>
          <w:lang w:val="en-US" w:eastAsia="zh-CN" w:bidi="ar-SA"/>
        </w:rPr>
        <w:t>合同条款及格式</w:t>
      </w:r>
    </w:p>
    <w:p w14:paraId="0ADA6713">
      <w:pPr>
        <w:autoSpaceDE w:val="0"/>
        <w:autoSpaceDN w:val="0"/>
        <w:adjustRightInd w:val="0"/>
        <w:spacing w:line="360" w:lineRule="auto"/>
        <w:jc w:val="center"/>
        <w:outlineLvl w:val="1"/>
        <w:rPr>
          <w:rFonts w:hint="eastAsia" w:ascii="宋体" w:hAnsi="宋体" w:eastAsia="宋体" w:cs="宋体"/>
          <w:b/>
          <w:bCs/>
          <w:color w:val="auto"/>
          <w:kern w:val="0"/>
          <w:sz w:val="32"/>
          <w:szCs w:val="32"/>
          <w:highlight w:val="none"/>
        </w:rPr>
      </w:pPr>
      <w:bookmarkStart w:id="177" w:name="_Toc265954580"/>
      <w:bookmarkStart w:id="178" w:name="_Toc265653824"/>
      <w:bookmarkStart w:id="179" w:name="_Toc8095"/>
      <w:bookmarkStart w:id="180" w:name="_Toc5592"/>
      <w:bookmarkStart w:id="181" w:name="_Toc15900875"/>
      <w:bookmarkStart w:id="182" w:name="_Toc6768"/>
      <w:bookmarkStart w:id="183" w:name="_Toc265954879"/>
      <w:bookmarkStart w:id="184" w:name="_Toc18541"/>
      <w:bookmarkStart w:id="185" w:name="_Toc447703610"/>
      <w:r>
        <w:rPr>
          <w:rFonts w:hint="eastAsia" w:ascii="宋体" w:hAnsi="宋体" w:eastAsia="宋体" w:cs="宋体"/>
          <w:b/>
          <w:bCs/>
          <w:color w:val="auto"/>
          <w:kern w:val="0"/>
          <w:sz w:val="32"/>
          <w:szCs w:val="32"/>
          <w:highlight w:val="none"/>
        </w:rPr>
        <w:t>第一节 通用合同条款</w:t>
      </w:r>
      <w:bookmarkEnd w:id="177"/>
      <w:bookmarkEnd w:id="178"/>
      <w:bookmarkEnd w:id="179"/>
      <w:bookmarkEnd w:id="180"/>
      <w:bookmarkEnd w:id="181"/>
      <w:bookmarkEnd w:id="182"/>
      <w:bookmarkEnd w:id="183"/>
      <w:bookmarkEnd w:id="184"/>
      <w:bookmarkEnd w:id="185"/>
    </w:p>
    <w:p w14:paraId="38C7DA38">
      <w:pPr>
        <w:pStyle w:val="39"/>
        <w:autoSpaceDE w:val="0"/>
        <w:autoSpaceDN w:val="0"/>
        <w:adjustRightInd w:val="0"/>
        <w:spacing w:line="360" w:lineRule="auto"/>
        <w:jc w:val="center"/>
        <w:outlineLvl w:val="2"/>
        <w:rPr>
          <w:rStyle w:val="75"/>
          <w:rFonts w:hint="eastAsia" w:ascii="宋体" w:hAnsi="宋体" w:eastAsia="宋体" w:cs="宋体"/>
          <w:b/>
          <w:color w:val="auto"/>
          <w:kern w:val="0"/>
          <w:sz w:val="21"/>
          <w:szCs w:val="21"/>
          <w:highlight w:val="none"/>
        </w:rPr>
      </w:pPr>
      <w:bookmarkStart w:id="186" w:name="_Toc260172694"/>
      <w:bookmarkStart w:id="187" w:name="_Toc199321943"/>
      <w:bookmarkStart w:id="188" w:name="_Toc229450758"/>
      <w:bookmarkStart w:id="189" w:name="_Toc272432088"/>
      <w:bookmarkStart w:id="190" w:name="_Toc1840"/>
      <w:bookmarkStart w:id="191" w:name="_Toc312946344"/>
      <w:bookmarkStart w:id="192" w:name="_Toc294891881"/>
      <w:bookmarkStart w:id="193" w:name="_Toc262675373"/>
      <w:bookmarkStart w:id="194" w:name="_Toc274249429"/>
      <w:r>
        <w:rPr>
          <w:rFonts w:hint="eastAsia" w:ascii="宋体" w:hAnsi="宋体" w:eastAsia="宋体" w:cs="宋体"/>
          <w:b/>
          <w:sz w:val="21"/>
          <w:szCs w:val="21"/>
          <w:highlight w:val="none"/>
        </w:rPr>
        <w:t>（招标文件内本章合同条款及格式仅作为参考，本章节中未明确内容将在合同谈判中明确，招标人保留最终修订合同的权利，最终本合同以实际签订为准）</w:t>
      </w:r>
    </w:p>
    <w:p w14:paraId="25F49DA0">
      <w:pPr>
        <w:pStyle w:val="39"/>
        <w:autoSpaceDE w:val="0"/>
        <w:autoSpaceDN w:val="0"/>
        <w:adjustRightInd w:val="0"/>
        <w:spacing w:line="360" w:lineRule="auto"/>
        <w:jc w:val="left"/>
        <w:outlineLvl w:val="2"/>
        <w:rPr>
          <w:rStyle w:val="75"/>
          <w:rFonts w:hint="eastAsia" w:ascii="宋体" w:hAnsi="宋体" w:eastAsia="宋体" w:cs="宋体"/>
          <w:b/>
          <w:color w:val="auto"/>
          <w:spacing w:val="20"/>
          <w:kern w:val="0"/>
          <w:sz w:val="21"/>
          <w:szCs w:val="21"/>
          <w:highlight w:val="none"/>
        </w:rPr>
      </w:pPr>
      <w:r>
        <w:rPr>
          <w:rStyle w:val="75"/>
          <w:rFonts w:hint="eastAsia" w:ascii="宋体" w:hAnsi="宋体" w:eastAsia="宋体" w:cs="宋体"/>
          <w:b/>
          <w:color w:val="auto"/>
          <w:kern w:val="0"/>
          <w:sz w:val="21"/>
          <w:szCs w:val="21"/>
          <w:highlight w:val="none"/>
        </w:rPr>
        <w:t>1</w:t>
      </w:r>
      <w:r>
        <w:rPr>
          <w:rStyle w:val="75"/>
          <w:rFonts w:hint="eastAsia" w:ascii="宋体" w:hAnsi="宋体" w:eastAsia="宋体" w:cs="宋体"/>
          <w:color w:val="auto"/>
          <w:kern w:val="0"/>
          <w:sz w:val="21"/>
          <w:szCs w:val="21"/>
          <w:highlight w:val="none"/>
        </w:rPr>
        <w:t>.</w:t>
      </w:r>
      <w:r>
        <w:rPr>
          <w:rStyle w:val="75"/>
          <w:rFonts w:hint="eastAsia" w:ascii="宋体" w:hAnsi="宋体" w:eastAsia="宋体" w:cs="宋体"/>
          <w:color w:val="auto"/>
          <w:spacing w:val="20"/>
          <w:kern w:val="0"/>
          <w:sz w:val="21"/>
          <w:szCs w:val="21"/>
          <w:highlight w:val="none"/>
        </w:rPr>
        <w:t>一</w:t>
      </w:r>
      <w:r>
        <w:rPr>
          <w:rStyle w:val="75"/>
          <w:rFonts w:hint="eastAsia" w:ascii="宋体" w:hAnsi="宋体" w:eastAsia="宋体" w:cs="宋体"/>
          <w:b/>
          <w:color w:val="auto"/>
          <w:spacing w:val="20"/>
          <w:kern w:val="0"/>
          <w:sz w:val="21"/>
          <w:szCs w:val="21"/>
          <w:highlight w:val="none"/>
        </w:rPr>
        <w:t>般约定</w:t>
      </w:r>
      <w:bookmarkEnd w:id="186"/>
      <w:bookmarkEnd w:id="187"/>
      <w:bookmarkEnd w:id="188"/>
      <w:bookmarkEnd w:id="189"/>
      <w:bookmarkEnd w:id="190"/>
      <w:bookmarkEnd w:id="191"/>
      <w:bookmarkEnd w:id="192"/>
      <w:bookmarkEnd w:id="193"/>
      <w:bookmarkEnd w:id="194"/>
    </w:p>
    <w:p w14:paraId="7CF2AB99">
      <w:pPr>
        <w:pStyle w:val="39"/>
        <w:autoSpaceDE w:val="0"/>
        <w:autoSpaceDN w:val="0"/>
        <w:adjustRightInd w:val="0"/>
        <w:spacing w:line="360" w:lineRule="exact"/>
        <w:ind w:firstLine="420" w:firstLineChars="199"/>
        <w:jc w:val="left"/>
        <w:outlineLvl w:val="0"/>
        <w:rPr>
          <w:rStyle w:val="75"/>
          <w:rFonts w:hint="eastAsia" w:ascii="宋体" w:hAnsi="宋体" w:eastAsia="宋体" w:cs="宋体"/>
          <w:b/>
          <w:color w:val="auto"/>
          <w:kern w:val="0"/>
          <w:sz w:val="21"/>
          <w:szCs w:val="21"/>
          <w:highlight w:val="none"/>
        </w:rPr>
      </w:pPr>
      <w:bookmarkStart w:id="195" w:name="_Toc272432089"/>
      <w:bookmarkStart w:id="196" w:name="_Toc260172695"/>
      <w:bookmarkStart w:id="197" w:name="_Toc199321944"/>
      <w:bookmarkStart w:id="198" w:name="_Toc21884"/>
      <w:bookmarkStart w:id="199" w:name="_Toc294891882"/>
      <w:bookmarkStart w:id="200" w:name="_Toc312946345"/>
      <w:bookmarkStart w:id="201" w:name="_Toc262675374"/>
      <w:bookmarkStart w:id="202" w:name="_Toc229450759"/>
      <w:r>
        <w:rPr>
          <w:rStyle w:val="75"/>
          <w:rFonts w:hint="eastAsia" w:ascii="宋体" w:hAnsi="宋体" w:eastAsia="宋体" w:cs="宋体"/>
          <w:b/>
          <w:color w:val="auto"/>
          <w:kern w:val="0"/>
          <w:sz w:val="21"/>
          <w:szCs w:val="21"/>
          <w:highlight w:val="none"/>
        </w:rPr>
        <w:t>1.1 词语定义</w:t>
      </w:r>
      <w:bookmarkEnd w:id="195"/>
      <w:bookmarkEnd w:id="196"/>
      <w:bookmarkEnd w:id="197"/>
      <w:bookmarkEnd w:id="198"/>
      <w:bookmarkEnd w:id="199"/>
      <w:bookmarkEnd w:id="200"/>
      <w:bookmarkEnd w:id="201"/>
      <w:bookmarkEnd w:id="202"/>
    </w:p>
    <w:p w14:paraId="03C5AA1B">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通用合同条款、专用合同条款中的下列词语应具有本款所赋予的含义。</w:t>
      </w:r>
    </w:p>
    <w:p w14:paraId="3F78C9EB">
      <w:pPr>
        <w:pStyle w:val="38"/>
        <w:spacing w:line="360" w:lineRule="exact"/>
        <w:jc w:val="left"/>
        <w:outlineLvl w:val="0"/>
        <w:rPr>
          <w:rStyle w:val="75"/>
          <w:rFonts w:hint="eastAsia" w:ascii="宋体" w:hAnsi="宋体" w:eastAsia="宋体" w:cs="宋体"/>
          <w:b/>
          <w:color w:val="auto"/>
          <w:kern w:val="0"/>
          <w:sz w:val="21"/>
          <w:szCs w:val="21"/>
          <w:highlight w:val="none"/>
        </w:rPr>
      </w:pPr>
      <w:bookmarkStart w:id="203" w:name="_Toc294891883"/>
      <w:bookmarkStart w:id="204" w:name="_Toc312946346"/>
      <w:bookmarkStart w:id="205" w:name="_Toc260172696"/>
      <w:bookmarkStart w:id="206" w:name="_Toc3343"/>
      <w:bookmarkStart w:id="207" w:name="_Toc229450760"/>
      <w:bookmarkStart w:id="208" w:name="_Toc262675375"/>
      <w:bookmarkStart w:id="209" w:name="_Toc199321945"/>
      <w:bookmarkStart w:id="210" w:name="_Toc272432090"/>
      <w:bookmarkStart w:id="211" w:name="_Toc488678361"/>
      <w:bookmarkStart w:id="212" w:name="_Toc274249430"/>
      <w:bookmarkStart w:id="213" w:name="_Toc491246689"/>
      <w:r>
        <w:rPr>
          <w:rStyle w:val="75"/>
          <w:rFonts w:hint="eastAsia" w:ascii="宋体" w:hAnsi="宋体" w:eastAsia="宋体" w:cs="宋体"/>
          <w:b/>
          <w:color w:val="auto"/>
          <w:kern w:val="0"/>
          <w:sz w:val="21"/>
          <w:szCs w:val="21"/>
          <w:highlight w:val="none"/>
        </w:rPr>
        <w:t>1.1.1 合同</w:t>
      </w:r>
      <w:bookmarkEnd w:id="203"/>
      <w:bookmarkEnd w:id="204"/>
      <w:bookmarkEnd w:id="205"/>
      <w:bookmarkEnd w:id="206"/>
      <w:bookmarkEnd w:id="207"/>
      <w:bookmarkEnd w:id="208"/>
      <w:bookmarkEnd w:id="209"/>
      <w:bookmarkEnd w:id="210"/>
      <w:bookmarkEnd w:id="211"/>
      <w:bookmarkEnd w:id="212"/>
      <w:bookmarkEnd w:id="213"/>
    </w:p>
    <w:p w14:paraId="746A5D19">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1.1.1.1 合同文件(或称合同):指合同协议书、中标通知书、投标函及投标函附录、专用合同条款、通用合同条款、技术标准和要求、图纸、已标价工程量清单，以及其他合同文件。</w:t>
      </w:r>
    </w:p>
    <w:p w14:paraId="4BA76CBE">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1.1.1.2 合同协议书：指第1.5款所指的合同协议书。</w:t>
      </w:r>
    </w:p>
    <w:p w14:paraId="1F586115">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1.1.1.3 中标通知书：指发包人通知承包人中标的函件。</w:t>
      </w:r>
    </w:p>
    <w:p w14:paraId="2928A3A5">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1.1.1.4 投标函：指构成合同文件组成部分的由承包人填写并签署的投标函。</w:t>
      </w:r>
    </w:p>
    <w:p w14:paraId="0E37B4C1">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1.1.1.5 投标函附录：指附在投标函后构成合同文件的投标函附录。</w:t>
      </w:r>
    </w:p>
    <w:p w14:paraId="5EC73BCF">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1.1.1.6 技术标准和要求：指构成合同文件组成部分的名为技术标准和要求（合同技术条款）的文件，包括合同双方当事人约定对其所作的修改或补充。</w:t>
      </w:r>
    </w:p>
    <w:p w14:paraId="3741B09E">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1.1.1.7 图纸:指列入合同的招标图纸、投标图纸和发包人按合同约定向承包人提供的施工图纸和其它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p>
    <w:p w14:paraId="5213B590">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1.1.1.8 已标价工程量清单：指构成合同文件组成部分的由承包人按照规定的格式和要求填写并标明价格的工程量清单。</w:t>
      </w:r>
    </w:p>
    <w:p w14:paraId="5AA975CD">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1.1.1.9 其他合同文件:指经合同双方当事人确认构成合同文件的其他文件。</w:t>
      </w:r>
    </w:p>
    <w:p w14:paraId="1DF3BB6A">
      <w:pPr>
        <w:pStyle w:val="38"/>
        <w:spacing w:line="360" w:lineRule="exact"/>
        <w:jc w:val="left"/>
        <w:outlineLvl w:val="0"/>
        <w:rPr>
          <w:rStyle w:val="75"/>
          <w:rFonts w:hint="eastAsia" w:ascii="宋体" w:hAnsi="宋体" w:eastAsia="宋体" w:cs="宋体"/>
          <w:b/>
          <w:color w:val="auto"/>
          <w:kern w:val="0"/>
          <w:sz w:val="21"/>
          <w:szCs w:val="21"/>
          <w:highlight w:val="none"/>
        </w:rPr>
      </w:pPr>
      <w:bookmarkStart w:id="214" w:name="_Toc262675376"/>
      <w:bookmarkStart w:id="215" w:name="_Toc294891884"/>
      <w:bookmarkStart w:id="216" w:name="_Toc10912"/>
      <w:bookmarkStart w:id="217" w:name="_Toc199321946"/>
      <w:bookmarkStart w:id="218" w:name="_Toc272432091"/>
      <w:bookmarkStart w:id="219" w:name="_Toc312946347"/>
      <w:bookmarkStart w:id="220" w:name="_Toc274249431"/>
      <w:r>
        <w:rPr>
          <w:rStyle w:val="75"/>
          <w:rFonts w:hint="eastAsia" w:ascii="宋体" w:hAnsi="宋体" w:eastAsia="宋体" w:cs="宋体"/>
          <w:b/>
          <w:color w:val="auto"/>
          <w:kern w:val="0"/>
          <w:sz w:val="21"/>
          <w:szCs w:val="21"/>
          <w:highlight w:val="none"/>
        </w:rPr>
        <w:t>1.1.2 合同当事人和人员</w:t>
      </w:r>
      <w:bookmarkEnd w:id="214"/>
      <w:bookmarkEnd w:id="215"/>
      <w:bookmarkEnd w:id="216"/>
      <w:bookmarkEnd w:id="217"/>
      <w:bookmarkEnd w:id="218"/>
      <w:bookmarkEnd w:id="219"/>
      <w:bookmarkEnd w:id="220"/>
      <w:r>
        <w:rPr>
          <w:rStyle w:val="75"/>
          <w:rFonts w:hint="eastAsia" w:ascii="宋体" w:hAnsi="宋体" w:eastAsia="宋体" w:cs="宋体"/>
          <w:b/>
          <w:color w:val="auto"/>
          <w:kern w:val="0"/>
          <w:sz w:val="21"/>
          <w:szCs w:val="21"/>
          <w:highlight w:val="none"/>
        </w:rPr>
        <w:t xml:space="preserve"> </w:t>
      </w:r>
    </w:p>
    <w:p w14:paraId="04EC2C3F">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1.1.2.1 合同当事人:指发包人和(或)承包人。</w:t>
      </w:r>
    </w:p>
    <w:p w14:paraId="060E690E">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1.1.2.2 发包人：指专用合同条款中指明并与承包人在合同协议书中签字的当事人。</w:t>
      </w:r>
    </w:p>
    <w:p w14:paraId="251A1BBE">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1.1.2.3 承包人:指专用合同条款中指明并与发包人在合同协议书中签字的当事人。</w:t>
      </w:r>
    </w:p>
    <w:p w14:paraId="2047649F">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1.1.2.4 承包人项目经理：指承包人派驻施主场地的全权负责人。</w:t>
      </w:r>
    </w:p>
    <w:p w14:paraId="10283C57">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1.1.2.5 分包人: 指专用合同条款中指明的，从承包人处分包合同中某一部分工程，并与其签订分包合同的分包人。</w:t>
      </w:r>
    </w:p>
    <w:p w14:paraId="1F6A5D3F">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1.1.2.6 监理人:指在专用合同条款中指明的，受发包人委托对合同履行实施管理的法人或其他组织。</w:t>
      </w:r>
    </w:p>
    <w:p w14:paraId="2DFE0B5D">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1.1.2.7 总监理工程师(总监):指由监理人委派常驻施工场地对合同履行实施管理的全权负责人。</w:t>
      </w:r>
    </w:p>
    <w:p w14:paraId="3061E0AF">
      <w:pPr>
        <w:pStyle w:val="38"/>
        <w:spacing w:line="360" w:lineRule="exact"/>
        <w:jc w:val="left"/>
        <w:rPr>
          <w:rStyle w:val="75"/>
          <w:rFonts w:hint="eastAsia" w:ascii="宋体" w:hAnsi="宋体" w:eastAsia="宋体" w:cs="宋体"/>
          <w:b/>
          <w:color w:val="auto"/>
          <w:kern w:val="0"/>
          <w:sz w:val="21"/>
          <w:szCs w:val="21"/>
          <w:highlight w:val="none"/>
        </w:rPr>
      </w:pPr>
      <w:bookmarkStart w:id="221" w:name="_Toc199321947"/>
      <w:r>
        <w:rPr>
          <w:rStyle w:val="75"/>
          <w:rFonts w:hint="eastAsia" w:ascii="宋体" w:hAnsi="宋体" w:eastAsia="宋体" w:cs="宋体"/>
          <w:b/>
          <w:color w:val="auto"/>
          <w:kern w:val="0"/>
          <w:sz w:val="21"/>
          <w:szCs w:val="21"/>
          <w:highlight w:val="none"/>
        </w:rPr>
        <w:t>1.1.3工程和设备</w:t>
      </w:r>
      <w:bookmarkEnd w:id="221"/>
    </w:p>
    <w:p w14:paraId="522CF082">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1.1.3.1 工程:指永久工程和(或)临时工程。</w:t>
      </w:r>
    </w:p>
    <w:p w14:paraId="69DEF43D">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1.1.3.2 永久工程：指发包人为建设本合同工程永久征用的场地。</w:t>
      </w:r>
    </w:p>
    <w:p w14:paraId="58147DF5">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1.1.3.3 临时工程：指发包人为建设本合同工程临时征用，承包人在完工后须按合同要求退还的场地。</w:t>
      </w:r>
    </w:p>
    <w:p w14:paraId="10FF83AE">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1.1.3.4单位工程：指专用合同条款中指明特定范围的永久工程。</w:t>
      </w:r>
    </w:p>
    <w:p w14:paraId="414FA096">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1.1.3.5工程设备：指构成或计划构成永久工程-部分的机电设备、金属结构设备、仪器装置及其他类似的设备和装置。</w:t>
      </w:r>
    </w:p>
    <w:p w14:paraId="18FA5C88">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1.1.3.6 施工设备：指为完成合同约定的各项工作所需的设备、器具和其他物品，不包括临时工程和材料。</w:t>
      </w:r>
    </w:p>
    <w:p w14:paraId="18722082">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1.1.3.7 临时设施：指为完成合同约定的各项工作所服务的临时性生产和生活设施。</w:t>
      </w:r>
    </w:p>
    <w:p w14:paraId="4285CCEC">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1.1.3.8 承包人设备：指承包人自带的施工设备。</w:t>
      </w:r>
    </w:p>
    <w:p w14:paraId="68BE8A37">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1.1.3.9 施工场地(或称工地、现场)：指用于合同工程施工的场所，以及在合同中指定作为施工场地组成部分的其他场所，包括永久占地和临时占地。</w:t>
      </w:r>
    </w:p>
    <w:p w14:paraId="28E8B2BA">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1.1.3.10 永久占地：指发包人为建设本合同工程永久占用的场地。</w:t>
      </w:r>
    </w:p>
    <w:p w14:paraId="4E208C9F">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1.1.3.11 临时占地：指发包人为建设本合同工程临时征用,承包人在完工后须按合同要求退还场地。</w:t>
      </w:r>
    </w:p>
    <w:p w14:paraId="26958BEF">
      <w:pPr>
        <w:pStyle w:val="39"/>
        <w:autoSpaceDE w:val="0"/>
        <w:autoSpaceDN w:val="0"/>
        <w:adjustRightInd w:val="0"/>
        <w:spacing w:line="360" w:lineRule="exact"/>
        <w:ind w:firstLine="310" w:firstLineChars="147"/>
        <w:jc w:val="left"/>
        <w:rPr>
          <w:rStyle w:val="75"/>
          <w:rFonts w:hint="eastAsia" w:ascii="宋体" w:hAnsi="宋体" w:eastAsia="宋体" w:cs="宋体"/>
          <w:b/>
          <w:color w:val="auto"/>
          <w:kern w:val="0"/>
          <w:sz w:val="21"/>
          <w:szCs w:val="21"/>
          <w:highlight w:val="none"/>
        </w:rPr>
      </w:pPr>
      <w:r>
        <w:rPr>
          <w:rStyle w:val="75"/>
          <w:rFonts w:hint="eastAsia" w:ascii="宋体" w:hAnsi="宋体" w:eastAsia="宋体" w:cs="宋体"/>
          <w:b/>
          <w:color w:val="auto"/>
          <w:kern w:val="0"/>
          <w:sz w:val="21"/>
          <w:szCs w:val="21"/>
          <w:highlight w:val="none"/>
        </w:rPr>
        <w:t>1.1.4 日期</w:t>
      </w:r>
    </w:p>
    <w:p w14:paraId="00D90D3C">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1.1.4.1 开工通知：指监理人按第11.1款通知承包人开工的函件。</w:t>
      </w:r>
    </w:p>
    <w:p w14:paraId="0C74375D">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1.1.4.2 开工日期：指监理人按第11.1 款发出的开工通知中写明的开工日期。</w:t>
      </w:r>
    </w:p>
    <w:p w14:paraId="220FBCFB">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1.1.4.3 工期：指承包人在投标函中承诺的完成合同工程所需的期限，包括按第11.3款、第11.4款和第11.6 款约定所作的变更。</w:t>
      </w:r>
    </w:p>
    <w:p w14:paraId="1A7D695A">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1.1.4.4 竣工日期： 即合同工程完工日期，指第1.1.4.3目约定工期届满时的日期。实际完工日期以合同工程完工证书中写明的日期为准。</w:t>
      </w:r>
    </w:p>
    <w:p w14:paraId="7C3A6ECD">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1.1.4.5 缺陷责任期：即工程质量保修期，指履行第19.2款约定的缺陷责任的期限，包括根据第19.3款约定所作的延长，具体期限由专用合同条款约定。</w:t>
      </w:r>
    </w:p>
    <w:p w14:paraId="2F85A9F4">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1.1.4.6 基准日期：指投标截止时间前28天的日期。</w:t>
      </w:r>
    </w:p>
    <w:p w14:paraId="2ABD3193">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1.1.4.7 天：除特别指明外，指日历天。合同中按天计算时间的，开始当天不计入，从次日开始计算。期限最后一天的截止时间为当天24:00。</w:t>
      </w:r>
    </w:p>
    <w:p w14:paraId="66FFAAA1">
      <w:pPr>
        <w:pStyle w:val="39"/>
        <w:autoSpaceDE w:val="0"/>
        <w:autoSpaceDN w:val="0"/>
        <w:adjustRightInd w:val="0"/>
        <w:spacing w:line="360" w:lineRule="exact"/>
        <w:ind w:firstLine="422" w:firstLineChars="200"/>
        <w:jc w:val="left"/>
        <w:rPr>
          <w:rStyle w:val="75"/>
          <w:rFonts w:hint="eastAsia" w:ascii="宋体" w:hAnsi="宋体" w:eastAsia="宋体" w:cs="宋体"/>
          <w:b/>
          <w:color w:val="auto"/>
          <w:kern w:val="0"/>
          <w:sz w:val="21"/>
          <w:szCs w:val="21"/>
          <w:highlight w:val="none"/>
        </w:rPr>
      </w:pPr>
      <w:r>
        <w:rPr>
          <w:rStyle w:val="75"/>
          <w:rFonts w:hint="eastAsia" w:ascii="宋体" w:hAnsi="宋体" w:eastAsia="宋体" w:cs="宋体"/>
          <w:b/>
          <w:color w:val="auto"/>
          <w:kern w:val="0"/>
          <w:sz w:val="21"/>
          <w:szCs w:val="21"/>
          <w:highlight w:val="none"/>
        </w:rPr>
        <w:t>1.1.5 合同价格和费用</w:t>
      </w:r>
    </w:p>
    <w:p w14:paraId="66987CD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222" w:name="_Toc199321948"/>
      <w:r>
        <w:rPr>
          <w:rStyle w:val="75"/>
          <w:rFonts w:hint="eastAsia" w:ascii="宋体" w:hAnsi="宋体" w:eastAsia="宋体" w:cs="宋体"/>
          <w:color w:val="auto"/>
          <w:kern w:val="0"/>
          <w:sz w:val="21"/>
          <w:szCs w:val="21"/>
          <w:highlight w:val="none"/>
        </w:rPr>
        <w:t>1.1.5.1 签约合同价：指签定合同时合同协议书中写明的，包括了暂列金额、暂估价</w:t>
      </w:r>
      <w:bookmarkEnd w:id="222"/>
      <w:r>
        <w:rPr>
          <w:rStyle w:val="75"/>
          <w:rFonts w:hint="eastAsia" w:ascii="宋体" w:hAnsi="宋体" w:eastAsia="宋体" w:cs="宋体"/>
          <w:color w:val="auto"/>
          <w:kern w:val="0"/>
          <w:sz w:val="21"/>
          <w:szCs w:val="21"/>
          <w:highlight w:val="none"/>
        </w:rPr>
        <w:t>的合同总金额。</w:t>
      </w:r>
    </w:p>
    <w:p w14:paraId="0DEC9A64">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223" w:name="_Toc199321949"/>
      <w:r>
        <w:rPr>
          <w:rStyle w:val="75"/>
          <w:rFonts w:hint="eastAsia" w:ascii="宋体" w:hAnsi="宋体" w:eastAsia="宋体" w:cs="宋体"/>
          <w:color w:val="auto"/>
          <w:kern w:val="0"/>
          <w:sz w:val="21"/>
          <w:szCs w:val="21"/>
          <w:highlight w:val="none"/>
        </w:rPr>
        <w:t>1.1.5.2 合同价格：指承包人按合同约定完成了包括缺陷责任期内的全部承包工作</w:t>
      </w:r>
      <w:bookmarkEnd w:id="223"/>
      <w:r>
        <w:rPr>
          <w:rStyle w:val="75"/>
          <w:rFonts w:hint="eastAsia" w:ascii="宋体" w:hAnsi="宋体" w:eastAsia="宋体" w:cs="宋体"/>
          <w:color w:val="auto"/>
          <w:kern w:val="0"/>
          <w:sz w:val="21"/>
          <w:szCs w:val="21"/>
          <w:highlight w:val="none"/>
        </w:rPr>
        <w:t>后，发包人应付给承包人的金额，包括在履行合同过程中按合同约定进行的变更和调整。</w:t>
      </w:r>
    </w:p>
    <w:p w14:paraId="0DAE2AB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224" w:name="_Toc199321950"/>
      <w:r>
        <w:rPr>
          <w:rStyle w:val="75"/>
          <w:rFonts w:hint="eastAsia" w:ascii="宋体" w:hAnsi="宋体" w:eastAsia="宋体" w:cs="宋体"/>
          <w:color w:val="auto"/>
          <w:kern w:val="0"/>
          <w:sz w:val="21"/>
          <w:szCs w:val="21"/>
          <w:highlight w:val="none"/>
        </w:rPr>
        <w:t>1.1.5.3 费用：指为履行合同所发生的或将要发生的所有合理开支，包括管理费和应</w:t>
      </w:r>
      <w:bookmarkEnd w:id="224"/>
      <w:r>
        <w:rPr>
          <w:rStyle w:val="75"/>
          <w:rFonts w:hint="eastAsia" w:ascii="宋体" w:hAnsi="宋体" w:eastAsia="宋体" w:cs="宋体"/>
          <w:color w:val="auto"/>
          <w:kern w:val="0"/>
          <w:sz w:val="21"/>
          <w:szCs w:val="21"/>
          <w:highlight w:val="none"/>
        </w:rPr>
        <w:t>分摊的其他费用，但不包括利润：</w:t>
      </w:r>
    </w:p>
    <w:p w14:paraId="09077C1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225" w:name="_Toc199321951"/>
      <w:r>
        <w:rPr>
          <w:rStyle w:val="75"/>
          <w:rFonts w:hint="eastAsia" w:ascii="宋体" w:hAnsi="宋体" w:eastAsia="宋体" w:cs="宋体"/>
          <w:color w:val="auto"/>
          <w:kern w:val="0"/>
          <w:sz w:val="21"/>
          <w:szCs w:val="21"/>
          <w:highlight w:val="none"/>
        </w:rPr>
        <w:t>1.1.5.4 暂列金额：指已标价工程量清单中所列的暂列金额，用于在签订协议书时尚未确定或不可预见变更的施工及其所需材料、工程设备、服务等的金额，包括以计日工方式</w:t>
      </w:r>
      <w:bookmarkEnd w:id="225"/>
      <w:r>
        <w:rPr>
          <w:rStyle w:val="75"/>
          <w:rFonts w:hint="eastAsia" w:ascii="宋体" w:hAnsi="宋体" w:eastAsia="宋体" w:cs="宋体"/>
          <w:color w:val="auto"/>
          <w:kern w:val="0"/>
          <w:sz w:val="21"/>
          <w:szCs w:val="21"/>
          <w:highlight w:val="none"/>
        </w:rPr>
        <w:t>支付的金额。</w:t>
      </w:r>
    </w:p>
    <w:p w14:paraId="5BDE3E64">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1.1.5.5 暂估价：指发包人在工程量清单中给定的用于支付必然发生但暂时不能确定价格的材料、设备以及专业工程的金额。</w:t>
      </w:r>
    </w:p>
    <w:p w14:paraId="449AC1C4">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1.1.5.6 计日工:指对零星工作采取的一种计价方式，按合同中的计日工子目及其单价计价付款。</w:t>
      </w:r>
    </w:p>
    <w:p w14:paraId="0A22369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1.1.5.7 质量保证金(或称保留金):指按第17.4.1项约定用于保证在缺陷责任期内履行缺陷修复义务的金额。</w:t>
      </w:r>
    </w:p>
    <w:p w14:paraId="6D8C188D">
      <w:pPr>
        <w:pStyle w:val="38"/>
        <w:spacing w:line="360" w:lineRule="exact"/>
        <w:jc w:val="left"/>
        <w:rPr>
          <w:rStyle w:val="75"/>
          <w:rFonts w:hint="eastAsia" w:ascii="宋体" w:hAnsi="宋体" w:eastAsia="宋体" w:cs="宋体"/>
          <w:b/>
          <w:color w:val="auto"/>
          <w:kern w:val="0"/>
          <w:sz w:val="21"/>
          <w:szCs w:val="21"/>
          <w:highlight w:val="none"/>
        </w:rPr>
      </w:pPr>
      <w:r>
        <w:rPr>
          <w:rStyle w:val="75"/>
          <w:rFonts w:hint="eastAsia" w:ascii="宋体" w:hAnsi="宋体" w:eastAsia="宋体" w:cs="宋体"/>
          <w:b/>
          <w:color w:val="auto"/>
          <w:kern w:val="0"/>
          <w:sz w:val="21"/>
          <w:szCs w:val="21"/>
          <w:highlight w:val="none"/>
        </w:rPr>
        <w:t>1.1.6 其他</w:t>
      </w:r>
    </w:p>
    <w:p w14:paraId="6F36FD21">
      <w:pPr>
        <w:pStyle w:val="38"/>
        <w:spacing w:line="360" w:lineRule="exact"/>
        <w:jc w:val="left"/>
        <w:outlineLvl w:val="0"/>
        <w:rPr>
          <w:rStyle w:val="75"/>
          <w:rFonts w:hint="eastAsia" w:ascii="宋体" w:hAnsi="宋体" w:eastAsia="宋体" w:cs="宋体"/>
          <w:color w:val="auto"/>
          <w:kern w:val="0"/>
          <w:sz w:val="21"/>
          <w:szCs w:val="21"/>
          <w:highlight w:val="none"/>
        </w:rPr>
      </w:pPr>
      <w:bookmarkStart w:id="226" w:name="_Toc490385302"/>
      <w:bookmarkStart w:id="227" w:name="_Toc16894"/>
      <w:bookmarkStart w:id="228" w:name="_Toc491246690"/>
      <w:bookmarkStart w:id="229" w:name="_Toc262675377"/>
      <w:bookmarkStart w:id="230" w:name="_Toc278987325"/>
      <w:bookmarkStart w:id="231" w:name="_Toc294891885"/>
      <w:bookmarkStart w:id="232" w:name="_Toc488678362"/>
      <w:r>
        <w:rPr>
          <w:rStyle w:val="75"/>
          <w:rFonts w:hint="eastAsia" w:ascii="宋体" w:hAnsi="宋体" w:eastAsia="宋体" w:cs="宋体"/>
          <w:color w:val="auto"/>
          <w:kern w:val="0"/>
          <w:sz w:val="21"/>
          <w:szCs w:val="21"/>
          <w:highlight w:val="none"/>
        </w:rPr>
        <w:t>1.1.6.1 书面形式:指合同文件、信函飞电报、传真等可以有形地表现所载内容的形式。</w:t>
      </w:r>
      <w:bookmarkEnd w:id="226"/>
      <w:bookmarkEnd w:id="227"/>
      <w:bookmarkEnd w:id="228"/>
      <w:bookmarkEnd w:id="229"/>
      <w:bookmarkEnd w:id="230"/>
      <w:bookmarkEnd w:id="231"/>
      <w:bookmarkEnd w:id="232"/>
    </w:p>
    <w:p w14:paraId="3E7643B8">
      <w:pPr>
        <w:pStyle w:val="39"/>
        <w:autoSpaceDE w:val="0"/>
        <w:autoSpaceDN w:val="0"/>
        <w:adjustRightInd w:val="0"/>
        <w:spacing w:line="360" w:lineRule="exact"/>
        <w:ind w:firstLine="422" w:firstLineChars="200"/>
        <w:jc w:val="left"/>
        <w:outlineLvl w:val="0"/>
        <w:rPr>
          <w:rStyle w:val="75"/>
          <w:rFonts w:hint="eastAsia" w:ascii="宋体" w:hAnsi="宋体" w:eastAsia="宋体" w:cs="宋体"/>
          <w:b/>
          <w:color w:val="auto"/>
          <w:kern w:val="0"/>
          <w:sz w:val="21"/>
          <w:szCs w:val="21"/>
          <w:highlight w:val="none"/>
        </w:rPr>
      </w:pPr>
      <w:bookmarkStart w:id="233" w:name="_Toc229450761"/>
      <w:bookmarkStart w:id="234" w:name="_Toc13538"/>
      <w:bookmarkStart w:id="235" w:name="_Toc260172697"/>
      <w:bookmarkStart w:id="236" w:name="_Toc294891886"/>
      <w:bookmarkStart w:id="237" w:name="_Toc262675378"/>
      <w:bookmarkStart w:id="238" w:name="_Toc199321952"/>
      <w:bookmarkStart w:id="239" w:name="_Toc312946348"/>
      <w:bookmarkStart w:id="240" w:name="_Toc272432092"/>
      <w:bookmarkStart w:id="241" w:name="_Toc274249432"/>
      <w:r>
        <w:rPr>
          <w:rStyle w:val="75"/>
          <w:rFonts w:hint="eastAsia" w:ascii="宋体" w:hAnsi="宋体" w:eastAsia="宋体" w:cs="宋体"/>
          <w:b/>
          <w:color w:val="auto"/>
          <w:kern w:val="0"/>
          <w:sz w:val="21"/>
          <w:szCs w:val="21"/>
          <w:highlight w:val="none"/>
        </w:rPr>
        <w:t>1.2 语言文字</w:t>
      </w:r>
      <w:bookmarkEnd w:id="233"/>
      <w:bookmarkEnd w:id="234"/>
      <w:bookmarkEnd w:id="235"/>
      <w:bookmarkEnd w:id="236"/>
      <w:bookmarkEnd w:id="237"/>
      <w:bookmarkEnd w:id="238"/>
      <w:bookmarkEnd w:id="239"/>
      <w:bookmarkEnd w:id="240"/>
      <w:bookmarkEnd w:id="241"/>
    </w:p>
    <w:p w14:paraId="1B17E56A">
      <w:pPr>
        <w:pStyle w:val="39"/>
        <w:autoSpaceDE w:val="0"/>
        <w:autoSpaceDN w:val="0"/>
        <w:adjustRightInd w:val="0"/>
        <w:spacing w:line="360" w:lineRule="exact"/>
        <w:ind w:firstLine="525" w:firstLineChars="25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除专用术语外，合同使用的语言文字为中文。必要时专用术语应附有中文注释。</w:t>
      </w:r>
    </w:p>
    <w:p w14:paraId="357B3182">
      <w:pPr>
        <w:pStyle w:val="39"/>
        <w:autoSpaceDE w:val="0"/>
        <w:autoSpaceDN w:val="0"/>
        <w:adjustRightInd w:val="0"/>
        <w:spacing w:line="360" w:lineRule="exact"/>
        <w:jc w:val="left"/>
        <w:outlineLvl w:val="0"/>
        <w:rPr>
          <w:rStyle w:val="75"/>
          <w:rFonts w:hint="eastAsia" w:ascii="宋体" w:hAnsi="宋体" w:eastAsia="宋体" w:cs="宋体"/>
          <w:b/>
          <w:color w:val="auto"/>
          <w:kern w:val="0"/>
          <w:sz w:val="21"/>
          <w:szCs w:val="21"/>
          <w:highlight w:val="none"/>
        </w:rPr>
      </w:pPr>
      <w:bookmarkStart w:id="242" w:name="_Toc312946349"/>
      <w:bookmarkStart w:id="243" w:name="_Toc272432093"/>
      <w:bookmarkStart w:id="244" w:name="_Toc274249433"/>
      <w:bookmarkStart w:id="245" w:name="_Toc294891887"/>
      <w:bookmarkStart w:id="246" w:name="_Toc199321953"/>
      <w:bookmarkStart w:id="247" w:name="_Toc262675379"/>
      <w:bookmarkStart w:id="248" w:name="_Toc229450762"/>
      <w:bookmarkStart w:id="249" w:name="_Toc260172698"/>
      <w:bookmarkStart w:id="250" w:name="_Toc21931"/>
      <w:r>
        <w:rPr>
          <w:rStyle w:val="75"/>
          <w:rFonts w:hint="eastAsia" w:ascii="宋体" w:hAnsi="宋体" w:eastAsia="宋体" w:cs="宋体"/>
          <w:b/>
          <w:color w:val="auto"/>
          <w:kern w:val="0"/>
          <w:sz w:val="21"/>
          <w:szCs w:val="21"/>
          <w:highlight w:val="none"/>
        </w:rPr>
        <w:t>1.3 法律</w:t>
      </w:r>
      <w:bookmarkEnd w:id="242"/>
      <w:bookmarkEnd w:id="243"/>
      <w:bookmarkEnd w:id="244"/>
      <w:bookmarkEnd w:id="245"/>
      <w:bookmarkEnd w:id="246"/>
      <w:bookmarkEnd w:id="247"/>
      <w:bookmarkEnd w:id="248"/>
      <w:bookmarkEnd w:id="249"/>
      <w:bookmarkEnd w:id="250"/>
    </w:p>
    <w:p w14:paraId="0A670605">
      <w:pPr>
        <w:pStyle w:val="39"/>
        <w:autoSpaceDE w:val="0"/>
        <w:autoSpaceDN w:val="0"/>
        <w:adjustRightInd w:val="0"/>
        <w:spacing w:line="360" w:lineRule="exact"/>
        <w:ind w:firstLine="525" w:firstLineChars="25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适用于合同的法律包括中华人民共和国法律、行政法规、部门规章，以及工程所在地的地方法规、自治条例、单行条例和地方政府规章。</w:t>
      </w:r>
    </w:p>
    <w:p w14:paraId="6DFB33CE">
      <w:pPr>
        <w:pStyle w:val="39"/>
        <w:autoSpaceDE w:val="0"/>
        <w:autoSpaceDN w:val="0"/>
        <w:adjustRightInd w:val="0"/>
        <w:spacing w:line="360" w:lineRule="exact"/>
        <w:jc w:val="left"/>
        <w:outlineLvl w:val="0"/>
        <w:rPr>
          <w:rStyle w:val="75"/>
          <w:rFonts w:hint="eastAsia" w:ascii="宋体" w:hAnsi="宋体" w:eastAsia="宋体" w:cs="宋体"/>
          <w:b/>
          <w:color w:val="auto"/>
          <w:kern w:val="0"/>
          <w:sz w:val="21"/>
          <w:szCs w:val="21"/>
          <w:highlight w:val="none"/>
        </w:rPr>
      </w:pPr>
      <w:bookmarkStart w:id="251" w:name="_Toc312946350"/>
      <w:bookmarkStart w:id="252" w:name="_Toc274249434"/>
      <w:bookmarkStart w:id="253" w:name="_Toc229450763"/>
      <w:bookmarkStart w:id="254" w:name="_Toc262675380"/>
      <w:bookmarkStart w:id="255" w:name="_Toc294891888"/>
      <w:bookmarkStart w:id="256" w:name="_Toc22946"/>
      <w:bookmarkStart w:id="257" w:name="_Toc199321954"/>
      <w:bookmarkStart w:id="258" w:name="_Toc272432094"/>
      <w:bookmarkStart w:id="259" w:name="_Toc260172699"/>
      <w:r>
        <w:rPr>
          <w:rStyle w:val="75"/>
          <w:rFonts w:hint="eastAsia" w:ascii="宋体" w:hAnsi="宋体" w:eastAsia="宋体" w:cs="宋体"/>
          <w:b/>
          <w:color w:val="auto"/>
          <w:kern w:val="0"/>
          <w:sz w:val="21"/>
          <w:szCs w:val="21"/>
          <w:highlight w:val="none"/>
        </w:rPr>
        <w:t>1.4 合同文件的优先顺序</w:t>
      </w:r>
      <w:bookmarkEnd w:id="251"/>
      <w:bookmarkEnd w:id="252"/>
      <w:bookmarkEnd w:id="253"/>
      <w:bookmarkEnd w:id="254"/>
      <w:bookmarkEnd w:id="255"/>
      <w:bookmarkEnd w:id="256"/>
      <w:bookmarkEnd w:id="257"/>
      <w:bookmarkEnd w:id="258"/>
      <w:bookmarkEnd w:id="259"/>
    </w:p>
    <w:p w14:paraId="4E2E3855">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组成合同的各项文件应互相解释，互为说明。除专用合同条款另有约定外，解释合同文件的优先顺序如下：</w:t>
      </w:r>
    </w:p>
    <w:p w14:paraId="779930DC">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合同协议书；</w:t>
      </w:r>
    </w:p>
    <w:p w14:paraId="265978A1">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中标通知书；</w:t>
      </w:r>
    </w:p>
    <w:p w14:paraId="73546F31">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 投标函及投标函附录；</w:t>
      </w:r>
    </w:p>
    <w:p w14:paraId="6D4CF4BE">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 专用合同条款；</w:t>
      </w:r>
    </w:p>
    <w:p w14:paraId="572B79A0">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(5) 通用合同条款；</w:t>
      </w:r>
    </w:p>
    <w:p w14:paraId="18FC0F7F">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(6) 技术标准和要求；</w:t>
      </w:r>
    </w:p>
    <w:p w14:paraId="6E17B8FF">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(7) 图纸；</w:t>
      </w:r>
    </w:p>
    <w:p w14:paraId="5923D3C9">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(8) 已标价工程量清单；</w:t>
      </w:r>
    </w:p>
    <w:p w14:paraId="4221B7C9">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 其他合同文件。</w:t>
      </w:r>
    </w:p>
    <w:p w14:paraId="7D442682">
      <w:pPr>
        <w:pStyle w:val="39"/>
        <w:autoSpaceDE w:val="0"/>
        <w:autoSpaceDN w:val="0"/>
        <w:adjustRightInd w:val="0"/>
        <w:spacing w:line="360" w:lineRule="exact"/>
        <w:jc w:val="left"/>
        <w:outlineLvl w:val="0"/>
        <w:rPr>
          <w:rStyle w:val="75"/>
          <w:rFonts w:hint="eastAsia" w:ascii="宋体" w:hAnsi="宋体" w:eastAsia="宋体" w:cs="宋体"/>
          <w:b/>
          <w:color w:val="auto"/>
          <w:kern w:val="0"/>
          <w:sz w:val="21"/>
          <w:szCs w:val="21"/>
          <w:highlight w:val="none"/>
        </w:rPr>
      </w:pPr>
      <w:bookmarkStart w:id="260" w:name="_Toc260172700"/>
      <w:bookmarkStart w:id="261" w:name="_Toc294891889"/>
      <w:bookmarkStart w:id="262" w:name="_Toc312946351"/>
      <w:bookmarkStart w:id="263" w:name="_Toc229450764"/>
      <w:bookmarkStart w:id="264" w:name="_Toc199321955"/>
      <w:bookmarkStart w:id="265" w:name="_Toc25272"/>
      <w:bookmarkStart w:id="266" w:name="_Toc262675381"/>
      <w:bookmarkStart w:id="267" w:name="_Toc272432095"/>
      <w:bookmarkStart w:id="268" w:name="_Toc274249435"/>
      <w:r>
        <w:rPr>
          <w:rStyle w:val="75"/>
          <w:rFonts w:hint="eastAsia" w:ascii="宋体" w:hAnsi="宋体" w:eastAsia="宋体" w:cs="宋体"/>
          <w:b/>
          <w:color w:val="auto"/>
          <w:kern w:val="0"/>
          <w:sz w:val="21"/>
          <w:szCs w:val="21"/>
          <w:highlight w:val="none"/>
        </w:rPr>
        <w:t>1.5 合同协议书</w:t>
      </w:r>
      <w:bookmarkEnd w:id="260"/>
      <w:bookmarkEnd w:id="261"/>
      <w:bookmarkEnd w:id="262"/>
      <w:bookmarkEnd w:id="263"/>
      <w:bookmarkEnd w:id="264"/>
      <w:bookmarkEnd w:id="265"/>
      <w:bookmarkEnd w:id="266"/>
      <w:bookmarkEnd w:id="267"/>
      <w:bookmarkEnd w:id="268"/>
    </w:p>
    <w:p w14:paraId="20F8E072">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承包人按中标通知书规定的时间与发包人签订合同协议书。除法律另有规定或合同另有约定外，发包人和承包人的法定代表人或其委托代理人在合同协议书上签字并盖单位章后，合同生效。</w:t>
      </w:r>
    </w:p>
    <w:p w14:paraId="2B15F6B3">
      <w:pPr>
        <w:pStyle w:val="39"/>
        <w:autoSpaceDE w:val="0"/>
        <w:autoSpaceDN w:val="0"/>
        <w:adjustRightInd w:val="0"/>
        <w:spacing w:line="360" w:lineRule="exact"/>
        <w:jc w:val="left"/>
        <w:outlineLvl w:val="0"/>
        <w:rPr>
          <w:rStyle w:val="75"/>
          <w:rFonts w:hint="eastAsia" w:ascii="宋体" w:hAnsi="宋体" w:eastAsia="宋体" w:cs="宋体"/>
          <w:b/>
          <w:color w:val="auto"/>
          <w:kern w:val="0"/>
          <w:sz w:val="21"/>
          <w:szCs w:val="21"/>
          <w:highlight w:val="none"/>
        </w:rPr>
      </w:pPr>
      <w:bookmarkStart w:id="269" w:name="_Toc260172701"/>
      <w:bookmarkStart w:id="270" w:name="_Toc312946352"/>
      <w:bookmarkStart w:id="271" w:name="_Toc229450765"/>
      <w:bookmarkStart w:id="272" w:name="_Toc274249436"/>
      <w:bookmarkStart w:id="273" w:name="_Toc262675382"/>
      <w:bookmarkStart w:id="274" w:name="_Toc294891890"/>
      <w:bookmarkStart w:id="275" w:name="_Toc28851"/>
      <w:bookmarkStart w:id="276" w:name="_Toc199321956"/>
      <w:bookmarkStart w:id="277" w:name="_Toc272432096"/>
      <w:r>
        <w:rPr>
          <w:rStyle w:val="75"/>
          <w:rFonts w:hint="eastAsia" w:ascii="宋体" w:hAnsi="宋体" w:eastAsia="宋体" w:cs="宋体"/>
          <w:b/>
          <w:color w:val="auto"/>
          <w:kern w:val="0"/>
          <w:sz w:val="21"/>
          <w:szCs w:val="21"/>
          <w:highlight w:val="none"/>
        </w:rPr>
        <w:t>1.6 图纸和承包人文件</w:t>
      </w:r>
      <w:bookmarkEnd w:id="269"/>
      <w:bookmarkEnd w:id="270"/>
      <w:bookmarkEnd w:id="271"/>
      <w:bookmarkEnd w:id="272"/>
      <w:bookmarkEnd w:id="273"/>
      <w:bookmarkEnd w:id="274"/>
      <w:bookmarkEnd w:id="275"/>
      <w:bookmarkEnd w:id="276"/>
      <w:bookmarkEnd w:id="277"/>
    </w:p>
    <w:p w14:paraId="6F7E2AAA">
      <w:pPr>
        <w:pStyle w:val="38"/>
        <w:spacing w:line="360" w:lineRule="exact"/>
        <w:ind w:left="0" w:leftChars="0" w:firstLine="420" w:firstLineChars="200"/>
        <w:jc w:val="left"/>
        <w:rPr>
          <w:rStyle w:val="75"/>
          <w:rFonts w:hint="eastAsia" w:ascii="宋体" w:hAnsi="宋体" w:eastAsia="宋体" w:cs="宋体"/>
          <w:b/>
          <w:color w:val="auto"/>
          <w:kern w:val="0"/>
          <w:sz w:val="21"/>
          <w:szCs w:val="21"/>
          <w:highlight w:val="none"/>
        </w:rPr>
      </w:pPr>
      <w:bookmarkStart w:id="278" w:name="_Toc199321957"/>
      <w:bookmarkStart w:id="279" w:name="_Toc491246696"/>
      <w:bookmarkStart w:id="280" w:name="_Toc488678368"/>
      <w:r>
        <w:rPr>
          <w:rStyle w:val="75"/>
          <w:rFonts w:hint="eastAsia" w:ascii="宋体" w:hAnsi="宋体" w:eastAsia="宋体" w:cs="宋体"/>
          <w:color w:val="auto"/>
          <w:kern w:val="0"/>
          <w:sz w:val="21"/>
          <w:szCs w:val="21"/>
          <w:highlight w:val="none"/>
        </w:rPr>
        <w:t>1.6.1 图纸的提供</w:t>
      </w:r>
      <w:bookmarkEnd w:id="278"/>
      <w:bookmarkEnd w:id="279"/>
      <w:bookmarkEnd w:id="280"/>
    </w:p>
    <w:p w14:paraId="647D047A">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发包人应按技术标准和要求（合同技术条款）约定的期限和数量将施工图纸以及其它图纸（包括配套说明和有关资料）提供给承包人。由于发包人未按时提供图纸造成工期延误的，按第11.3款的约定办理。</w:t>
      </w:r>
    </w:p>
    <w:p w14:paraId="12D99BA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281" w:name="_Toc488678369"/>
      <w:bookmarkStart w:id="282" w:name="_Toc199321958"/>
      <w:bookmarkStart w:id="283" w:name="_Toc491246697"/>
      <w:r>
        <w:rPr>
          <w:rStyle w:val="75"/>
          <w:rFonts w:hint="eastAsia" w:ascii="宋体" w:hAnsi="宋体" w:eastAsia="宋体" w:cs="宋体"/>
          <w:color w:val="auto"/>
          <w:kern w:val="0"/>
          <w:sz w:val="21"/>
          <w:szCs w:val="21"/>
          <w:highlight w:val="none"/>
        </w:rPr>
        <w:t>1.6.2 承包人提供的文件</w:t>
      </w:r>
      <w:bookmarkEnd w:id="281"/>
      <w:bookmarkEnd w:id="282"/>
      <w:bookmarkEnd w:id="283"/>
    </w:p>
    <w:p w14:paraId="0473F3C6">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承包人提供的文件应按技术标准和要求（合同技术条款）约定的期限和数量提供给监理人。监理人应按技术标准和要求（合同技术条款）约定的期限批复承包人。</w:t>
      </w:r>
    </w:p>
    <w:p w14:paraId="3BBDB9C1">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284" w:name="_Toc491246698"/>
      <w:bookmarkStart w:id="285" w:name="_Toc272432097"/>
      <w:bookmarkStart w:id="286" w:name="_Toc488678370"/>
      <w:bookmarkStart w:id="287" w:name="_Toc262675383"/>
      <w:bookmarkStart w:id="288" w:name="_Toc199321959"/>
      <w:r>
        <w:rPr>
          <w:rStyle w:val="75"/>
          <w:rFonts w:hint="eastAsia" w:ascii="宋体" w:hAnsi="宋体" w:eastAsia="宋体" w:cs="宋体"/>
          <w:color w:val="auto"/>
          <w:kern w:val="0"/>
          <w:sz w:val="21"/>
          <w:szCs w:val="21"/>
          <w:highlight w:val="none"/>
        </w:rPr>
        <w:t>1.6.3 图纸的修改</w:t>
      </w:r>
      <w:bookmarkEnd w:id="284"/>
      <w:bookmarkEnd w:id="285"/>
      <w:bookmarkEnd w:id="286"/>
      <w:bookmarkEnd w:id="287"/>
      <w:bookmarkEnd w:id="288"/>
    </w:p>
    <w:p w14:paraId="2A2BE633">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p>
    <w:p w14:paraId="3D104280">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289" w:name="_Toc488678371"/>
      <w:bookmarkStart w:id="290" w:name="_Toc262675384"/>
      <w:bookmarkStart w:id="291" w:name="_Toc272432098"/>
      <w:bookmarkStart w:id="292" w:name="_Toc199321960"/>
      <w:bookmarkStart w:id="293" w:name="_Toc491246699"/>
      <w:r>
        <w:rPr>
          <w:rStyle w:val="75"/>
          <w:rFonts w:hint="eastAsia" w:ascii="宋体" w:hAnsi="宋体" w:eastAsia="宋体" w:cs="宋体"/>
          <w:color w:val="auto"/>
          <w:kern w:val="0"/>
          <w:sz w:val="21"/>
          <w:szCs w:val="21"/>
          <w:highlight w:val="none"/>
        </w:rPr>
        <w:t>1.6.4 图纸的错误</w:t>
      </w:r>
      <w:bookmarkEnd w:id="289"/>
      <w:bookmarkEnd w:id="290"/>
      <w:bookmarkEnd w:id="291"/>
      <w:bookmarkEnd w:id="292"/>
      <w:bookmarkEnd w:id="293"/>
    </w:p>
    <w:p w14:paraId="4AE846E2">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承包人发现发包人提供的图纸存在明显错误或疏忽，应及时通知监理人。</w:t>
      </w:r>
    </w:p>
    <w:p w14:paraId="057B6B55">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294" w:name="_Toc272432099"/>
      <w:bookmarkStart w:id="295" w:name="_Toc199321961"/>
      <w:bookmarkStart w:id="296" w:name="_Toc491246700"/>
      <w:bookmarkStart w:id="297" w:name="_Toc262675385"/>
      <w:bookmarkStart w:id="298" w:name="_Toc488678372"/>
      <w:r>
        <w:rPr>
          <w:rStyle w:val="75"/>
          <w:rFonts w:hint="eastAsia" w:ascii="宋体" w:hAnsi="宋体" w:eastAsia="宋体" w:cs="宋体"/>
          <w:color w:val="auto"/>
          <w:kern w:val="0"/>
          <w:sz w:val="21"/>
          <w:szCs w:val="21"/>
          <w:highlight w:val="none"/>
        </w:rPr>
        <w:t>1.6.5 图纸和承包人文件的保管</w:t>
      </w:r>
      <w:bookmarkEnd w:id="294"/>
      <w:bookmarkEnd w:id="295"/>
      <w:bookmarkEnd w:id="296"/>
      <w:bookmarkEnd w:id="297"/>
      <w:bookmarkEnd w:id="298"/>
    </w:p>
    <w:p w14:paraId="1881D5A0">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监理人和承包人均应在施工场地各保存一套完整的包含第1.6.1项、第1.6.2项、第1.6.3项约定内容的图纸和承包人文件。</w:t>
      </w:r>
    </w:p>
    <w:p w14:paraId="4729B722">
      <w:pPr>
        <w:pStyle w:val="39"/>
        <w:autoSpaceDE w:val="0"/>
        <w:autoSpaceDN w:val="0"/>
        <w:adjustRightInd w:val="0"/>
        <w:spacing w:line="360" w:lineRule="exact"/>
        <w:jc w:val="left"/>
        <w:outlineLvl w:val="0"/>
        <w:rPr>
          <w:rStyle w:val="75"/>
          <w:rFonts w:hint="eastAsia" w:ascii="宋体" w:hAnsi="宋体" w:eastAsia="宋体" w:cs="宋体"/>
          <w:b/>
          <w:color w:val="auto"/>
          <w:kern w:val="0"/>
          <w:sz w:val="21"/>
          <w:szCs w:val="21"/>
          <w:highlight w:val="none"/>
        </w:rPr>
      </w:pPr>
      <w:bookmarkStart w:id="299" w:name="_Toc229450766"/>
      <w:bookmarkStart w:id="300" w:name="_Toc294891891"/>
      <w:bookmarkStart w:id="301" w:name="_Toc312946353"/>
      <w:bookmarkStart w:id="302" w:name="_Toc274249437"/>
      <w:bookmarkStart w:id="303" w:name="_Toc199321962"/>
      <w:bookmarkStart w:id="304" w:name="_Toc21121"/>
      <w:bookmarkStart w:id="305" w:name="_Toc272432100"/>
      <w:bookmarkStart w:id="306" w:name="_Toc260172702"/>
      <w:bookmarkStart w:id="307" w:name="_Toc262675386"/>
      <w:r>
        <w:rPr>
          <w:rStyle w:val="75"/>
          <w:rFonts w:hint="eastAsia" w:ascii="宋体" w:hAnsi="宋体" w:eastAsia="宋体" w:cs="宋体"/>
          <w:b/>
          <w:color w:val="auto"/>
          <w:kern w:val="0"/>
          <w:sz w:val="21"/>
          <w:szCs w:val="21"/>
          <w:highlight w:val="none"/>
        </w:rPr>
        <w:t>1.7 联络</w:t>
      </w:r>
      <w:bookmarkEnd w:id="299"/>
      <w:bookmarkEnd w:id="300"/>
      <w:bookmarkEnd w:id="301"/>
      <w:bookmarkEnd w:id="302"/>
      <w:bookmarkEnd w:id="303"/>
      <w:bookmarkEnd w:id="304"/>
      <w:bookmarkEnd w:id="305"/>
      <w:bookmarkEnd w:id="306"/>
      <w:bookmarkEnd w:id="307"/>
    </w:p>
    <w:p w14:paraId="5E05F771">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bookmarkStart w:id="308" w:name="_Toc262675387"/>
      <w:r>
        <w:rPr>
          <w:rStyle w:val="75"/>
          <w:rFonts w:hint="eastAsia" w:ascii="宋体" w:hAnsi="宋体" w:eastAsia="宋体" w:cs="宋体"/>
          <w:color w:val="auto"/>
          <w:kern w:val="0"/>
          <w:sz w:val="21"/>
          <w:szCs w:val="21"/>
          <w:highlight w:val="none"/>
        </w:rPr>
        <w:t>1.7.1 与合同有关的通知、批准、证明、证书、指示、要求、请求、同意、意见、确定和决定等，均应采用书面形式。</w:t>
      </w:r>
      <w:bookmarkEnd w:id="308"/>
    </w:p>
    <w:p w14:paraId="04C30B5C">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bookmarkStart w:id="309" w:name="_Toc262675388"/>
      <w:r>
        <w:rPr>
          <w:rStyle w:val="75"/>
          <w:rFonts w:hint="eastAsia" w:ascii="宋体" w:hAnsi="宋体" w:eastAsia="宋体" w:cs="宋体"/>
          <w:color w:val="auto"/>
          <w:kern w:val="0"/>
          <w:sz w:val="21"/>
          <w:szCs w:val="21"/>
          <w:highlight w:val="none"/>
        </w:rPr>
        <w:t>1.7.2 第1.7.1项中的通知、批准、证明、证书、指示、要求、请求、同意、意见、确定和决定等来往函件，均应在合同约定的期限内送达指定地点和接收人，并办理签收手续。</w:t>
      </w:r>
      <w:bookmarkEnd w:id="309"/>
      <w:r>
        <w:rPr>
          <w:rStyle w:val="75"/>
          <w:rFonts w:hint="eastAsia" w:ascii="宋体" w:hAnsi="宋体" w:eastAsia="宋体" w:cs="宋体"/>
          <w:color w:val="auto"/>
          <w:kern w:val="0"/>
          <w:sz w:val="21"/>
          <w:szCs w:val="21"/>
          <w:highlight w:val="none"/>
        </w:rPr>
        <w:t>来往函件的送达期限在技术标准和要求（合同技术条款）中约定，送达地点在专用合同条款中约定。</w:t>
      </w:r>
    </w:p>
    <w:p w14:paraId="2F751A8E">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bookmarkStart w:id="310" w:name="_Toc262675389"/>
      <w:r>
        <w:rPr>
          <w:rStyle w:val="75"/>
          <w:rFonts w:hint="eastAsia" w:ascii="宋体" w:hAnsi="宋体" w:eastAsia="宋体" w:cs="宋体"/>
          <w:color w:val="auto"/>
          <w:kern w:val="0"/>
          <w:sz w:val="21"/>
          <w:szCs w:val="21"/>
          <w:highlight w:val="none"/>
        </w:rPr>
        <w:t>1.7.3 来往函件均应按合同约定的期限及时发出和答复，不得无故扣压和拖延，亦不得拒收。否则，由此造成的后果由责任方负责。</w:t>
      </w:r>
      <w:bookmarkEnd w:id="310"/>
    </w:p>
    <w:p w14:paraId="172CCD57">
      <w:pPr>
        <w:pStyle w:val="39"/>
        <w:autoSpaceDE w:val="0"/>
        <w:autoSpaceDN w:val="0"/>
        <w:adjustRightInd w:val="0"/>
        <w:spacing w:line="360" w:lineRule="exact"/>
        <w:jc w:val="left"/>
        <w:outlineLvl w:val="0"/>
        <w:rPr>
          <w:rStyle w:val="75"/>
          <w:rFonts w:hint="eastAsia" w:ascii="宋体" w:hAnsi="宋体" w:eastAsia="宋体" w:cs="宋体"/>
          <w:b/>
          <w:color w:val="auto"/>
          <w:kern w:val="0"/>
          <w:sz w:val="21"/>
          <w:szCs w:val="21"/>
          <w:highlight w:val="none"/>
        </w:rPr>
      </w:pPr>
      <w:bookmarkStart w:id="311" w:name="_Toc294891892"/>
      <w:bookmarkStart w:id="312" w:name="_Toc312946354"/>
      <w:bookmarkStart w:id="313" w:name="_Toc229450767"/>
      <w:bookmarkStart w:id="314" w:name="_Toc272432101"/>
      <w:bookmarkStart w:id="315" w:name="_Toc199321963"/>
      <w:bookmarkStart w:id="316" w:name="_Toc13193"/>
      <w:bookmarkStart w:id="317" w:name="_Toc274249438"/>
      <w:bookmarkStart w:id="318" w:name="_Toc260172703"/>
      <w:bookmarkStart w:id="319" w:name="_Toc262675390"/>
      <w:r>
        <w:rPr>
          <w:rStyle w:val="75"/>
          <w:rFonts w:hint="eastAsia" w:ascii="宋体" w:hAnsi="宋体" w:eastAsia="宋体" w:cs="宋体"/>
          <w:b/>
          <w:color w:val="auto"/>
          <w:kern w:val="0"/>
          <w:sz w:val="21"/>
          <w:szCs w:val="21"/>
          <w:highlight w:val="none"/>
        </w:rPr>
        <w:t>1.8 转让</w:t>
      </w:r>
      <w:bookmarkEnd w:id="311"/>
      <w:bookmarkEnd w:id="312"/>
      <w:bookmarkEnd w:id="313"/>
      <w:bookmarkEnd w:id="314"/>
      <w:bookmarkEnd w:id="315"/>
      <w:bookmarkEnd w:id="316"/>
      <w:bookmarkEnd w:id="317"/>
      <w:bookmarkEnd w:id="318"/>
      <w:bookmarkEnd w:id="319"/>
    </w:p>
    <w:p w14:paraId="43121DB1">
      <w:pPr>
        <w:pStyle w:val="39"/>
        <w:autoSpaceDE w:val="0"/>
        <w:autoSpaceDN w:val="0"/>
        <w:adjustRightInd w:val="0"/>
        <w:spacing w:line="360" w:lineRule="exact"/>
        <w:ind w:firstLine="315" w:firstLineChars="15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除合同另有约定外，未经对方当事人同意，一方当事人不得将合同权利全部或部分转让给第三人，也不得全部或部分转移合同义务。</w:t>
      </w:r>
    </w:p>
    <w:p w14:paraId="13FC2403">
      <w:pPr>
        <w:pStyle w:val="39"/>
        <w:autoSpaceDE w:val="0"/>
        <w:autoSpaceDN w:val="0"/>
        <w:adjustRightInd w:val="0"/>
        <w:spacing w:line="360" w:lineRule="exact"/>
        <w:jc w:val="left"/>
        <w:outlineLvl w:val="0"/>
        <w:rPr>
          <w:rStyle w:val="75"/>
          <w:rFonts w:hint="eastAsia" w:ascii="宋体" w:hAnsi="宋体" w:eastAsia="宋体" w:cs="宋体"/>
          <w:b/>
          <w:color w:val="auto"/>
          <w:kern w:val="0"/>
          <w:sz w:val="21"/>
          <w:szCs w:val="21"/>
          <w:highlight w:val="none"/>
        </w:rPr>
      </w:pPr>
      <w:bookmarkStart w:id="320" w:name="_Toc199321964"/>
      <w:bookmarkStart w:id="321" w:name="_Toc272432102"/>
      <w:bookmarkStart w:id="322" w:name="_Toc260172704"/>
      <w:bookmarkStart w:id="323" w:name="_Toc312946355"/>
      <w:bookmarkStart w:id="324" w:name="_Toc16390"/>
      <w:bookmarkStart w:id="325" w:name="_Toc294891893"/>
      <w:bookmarkStart w:id="326" w:name="_Toc262675391"/>
      <w:bookmarkStart w:id="327" w:name="_Toc274249439"/>
      <w:bookmarkStart w:id="328" w:name="_Toc229450768"/>
      <w:r>
        <w:rPr>
          <w:rStyle w:val="75"/>
          <w:rFonts w:hint="eastAsia" w:ascii="宋体" w:hAnsi="宋体" w:eastAsia="宋体" w:cs="宋体"/>
          <w:b/>
          <w:color w:val="auto"/>
          <w:kern w:val="0"/>
          <w:sz w:val="21"/>
          <w:szCs w:val="21"/>
          <w:highlight w:val="none"/>
        </w:rPr>
        <w:t>1.9 严禁</w:t>
      </w:r>
      <w:bookmarkEnd w:id="320"/>
      <w:r>
        <w:rPr>
          <w:rStyle w:val="75"/>
          <w:rFonts w:hint="eastAsia" w:ascii="宋体" w:hAnsi="宋体" w:eastAsia="宋体" w:cs="宋体"/>
          <w:b/>
          <w:color w:val="auto"/>
          <w:kern w:val="0"/>
          <w:sz w:val="21"/>
          <w:szCs w:val="21"/>
          <w:highlight w:val="none"/>
        </w:rPr>
        <w:t>贿赂</w:t>
      </w:r>
      <w:bookmarkEnd w:id="321"/>
      <w:bookmarkEnd w:id="322"/>
      <w:bookmarkEnd w:id="323"/>
      <w:bookmarkEnd w:id="324"/>
      <w:bookmarkEnd w:id="325"/>
      <w:bookmarkEnd w:id="326"/>
      <w:bookmarkEnd w:id="327"/>
      <w:bookmarkEnd w:id="328"/>
    </w:p>
    <w:p w14:paraId="6640A905">
      <w:pPr>
        <w:pStyle w:val="39"/>
        <w:autoSpaceDE w:val="0"/>
        <w:autoSpaceDN w:val="0"/>
        <w:adjustRightInd w:val="0"/>
        <w:spacing w:line="360" w:lineRule="exact"/>
        <w:ind w:firstLine="315" w:firstLineChars="15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合同双方当事人不得以贿赂或变相贿赂的方式，谋取不当利益或损害对方权益。因贿赂造成对方损失的，行为人应赔偿损失，并承担相应的法律责任。</w:t>
      </w:r>
    </w:p>
    <w:p w14:paraId="04B9D3CD">
      <w:pPr>
        <w:pStyle w:val="39"/>
        <w:autoSpaceDE w:val="0"/>
        <w:autoSpaceDN w:val="0"/>
        <w:adjustRightInd w:val="0"/>
        <w:spacing w:line="360" w:lineRule="exact"/>
        <w:jc w:val="left"/>
        <w:outlineLvl w:val="0"/>
        <w:rPr>
          <w:rStyle w:val="75"/>
          <w:rFonts w:hint="eastAsia" w:ascii="宋体" w:hAnsi="宋体" w:eastAsia="宋体" w:cs="宋体"/>
          <w:b/>
          <w:color w:val="auto"/>
          <w:kern w:val="0"/>
          <w:sz w:val="21"/>
          <w:szCs w:val="21"/>
          <w:highlight w:val="none"/>
        </w:rPr>
      </w:pPr>
      <w:bookmarkStart w:id="329" w:name="_Toc772"/>
      <w:bookmarkStart w:id="330" w:name="_Toc274249440"/>
      <w:bookmarkStart w:id="331" w:name="_Toc229450769"/>
      <w:bookmarkStart w:id="332" w:name="_Toc199321965"/>
      <w:bookmarkStart w:id="333" w:name="_Toc262675392"/>
      <w:bookmarkStart w:id="334" w:name="_Toc294891894"/>
      <w:bookmarkStart w:id="335" w:name="_Toc312946356"/>
      <w:bookmarkStart w:id="336" w:name="_Toc272432103"/>
      <w:bookmarkStart w:id="337" w:name="_Toc260172705"/>
      <w:r>
        <w:rPr>
          <w:rStyle w:val="75"/>
          <w:rFonts w:hint="eastAsia" w:ascii="宋体" w:hAnsi="宋体" w:eastAsia="宋体" w:cs="宋体"/>
          <w:b/>
          <w:color w:val="auto"/>
          <w:kern w:val="0"/>
          <w:sz w:val="21"/>
          <w:szCs w:val="21"/>
          <w:highlight w:val="none"/>
        </w:rPr>
        <w:t>1.10 化石、文物</w:t>
      </w:r>
      <w:bookmarkEnd w:id="329"/>
      <w:bookmarkEnd w:id="330"/>
      <w:bookmarkEnd w:id="331"/>
      <w:bookmarkEnd w:id="332"/>
      <w:bookmarkEnd w:id="333"/>
      <w:bookmarkEnd w:id="334"/>
      <w:bookmarkEnd w:id="335"/>
      <w:bookmarkEnd w:id="336"/>
      <w:bookmarkEnd w:id="337"/>
    </w:p>
    <w:p w14:paraId="6B7FFE03">
      <w:pPr>
        <w:pStyle w:val="38"/>
        <w:spacing w:line="360" w:lineRule="exact"/>
        <w:ind w:left="0" w:leftChars="0" w:firstLine="420" w:firstLineChars="200"/>
        <w:jc w:val="left"/>
        <w:rPr>
          <w:rStyle w:val="75"/>
          <w:rFonts w:hint="eastAsia" w:ascii="宋体" w:hAnsi="宋体" w:eastAsia="宋体" w:cs="宋体"/>
          <w:b/>
          <w:color w:val="auto"/>
          <w:kern w:val="0"/>
          <w:sz w:val="21"/>
          <w:szCs w:val="21"/>
          <w:highlight w:val="none"/>
        </w:rPr>
      </w:pPr>
      <w:bookmarkStart w:id="338" w:name="_Toc199321966"/>
      <w:r>
        <w:rPr>
          <w:rStyle w:val="75"/>
          <w:rFonts w:hint="eastAsia" w:ascii="宋体" w:hAnsi="宋体" w:eastAsia="宋体" w:cs="宋体"/>
          <w:color w:val="auto"/>
          <w:kern w:val="0"/>
          <w:sz w:val="21"/>
          <w:szCs w:val="21"/>
          <w:highlight w:val="none"/>
        </w:rPr>
        <w:t>1.10.1 在施工场地发掘的所有文物、古迹以及具有地质研究或考古价值的其他遗迹、化石、钱币或物品属于国家所有。一旦发现上述文物，承包人应采取有效合理的保护措施，</w:t>
      </w:r>
      <w:bookmarkEnd w:id="338"/>
      <w:r>
        <w:rPr>
          <w:rStyle w:val="75"/>
          <w:rFonts w:hint="eastAsia" w:ascii="宋体" w:hAnsi="宋体" w:eastAsia="宋体" w:cs="宋体"/>
          <w:color w:val="auto"/>
          <w:kern w:val="0"/>
          <w:sz w:val="21"/>
          <w:szCs w:val="21"/>
          <w:highlight w:val="none"/>
        </w:rPr>
        <w:t>止任何人员移动或损坏上述物品，并立即报告当地文物行政部门，同时通知监理人。发包人、监理人和承包人应按文物行政部门要求采取妥善保护措施，由此导致费用增加和(或)工期延误由发包人承担。</w:t>
      </w:r>
    </w:p>
    <w:p w14:paraId="6C8E445A">
      <w:pPr>
        <w:pStyle w:val="38"/>
        <w:spacing w:line="360" w:lineRule="exact"/>
        <w:ind w:left="0" w:leftChars="0" w:firstLine="412" w:firstLineChars="200"/>
        <w:jc w:val="left"/>
        <w:rPr>
          <w:rStyle w:val="75"/>
          <w:rFonts w:hint="eastAsia" w:ascii="宋体" w:hAnsi="宋体" w:eastAsia="宋体" w:cs="宋体"/>
          <w:b/>
          <w:color w:val="auto"/>
          <w:kern w:val="0"/>
          <w:sz w:val="21"/>
          <w:szCs w:val="21"/>
          <w:highlight w:val="none"/>
        </w:rPr>
      </w:pPr>
      <w:bookmarkStart w:id="339" w:name="_Toc199321967"/>
      <w:r>
        <w:rPr>
          <w:rStyle w:val="75"/>
          <w:rFonts w:hint="eastAsia" w:ascii="宋体" w:hAnsi="宋体" w:eastAsia="宋体" w:cs="宋体"/>
          <w:color w:val="auto"/>
          <w:spacing w:val="-2"/>
          <w:kern w:val="0"/>
          <w:sz w:val="21"/>
          <w:szCs w:val="21"/>
          <w:highlight w:val="none"/>
        </w:rPr>
        <w:t>1.10.2 承包人发现文物后不及时报告或隐瞒不报，致使文物丢失或损坏的，应赔偿损失，并承担相应的法律责任。</w:t>
      </w:r>
      <w:bookmarkEnd w:id="339"/>
    </w:p>
    <w:p w14:paraId="5FF83DCF">
      <w:pPr>
        <w:pStyle w:val="39"/>
        <w:autoSpaceDE w:val="0"/>
        <w:autoSpaceDN w:val="0"/>
        <w:adjustRightInd w:val="0"/>
        <w:spacing w:line="360" w:lineRule="exact"/>
        <w:jc w:val="left"/>
        <w:outlineLvl w:val="0"/>
        <w:rPr>
          <w:rStyle w:val="75"/>
          <w:rFonts w:hint="eastAsia" w:ascii="宋体" w:hAnsi="宋体" w:eastAsia="宋体" w:cs="宋体"/>
          <w:b/>
          <w:color w:val="auto"/>
          <w:kern w:val="0"/>
          <w:sz w:val="21"/>
          <w:szCs w:val="21"/>
          <w:highlight w:val="none"/>
        </w:rPr>
      </w:pPr>
      <w:bookmarkStart w:id="340" w:name="_Toc260172706"/>
      <w:bookmarkStart w:id="341" w:name="_Toc272432104"/>
      <w:bookmarkStart w:id="342" w:name="_Toc229450770"/>
      <w:bookmarkStart w:id="343" w:name="_Toc199321968"/>
      <w:bookmarkStart w:id="344" w:name="_Toc294891895"/>
      <w:bookmarkStart w:id="345" w:name="_Toc274249441"/>
      <w:bookmarkStart w:id="346" w:name="_Toc23325"/>
      <w:bookmarkStart w:id="347" w:name="_Toc312946357"/>
      <w:bookmarkStart w:id="348" w:name="_Toc262675393"/>
      <w:r>
        <w:rPr>
          <w:rStyle w:val="75"/>
          <w:rFonts w:hint="eastAsia" w:ascii="宋体" w:hAnsi="宋体" w:eastAsia="宋体" w:cs="宋体"/>
          <w:b/>
          <w:color w:val="auto"/>
          <w:kern w:val="0"/>
          <w:sz w:val="21"/>
          <w:szCs w:val="21"/>
          <w:highlight w:val="none"/>
        </w:rPr>
        <w:t>1.11 专利技术</w:t>
      </w:r>
      <w:bookmarkEnd w:id="340"/>
      <w:bookmarkEnd w:id="341"/>
      <w:bookmarkEnd w:id="342"/>
      <w:bookmarkEnd w:id="343"/>
      <w:bookmarkEnd w:id="344"/>
      <w:bookmarkEnd w:id="345"/>
      <w:bookmarkEnd w:id="346"/>
      <w:bookmarkEnd w:id="347"/>
      <w:bookmarkEnd w:id="348"/>
    </w:p>
    <w:p w14:paraId="7A05850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1.11.1 承包人在使用任何材料、承包人设备、工程设备或采用施工工艺时，因侵犯专利权或其他知识产权所引起的责任，由承包人承担，但由于遵照发包人提供的设计或技术标和要求引起的除外。</w:t>
      </w:r>
    </w:p>
    <w:p w14:paraId="4B65995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1.11.2 承包人在投标文件中采用专利技术的，专利技术的使用费包含在投标报价内。1.11.3 承包人的技术秘密和声明需要保密的资料和信息，发包人和监理人不得为合同以外的目的泄露给他人。</w:t>
      </w:r>
    </w:p>
    <w:p w14:paraId="6C854D0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1.11.4 合同实施过程中，发包人要求承包人采用专利技术的，发包人应办理和相应的使用手续，承包人应按发包人约定的条件使用，并承担使用专利技术的相关试验工作，所需费用由发包人承担。</w:t>
      </w:r>
    </w:p>
    <w:p w14:paraId="0BDF7CE6">
      <w:pPr>
        <w:pStyle w:val="39"/>
        <w:autoSpaceDE w:val="0"/>
        <w:autoSpaceDN w:val="0"/>
        <w:adjustRightInd w:val="0"/>
        <w:spacing w:line="360" w:lineRule="exact"/>
        <w:jc w:val="left"/>
        <w:outlineLvl w:val="0"/>
        <w:rPr>
          <w:rStyle w:val="75"/>
          <w:rFonts w:hint="eastAsia" w:ascii="宋体" w:hAnsi="宋体" w:eastAsia="宋体" w:cs="宋体"/>
          <w:b/>
          <w:color w:val="auto"/>
          <w:kern w:val="0"/>
          <w:sz w:val="21"/>
          <w:szCs w:val="21"/>
          <w:highlight w:val="none"/>
        </w:rPr>
      </w:pPr>
      <w:bookmarkStart w:id="349" w:name="_Toc312946358"/>
      <w:bookmarkStart w:id="350" w:name="_Toc260172707"/>
      <w:bookmarkStart w:id="351" w:name="_Toc294891896"/>
      <w:bookmarkStart w:id="352" w:name="_Toc199321969"/>
      <w:bookmarkStart w:id="353" w:name="_Toc262675394"/>
      <w:bookmarkStart w:id="354" w:name="_Toc274249442"/>
      <w:bookmarkStart w:id="355" w:name="_Toc8261"/>
      <w:bookmarkStart w:id="356" w:name="_Toc229450771"/>
      <w:bookmarkStart w:id="357" w:name="_Toc272432105"/>
      <w:r>
        <w:rPr>
          <w:rStyle w:val="75"/>
          <w:rFonts w:hint="eastAsia" w:ascii="宋体" w:hAnsi="宋体" w:eastAsia="宋体" w:cs="宋体"/>
          <w:b/>
          <w:color w:val="auto"/>
          <w:kern w:val="0"/>
          <w:sz w:val="21"/>
          <w:szCs w:val="21"/>
          <w:highlight w:val="none"/>
        </w:rPr>
        <w:t>1.12 图纸和文件的保密</w:t>
      </w:r>
      <w:bookmarkEnd w:id="349"/>
      <w:bookmarkEnd w:id="350"/>
      <w:bookmarkEnd w:id="351"/>
      <w:bookmarkEnd w:id="352"/>
      <w:bookmarkEnd w:id="353"/>
      <w:bookmarkEnd w:id="354"/>
      <w:bookmarkEnd w:id="355"/>
      <w:bookmarkEnd w:id="356"/>
      <w:bookmarkEnd w:id="357"/>
    </w:p>
    <w:p w14:paraId="38CEE40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1.12.1 发包人提供的图纸和文件，未经发包人同意，承包人不得为合同以外的目的泄露给他人或公开发表与引用。</w:t>
      </w:r>
    </w:p>
    <w:p w14:paraId="25756232">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1.12.2 承包人提供的文件，未经承包人同意，发包人和监理人不得为合同以外的目的泄露给他人或公开发表与引用。</w:t>
      </w:r>
    </w:p>
    <w:p w14:paraId="510D20E2">
      <w:pPr>
        <w:pStyle w:val="39"/>
        <w:autoSpaceDE w:val="0"/>
        <w:autoSpaceDN w:val="0"/>
        <w:adjustRightInd w:val="0"/>
        <w:spacing w:line="360" w:lineRule="exact"/>
        <w:jc w:val="left"/>
        <w:outlineLvl w:val="2"/>
        <w:rPr>
          <w:rStyle w:val="75"/>
          <w:rFonts w:hint="eastAsia" w:ascii="宋体" w:hAnsi="宋体" w:eastAsia="宋体" w:cs="宋体"/>
          <w:b/>
          <w:color w:val="auto"/>
          <w:kern w:val="0"/>
          <w:sz w:val="21"/>
          <w:szCs w:val="21"/>
          <w:highlight w:val="none"/>
        </w:rPr>
      </w:pPr>
      <w:bookmarkStart w:id="358" w:name="_Toc294891897"/>
      <w:bookmarkStart w:id="359" w:name="_Toc274249443"/>
      <w:bookmarkStart w:id="360" w:name="_Toc262675395"/>
      <w:bookmarkStart w:id="361" w:name="_Toc5733"/>
      <w:bookmarkStart w:id="362" w:name="_Toc229450772"/>
      <w:bookmarkStart w:id="363" w:name="_Toc272432106"/>
      <w:bookmarkStart w:id="364" w:name="_Toc260172708"/>
      <w:bookmarkStart w:id="365" w:name="_Toc312946359"/>
      <w:r>
        <w:rPr>
          <w:rStyle w:val="75"/>
          <w:rFonts w:hint="eastAsia" w:ascii="宋体" w:hAnsi="宋体" w:eastAsia="宋体" w:cs="宋体"/>
          <w:b/>
          <w:color w:val="auto"/>
          <w:kern w:val="0"/>
          <w:sz w:val="21"/>
          <w:szCs w:val="21"/>
          <w:highlight w:val="none"/>
        </w:rPr>
        <w:t>2. 发包人义务</w:t>
      </w:r>
      <w:bookmarkEnd w:id="358"/>
      <w:bookmarkEnd w:id="359"/>
      <w:bookmarkEnd w:id="360"/>
      <w:bookmarkEnd w:id="361"/>
      <w:bookmarkEnd w:id="362"/>
      <w:bookmarkEnd w:id="363"/>
      <w:bookmarkEnd w:id="364"/>
      <w:bookmarkEnd w:id="365"/>
    </w:p>
    <w:p w14:paraId="28FDB9CD">
      <w:pPr>
        <w:pStyle w:val="39"/>
        <w:autoSpaceDE w:val="0"/>
        <w:autoSpaceDN w:val="0"/>
        <w:adjustRightInd w:val="0"/>
        <w:spacing w:line="360" w:lineRule="exact"/>
        <w:jc w:val="left"/>
        <w:outlineLvl w:val="0"/>
        <w:rPr>
          <w:rStyle w:val="75"/>
          <w:rFonts w:hint="eastAsia" w:ascii="宋体" w:hAnsi="宋体" w:eastAsia="宋体" w:cs="宋体"/>
          <w:b/>
          <w:color w:val="auto"/>
          <w:kern w:val="0"/>
          <w:sz w:val="21"/>
          <w:szCs w:val="21"/>
          <w:highlight w:val="none"/>
        </w:rPr>
      </w:pPr>
      <w:bookmarkStart w:id="366" w:name="_Toc262675396"/>
      <w:bookmarkStart w:id="367" w:name="_Toc272432107"/>
      <w:bookmarkStart w:id="368" w:name="_Toc274249444"/>
      <w:bookmarkStart w:id="369" w:name="_Toc294891898"/>
      <w:bookmarkStart w:id="370" w:name="_Toc6510"/>
      <w:bookmarkStart w:id="371" w:name="_Toc229450773"/>
      <w:bookmarkStart w:id="372" w:name="_Toc260172709"/>
      <w:bookmarkStart w:id="373" w:name="_Toc312946360"/>
      <w:r>
        <w:rPr>
          <w:rStyle w:val="75"/>
          <w:rFonts w:hint="eastAsia" w:ascii="宋体" w:hAnsi="宋体" w:eastAsia="宋体" w:cs="宋体"/>
          <w:b/>
          <w:color w:val="auto"/>
          <w:kern w:val="0"/>
          <w:sz w:val="21"/>
          <w:szCs w:val="21"/>
          <w:highlight w:val="none"/>
        </w:rPr>
        <w:t>2.1 遵守法律</w:t>
      </w:r>
      <w:bookmarkEnd w:id="366"/>
      <w:bookmarkEnd w:id="367"/>
      <w:bookmarkEnd w:id="368"/>
      <w:bookmarkEnd w:id="369"/>
      <w:bookmarkEnd w:id="370"/>
      <w:bookmarkEnd w:id="371"/>
      <w:bookmarkEnd w:id="372"/>
      <w:bookmarkEnd w:id="373"/>
    </w:p>
    <w:p w14:paraId="2B658175">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发包人在履行合同过程中应遵守法律，并保证承包人免于承担因发包人违反法律而引起的任何责任。</w:t>
      </w:r>
    </w:p>
    <w:p w14:paraId="6183C136">
      <w:pPr>
        <w:pStyle w:val="39"/>
        <w:autoSpaceDE w:val="0"/>
        <w:autoSpaceDN w:val="0"/>
        <w:adjustRightInd w:val="0"/>
        <w:spacing w:line="360" w:lineRule="exact"/>
        <w:jc w:val="left"/>
        <w:outlineLvl w:val="0"/>
        <w:rPr>
          <w:rStyle w:val="75"/>
          <w:rFonts w:hint="eastAsia" w:ascii="宋体" w:hAnsi="宋体" w:eastAsia="宋体" w:cs="宋体"/>
          <w:b/>
          <w:color w:val="auto"/>
          <w:kern w:val="0"/>
          <w:sz w:val="21"/>
          <w:szCs w:val="21"/>
          <w:highlight w:val="none"/>
        </w:rPr>
      </w:pPr>
      <w:bookmarkStart w:id="374" w:name="_Toc262675397"/>
      <w:bookmarkStart w:id="375" w:name="_Toc229450774"/>
      <w:bookmarkStart w:id="376" w:name="_Toc312946361"/>
      <w:bookmarkStart w:id="377" w:name="_Toc272432108"/>
      <w:bookmarkStart w:id="378" w:name="_Toc294891899"/>
      <w:bookmarkStart w:id="379" w:name="_Toc32136"/>
      <w:bookmarkStart w:id="380" w:name="_Toc274249445"/>
      <w:bookmarkStart w:id="381" w:name="_Toc260172710"/>
      <w:r>
        <w:rPr>
          <w:rStyle w:val="75"/>
          <w:rFonts w:hint="eastAsia" w:ascii="宋体" w:hAnsi="宋体" w:eastAsia="宋体" w:cs="宋体"/>
          <w:b/>
          <w:color w:val="auto"/>
          <w:kern w:val="0"/>
          <w:sz w:val="21"/>
          <w:szCs w:val="21"/>
          <w:highlight w:val="none"/>
        </w:rPr>
        <w:t>2.2 发出开工通知</w:t>
      </w:r>
      <w:bookmarkEnd w:id="374"/>
      <w:bookmarkEnd w:id="375"/>
      <w:bookmarkEnd w:id="376"/>
      <w:bookmarkEnd w:id="377"/>
      <w:bookmarkEnd w:id="378"/>
      <w:bookmarkEnd w:id="379"/>
      <w:bookmarkEnd w:id="380"/>
      <w:bookmarkEnd w:id="381"/>
    </w:p>
    <w:p w14:paraId="56029E43">
      <w:pPr>
        <w:pStyle w:val="39"/>
        <w:autoSpaceDE w:val="0"/>
        <w:autoSpaceDN w:val="0"/>
        <w:adjustRightInd w:val="0"/>
        <w:spacing w:line="36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发包人应委托监理人按第11.1款的约定向承包人发出开工通知。</w:t>
      </w:r>
    </w:p>
    <w:p w14:paraId="5A04F4A5">
      <w:pPr>
        <w:pStyle w:val="39"/>
        <w:autoSpaceDE w:val="0"/>
        <w:autoSpaceDN w:val="0"/>
        <w:adjustRightInd w:val="0"/>
        <w:spacing w:line="360" w:lineRule="exact"/>
        <w:jc w:val="left"/>
        <w:outlineLvl w:val="0"/>
        <w:rPr>
          <w:rStyle w:val="75"/>
          <w:rFonts w:hint="eastAsia" w:ascii="宋体" w:hAnsi="宋体" w:eastAsia="宋体" w:cs="宋体"/>
          <w:b/>
          <w:color w:val="auto"/>
          <w:kern w:val="0"/>
          <w:sz w:val="21"/>
          <w:szCs w:val="21"/>
          <w:highlight w:val="none"/>
        </w:rPr>
      </w:pPr>
      <w:bookmarkStart w:id="382" w:name="_Toc260172711"/>
      <w:bookmarkStart w:id="383" w:name="_Toc262675398"/>
      <w:bookmarkStart w:id="384" w:name="_Toc312946362"/>
      <w:bookmarkStart w:id="385" w:name="_Toc272432109"/>
      <w:bookmarkStart w:id="386" w:name="_Toc274249446"/>
      <w:bookmarkStart w:id="387" w:name="_Toc294891900"/>
      <w:bookmarkStart w:id="388" w:name="_Toc229450775"/>
      <w:bookmarkStart w:id="389" w:name="_Toc29001"/>
      <w:r>
        <w:rPr>
          <w:rStyle w:val="75"/>
          <w:rFonts w:hint="eastAsia" w:ascii="宋体" w:hAnsi="宋体" w:eastAsia="宋体" w:cs="宋体"/>
          <w:b/>
          <w:color w:val="auto"/>
          <w:kern w:val="0"/>
          <w:sz w:val="21"/>
          <w:szCs w:val="21"/>
          <w:highlight w:val="none"/>
        </w:rPr>
        <w:t>2.3 提供施工场地</w:t>
      </w:r>
      <w:bookmarkEnd w:id="382"/>
      <w:bookmarkEnd w:id="383"/>
      <w:bookmarkEnd w:id="384"/>
      <w:bookmarkEnd w:id="385"/>
      <w:bookmarkEnd w:id="386"/>
      <w:bookmarkEnd w:id="387"/>
      <w:bookmarkEnd w:id="388"/>
      <w:bookmarkEnd w:id="389"/>
    </w:p>
    <w:p w14:paraId="0372A9E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2.3.1 发包人应在合同双方签订合同协议书后的14天内，将本合同工程的施工场地范围图提交给承包人。发包人提供的施工场地范围图应标明场地范围内永久占地与临时占地范围和界限，以及指明提供给承包人用于施工场地布置和范围和界限及其有关资料。</w:t>
      </w:r>
    </w:p>
    <w:p w14:paraId="2B261EFE">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2.3.2 发包人提供的施工用地范围在专用合同条款中约定。</w:t>
      </w:r>
    </w:p>
    <w:p w14:paraId="57995935">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2.3.3 除专用合同条款另有约定外，发包人应按技术标准和要求（合同技术条款）的约定，向承包人提供施工场地内的工程地质图纸和报告，以及地下障碍图纸等施工场地有关资料，并保证资料的真实、准确、完整。</w:t>
      </w:r>
    </w:p>
    <w:p w14:paraId="66394A29">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390" w:name="_Toc260172712"/>
      <w:bookmarkStart w:id="391" w:name="_Toc272432110"/>
      <w:bookmarkStart w:id="392" w:name="_Toc274249447"/>
      <w:bookmarkStart w:id="393" w:name="_Toc262675399"/>
      <w:bookmarkStart w:id="394" w:name="_Toc312946363"/>
      <w:bookmarkStart w:id="395" w:name="_Toc16076"/>
      <w:bookmarkStart w:id="396" w:name="_Toc229450776"/>
      <w:bookmarkStart w:id="397" w:name="_Toc294891901"/>
      <w:r>
        <w:rPr>
          <w:rStyle w:val="75"/>
          <w:rFonts w:hint="eastAsia" w:ascii="宋体" w:hAnsi="宋体" w:eastAsia="宋体" w:cs="宋体"/>
          <w:b/>
          <w:color w:val="auto"/>
          <w:kern w:val="0"/>
          <w:sz w:val="21"/>
          <w:szCs w:val="21"/>
          <w:highlight w:val="none"/>
        </w:rPr>
        <w:t>2.4 协助承包人办理证件和批件</w:t>
      </w:r>
      <w:bookmarkEnd w:id="390"/>
      <w:bookmarkEnd w:id="391"/>
      <w:bookmarkEnd w:id="392"/>
      <w:bookmarkEnd w:id="393"/>
      <w:bookmarkEnd w:id="394"/>
      <w:bookmarkEnd w:id="395"/>
      <w:bookmarkEnd w:id="396"/>
      <w:bookmarkEnd w:id="397"/>
    </w:p>
    <w:p w14:paraId="2E4EE884">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发包人应协助承包人办理法律规定的有关施工证件和批件。</w:t>
      </w:r>
    </w:p>
    <w:p w14:paraId="1F324E26">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398" w:name="_Toc229450777"/>
      <w:bookmarkStart w:id="399" w:name="_Toc312946364"/>
      <w:bookmarkStart w:id="400" w:name="_Toc262675400"/>
      <w:bookmarkStart w:id="401" w:name="_Toc294891902"/>
      <w:bookmarkStart w:id="402" w:name="_Toc260172713"/>
      <w:bookmarkStart w:id="403" w:name="_Toc285"/>
      <w:bookmarkStart w:id="404" w:name="_Toc272432111"/>
      <w:bookmarkStart w:id="405" w:name="_Toc274249448"/>
      <w:r>
        <w:rPr>
          <w:rStyle w:val="75"/>
          <w:rFonts w:hint="eastAsia" w:ascii="宋体" w:hAnsi="宋体" w:eastAsia="宋体" w:cs="宋体"/>
          <w:b/>
          <w:color w:val="auto"/>
          <w:kern w:val="0"/>
          <w:sz w:val="21"/>
          <w:szCs w:val="21"/>
          <w:highlight w:val="none"/>
        </w:rPr>
        <w:t>2.5 组织设计交底</w:t>
      </w:r>
      <w:bookmarkEnd w:id="398"/>
      <w:bookmarkEnd w:id="399"/>
      <w:bookmarkEnd w:id="400"/>
      <w:bookmarkEnd w:id="401"/>
      <w:bookmarkEnd w:id="402"/>
      <w:bookmarkEnd w:id="403"/>
      <w:bookmarkEnd w:id="404"/>
      <w:bookmarkEnd w:id="405"/>
    </w:p>
    <w:p w14:paraId="5FE46BB6">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发包人应根据合同进度计划，组织设计单位向承包人进行设计交底。</w:t>
      </w:r>
    </w:p>
    <w:p w14:paraId="466610F9">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406" w:name="_Toc262675401"/>
      <w:bookmarkStart w:id="407" w:name="_Toc260172714"/>
      <w:bookmarkStart w:id="408" w:name="_Toc229450778"/>
      <w:bookmarkStart w:id="409" w:name="_Toc312946365"/>
      <w:bookmarkStart w:id="410" w:name="_Toc274249449"/>
      <w:bookmarkStart w:id="411" w:name="_Toc2574"/>
      <w:bookmarkStart w:id="412" w:name="_Toc294891903"/>
      <w:bookmarkStart w:id="413" w:name="_Toc272432112"/>
      <w:r>
        <w:rPr>
          <w:rStyle w:val="75"/>
          <w:rFonts w:hint="eastAsia" w:ascii="宋体" w:hAnsi="宋体" w:eastAsia="宋体" w:cs="宋体"/>
          <w:b/>
          <w:color w:val="auto"/>
          <w:kern w:val="0"/>
          <w:sz w:val="21"/>
          <w:szCs w:val="21"/>
          <w:highlight w:val="none"/>
        </w:rPr>
        <w:t>2.6 支付合同价款</w:t>
      </w:r>
      <w:bookmarkEnd w:id="406"/>
      <w:bookmarkEnd w:id="407"/>
      <w:bookmarkEnd w:id="408"/>
      <w:bookmarkEnd w:id="409"/>
      <w:bookmarkEnd w:id="410"/>
      <w:bookmarkEnd w:id="411"/>
      <w:bookmarkEnd w:id="412"/>
      <w:bookmarkEnd w:id="413"/>
    </w:p>
    <w:p w14:paraId="0DF19950">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发包人应按合同约定向承包人及时支付合同价款。</w:t>
      </w:r>
    </w:p>
    <w:p w14:paraId="6F44AC3E">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414" w:name="_Toc229450779"/>
      <w:bookmarkStart w:id="415" w:name="_Toc294891904"/>
      <w:bookmarkStart w:id="416" w:name="_Toc260172715"/>
      <w:bookmarkStart w:id="417" w:name="_Toc274249450"/>
      <w:bookmarkStart w:id="418" w:name="_Toc272432113"/>
      <w:bookmarkStart w:id="419" w:name="_Toc262675402"/>
      <w:bookmarkStart w:id="420" w:name="_Toc312946366"/>
      <w:bookmarkStart w:id="421" w:name="_Toc20031"/>
      <w:r>
        <w:rPr>
          <w:rStyle w:val="75"/>
          <w:rFonts w:hint="eastAsia" w:ascii="宋体" w:hAnsi="宋体" w:eastAsia="宋体" w:cs="宋体"/>
          <w:b/>
          <w:color w:val="auto"/>
          <w:kern w:val="0"/>
          <w:sz w:val="21"/>
          <w:szCs w:val="21"/>
          <w:highlight w:val="none"/>
        </w:rPr>
        <w:t>2.7 组织竣工验收</w:t>
      </w:r>
      <w:bookmarkEnd w:id="414"/>
      <w:r>
        <w:rPr>
          <w:rStyle w:val="75"/>
          <w:rFonts w:hint="eastAsia" w:ascii="宋体" w:hAnsi="宋体" w:eastAsia="宋体" w:cs="宋体"/>
          <w:b/>
          <w:color w:val="auto"/>
          <w:kern w:val="0"/>
          <w:sz w:val="21"/>
          <w:szCs w:val="21"/>
          <w:highlight w:val="none"/>
        </w:rPr>
        <w:t>（组织法人验收）</w:t>
      </w:r>
      <w:bookmarkEnd w:id="415"/>
      <w:bookmarkEnd w:id="416"/>
      <w:bookmarkEnd w:id="417"/>
      <w:bookmarkEnd w:id="418"/>
      <w:bookmarkEnd w:id="419"/>
      <w:bookmarkEnd w:id="420"/>
      <w:bookmarkEnd w:id="421"/>
    </w:p>
    <w:p w14:paraId="56C6B47E">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发包人应按合同约定及时组织法人验收。</w:t>
      </w:r>
    </w:p>
    <w:p w14:paraId="58E953EF">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422" w:name="_Toc262675403"/>
      <w:bookmarkStart w:id="423" w:name="_Toc14480"/>
      <w:bookmarkStart w:id="424" w:name="_Toc272432114"/>
      <w:bookmarkStart w:id="425" w:name="_Toc274249451"/>
      <w:bookmarkStart w:id="426" w:name="_Toc312946367"/>
      <w:bookmarkStart w:id="427" w:name="_Toc260172716"/>
      <w:bookmarkStart w:id="428" w:name="_Toc229450780"/>
      <w:bookmarkStart w:id="429" w:name="_Toc294891905"/>
      <w:r>
        <w:rPr>
          <w:rStyle w:val="75"/>
          <w:rFonts w:hint="eastAsia" w:ascii="宋体" w:hAnsi="宋体" w:eastAsia="宋体" w:cs="宋体"/>
          <w:b/>
          <w:color w:val="auto"/>
          <w:kern w:val="0"/>
          <w:sz w:val="21"/>
          <w:szCs w:val="21"/>
          <w:highlight w:val="none"/>
        </w:rPr>
        <w:t>2.8 其他义务</w:t>
      </w:r>
      <w:bookmarkEnd w:id="422"/>
      <w:bookmarkEnd w:id="423"/>
      <w:bookmarkEnd w:id="424"/>
      <w:bookmarkEnd w:id="425"/>
      <w:bookmarkEnd w:id="426"/>
      <w:bookmarkEnd w:id="427"/>
      <w:bookmarkEnd w:id="428"/>
      <w:bookmarkEnd w:id="429"/>
    </w:p>
    <w:p w14:paraId="23B778F7">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其他义务在专用合同条款中补充约定。</w:t>
      </w:r>
    </w:p>
    <w:p w14:paraId="58EECBA2">
      <w:pPr>
        <w:pStyle w:val="39"/>
        <w:autoSpaceDE w:val="0"/>
        <w:autoSpaceDN w:val="0"/>
        <w:adjustRightInd w:val="0"/>
        <w:spacing w:line="360" w:lineRule="exact"/>
        <w:ind w:left="0" w:leftChars="0" w:firstLine="422" w:firstLineChars="200"/>
        <w:jc w:val="left"/>
        <w:outlineLvl w:val="2"/>
        <w:rPr>
          <w:rStyle w:val="75"/>
          <w:rFonts w:hint="eastAsia" w:ascii="宋体" w:hAnsi="宋体" w:eastAsia="宋体" w:cs="宋体"/>
          <w:b/>
          <w:color w:val="auto"/>
          <w:kern w:val="0"/>
          <w:sz w:val="21"/>
          <w:szCs w:val="21"/>
          <w:highlight w:val="none"/>
        </w:rPr>
      </w:pPr>
      <w:bookmarkStart w:id="430" w:name="_Toc6436"/>
      <w:bookmarkStart w:id="431" w:name="_Toc272432115"/>
      <w:bookmarkStart w:id="432" w:name="_Toc294891906"/>
      <w:bookmarkStart w:id="433" w:name="_Toc274249452"/>
      <w:bookmarkStart w:id="434" w:name="_Toc260172717"/>
      <w:bookmarkStart w:id="435" w:name="_Toc229450781"/>
      <w:bookmarkStart w:id="436" w:name="_Toc262675404"/>
      <w:bookmarkStart w:id="437" w:name="_Toc312946368"/>
      <w:bookmarkStart w:id="438" w:name="_Toc199321970"/>
      <w:r>
        <w:rPr>
          <w:rStyle w:val="75"/>
          <w:rFonts w:hint="eastAsia" w:ascii="宋体" w:hAnsi="宋体" w:eastAsia="宋体" w:cs="宋体"/>
          <w:b/>
          <w:color w:val="auto"/>
          <w:kern w:val="0"/>
          <w:sz w:val="21"/>
          <w:szCs w:val="21"/>
          <w:highlight w:val="none"/>
        </w:rPr>
        <w:t>3. 监理人</w:t>
      </w:r>
      <w:bookmarkEnd w:id="430"/>
      <w:bookmarkEnd w:id="431"/>
      <w:bookmarkEnd w:id="432"/>
      <w:bookmarkEnd w:id="433"/>
      <w:bookmarkEnd w:id="434"/>
      <w:bookmarkEnd w:id="435"/>
      <w:bookmarkEnd w:id="436"/>
      <w:bookmarkEnd w:id="437"/>
      <w:bookmarkEnd w:id="438"/>
    </w:p>
    <w:p w14:paraId="10CD21D1">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439" w:name="_Toc3140"/>
      <w:bookmarkStart w:id="440" w:name="_Toc199321971"/>
      <w:bookmarkStart w:id="441" w:name="_Toc294891907"/>
      <w:bookmarkStart w:id="442" w:name="_Toc312946369"/>
      <w:bookmarkStart w:id="443" w:name="_Toc260172718"/>
      <w:bookmarkStart w:id="444" w:name="_Toc274249453"/>
      <w:bookmarkStart w:id="445" w:name="_Toc229450782"/>
      <w:bookmarkStart w:id="446" w:name="_Toc262675405"/>
      <w:bookmarkStart w:id="447" w:name="_Toc272432116"/>
      <w:r>
        <w:rPr>
          <w:rStyle w:val="75"/>
          <w:rFonts w:hint="eastAsia" w:ascii="宋体" w:hAnsi="宋体" w:eastAsia="宋体" w:cs="宋体"/>
          <w:b/>
          <w:color w:val="auto"/>
          <w:kern w:val="0"/>
          <w:sz w:val="21"/>
          <w:szCs w:val="21"/>
          <w:highlight w:val="none"/>
        </w:rPr>
        <w:t>3.1 监理人的职责和权力</w:t>
      </w:r>
      <w:bookmarkEnd w:id="439"/>
      <w:bookmarkEnd w:id="440"/>
      <w:bookmarkEnd w:id="441"/>
      <w:bookmarkEnd w:id="442"/>
      <w:bookmarkEnd w:id="443"/>
      <w:bookmarkEnd w:id="444"/>
      <w:bookmarkEnd w:id="445"/>
      <w:bookmarkEnd w:id="446"/>
      <w:bookmarkEnd w:id="447"/>
    </w:p>
    <w:p w14:paraId="44D742A8">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3.1.1 监理人受发包人委托，享有合同约定的权力。监理人的权力范围在专用合同条件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p>
    <w:p w14:paraId="46985794">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3.1.2 监理人发出的任何指示应视为已得到发包人的批准，但监理人无权免除或变更合同约定的发包人和承包人的权利、义务和责任。</w:t>
      </w:r>
    </w:p>
    <w:p w14:paraId="6897F81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3.1.3 合同约定应由承包人承担的义务和责任，不因监理人对承包人提交文件的审查或批准，对工程、材料和设备的检查和检验，以及为实施监理作出的指示等职务行为而减轻或解除。</w:t>
      </w:r>
    </w:p>
    <w:p w14:paraId="46B5CFC0">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448" w:name="_Toc272432117"/>
      <w:bookmarkStart w:id="449" w:name="_Toc23034"/>
      <w:bookmarkStart w:id="450" w:name="_Toc262675406"/>
      <w:bookmarkStart w:id="451" w:name="_Toc229450783"/>
      <w:bookmarkStart w:id="452" w:name="_Toc312946370"/>
      <w:bookmarkStart w:id="453" w:name="_Toc294891908"/>
      <w:bookmarkStart w:id="454" w:name="_Toc260172719"/>
      <w:bookmarkStart w:id="455" w:name="_Toc274249454"/>
      <w:bookmarkStart w:id="456" w:name="_Toc199321972"/>
      <w:r>
        <w:rPr>
          <w:rStyle w:val="75"/>
          <w:rFonts w:hint="eastAsia" w:ascii="宋体" w:hAnsi="宋体" w:eastAsia="宋体" w:cs="宋体"/>
          <w:b/>
          <w:color w:val="auto"/>
          <w:kern w:val="0"/>
          <w:sz w:val="21"/>
          <w:szCs w:val="21"/>
          <w:highlight w:val="none"/>
        </w:rPr>
        <w:t>3.2 总监理工程师</w:t>
      </w:r>
      <w:bookmarkEnd w:id="448"/>
      <w:bookmarkEnd w:id="449"/>
      <w:bookmarkEnd w:id="450"/>
      <w:bookmarkEnd w:id="451"/>
      <w:bookmarkEnd w:id="452"/>
      <w:bookmarkEnd w:id="453"/>
      <w:bookmarkEnd w:id="454"/>
      <w:bookmarkEnd w:id="455"/>
      <w:bookmarkEnd w:id="456"/>
    </w:p>
    <w:p w14:paraId="1D71FAC1">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发包人应在发出开工通知前将总监理工程师的任命通知承包人。总监理工程师更换时，应在调离14天前通知承包人。总监理工程师短期离开施工场地的，应委派代表代行其职责，并通知承包人。</w:t>
      </w:r>
    </w:p>
    <w:p w14:paraId="5DBDAA0F">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457" w:name="_Toc260172720"/>
      <w:bookmarkStart w:id="458" w:name="_Toc274249455"/>
      <w:bookmarkStart w:id="459" w:name="_Toc262675407"/>
      <w:bookmarkStart w:id="460" w:name="_Toc229450784"/>
      <w:bookmarkStart w:id="461" w:name="_Toc199321973"/>
      <w:bookmarkStart w:id="462" w:name="_Toc2693"/>
      <w:bookmarkStart w:id="463" w:name="_Toc312946371"/>
      <w:bookmarkStart w:id="464" w:name="_Toc272432118"/>
      <w:bookmarkStart w:id="465" w:name="_Toc294891909"/>
      <w:r>
        <w:rPr>
          <w:rStyle w:val="75"/>
          <w:rFonts w:hint="eastAsia" w:ascii="宋体" w:hAnsi="宋体" w:eastAsia="宋体" w:cs="宋体"/>
          <w:b/>
          <w:color w:val="auto"/>
          <w:kern w:val="0"/>
          <w:sz w:val="21"/>
          <w:szCs w:val="21"/>
          <w:highlight w:val="none"/>
        </w:rPr>
        <w:t>3.3 监理人员</w:t>
      </w:r>
      <w:bookmarkEnd w:id="457"/>
      <w:bookmarkEnd w:id="458"/>
      <w:bookmarkEnd w:id="459"/>
      <w:bookmarkEnd w:id="460"/>
      <w:bookmarkEnd w:id="461"/>
      <w:bookmarkEnd w:id="462"/>
      <w:bookmarkEnd w:id="463"/>
      <w:bookmarkEnd w:id="464"/>
      <w:bookmarkEnd w:id="465"/>
    </w:p>
    <w:p w14:paraId="0DA909E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466" w:name="_Toc199321974"/>
      <w:r>
        <w:rPr>
          <w:rStyle w:val="75"/>
          <w:rFonts w:hint="eastAsia" w:ascii="宋体" w:hAnsi="宋体" w:eastAsia="宋体" w:cs="宋体"/>
          <w:color w:val="auto"/>
          <w:kern w:val="0"/>
          <w:sz w:val="21"/>
          <w:szCs w:val="21"/>
          <w:highlight w:val="none"/>
        </w:rPr>
        <w:t>3.3.1 总监理工程师可以授权其他监理人员负责执行其指派的一项或多项监理工作。总</w:t>
      </w:r>
      <w:bookmarkEnd w:id="466"/>
      <w:r>
        <w:rPr>
          <w:rStyle w:val="75"/>
          <w:rFonts w:hint="eastAsia" w:ascii="宋体" w:hAnsi="宋体" w:eastAsia="宋体" w:cs="宋体"/>
          <w:color w:val="auto"/>
          <w:kern w:val="0"/>
          <w:sz w:val="21"/>
          <w:szCs w:val="21"/>
          <w:highlight w:val="none"/>
        </w:rPr>
        <w:t>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5C323F4C">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467" w:name="_Toc199321975"/>
      <w:r>
        <w:rPr>
          <w:rStyle w:val="75"/>
          <w:rFonts w:hint="eastAsia" w:ascii="宋体" w:hAnsi="宋体" w:eastAsia="宋体" w:cs="宋体"/>
          <w:color w:val="auto"/>
          <w:kern w:val="0"/>
          <w:sz w:val="21"/>
          <w:szCs w:val="21"/>
          <w:highlight w:val="none"/>
        </w:rPr>
        <w:t>3.3.2 监理人员对承包人的任何工作、工程或其采用的材料和工程设备未在约定的或合</w:t>
      </w:r>
      <w:bookmarkEnd w:id="467"/>
      <w:r>
        <w:rPr>
          <w:rStyle w:val="75"/>
          <w:rFonts w:hint="eastAsia" w:ascii="宋体" w:hAnsi="宋体" w:eastAsia="宋体" w:cs="宋体"/>
          <w:color w:val="auto"/>
          <w:kern w:val="0"/>
          <w:sz w:val="21"/>
          <w:szCs w:val="21"/>
          <w:highlight w:val="none"/>
        </w:rPr>
        <w:t>理的期限内提出否定意见的，视为已获批准，但不影响监理人在以后拒绝该项工作、工程、材料或工程设备的权利。</w:t>
      </w:r>
    </w:p>
    <w:p w14:paraId="35DDBA0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468" w:name="_Toc199321976"/>
      <w:r>
        <w:rPr>
          <w:rStyle w:val="75"/>
          <w:rFonts w:hint="eastAsia" w:ascii="宋体" w:hAnsi="宋体" w:eastAsia="宋体" w:cs="宋体"/>
          <w:color w:val="auto"/>
          <w:kern w:val="0"/>
          <w:sz w:val="21"/>
          <w:szCs w:val="21"/>
          <w:highlight w:val="none"/>
        </w:rPr>
        <w:t>3.3.3 承包人对总监理工程师授权的监理人员发出的指示有疑问的，可向总监理工程师</w:t>
      </w:r>
      <w:bookmarkEnd w:id="468"/>
      <w:r>
        <w:rPr>
          <w:rStyle w:val="75"/>
          <w:rFonts w:hint="eastAsia" w:ascii="宋体" w:hAnsi="宋体" w:eastAsia="宋体" w:cs="宋体"/>
          <w:color w:val="auto"/>
          <w:kern w:val="0"/>
          <w:sz w:val="21"/>
          <w:szCs w:val="21"/>
          <w:highlight w:val="none"/>
        </w:rPr>
        <w:t>提出书面异议，总监理工程师应在48小时内对该指示予以确认、更改或撤销。</w:t>
      </w:r>
    </w:p>
    <w:p w14:paraId="6028F8D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469" w:name="_Toc199321977"/>
      <w:r>
        <w:rPr>
          <w:rStyle w:val="75"/>
          <w:rFonts w:hint="eastAsia" w:ascii="宋体" w:hAnsi="宋体" w:eastAsia="宋体" w:cs="宋体"/>
          <w:color w:val="auto"/>
          <w:kern w:val="0"/>
          <w:sz w:val="21"/>
          <w:szCs w:val="21"/>
          <w:highlight w:val="none"/>
        </w:rPr>
        <w:t>3.3.4</w:t>
      </w:r>
      <w:r>
        <w:rPr>
          <w:rStyle w:val="75"/>
          <w:rFonts w:hint="eastAsia" w:ascii="宋体" w:hAnsi="宋体" w:eastAsia="宋体" w:cs="宋体"/>
          <w:b/>
          <w:color w:val="auto"/>
          <w:kern w:val="0"/>
          <w:sz w:val="21"/>
          <w:szCs w:val="21"/>
          <w:highlight w:val="none"/>
        </w:rPr>
        <w:t xml:space="preserve"> </w:t>
      </w:r>
      <w:r>
        <w:rPr>
          <w:rStyle w:val="75"/>
          <w:rFonts w:hint="eastAsia" w:ascii="宋体" w:hAnsi="宋体" w:eastAsia="宋体" w:cs="宋体"/>
          <w:color w:val="auto"/>
          <w:kern w:val="0"/>
          <w:sz w:val="21"/>
          <w:szCs w:val="21"/>
          <w:highlight w:val="none"/>
        </w:rPr>
        <w:t>除专用合同条款另有约定外，总监理工程师不应将第3.5款约定应由总监理工程</w:t>
      </w:r>
      <w:bookmarkEnd w:id="469"/>
      <w:r>
        <w:rPr>
          <w:rStyle w:val="75"/>
          <w:rFonts w:hint="eastAsia" w:ascii="宋体" w:hAnsi="宋体" w:eastAsia="宋体" w:cs="宋体"/>
          <w:color w:val="auto"/>
          <w:kern w:val="0"/>
          <w:sz w:val="21"/>
          <w:szCs w:val="21"/>
          <w:highlight w:val="none"/>
        </w:rPr>
        <w:t>师作出确定的权力授权或委托给其他监理人员。</w:t>
      </w:r>
    </w:p>
    <w:p w14:paraId="490B0786">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470" w:name="_Toc262675408"/>
      <w:bookmarkStart w:id="471" w:name="_Toc274249456"/>
      <w:bookmarkStart w:id="472" w:name="_Toc229450785"/>
      <w:bookmarkStart w:id="473" w:name="_Toc16147"/>
      <w:bookmarkStart w:id="474" w:name="_Toc294891910"/>
      <w:bookmarkStart w:id="475" w:name="_Toc312946372"/>
      <w:bookmarkStart w:id="476" w:name="_Toc272432119"/>
      <w:bookmarkStart w:id="477" w:name="_Toc260172721"/>
      <w:bookmarkStart w:id="478" w:name="_Toc199321978"/>
      <w:r>
        <w:rPr>
          <w:rStyle w:val="75"/>
          <w:rFonts w:hint="eastAsia" w:ascii="宋体" w:hAnsi="宋体" w:eastAsia="宋体" w:cs="宋体"/>
          <w:b/>
          <w:color w:val="auto"/>
          <w:kern w:val="0"/>
          <w:sz w:val="21"/>
          <w:szCs w:val="21"/>
          <w:highlight w:val="none"/>
        </w:rPr>
        <w:t>3.4 监理人的指示</w:t>
      </w:r>
      <w:bookmarkEnd w:id="470"/>
      <w:bookmarkEnd w:id="471"/>
      <w:bookmarkEnd w:id="472"/>
      <w:bookmarkEnd w:id="473"/>
      <w:bookmarkEnd w:id="474"/>
      <w:bookmarkEnd w:id="475"/>
      <w:bookmarkEnd w:id="476"/>
      <w:bookmarkEnd w:id="477"/>
      <w:bookmarkEnd w:id="478"/>
    </w:p>
    <w:p w14:paraId="1A73DC28">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3.4.1 监理人应按第3.1 款的约定向承包人发出指示，监理人的指示应盖有监理人授权的施工场地机构章，并由总监理工程师或总监理工程师按第3.3.1项约定授权的监理人员签字。</w:t>
      </w:r>
    </w:p>
    <w:p w14:paraId="72A60DC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3.4.2 承包人收到监理人按第3.4.1项作出的指示后应遵照执行。指示构成变更的，应按第15条处理。</w:t>
      </w:r>
    </w:p>
    <w:p w14:paraId="60673C0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55096EA8">
      <w:pPr>
        <w:pStyle w:val="38"/>
        <w:spacing w:line="360" w:lineRule="exact"/>
        <w:ind w:left="0" w:leftChars="0" w:firstLine="412" w:firstLineChars="200"/>
        <w:jc w:val="left"/>
        <w:rPr>
          <w:rStyle w:val="75"/>
          <w:rFonts w:hint="eastAsia" w:ascii="宋体" w:hAnsi="宋体" w:eastAsia="宋体" w:cs="宋体"/>
          <w:b/>
          <w:color w:val="auto"/>
          <w:kern w:val="0"/>
          <w:sz w:val="21"/>
          <w:szCs w:val="21"/>
          <w:highlight w:val="none"/>
        </w:rPr>
      </w:pPr>
      <w:r>
        <w:rPr>
          <w:rStyle w:val="75"/>
          <w:rFonts w:hint="eastAsia" w:ascii="宋体" w:hAnsi="宋体" w:eastAsia="宋体" w:cs="宋体"/>
          <w:color w:val="auto"/>
          <w:spacing w:val="-2"/>
          <w:kern w:val="0"/>
          <w:sz w:val="21"/>
          <w:szCs w:val="21"/>
          <w:highlight w:val="none"/>
        </w:rPr>
        <w:t>3.4.4</w:t>
      </w:r>
      <w:r>
        <w:rPr>
          <w:rStyle w:val="75"/>
          <w:rFonts w:hint="eastAsia" w:ascii="宋体" w:hAnsi="宋体" w:eastAsia="宋体" w:cs="宋体"/>
          <w:b/>
          <w:color w:val="auto"/>
          <w:spacing w:val="-2"/>
          <w:kern w:val="0"/>
          <w:sz w:val="21"/>
          <w:szCs w:val="21"/>
          <w:highlight w:val="none"/>
        </w:rPr>
        <w:t xml:space="preserve"> </w:t>
      </w:r>
      <w:r>
        <w:rPr>
          <w:rStyle w:val="75"/>
          <w:rFonts w:hint="eastAsia" w:ascii="宋体" w:hAnsi="宋体" w:eastAsia="宋体" w:cs="宋体"/>
          <w:color w:val="auto"/>
          <w:spacing w:val="-2"/>
          <w:kern w:val="0"/>
          <w:sz w:val="21"/>
          <w:szCs w:val="21"/>
          <w:highlight w:val="none"/>
        </w:rPr>
        <w:t>除合同另有约定外,承包人只从总监理工程师或按第3.3.1项被授权的监理人员处取得指示。</w:t>
      </w:r>
    </w:p>
    <w:p w14:paraId="7DD2CF5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3.4.5</w:t>
      </w:r>
      <w:r>
        <w:rPr>
          <w:rStyle w:val="75"/>
          <w:rFonts w:hint="eastAsia" w:ascii="宋体" w:hAnsi="宋体" w:eastAsia="宋体" w:cs="宋体"/>
          <w:b/>
          <w:color w:val="auto"/>
          <w:kern w:val="0"/>
          <w:sz w:val="21"/>
          <w:szCs w:val="21"/>
          <w:highlight w:val="none"/>
        </w:rPr>
        <w:t xml:space="preserve"> </w:t>
      </w:r>
      <w:r>
        <w:rPr>
          <w:rStyle w:val="75"/>
          <w:rFonts w:hint="eastAsia" w:ascii="宋体" w:hAnsi="宋体" w:eastAsia="宋体" w:cs="宋体"/>
          <w:color w:val="auto"/>
          <w:kern w:val="0"/>
          <w:sz w:val="21"/>
          <w:szCs w:val="21"/>
          <w:highlight w:val="none"/>
        </w:rPr>
        <w:t>由于监理人未能按合同约定发出指示、指示延误或指示错误而导致承包人费用增加和(或)工期延误的，由发包人承担赔偿责任。</w:t>
      </w:r>
    </w:p>
    <w:p w14:paraId="41AC7B4F">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479" w:name="_Toc21834"/>
      <w:bookmarkStart w:id="480" w:name="_Toc229450786"/>
      <w:bookmarkStart w:id="481" w:name="_Toc260172722"/>
      <w:bookmarkStart w:id="482" w:name="_Toc262675409"/>
      <w:bookmarkStart w:id="483" w:name="_Toc274249457"/>
      <w:bookmarkStart w:id="484" w:name="_Toc199321979"/>
      <w:bookmarkStart w:id="485" w:name="_Toc294891911"/>
      <w:bookmarkStart w:id="486" w:name="_Toc312946373"/>
      <w:bookmarkStart w:id="487" w:name="_Toc272432120"/>
      <w:r>
        <w:rPr>
          <w:rStyle w:val="75"/>
          <w:rFonts w:hint="eastAsia" w:ascii="宋体" w:hAnsi="宋体" w:eastAsia="宋体" w:cs="宋体"/>
          <w:b/>
          <w:color w:val="auto"/>
          <w:kern w:val="0"/>
          <w:sz w:val="21"/>
          <w:szCs w:val="21"/>
          <w:highlight w:val="none"/>
        </w:rPr>
        <w:t>3.5 商定或确定</w:t>
      </w:r>
      <w:bookmarkEnd w:id="479"/>
      <w:bookmarkEnd w:id="480"/>
      <w:bookmarkEnd w:id="481"/>
      <w:bookmarkEnd w:id="482"/>
      <w:bookmarkEnd w:id="483"/>
      <w:bookmarkEnd w:id="484"/>
      <w:bookmarkEnd w:id="485"/>
      <w:bookmarkEnd w:id="486"/>
      <w:bookmarkEnd w:id="487"/>
    </w:p>
    <w:p w14:paraId="192542E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488" w:name="_Toc199321980"/>
      <w:r>
        <w:rPr>
          <w:rStyle w:val="75"/>
          <w:rFonts w:hint="eastAsia" w:ascii="宋体" w:hAnsi="宋体" w:eastAsia="宋体" w:cs="宋体"/>
          <w:color w:val="auto"/>
          <w:kern w:val="0"/>
          <w:sz w:val="21"/>
          <w:szCs w:val="21"/>
          <w:highlight w:val="none"/>
        </w:rPr>
        <w:t>3.5.1 合同约定总监理工程师应按照本款对任何事项进行商定或确定时，总监理工程师</w:t>
      </w:r>
      <w:bookmarkEnd w:id="488"/>
      <w:r>
        <w:rPr>
          <w:rStyle w:val="75"/>
          <w:rFonts w:hint="eastAsia" w:ascii="宋体" w:hAnsi="宋体" w:eastAsia="宋体" w:cs="宋体"/>
          <w:color w:val="auto"/>
          <w:kern w:val="0"/>
          <w:sz w:val="21"/>
          <w:szCs w:val="21"/>
          <w:highlight w:val="none"/>
        </w:rPr>
        <w:t>应与合同当事人协商，尽量达成一致。不能达成一致的，总监理工程师应认真研究后审慎确定。</w:t>
      </w:r>
    </w:p>
    <w:p w14:paraId="68A0F95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489" w:name="_Toc199321981"/>
      <w:r>
        <w:rPr>
          <w:rStyle w:val="75"/>
          <w:rFonts w:hint="eastAsia" w:ascii="宋体" w:hAnsi="宋体" w:eastAsia="宋体" w:cs="宋体"/>
          <w:color w:val="auto"/>
          <w:kern w:val="0"/>
          <w:sz w:val="21"/>
          <w:szCs w:val="21"/>
          <w:highlight w:val="none"/>
        </w:rPr>
        <w:t>3.5.2 总监理工程师应将商定或确定的事项通知合同当事人，并附详细依据。对总监理</w:t>
      </w:r>
      <w:bookmarkEnd w:id="489"/>
      <w:r>
        <w:rPr>
          <w:rStyle w:val="75"/>
          <w:rFonts w:hint="eastAsia" w:ascii="宋体" w:hAnsi="宋体" w:eastAsia="宋体" w:cs="宋体"/>
          <w:color w:val="auto"/>
          <w:kern w:val="0"/>
          <w:sz w:val="21"/>
          <w:szCs w:val="21"/>
          <w:highlight w:val="none"/>
        </w:rPr>
        <w:t>工程师的确定有异议的，构成争议，按照第24 条的约定处理。在争议解决前，双方应暂按总监理工程师的确定执行，按照第24 条的约定对总监理工程师的确定作出修改的，按修改后的结果执行。</w:t>
      </w:r>
    </w:p>
    <w:p w14:paraId="5E92AD6A">
      <w:pPr>
        <w:pStyle w:val="39"/>
        <w:autoSpaceDE w:val="0"/>
        <w:autoSpaceDN w:val="0"/>
        <w:adjustRightInd w:val="0"/>
        <w:spacing w:line="360" w:lineRule="exact"/>
        <w:ind w:left="0" w:leftChars="0" w:firstLine="422" w:firstLineChars="200"/>
        <w:jc w:val="left"/>
        <w:outlineLvl w:val="2"/>
        <w:rPr>
          <w:rStyle w:val="75"/>
          <w:rFonts w:hint="eastAsia" w:ascii="宋体" w:hAnsi="宋体" w:eastAsia="宋体" w:cs="宋体"/>
          <w:b/>
          <w:color w:val="auto"/>
          <w:kern w:val="0"/>
          <w:sz w:val="21"/>
          <w:szCs w:val="21"/>
          <w:highlight w:val="none"/>
        </w:rPr>
      </w:pPr>
      <w:bookmarkStart w:id="490" w:name="_Toc199321982"/>
      <w:bookmarkStart w:id="491" w:name="_Toc272432121"/>
      <w:bookmarkStart w:id="492" w:name="_Toc312946374"/>
      <w:bookmarkStart w:id="493" w:name="_Toc294891912"/>
      <w:bookmarkStart w:id="494" w:name="_Toc260172723"/>
      <w:bookmarkStart w:id="495" w:name="_Toc262675410"/>
      <w:bookmarkStart w:id="496" w:name="_Toc229450787"/>
      <w:bookmarkStart w:id="497" w:name="_Toc16230"/>
      <w:bookmarkStart w:id="498" w:name="_Toc274249458"/>
      <w:r>
        <w:rPr>
          <w:rStyle w:val="75"/>
          <w:rFonts w:hint="eastAsia" w:ascii="宋体" w:hAnsi="宋体" w:eastAsia="宋体" w:cs="宋体"/>
          <w:b/>
          <w:color w:val="auto"/>
          <w:kern w:val="0"/>
          <w:sz w:val="21"/>
          <w:szCs w:val="21"/>
          <w:highlight w:val="none"/>
        </w:rPr>
        <w:t>4. 承包人</w:t>
      </w:r>
      <w:bookmarkEnd w:id="490"/>
      <w:bookmarkEnd w:id="491"/>
      <w:bookmarkEnd w:id="492"/>
      <w:bookmarkEnd w:id="493"/>
      <w:bookmarkEnd w:id="494"/>
      <w:bookmarkEnd w:id="495"/>
      <w:bookmarkEnd w:id="496"/>
      <w:bookmarkEnd w:id="497"/>
      <w:bookmarkEnd w:id="498"/>
    </w:p>
    <w:p w14:paraId="2486BF2B">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499" w:name="_Toc312946375"/>
      <w:bookmarkStart w:id="500" w:name="_Toc27084"/>
      <w:bookmarkStart w:id="501" w:name="_Toc262675411"/>
      <w:bookmarkStart w:id="502" w:name="_Toc199321983"/>
      <w:bookmarkStart w:id="503" w:name="_Toc272432122"/>
      <w:bookmarkStart w:id="504" w:name="_Toc260172724"/>
      <w:bookmarkStart w:id="505" w:name="_Toc294891913"/>
      <w:bookmarkStart w:id="506" w:name="_Toc229450788"/>
      <w:bookmarkStart w:id="507" w:name="_Toc274249459"/>
      <w:r>
        <w:rPr>
          <w:rStyle w:val="75"/>
          <w:rFonts w:hint="eastAsia" w:ascii="宋体" w:hAnsi="宋体" w:eastAsia="宋体" w:cs="宋体"/>
          <w:b/>
          <w:color w:val="auto"/>
          <w:kern w:val="0"/>
          <w:sz w:val="21"/>
          <w:szCs w:val="21"/>
          <w:highlight w:val="none"/>
        </w:rPr>
        <w:t>4.1 承包人的一般义务</w:t>
      </w:r>
      <w:bookmarkEnd w:id="499"/>
      <w:bookmarkEnd w:id="500"/>
      <w:bookmarkEnd w:id="501"/>
      <w:bookmarkEnd w:id="502"/>
      <w:bookmarkEnd w:id="503"/>
      <w:bookmarkEnd w:id="504"/>
      <w:bookmarkEnd w:id="505"/>
      <w:bookmarkEnd w:id="506"/>
      <w:bookmarkEnd w:id="507"/>
    </w:p>
    <w:p w14:paraId="3F238290">
      <w:pPr>
        <w:pStyle w:val="38"/>
        <w:spacing w:line="360" w:lineRule="exact"/>
        <w:ind w:left="0" w:leftChars="0" w:firstLine="422" w:firstLineChars="200"/>
        <w:jc w:val="left"/>
        <w:rPr>
          <w:rStyle w:val="75"/>
          <w:rFonts w:hint="eastAsia" w:ascii="宋体" w:hAnsi="宋体" w:eastAsia="宋体" w:cs="宋体"/>
          <w:b/>
          <w:color w:val="auto"/>
          <w:kern w:val="0"/>
          <w:sz w:val="21"/>
          <w:szCs w:val="21"/>
          <w:highlight w:val="none"/>
        </w:rPr>
      </w:pPr>
      <w:r>
        <w:rPr>
          <w:rStyle w:val="75"/>
          <w:rFonts w:hint="eastAsia" w:ascii="宋体" w:hAnsi="宋体" w:eastAsia="宋体" w:cs="宋体"/>
          <w:b/>
          <w:color w:val="auto"/>
          <w:kern w:val="0"/>
          <w:sz w:val="21"/>
          <w:szCs w:val="21"/>
          <w:highlight w:val="none"/>
        </w:rPr>
        <w:t>4.1.1遵守法律</w:t>
      </w:r>
    </w:p>
    <w:p w14:paraId="69337722">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承包人在履行合同过程中应遵守法律，并保证发包人免于承担因承包人违反法律而引起的任何责任。</w:t>
      </w:r>
    </w:p>
    <w:p w14:paraId="3118AAB3">
      <w:pPr>
        <w:pStyle w:val="38"/>
        <w:spacing w:line="360" w:lineRule="exact"/>
        <w:ind w:left="0" w:leftChars="0" w:firstLine="422" w:firstLineChars="200"/>
        <w:jc w:val="left"/>
        <w:rPr>
          <w:rStyle w:val="75"/>
          <w:rFonts w:hint="eastAsia" w:ascii="宋体" w:hAnsi="宋体" w:eastAsia="宋体" w:cs="宋体"/>
          <w:b/>
          <w:color w:val="auto"/>
          <w:kern w:val="0"/>
          <w:sz w:val="21"/>
          <w:szCs w:val="21"/>
          <w:highlight w:val="none"/>
        </w:rPr>
      </w:pPr>
      <w:bookmarkStart w:id="508" w:name="_Toc199321984"/>
      <w:r>
        <w:rPr>
          <w:rStyle w:val="75"/>
          <w:rFonts w:hint="eastAsia" w:ascii="宋体" w:hAnsi="宋体" w:eastAsia="宋体" w:cs="宋体"/>
          <w:b/>
          <w:color w:val="auto"/>
          <w:kern w:val="0"/>
          <w:sz w:val="21"/>
          <w:szCs w:val="21"/>
          <w:highlight w:val="none"/>
        </w:rPr>
        <w:t>4.1.2 依法纳税</w:t>
      </w:r>
      <w:bookmarkEnd w:id="508"/>
    </w:p>
    <w:p w14:paraId="08BA9FE1">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承包人应按有关法律规定纳税，应缴纳的税金包括在合同价格内。</w:t>
      </w:r>
    </w:p>
    <w:p w14:paraId="245ED743">
      <w:pPr>
        <w:pStyle w:val="38"/>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509" w:name="_Toc31566"/>
      <w:bookmarkStart w:id="510" w:name="_Toc199321985"/>
      <w:bookmarkStart w:id="511" w:name="_Toc294891914"/>
      <w:bookmarkStart w:id="512" w:name="_Toc312946376"/>
      <w:r>
        <w:rPr>
          <w:rStyle w:val="75"/>
          <w:rFonts w:hint="eastAsia" w:ascii="宋体" w:hAnsi="宋体" w:eastAsia="宋体" w:cs="宋体"/>
          <w:b/>
          <w:color w:val="auto"/>
          <w:kern w:val="0"/>
          <w:sz w:val="21"/>
          <w:szCs w:val="21"/>
          <w:highlight w:val="none"/>
        </w:rPr>
        <w:t>4.1.3 完成各项承包工作</w:t>
      </w:r>
      <w:bookmarkEnd w:id="509"/>
      <w:bookmarkEnd w:id="510"/>
      <w:bookmarkEnd w:id="511"/>
      <w:bookmarkEnd w:id="512"/>
    </w:p>
    <w:p w14:paraId="666280E5">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应按合同约定以及监理人根据第3.4款作出的指示，实施、完成全部工程，并修补工程中的任何缺陷。除5.2款、第6.2款另有约定外，承包人应提供为完成合同工作所需的劳务、材料、施工设备、工程设备和其它物品，并按合同约定负责临时设施的设计、建造、运行、维护、管理和拆除。</w:t>
      </w:r>
    </w:p>
    <w:p w14:paraId="0CB3D562">
      <w:pPr>
        <w:pStyle w:val="38"/>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513" w:name="_Toc262675412"/>
      <w:bookmarkStart w:id="514" w:name="_Toc272432123"/>
      <w:bookmarkStart w:id="515" w:name="_Toc312946377"/>
      <w:bookmarkStart w:id="516" w:name="_Toc294891915"/>
      <w:bookmarkStart w:id="517" w:name="_Toc488678396"/>
      <w:bookmarkStart w:id="518" w:name="_Toc491246724"/>
      <w:bookmarkStart w:id="519" w:name="_Toc199321986"/>
      <w:bookmarkStart w:id="520" w:name="_Toc14425"/>
      <w:r>
        <w:rPr>
          <w:rStyle w:val="75"/>
          <w:rFonts w:hint="eastAsia" w:ascii="宋体" w:hAnsi="宋体" w:eastAsia="宋体" w:cs="宋体"/>
          <w:b/>
          <w:color w:val="auto"/>
          <w:kern w:val="0"/>
          <w:sz w:val="21"/>
          <w:szCs w:val="21"/>
          <w:highlight w:val="none"/>
        </w:rPr>
        <w:t>4.1.4 对施工作业和施工方法的完备性负责</w:t>
      </w:r>
      <w:bookmarkEnd w:id="513"/>
      <w:bookmarkEnd w:id="514"/>
      <w:bookmarkEnd w:id="515"/>
      <w:bookmarkEnd w:id="516"/>
      <w:bookmarkEnd w:id="517"/>
      <w:bookmarkEnd w:id="518"/>
      <w:bookmarkEnd w:id="519"/>
      <w:bookmarkEnd w:id="520"/>
    </w:p>
    <w:p w14:paraId="331279CD">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承包人应按合同约定的工作内容和施工进度要求，编制施工组织设计和施工措施计划，并对所有施工作业和施工方法的完备性和安全可靠性负责。</w:t>
      </w:r>
    </w:p>
    <w:p w14:paraId="68FB5830">
      <w:pPr>
        <w:pStyle w:val="38"/>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521" w:name="_Toc488678397"/>
      <w:bookmarkStart w:id="522" w:name="_Toc374"/>
      <w:bookmarkStart w:id="523" w:name="_Toc294891916"/>
      <w:bookmarkStart w:id="524" w:name="_Toc199321987"/>
      <w:bookmarkStart w:id="525" w:name="_Toc262675413"/>
      <w:bookmarkStart w:id="526" w:name="_Toc312946378"/>
      <w:bookmarkStart w:id="527" w:name="_Toc491246725"/>
      <w:bookmarkStart w:id="528" w:name="_Toc272432124"/>
      <w:r>
        <w:rPr>
          <w:rStyle w:val="75"/>
          <w:rFonts w:hint="eastAsia" w:ascii="宋体" w:hAnsi="宋体" w:eastAsia="宋体" w:cs="宋体"/>
          <w:b/>
          <w:color w:val="auto"/>
          <w:kern w:val="0"/>
          <w:sz w:val="21"/>
          <w:szCs w:val="21"/>
          <w:highlight w:val="none"/>
        </w:rPr>
        <w:t>4.1.5 保证工程施工和人员的安全</w:t>
      </w:r>
      <w:bookmarkEnd w:id="521"/>
      <w:bookmarkEnd w:id="522"/>
      <w:bookmarkEnd w:id="523"/>
      <w:bookmarkEnd w:id="524"/>
      <w:bookmarkEnd w:id="525"/>
      <w:bookmarkEnd w:id="526"/>
      <w:bookmarkEnd w:id="527"/>
      <w:bookmarkEnd w:id="528"/>
    </w:p>
    <w:p w14:paraId="249C5CF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承包人应按第9.2 款约定采取施工安全措施，确保工程及其人员、材料、设备和设施的安全，防止因工程施工造成的人身伤害和财产损失。</w:t>
      </w:r>
    </w:p>
    <w:p w14:paraId="081CB186">
      <w:pPr>
        <w:pStyle w:val="38"/>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529" w:name="_Toc262675414"/>
      <w:bookmarkStart w:id="530" w:name="_Toc488678398"/>
      <w:bookmarkStart w:id="531" w:name="_Toc26258"/>
      <w:bookmarkStart w:id="532" w:name="_Toc312946379"/>
      <w:bookmarkStart w:id="533" w:name="_Toc272432125"/>
      <w:bookmarkStart w:id="534" w:name="_Toc294891917"/>
      <w:bookmarkStart w:id="535" w:name="_Toc491246726"/>
      <w:bookmarkStart w:id="536" w:name="_Toc199321988"/>
      <w:r>
        <w:rPr>
          <w:rStyle w:val="75"/>
          <w:rFonts w:hint="eastAsia" w:ascii="宋体" w:hAnsi="宋体" w:eastAsia="宋体" w:cs="宋体"/>
          <w:b/>
          <w:color w:val="auto"/>
          <w:kern w:val="0"/>
          <w:sz w:val="21"/>
          <w:szCs w:val="21"/>
          <w:highlight w:val="none"/>
        </w:rPr>
        <w:t>4.1.6 负责施工场地及其周边环境与生态的保护工作</w:t>
      </w:r>
      <w:bookmarkEnd w:id="529"/>
      <w:bookmarkEnd w:id="530"/>
      <w:bookmarkEnd w:id="531"/>
      <w:bookmarkEnd w:id="532"/>
      <w:bookmarkEnd w:id="533"/>
      <w:bookmarkEnd w:id="534"/>
      <w:bookmarkEnd w:id="535"/>
      <w:bookmarkEnd w:id="536"/>
    </w:p>
    <w:p w14:paraId="264430AA">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承包人应按照第9.4款约定负责施工场地及其周边环境与生态的保护工作。</w:t>
      </w:r>
    </w:p>
    <w:p w14:paraId="1E1CFC8C">
      <w:pPr>
        <w:pStyle w:val="38"/>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537" w:name="_Toc199321989"/>
      <w:bookmarkStart w:id="538" w:name="_Toc262675415"/>
      <w:bookmarkStart w:id="539" w:name="_Toc488678399"/>
      <w:bookmarkStart w:id="540" w:name="_Toc312946380"/>
      <w:bookmarkStart w:id="541" w:name="_Toc294891918"/>
      <w:bookmarkStart w:id="542" w:name="_Toc272432126"/>
      <w:bookmarkStart w:id="543" w:name="_Toc491246727"/>
      <w:bookmarkStart w:id="544" w:name="_Toc29265"/>
      <w:r>
        <w:rPr>
          <w:rStyle w:val="75"/>
          <w:rFonts w:hint="eastAsia" w:ascii="宋体" w:hAnsi="宋体" w:eastAsia="宋体" w:cs="宋体"/>
          <w:b/>
          <w:color w:val="auto"/>
          <w:kern w:val="0"/>
          <w:sz w:val="21"/>
          <w:szCs w:val="21"/>
          <w:highlight w:val="none"/>
        </w:rPr>
        <w:t>4.1.7 避免施工对公众与他人的利益造成损害</w:t>
      </w:r>
      <w:bookmarkEnd w:id="537"/>
      <w:bookmarkEnd w:id="538"/>
      <w:bookmarkEnd w:id="539"/>
      <w:bookmarkEnd w:id="540"/>
      <w:bookmarkEnd w:id="541"/>
      <w:bookmarkEnd w:id="542"/>
      <w:bookmarkEnd w:id="543"/>
      <w:bookmarkEnd w:id="544"/>
    </w:p>
    <w:p w14:paraId="109EA2DF">
      <w:pPr>
        <w:pStyle w:val="39"/>
        <w:autoSpaceDE w:val="0"/>
        <w:autoSpaceDN w:val="0"/>
        <w:adjustRightInd w:val="0"/>
        <w:spacing w:line="360" w:lineRule="exact"/>
        <w:ind w:firstLine="420" w:firstLineChars="200"/>
        <w:jc w:val="left"/>
        <w:rPr>
          <w:rStyle w:val="75"/>
          <w:rFonts w:hint="eastAsia" w:ascii="宋体" w:hAnsi="宋体" w:eastAsia="宋体" w:cs="宋体"/>
          <w:b/>
          <w:color w:val="auto"/>
          <w:kern w:val="0"/>
          <w:sz w:val="21"/>
          <w:szCs w:val="21"/>
          <w:highlight w:val="none"/>
        </w:rPr>
      </w:pPr>
      <w:r>
        <w:rPr>
          <w:rStyle w:val="75"/>
          <w:rFonts w:hint="eastAsia" w:ascii="宋体" w:hAnsi="宋体" w:eastAsia="宋体" w:cs="宋体"/>
          <w:color w:val="auto"/>
          <w:kern w:val="0"/>
          <w:sz w:val="21"/>
          <w:szCs w:val="21"/>
          <w:highlight w:val="none"/>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0BEC9778">
      <w:pPr>
        <w:pStyle w:val="38"/>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545" w:name="_Toc272432127"/>
      <w:bookmarkStart w:id="546" w:name="_Toc488678400"/>
      <w:bookmarkStart w:id="547" w:name="_Toc491246728"/>
      <w:bookmarkStart w:id="548" w:name="_Toc312946381"/>
      <w:bookmarkStart w:id="549" w:name="_Toc262675416"/>
      <w:bookmarkStart w:id="550" w:name="_Toc199321990"/>
      <w:bookmarkStart w:id="551" w:name="_Toc26763"/>
      <w:bookmarkStart w:id="552" w:name="_Toc294891919"/>
      <w:r>
        <w:rPr>
          <w:rStyle w:val="75"/>
          <w:rFonts w:hint="eastAsia" w:ascii="宋体" w:hAnsi="宋体" w:eastAsia="宋体" w:cs="宋体"/>
          <w:b/>
          <w:color w:val="auto"/>
          <w:kern w:val="0"/>
          <w:sz w:val="21"/>
          <w:szCs w:val="21"/>
          <w:highlight w:val="none"/>
        </w:rPr>
        <w:t>4.1.8 为他人提供方便</w:t>
      </w:r>
      <w:bookmarkEnd w:id="545"/>
      <w:bookmarkEnd w:id="546"/>
      <w:bookmarkEnd w:id="547"/>
      <w:bookmarkEnd w:id="548"/>
      <w:bookmarkEnd w:id="549"/>
      <w:bookmarkEnd w:id="550"/>
      <w:bookmarkEnd w:id="551"/>
      <w:bookmarkEnd w:id="552"/>
    </w:p>
    <w:p w14:paraId="2BCD77E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承包人应按监理人的指示为他人在施工场地或附近实施与工程有关的其他各项工作提供可能的条件。除合同另有约定外，提供有关条件的内容和可能发生的费用，由监理人按第</w:t>
      </w:r>
      <w:bookmarkStart w:id="553" w:name="_Toc199321991"/>
      <w:r>
        <w:rPr>
          <w:rStyle w:val="75"/>
          <w:rFonts w:hint="eastAsia" w:ascii="宋体" w:hAnsi="宋体" w:eastAsia="宋体" w:cs="宋体"/>
          <w:color w:val="auto"/>
          <w:kern w:val="0"/>
          <w:sz w:val="21"/>
          <w:szCs w:val="21"/>
          <w:highlight w:val="none"/>
        </w:rPr>
        <w:t>3.5 款商定或确定</w:t>
      </w:r>
      <w:bookmarkEnd w:id="553"/>
      <w:r>
        <w:rPr>
          <w:rStyle w:val="75"/>
          <w:rFonts w:hint="eastAsia" w:ascii="宋体" w:hAnsi="宋体" w:eastAsia="宋体" w:cs="宋体"/>
          <w:color w:val="auto"/>
          <w:kern w:val="0"/>
          <w:sz w:val="21"/>
          <w:szCs w:val="21"/>
          <w:highlight w:val="none"/>
        </w:rPr>
        <w:t>。</w:t>
      </w:r>
    </w:p>
    <w:p w14:paraId="654D1DDB">
      <w:pPr>
        <w:pStyle w:val="38"/>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554" w:name="_Toc491246729"/>
      <w:bookmarkStart w:id="555" w:name="_Toc6504"/>
      <w:bookmarkStart w:id="556" w:name="_Toc294891920"/>
      <w:bookmarkStart w:id="557" w:name="_Toc262675417"/>
      <w:bookmarkStart w:id="558" w:name="_Toc272432128"/>
      <w:bookmarkStart w:id="559" w:name="_Toc199321992"/>
      <w:bookmarkStart w:id="560" w:name="_Toc488678401"/>
      <w:bookmarkStart w:id="561" w:name="_Toc312946382"/>
      <w:r>
        <w:rPr>
          <w:rStyle w:val="75"/>
          <w:rFonts w:hint="eastAsia" w:ascii="宋体" w:hAnsi="宋体" w:eastAsia="宋体" w:cs="宋体"/>
          <w:b/>
          <w:color w:val="auto"/>
          <w:kern w:val="0"/>
          <w:sz w:val="21"/>
          <w:szCs w:val="21"/>
          <w:highlight w:val="none"/>
        </w:rPr>
        <w:t>4.1.9 工程的维护和照管</w:t>
      </w:r>
      <w:bookmarkEnd w:id="554"/>
      <w:bookmarkEnd w:id="555"/>
      <w:bookmarkEnd w:id="556"/>
      <w:bookmarkEnd w:id="557"/>
      <w:bookmarkEnd w:id="558"/>
      <w:bookmarkEnd w:id="559"/>
      <w:bookmarkEnd w:id="560"/>
      <w:bookmarkEnd w:id="561"/>
    </w:p>
    <w:p w14:paraId="00DE61B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除合同另有约定外，合同工程完工证书颁发前，承包人应负责照管和维护工程。合同工程完工证书颁发时尚有部分未完工程的，承包人还应负责该未完工程的照管和维护工作，直至完工后移交给发包人为止。</w:t>
      </w:r>
    </w:p>
    <w:p w14:paraId="7BFAAE3E">
      <w:pPr>
        <w:pStyle w:val="38"/>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562" w:name="_Toc491246730"/>
      <w:bookmarkStart w:id="563" w:name="_Toc488678402"/>
      <w:bookmarkStart w:id="564" w:name="_Toc294891921"/>
      <w:bookmarkStart w:id="565" w:name="_Toc262675418"/>
      <w:bookmarkStart w:id="566" w:name="_Toc312946383"/>
      <w:bookmarkStart w:id="567" w:name="_Toc272432129"/>
      <w:bookmarkStart w:id="568" w:name="_Toc27747"/>
      <w:bookmarkStart w:id="569" w:name="_Toc199321993"/>
      <w:r>
        <w:rPr>
          <w:rStyle w:val="75"/>
          <w:rFonts w:hint="eastAsia" w:ascii="宋体" w:hAnsi="宋体" w:eastAsia="宋体" w:cs="宋体"/>
          <w:b/>
          <w:color w:val="auto"/>
          <w:kern w:val="0"/>
          <w:sz w:val="21"/>
          <w:szCs w:val="21"/>
          <w:highlight w:val="none"/>
        </w:rPr>
        <w:t>4.1.10 其他义务</w:t>
      </w:r>
      <w:bookmarkEnd w:id="562"/>
      <w:bookmarkEnd w:id="563"/>
      <w:bookmarkEnd w:id="564"/>
      <w:bookmarkEnd w:id="565"/>
      <w:bookmarkEnd w:id="566"/>
      <w:bookmarkEnd w:id="567"/>
      <w:bookmarkEnd w:id="568"/>
      <w:bookmarkEnd w:id="569"/>
    </w:p>
    <w:p w14:paraId="7E7977A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其它义务在专用合同条款中补充约定。</w:t>
      </w:r>
    </w:p>
    <w:p w14:paraId="2AF156DF">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570" w:name="_Toc229450789"/>
      <w:bookmarkStart w:id="571" w:name="_Toc260172725"/>
      <w:bookmarkStart w:id="572" w:name="_Toc272432130"/>
      <w:bookmarkStart w:id="573" w:name="_Toc8750"/>
      <w:bookmarkStart w:id="574" w:name="_Toc199321994"/>
      <w:bookmarkStart w:id="575" w:name="_Toc262675419"/>
      <w:bookmarkStart w:id="576" w:name="_Toc312946384"/>
      <w:bookmarkStart w:id="577" w:name="_Toc294891922"/>
      <w:bookmarkStart w:id="578" w:name="_Toc274249460"/>
      <w:r>
        <w:rPr>
          <w:rStyle w:val="75"/>
          <w:rFonts w:hint="eastAsia" w:ascii="宋体" w:hAnsi="宋体" w:eastAsia="宋体" w:cs="宋体"/>
          <w:b/>
          <w:color w:val="auto"/>
          <w:kern w:val="0"/>
          <w:sz w:val="21"/>
          <w:szCs w:val="21"/>
          <w:highlight w:val="none"/>
        </w:rPr>
        <w:t>4.2 履约担保</w:t>
      </w:r>
      <w:bookmarkEnd w:id="570"/>
      <w:bookmarkEnd w:id="571"/>
      <w:bookmarkEnd w:id="572"/>
      <w:bookmarkEnd w:id="573"/>
      <w:bookmarkEnd w:id="574"/>
      <w:bookmarkEnd w:id="575"/>
      <w:bookmarkEnd w:id="576"/>
      <w:bookmarkEnd w:id="577"/>
      <w:bookmarkEnd w:id="578"/>
    </w:p>
    <w:p w14:paraId="0C6DD062">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承包人应保证其履约担保在发包人颁发合同工程完工证书前一直有效。发包人应在合同工程完工证书颁发后28天内将履约担保退还给承包人。</w:t>
      </w:r>
    </w:p>
    <w:p w14:paraId="59C26152">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579" w:name="_Toc5704"/>
      <w:bookmarkStart w:id="580" w:name="_Toc272432131"/>
      <w:bookmarkStart w:id="581" w:name="_Toc294891923"/>
      <w:bookmarkStart w:id="582" w:name="_Toc229450790"/>
      <w:bookmarkStart w:id="583" w:name="_Toc199321995"/>
      <w:bookmarkStart w:id="584" w:name="_Toc262675420"/>
      <w:bookmarkStart w:id="585" w:name="_Toc312946385"/>
      <w:bookmarkStart w:id="586" w:name="_Toc260172726"/>
      <w:bookmarkStart w:id="587" w:name="_Toc274249461"/>
      <w:r>
        <w:rPr>
          <w:rStyle w:val="75"/>
          <w:rFonts w:hint="eastAsia" w:ascii="宋体" w:hAnsi="宋体" w:eastAsia="宋体" w:cs="宋体"/>
          <w:b/>
          <w:color w:val="auto"/>
          <w:kern w:val="0"/>
          <w:sz w:val="21"/>
          <w:szCs w:val="21"/>
          <w:highlight w:val="none"/>
        </w:rPr>
        <w:t>4.3 分包</w:t>
      </w:r>
      <w:bookmarkEnd w:id="579"/>
      <w:bookmarkEnd w:id="580"/>
      <w:bookmarkEnd w:id="581"/>
      <w:bookmarkEnd w:id="582"/>
      <w:bookmarkEnd w:id="583"/>
      <w:bookmarkEnd w:id="584"/>
      <w:bookmarkEnd w:id="585"/>
      <w:bookmarkEnd w:id="586"/>
      <w:bookmarkEnd w:id="587"/>
    </w:p>
    <w:p w14:paraId="6951638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4.3.1 承包人不得将其承包的全部工程转包给第三人，或将其承包的全部工程肢解后以分包的名义转包给第三人。</w:t>
      </w:r>
    </w:p>
    <w:p w14:paraId="58311D4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4.3.2 承包人不得将工程主体、关键性工作分包给第三人。除专用合同条款另有约定外，未经发包人同意，承包人不得将工程的其他部分或工作分包给第三人。</w:t>
      </w:r>
    </w:p>
    <w:p w14:paraId="71009BF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4.3.3 分包人的资格能力应与其分包工程的标准和规模相适应。</w:t>
      </w:r>
    </w:p>
    <w:p w14:paraId="146FB51D">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4.3.4 按投标函附录约定分包工程的，承包人应向发包人和监理人提交分包合同副本。4.3.5 承包人应与分包人就分包工程向发包人承担连带责任。</w:t>
      </w:r>
    </w:p>
    <w:p w14:paraId="0066AFD2">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4.3.6 分包分为工程分包和劳务作业分包。工程分包应遵循合同约定或者经发包人书面认可。禁止承包人将本合同进行违法分包。分包人应具备与分包工程规模和标准相适应的资质和业绩，在人力、设备、资金等方面具有承担分包工程施工的能力。分包人应自行完成所承包的任务。</w:t>
      </w:r>
    </w:p>
    <w:p w14:paraId="3C40889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4.3.7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p>
    <w:p w14:paraId="7A01920C">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由指定分包人造成的与其分包工作有关的一切索赔、诉讼和损失赔偿由分包人直接对发包人负责，承包人不对此承担责任。</w:t>
      </w:r>
    </w:p>
    <w:p w14:paraId="27731944">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4.3.8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p>
    <w:p w14:paraId="54206A68">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4.3.9 除第4.3.7项规定的指定分包外，承包人对其分包项目的实施以及分包人的行为向发包人负全部责任。承包人应对分包外项目的工程进度、质量、安全、计量和验收等实施监督和管理。</w:t>
      </w:r>
    </w:p>
    <w:p w14:paraId="1836425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4.3.10分包人应按专用合同条款的约定设立项目管理机构组织管理分包工程的施工活动。</w:t>
      </w:r>
    </w:p>
    <w:p w14:paraId="6A7C767C">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588" w:name="_Toc21628"/>
      <w:bookmarkStart w:id="589" w:name="_Toc274249462"/>
      <w:bookmarkStart w:id="590" w:name="_Toc272432132"/>
      <w:bookmarkStart w:id="591" w:name="_Toc199321996"/>
      <w:bookmarkStart w:id="592" w:name="_Toc312946386"/>
      <w:bookmarkStart w:id="593" w:name="_Toc294891924"/>
      <w:bookmarkStart w:id="594" w:name="_Toc229450791"/>
      <w:bookmarkStart w:id="595" w:name="_Toc262675421"/>
      <w:bookmarkStart w:id="596" w:name="_Toc260172727"/>
      <w:r>
        <w:rPr>
          <w:rStyle w:val="75"/>
          <w:rFonts w:hint="eastAsia" w:ascii="宋体" w:hAnsi="宋体" w:eastAsia="宋体" w:cs="宋体"/>
          <w:b/>
          <w:color w:val="auto"/>
          <w:kern w:val="0"/>
          <w:sz w:val="21"/>
          <w:szCs w:val="21"/>
          <w:highlight w:val="none"/>
        </w:rPr>
        <w:t>4.4 联合体</w:t>
      </w:r>
      <w:bookmarkEnd w:id="588"/>
      <w:bookmarkEnd w:id="589"/>
      <w:bookmarkEnd w:id="590"/>
      <w:bookmarkEnd w:id="591"/>
      <w:bookmarkEnd w:id="592"/>
      <w:bookmarkEnd w:id="593"/>
      <w:bookmarkEnd w:id="594"/>
      <w:bookmarkEnd w:id="595"/>
      <w:bookmarkEnd w:id="596"/>
    </w:p>
    <w:p w14:paraId="1083152E">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本工程不接受联合体投标。</w:t>
      </w:r>
    </w:p>
    <w:p w14:paraId="32E67E0C">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597" w:name="_Toc294891925"/>
      <w:bookmarkStart w:id="598" w:name="_Toc199322000"/>
      <w:bookmarkStart w:id="599" w:name="_Toc229450792"/>
      <w:bookmarkStart w:id="600" w:name="_Toc262675422"/>
      <w:bookmarkStart w:id="601" w:name="_Toc272432133"/>
      <w:bookmarkStart w:id="602" w:name="_Toc312946387"/>
      <w:bookmarkStart w:id="603" w:name="_Toc274249463"/>
      <w:bookmarkStart w:id="604" w:name="_Toc260172728"/>
      <w:bookmarkStart w:id="605" w:name="_Toc31112"/>
      <w:r>
        <w:rPr>
          <w:rStyle w:val="75"/>
          <w:rFonts w:hint="eastAsia" w:ascii="宋体" w:hAnsi="宋体" w:eastAsia="宋体" w:cs="宋体"/>
          <w:b/>
          <w:color w:val="auto"/>
          <w:kern w:val="0"/>
          <w:sz w:val="21"/>
          <w:szCs w:val="21"/>
          <w:highlight w:val="none"/>
        </w:rPr>
        <w:t>4.5 承包人项目经理</w:t>
      </w:r>
      <w:bookmarkEnd w:id="597"/>
      <w:bookmarkEnd w:id="598"/>
      <w:bookmarkEnd w:id="599"/>
      <w:bookmarkEnd w:id="600"/>
      <w:bookmarkEnd w:id="601"/>
      <w:bookmarkEnd w:id="602"/>
      <w:bookmarkEnd w:id="603"/>
      <w:bookmarkEnd w:id="604"/>
      <w:bookmarkEnd w:id="605"/>
    </w:p>
    <w:p w14:paraId="6AE9609C">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606" w:name="_Toc199322001"/>
      <w:r>
        <w:rPr>
          <w:rStyle w:val="75"/>
          <w:rFonts w:hint="eastAsia" w:ascii="宋体" w:hAnsi="宋体" w:eastAsia="宋体" w:cs="宋体"/>
          <w:color w:val="auto"/>
          <w:kern w:val="0"/>
          <w:sz w:val="21"/>
          <w:szCs w:val="21"/>
          <w:highlight w:val="none"/>
        </w:rPr>
        <w:t>4.5.1 承包人应按合同约定指派项目经理，并在约定的期限内到职。承包人更换项目经</w:t>
      </w:r>
      <w:bookmarkEnd w:id="606"/>
      <w:r>
        <w:rPr>
          <w:rStyle w:val="75"/>
          <w:rFonts w:hint="eastAsia" w:ascii="宋体" w:hAnsi="宋体" w:eastAsia="宋体" w:cs="宋体"/>
          <w:color w:val="auto"/>
          <w:kern w:val="0"/>
          <w:sz w:val="21"/>
          <w:szCs w:val="21"/>
          <w:highlight w:val="none"/>
        </w:rPr>
        <w:t>理应事先征得发包人同意，并应在更换14天前通知发包人和监理人。承包人项目经理短期离开施工场地，应事先征得监理人同意，并委派代表代行其职责。</w:t>
      </w:r>
    </w:p>
    <w:p w14:paraId="71A51BF4">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607" w:name="_Toc199322002"/>
      <w:r>
        <w:rPr>
          <w:rStyle w:val="75"/>
          <w:rFonts w:hint="eastAsia" w:ascii="宋体" w:hAnsi="宋体" w:eastAsia="宋体" w:cs="宋体"/>
          <w:color w:val="auto"/>
          <w:kern w:val="0"/>
          <w:sz w:val="21"/>
          <w:szCs w:val="21"/>
          <w:highlight w:val="none"/>
        </w:rPr>
        <w:t>4.5.2 承包人项目经理应按合同约定以及监理人接第3.4款作出的指示，负责组织合同</w:t>
      </w:r>
      <w:bookmarkEnd w:id="607"/>
      <w:r>
        <w:rPr>
          <w:rStyle w:val="75"/>
          <w:rFonts w:hint="eastAsia" w:ascii="宋体" w:hAnsi="宋体" w:eastAsia="宋体" w:cs="宋体"/>
          <w:color w:val="auto"/>
          <w:kern w:val="0"/>
          <w:sz w:val="21"/>
          <w:szCs w:val="21"/>
          <w:highlight w:val="none"/>
        </w:rPr>
        <w:t>工程的实施。在情况紧急且无法与监理人取得联系时，可采取保证工程和人员生命财产安全的紧急措施，并在采取措施后24小时内向监理人提交书面报告。</w:t>
      </w:r>
    </w:p>
    <w:p w14:paraId="535EB878">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608" w:name="_Toc199322003"/>
      <w:r>
        <w:rPr>
          <w:rStyle w:val="75"/>
          <w:rFonts w:hint="eastAsia" w:ascii="宋体" w:hAnsi="宋体" w:eastAsia="宋体" w:cs="宋体"/>
          <w:color w:val="auto"/>
          <w:kern w:val="0"/>
          <w:sz w:val="21"/>
          <w:szCs w:val="21"/>
          <w:highlight w:val="none"/>
        </w:rPr>
        <w:t>4.5.3 承包人为履行合同发出的一切函件均应盖有承包人授权的施工场地管理机构章，</w:t>
      </w:r>
      <w:bookmarkEnd w:id="608"/>
      <w:r>
        <w:rPr>
          <w:rStyle w:val="75"/>
          <w:rFonts w:hint="eastAsia" w:ascii="宋体" w:hAnsi="宋体" w:eastAsia="宋体" w:cs="宋体"/>
          <w:color w:val="auto"/>
          <w:kern w:val="0"/>
          <w:sz w:val="21"/>
          <w:szCs w:val="21"/>
          <w:highlight w:val="none"/>
        </w:rPr>
        <w:t>并由承包人项目经理或其授权代表签字。</w:t>
      </w:r>
    </w:p>
    <w:p w14:paraId="333AF107">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609" w:name="_Toc199322004"/>
      <w:r>
        <w:rPr>
          <w:rStyle w:val="75"/>
          <w:rFonts w:hint="eastAsia" w:ascii="宋体" w:hAnsi="宋体" w:eastAsia="宋体" w:cs="宋体"/>
          <w:color w:val="auto"/>
          <w:kern w:val="0"/>
          <w:sz w:val="21"/>
          <w:szCs w:val="21"/>
          <w:highlight w:val="none"/>
        </w:rPr>
        <w:t>4.5.4 承包人项目经理可以授权其下属人员履行其某项职责，但事先应将这些人员的姓</w:t>
      </w:r>
      <w:bookmarkEnd w:id="609"/>
      <w:r>
        <w:rPr>
          <w:rStyle w:val="75"/>
          <w:rFonts w:hint="eastAsia" w:ascii="宋体" w:hAnsi="宋体" w:eastAsia="宋体" w:cs="宋体"/>
          <w:color w:val="auto"/>
          <w:kern w:val="0"/>
          <w:sz w:val="21"/>
          <w:szCs w:val="21"/>
          <w:highlight w:val="none"/>
        </w:rPr>
        <w:t>名和授权范围通知监理人。</w:t>
      </w:r>
    </w:p>
    <w:p w14:paraId="4D4E97C9">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610" w:name="_Toc199322005"/>
      <w:bookmarkStart w:id="611" w:name="_Toc312946388"/>
      <w:bookmarkStart w:id="612" w:name="_Toc262675423"/>
      <w:bookmarkStart w:id="613" w:name="_Toc7640"/>
      <w:bookmarkStart w:id="614" w:name="_Toc274249464"/>
      <w:bookmarkStart w:id="615" w:name="_Toc260172729"/>
      <w:bookmarkStart w:id="616" w:name="_Toc294891926"/>
      <w:bookmarkStart w:id="617" w:name="_Toc272432134"/>
      <w:bookmarkStart w:id="618" w:name="_Toc229450793"/>
      <w:r>
        <w:rPr>
          <w:rStyle w:val="75"/>
          <w:rFonts w:hint="eastAsia" w:ascii="宋体" w:hAnsi="宋体" w:eastAsia="宋体" w:cs="宋体"/>
          <w:b/>
          <w:color w:val="auto"/>
          <w:kern w:val="0"/>
          <w:sz w:val="21"/>
          <w:szCs w:val="21"/>
          <w:highlight w:val="none"/>
        </w:rPr>
        <w:t>4.6 承包人人员的管理</w:t>
      </w:r>
      <w:bookmarkEnd w:id="610"/>
      <w:bookmarkEnd w:id="611"/>
      <w:bookmarkEnd w:id="612"/>
      <w:bookmarkEnd w:id="613"/>
      <w:bookmarkEnd w:id="614"/>
      <w:bookmarkEnd w:id="615"/>
      <w:bookmarkEnd w:id="616"/>
      <w:bookmarkEnd w:id="617"/>
      <w:bookmarkEnd w:id="618"/>
    </w:p>
    <w:p w14:paraId="1DBA60B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4.6.1 承包人应在接到开工通知后10 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2566259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4.6.2 为完成合同约定的各项工作，承包人应向施工场地派遣或雇佣足够数量的下列人员:</w:t>
      </w:r>
    </w:p>
    <w:p w14:paraId="1CF4965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具有相应资格的专业技工和合格的普工；</w:t>
      </w:r>
    </w:p>
    <w:p w14:paraId="7F689EF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具有相应施工经验的技术人员；</w:t>
      </w:r>
    </w:p>
    <w:p w14:paraId="42C81E7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 具有相应岗位资格的各级管理人员。</w:t>
      </w:r>
    </w:p>
    <w:p w14:paraId="5B60B49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4.6.3 承包人安排在施工场地的主要管理人员和技术骨干应相对稳定。承包人更换主要管理人员和技术骨干时，应取得监理人的同意。</w:t>
      </w:r>
    </w:p>
    <w:p w14:paraId="70035F3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4.6.4 特殊岗位的工作人员均应持有相应的资格证明，监理人有权随时检查。监理人认为有必要时，可进行现场考核。</w:t>
      </w:r>
    </w:p>
    <w:p w14:paraId="08C07C2E">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619" w:name="_Toc294891927"/>
      <w:bookmarkStart w:id="620" w:name="_Toc229450794"/>
      <w:bookmarkStart w:id="621" w:name="_Toc272432135"/>
      <w:bookmarkStart w:id="622" w:name="_Toc199322006"/>
      <w:bookmarkStart w:id="623" w:name="_Toc312946389"/>
      <w:bookmarkStart w:id="624" w:name="_Toc8001"/>
      <w:bookmarkStart w:id="625" w:name="_Toc274249465"/>
      <w:bookmarkStart w:id="626" w:name="_Toc260172730"/>
      <w:bookmarkStart w:id="627" w:name="_Toc262675424"/>
      <w:r>
        <w:rPr>
          <w:rStyle w:val="75"/>
          <w:rFonts w:hint="eastAsia" w:ascii="宋体" w:hAnsi="宋体" w:eastAsia="宋体" w:cs="宋体"/>
          <w:b/>
          <w:color w:val="auto"/>
          <w:kern w:val="0"/>
          <w:sz w:val="21"/>
          <w:szCs w:val="21"/>
          <w:highlight w:val="none"/>
        </w:rPr>
        <w:t>4.7 撤换承包人项目经理和其他人员</w:t>
      </w:r>
      <w:bookmarkEnd w:id="619"/>
      <w:bookmarkEnd w:id="620"/>
      <w:bookmarkEnd w:id="621"/>
      <w:bookmarkEnd w:id="622"/>
      <w:bookmarkEnd w:id="623"/>
      <w:bookmarkEnd w:id="624"/>
      <w:bookmarkEnd w:id="625"/>
      <w:bookmarkEnd w:id="626"/>
      <w:bookmarkEnd w:id="627"/>
    </w:p>
    <w:p w14:paraId="732E1700">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承包人应对其项目经理和其他人员进行有效管理.监理人要求撤换不能胜任本职工作、行为不端或玩忽职守的承包人项目经理和其他人员的，承包人应予以撤换。</w:t>
      </w:r>
    </w:p>
    <w:p w14:paraId="1111B8F8">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628" w:name="_Toc274249466"/>
      <w:bookmarkStart w:id="629" w:name="_Toc312946390"/>
      <w:bookmarkStart w:id="630" w:name="_Toc262675425"/>
      <w:bookmarkStart w:id="631" w:name="_Toc272432136"/>
      <w:bookmarkStart w:id="632" w:name="_Toc5612"/>
      <w:bookmarkStart w:id="633" w:name="_Toc260172731"/>
      <w:bookmarkStart w:id="634" w:name="_Toc199322007"/>
      <w:bookmarkStart w:id="635" w:name="_Toc229450795"/>
      <w:bookmarkStart w:id="636" w:name="_Toc294891928"/>
      <w:r>
        <w:rPr>
          <w:rStyle w:val="75"/>
          <w:rFonts w:hint="eastAsia" w:ascii="宋体" w:hAnsi="宋体" w:eastAsia="宋体" w:cs="宋体"/>
          <w:b/>
          <w:color w:val="auto"/>
          <w:kern w:val="0"/>
          <w:sz w:val="21"/>
          <w:szCs w:val="21"/>
          <w:highlight w:val="none"/>
        </w:rPr>
        <w:t>4.8 保障承包人人员的合法权益</w:t>
      </w:r>
      <w:bookmarkEnd w:id="628"/>
      <w:bookmarkEnd w:id="629"/>
      <w:bookmarkEnd w:id="630"/>
      <w:bookmarkEnd w:id="631"/>
      <w:bookmarkEnd w:id="632"/>
      <w:bookmarkEnd w:id="633"/>
      <w:bookmarkEnd w:id="634"/>
      <w:bookmarkEnd w:id="635"/>
      <w:bookmarkEnd w:id="636"/>
    </w:p>
    <w:p w14:paraId="5D458FA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4.8.1 承包人应与其雇佣的人员签订劳动合同，并按时发放工资。</w:t>
      </w:r>
    </w:p>
    <w:p w14:paraId="4A6FE14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4.8.2 承包人应按劳动法的规定安排工作时间，保证其雇佣人员享有休息和休假的权利。因工程施工的特殊需要占用体假日或延长工作时间的，应不超过法律规定的限度，并按法律规定给予补休或付酬.</w:t>
      </w:r>
    </w:p>
    <w:p w14:paraId="33A56B2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4.8.3 承包人应为其雇佣人员提供必要的食宿条件，以及符合环境保护和卫生要求的生活环境，在远离城镇的施工场地，还应配备必要的伤病防治和急救的医务人员与医疗设施。</w:t>
      </w:r>
    </w:p>
    <w:p w14:paraId="74EEAF1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0AD6C44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4.8.5 承包人应按有关法律规定和合同约定，为其雇佣人员办理保险。</w:t>
      </w:r>
    </w:p>
    <w:p w14:paraId="4971E658">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4.8.6 承包人应负责处理其雇佣人员因工伤亡事故的善后事宣。</w:t>
      </w:r>
    </w:p>
    <w:p w14:paraId="27B2FAC9">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637" w:name="_Toc262675426"/>
      <w:bookmarkStart w:id="638" w:name="_Toc229450796"/>
      <w:bookmarkStart w:id="639" w:name="_Toc294891929"/>
      <w:bookmarkStart w:id="640" w:name="_Toc260172732"/>
      <w:bookmarkStart w:id="641" w:name="_Toc199322008"/>
      <w:bookmarkStart w:id="642" w:name="_Toc272432137"/>
      <w:bookmarkStart w:id="643" w:name="_Toc312946391"/>
      <w:bookmarkStart w:id="644" w:name="_Toc12138"/>
      <w:bookmarkStart w:id="645" w:name="_Toc274249467"/>
      <w:r>
        <w:rPr>
          <w:rStyle w:val="75"/>
          <w:rFonts w:hint="eastAsia" w:ascii="宋体" w:hAnsi="宋体" w:eastAsia="宋体" w:cs="宋体"/>
          <w:b/>
          <w:color w:val="auto"/>
          <w:kern w:val="0"/>
          <w:sz w:val="21"/>
          <w:szCs w:val="21"/>
          <w:highlight w:val="none"/>
        </w:rPr>
        <w:t>4.9 工程价款应专款专用</w:t>
      </w:r>
      <w:bookmarkEnd w:id="637"/>
      <w:bookmarkEnd w:id="638"/>
      <w:bookmarkEnd w:id="639"/>
      <w:bookmarkEnd w:id="640"/>
      <w:bookmarkEnd w:id="641"/>
      <w:bookmarkEnd w:id="642"/>
      <w:bookmarkEnd w:id="643"/>
      <w:bookmarkEnd w:id="644"/>
      <w:bookmarkEnd w:id="645"/>
    </w:p>
    <w:p w14:paraId="42437A8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发包人按合同约定支付给承包人的各项价款应专用于合同工程。</w:t>
      </w:r>
    </w:p>
    <w:p w14:paraId="421AD0F5">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646" w:name="_Toc24547"/>
      <w:bookmarkStart w:id="647" w:name="_Toc260172733"/>
      <w:bookmarkStart w:id="648" w:name="_Toc274249468"/>
      <w:bookmarkStart w:id="649" w:name="_Toc312946392"/>
      <w:bookmarkStart w:id="650" w:name="_Toc229450797"/>
      <w:bookmarkStart w:id="651" w:name="_Toc294891930"/>
      <w:bookmarkStart w:id="652" w:name="_Toc199322009"/>
      <w:bookmarkStart w:id="653" w:name="_Toc262675427"/>
      <w:bookmarkStart w:id="654" w:name="_Toc272432138"/>
      <w:r>
        <w:rPr>
          <w:rStyle w:val="75"/>
          <w:rFonts w:hint="eastAsia" w:ascii="宋体" w:hAnsi="宋体" w:eastAsia="宋体" w:cs="宋体"/>
          <w:b/>
          <w:color w:val="auto"/>
          <w:kern w:val="0"/>
          <w:sz w:val="21"/>
          <w:szCs w:val="21"/>
          <w:highlight w:val="none"/>
        </w:rPr>
        <w:t>4.10 承包人现场查勘</w:t>
      </w:r>
      <w:bookmarkEnd w:id="646"/>
      <w:bookmarkEnd w:id="647"/>
      <w:bookmarkEnd w:id="648"/>
      <w:bookmarkEnd w:id="649"/>
      <w:bookmarkEnd w:id="650"/>
      <w:bookmarkEnd w:id="651"/>
      <w:bookmarkEnd w:id="652"/>
      <w:bookmarkEnd w:id="653"/>
      <w:bookmarkEnd w:id="654"/>
    </w:p>
    <w:p w14:paraId="7DC1D8E4">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4.10.1 发包人应将其持有的现场地质勘探资料、水文气象资料提供给承包人，并对其准确性负责。但承包人应对其阅读上述有关资料后所作出的解释和推断负责。</w:t>
      </w:r>
    </w:p>
    <w:p w14:paraId="6620F88E">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0FDBC4BA">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655" w:name="_Toc14156"/>
      <w:bookmarkStart w:id="656" w:name="_Toc260172734"/>
      <w:bookmarkStart w:id="657" w:name="_Toc312946393"/>
      <w:bookmarkStart w:id="658" w:name="_Toc262675428"/>
      <w:bookmarkStart w:id="659" w:name="_Toc199322010"/>
      <w:bookmarkStart w:id="660" w:name="_Toc229450798"/>
      <w:bookmarkStart w:id="661" w:name="_Toc294891931"/>
      <w:bookmarkStart w:id="662" w:name="_Toc272432139"/>
      <w:bookmarkStart w:id="663" w:name="_Toc274249469"/>
      <w:r>
        <w:rPr>
          <w:rStyle w:val="75"/>
          <w:rFonts w:hint="eastAsia" w:ascii="宋体" w:hAnsi="宋体" w:eastAsia="宋体" w:cs="宋体"/>
          <w:b/>
          <w:color w:val="auto"/>
          <w:kern w:val="0"/>
          <w:sz w:val="21"/>
          <w:szCs w:val="21"/>
          <w:highlight w:val="none"/>
        </w:rPr>
        <w:t>4.11 不利物质条件</w:t>
      </w:r>
      <w:bookmarkEnd w:id="655"/>
      <w:bookmarkEnd w:id="656"/>
      <w:bookmarkEnd w:id="657"/>
      <w:bookmarkEnd w:id="658"/>
      <w:bookmarkEnd w:id="659"/>
      <w:bookmarkEnd w:id="660"/>
      <w:bookmarkEnd w:id="661"/>
      <w:bookmarkEnd w:id="662"/>
      <w:bookmarkEnd w:id="663"/>
    </w:p>
    <w:p w14:paraId="5B58AEC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4.11.1除专用合同条款另有约定外，不利物质条件是指在施工中遭遇不可预见的外界障碍或自然条件造成施工受阻。</w:t>
      </w:r>
    </w:p>
    <w:p w14:paraId="7A7229E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p>
    <w:p w14:paraId="356526EB">
      <w:pPr>
        <w:pStyle w:val="39"/>
        <w:autoSpaceDE w:val="0"/>
        <w:autoSpaceDN w:val="0"/>
        <w:adjustRightInd w:val="0"/>
        <w:spacing w:line="360" w:lineRule="exact"/>
        <w:ind w:left="0" w:leftChars="0" w:firstLine="422" w:firstLineChars="200"/>
        <w:jc w:val="left"/>
        <w:outlineLvl w:val="2"/>
        <w:rPr>
          <w:rStyle w:val="75"/>
          <w:rFonts w:hint="eastAsia" w:ascii="宋体" w:hAnsi="宋体" w:eastAsia="宋体" w:cs="宋体"/>
          <w:b/>
          <w:color w:val="auto"/>
          <w:kern w:val="0"/>
          <w:sz w:val="21"/>
          <w:szCs w:val="21"/>
          <w:highlight w:val="none"/>
        </w:rPr>
      </w:pPr>
      <w:bookmarkStart w:id="664" w:name="_Toc229450799"/>
      <w:bookmarkStart w:id="665" w:name="_Toc294891932"/>
      <w:bookmarkStart w:id="666" w:name="_Toc262675429"/>
      <w:bookmarkStart w:id="667" w:name="_Toc274249470"/>
      <w:bookmarkStart w:id="668" w:name="_Toc272432140"/>
      <w:bookmarkStart w:id="669" w:name="_Toc199322011"/>
      <w:bookmarkStart w:id="670" w:name="_Toc260172735"/>
      <w:bookmarkStart w:id="671" w:name="_Toc6022"/>
      <w:bookmarkStart w:id="672" w:name="_Toc312946394"/>
      <w:r>
        <w:rPr>
          <w:rStyle w:val="75"/>
          <w:rFonts w:hint="eastAsia" w:ascii="宋体" w:hAnsi="宋体" w:eastAsia="宋体" w:cs="宋体"/>
          <w:b/>
          <w:color w:val="auto"/>
          <w:kern w:val="0"/>
          <w:sz w:val="21"/>
          <w:szCs w:val="21"/>
          <w:highlight w:val="none"/>
        </w:rPr>
        <w:t>5. 材料和工程设备</w:t>
      </w:r>
      <w:bookmarkEnd w:id="664"/>
      <w:bookmarkEnd w:id="665"/>
      <w:bookmarkEnd w:id="666"/>
      <w:bookmarkEnd w:id="667"/>
      <w:bookmarkEnd w:id="668"/>
      <w:bookmarkEnd w:id="669"/>
      <w:bookmarkEnd w:id="670"/>
      <w:bookmarkEnd w:id="671"/>
      <w:bookmarkEnd w:id="672"/>
    </w:p>
    <w:p w14:paraId="2ED36D72">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673" w:name="_Toc294891933"/>
      <w:bookmarkStart w:id="674" w:name="_Toc229450800"/>
      <w:bookmarkStart w:id="675" w:name="_Toc274249471"/>
      <w:bookmarkStart w:id="676" w:name="_Toc262675430"/>
      <w:bookmarkStart w:id="677" w:name="_Toc312946395"/>
      <w:bookmarkStart w:id="678" w:name="_Toc260172736"/>
      <w:bookmarkStart w:id="679" w:name="_Toc272432141"/>
      <w:bookmarkStart w:id="680" w:name="_Toc8359"/>
      <w:bookmarkStart w:id="681" w:name="_Toc199322012"/>
      <w:r>
        <w:rPr>
          <w:rStyle w:val="75"/>
          <w:rFonts w:hint="eastAsia" w:ascii="宋体" w:hAnsi="宋体" w:eastAsia="宋体" w:cs="宋体"/>
          <w:b/>
          <w:color w:val="auto"/>
          <w:kern w:val="0"/>
          <w:sz w:val="21"/>
          <w:szCs w:val="21"/>
          <w:highlight w:val="none"/>
        </w:rPr>
        <w:t>5.1 承包人提供的材料和工程设备</w:t>
      </w:r>
      <w:bookmarkEnd w:id="673"/>
      <w:bookmarkEnd w:id="674"/>
      <w:bookmarkEnd w:id="675"/>
      <w:bookmarkEnd w:id="676"/>
      <w:bookmarkEnd w:id="677"/>
      <w:bookmarkEnd w:id="678"/>
      <w:bookmarkEnd w:id="679"/>
      <w:bookmarkEnd w:id="680"/>
      <w:bookmarkEnd w:id="681"/>
    </w:p>
    <w:p w14:paraId="79FFE24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682" w:name="_Toc262675431"/>
      <w:bookmarkStart w:id="683" w:name="_Toc294891934"/>
      <w:r>
        <w:rPr>
          <w:rStyle w:val="75"/>
          <w:rFonts w:hint="eastAsia" w:ascii="宋体" w:hAnsi="宋体" w:eastAsia="宋体" w:cs="宋体"/>
          <w:color w:val="auto"/>
          <w:kern w:val="0"/>
          <w:sz w:val="21"/>
          <w:szCs w:val="21"/>
          <w:highlight w:val="none"/>
        </w:rPr>
        <w:t>5.1.1 除第5.2款约定由发包人提供的材料和工程设备外，承包人负责采购、运输和保管完成本合同工作所需的材料和工程设备。承包人应对其采购的材料和工程设备负责。</w:t>
      </w:r>
      <w:bookmarkEnd w:id="682"/>
      <w:bookmarkEnd w:id="683"/>
    </w:p>
    <w:p w14:paraId="3A4D06F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6D0A48B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5.1.3 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59C696AF">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684" w:name="_Toc199322013"/>
      <w:bookmarkStart w:id="685" w:name="_Toc229450801"/>
      <w:bookmarkStart w:id="686" w:name="_Toc262675432"/>
      <w:bookmarkStart w:id="687" w:name="_Toc260172737"/>
      <w:bookmarkStart w:id="688" w:name="_Toc312946396"/>
      <w:bookmarkStart w:id="689" w:name="_Toc272432142"/>
      <w:bookmarkStart w:id="690" w:name="_Toc274249472"/>
      <w:bookmarkStart w:id="691" w:name="_Toc12358"/>
      <w:bookmarkStart w:id="692" w:name="_Toc294891935"/>
      <w:r>
        <w:rPr>
          <w:rStyle w:val="75"/>
          <w:rFonts w:hint="eastAsia" w:ascii="宋体" w:hAnsi="宋体" w:eastAsia="宋体" w:cs="宋体"/>
          <w:b/>
          <w:color w:val="auto"/>
          <w:kern w:val="0"/>
          <w:sz w:val="21"/>
          <w:szCs w:val="21"/>
          <w:highlight w:val="none"/>
        </w:rPr>
        <w:t>5.2 发包人提供的材料和工程设备</w:t>
      </w:r>
      <w:bookmarkEnd w:id="684"/>
      <w:bookmarkEnd w:id="685"/>
      <w:bookmarkEnd w:id="686"/>
      <w:bookmarkEnd w:id="687"/>
      <w:bookmarkEnd w:id="688"/>
      <w:bookmarkEnd w:id="689"/>
      <w:bookmarkEnd w:id="690"/>
      <w:bookmarkEnd w:id="691"/>
      <w:bookmarkEnd w:id="692"/>
    </w:p>
    <w:p w14:paraId="435DCDA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5.2.1 发包人提供的材料和工程设备，应在专用合同条款中写明材料和工程设备的名称、规格、数量、价格、交货方式、交货地点和计划交货日期等。</w:t>
      </w:r>
    </w:p>
    <w:p w14:paraId="16A679C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5.2.2 承包人应根据合同进度计划的安排，向监理人报送要求发包人交货的日期计划。发包人应按照监理人与合同双方当事人商定的交货日期，向承包人提交材料和工程设备。</w:t>
      </w:r>
    </w:p>
    <w:p w14:paraId="719DFC54">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5.2.3 发包人应在材料和工程设备到货7天前通知承包人，承包人应会同监理人在约定的时间内，赴交货地点共同进行验收。发包人提供的材料和工程设备运至交货地点验收后，由承包人负责接收、卸货、运输和保管。</w:t>
      </w:r>
    </w:p>
    <w:p w14:paraId="4556E0B2">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5.2.4 发包人要求向承包人提前交货的，承包人不得拒绝，但发包人应承担承包人由此增加的费用。</w:t>
      </w:r>
    </w:p>
    <w:p w14:paraId="5B8D054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5.2.5 承包人要求更改交货日期或地点的，应事先报请监理人批准。由于承包人要求更改交货时间或地点所增加的费用和(或)工期延误由承包人承担。</w:t>
      </w:r>
    </w:p>
    <w:p w14:paraId="4A0A0624">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7BB59973">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693" w:name="_Toc262675433"/>
      <w:bookmarkStart w:id="694" w:name="_Toc229450802"/>
      <w:bookmarkStart w:id="695" w:name="_Toc312946397"/>
      <w:bookmarkStart w:id="696" w:name="_Toc260172738"/>
      <w:bookmarkStart w:id="697" w:name="_Toc294891936"/>
      <w:bookmarkStart w:id="698" w:name="_Toc18196"/>
      <w:bookmarkStart w:id="699" w:name="_Toc272432143"/>
      <w:bookmarkStart w:id="700" w:name="_Toc274249473"/>
      <w:bookmarkStart w:id="701" w:name="_Toc199322014"/>
      <w:r>
        <w:rPr>
          <w:rStyle w:val="75"/>
          <w:rFonts w:hint="eastAsia" w:ascii="宋体" w:hAnsi="宋体" w:eastAsia="宋体" w:cs="宋体"/>
          <w:b/>
          <w:color w:val="auto"/>
          <w:kern w:val="0"/>
          <w:sz w:val="21"/>
          <w:szCs w:val="21"/>
          <w:highlight w:val="none"/>
        </w:rPr>
        <w:t>5.3 材料和工程设备专用于合同工程</w:t>
      </w:r>
      <w:bookmarkEnd w:id="693"/>
      <w:bookmarkEnd w:id="694"/>
      <w:bookmarkEnd w:id="695"/>
      <w:bookmarkEnd w:id="696"/>
      <w:bookmarkEnd w:id="697"/>
      <w:bookmarkEnd w:id="698"/>
      <w:bookmarkEnd w:id="699"/>
      <w:bookmarkEnd w:id="700"/>
      <w:bookmarkEnd w:id="701"/>
    </w:p>
    <w:p w14:paraId="512B5C2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702" w:name="_Toc199322015"/>
      <w:r>
        <w:rPr>
          <w:rStyle w:val="75"/>
          <w:rFonts w:hint="eastAsia" w:ascii="宋体" w:hAnsi="宋体" w:eastAsia="宋体" w:cs="宋体"/>
          <w:color w:val="auto"/>
          <w:kern w:val="0"/>
          <w:sz w:val="21"/>
          <w:szCs w:val="21"/>
          <w:highlight w:val="none"/>
        </w:rPr>
        <w:t>5.3.1 运入施工场地的材料、工程设备，包括备品备件、安装专用工器具与随机资料，</w:t>
      </w:r>
      <w:bookmarkEnd w:id="702"/>
      <w:r>
        <w:rPr>
          <w:rStyle w:val="75"/>
          <w:rFonts w:hint="eastAsia" w:ascii="宋体" w:hAnsi="宋体" w:eastAsia="宋体" w:cs="宋体"/>
          <w:color w:val="auto"/>
          <w:kern w:val="0"/>
          <w:sz w:val="21"/>
          <w:szCs w:val="21"/>
          <w:highlight w:val="none"/>
        </w:rPr>
        <w:t>必须专用于合同工程，未经监理人同意，承包人不得运出施工场地或挪作他用。</w:t>
      </w:r>
    </w:p>
    <w:p w14:paraId="1F666AFE">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703" w:name="_Toc199322016"/>
      <w:r>
        <w:rPr>
          <w:rStyle w:val="75"/>
          <w:rFonts w:hint="eastAsia" w:ascii="宋体" w:hAnsi="宋体" w:eastAsia="宋体" w:cs="宋体"/>
          <w:color w:val="auto"/>
          <w:kern w:val="0"/>
          <w:sz w:val="21"/>
          <w:szCs w:val="21"/>
          <w:highlight w:val="none"/>
        </w:rPr>
        <w:t>5.3.2 随同工程设备运入施工场地的备品备件、专用工器具与随机资料，应由承包人会</w:t>
      </w:r>
      <w:bookmarkEnd w:id="703"/>
      <w:r>
        <w:rPr>
          <w:rStyle w:val="75"/>
          <w:rFonts w:hint="eastAsia" w:ascii="宋体" w:hAnsi="宋体" w:eastAsia="宋体" w:cs="宋体"/>
          <w:color w:val="auto"/>
          <w:kern w:val="0"/>
          <w:sz w:val="21"/>
          <w:szCs w:val="21"/>
          <w:highlight w:val="none"/>
        </w:rPr>
        <w:t>同监理人按供货人的装箱单清点后共同封存，未经监理人同意不得启用.承包人因合同工作需要使用上述物品时，应向监理人提出申请。</w:t>
      </w:r>
    </w:p>
    <w:p w14:paraId="335978B4">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704" w:name="_Toc274249474"/>
      <w:bookmarkStart w:id="705" w:name="_Toc312946398"/>
      <w:bookmarkStart w:id="706" w:name="_Toc294891937"/>
      <w:bookmarkStart w:id="707" w:name="_Toc262675434"/>
      <w:bookmarkStart w:id="708" w:name="_Toc199322017"/>
      <w:bookmarkStart w:id="709" w:name="_Toc260172739"/>
      <w:bookmarkStart w:id="710" w:name="_Toc229450803"/>
      <w:bookmarkStart w:id="711" w:name="_Toc7578"/>
      <w:bookmarkStart w:id="712" w:name="_Toc272432144"/>
      <w:r>
        <w:rPr>
          <w:rStyle w:val="75"/>
          <w:rFonts w:hint="eastAsia" w:ascii="宋体" w:hAnsi="宋体" w:eastAsia="宋体" w:cs="宋体"/>
          <w:b/>
          <w:color w:val="auto"/>
          <w:kern w:val="0"/>
          <w:sz w:val="21"/>
          <w:szCs w:val="21"/>
          <w:highlight w:val="none"/>
        </w:rPr>
        <w:t>5.4 禁止使用不合格的材料和工程设备</w:t>
      </w:r>
      <w:bookmarkEnd w:id="704"/>
      <w:bookmarkEnd w:id="705"/>
      <w:bookmarkEnd w:id="706"/>
      <w:bookmarkEnd w:id="707"/>
      <w:bookmarkEnd w:id="708"/>
      <w:bookmarkEnd w:id="709"/>
      <w:bookmarkEnd w:id="710"/>
      <w:bookmarkEnd w:id="711"/>
      <w:bookmarkEnd w:id="712"/>
    </w:p>
    <w:p w14:paraId="171B2EE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713" w:name="_Toc199322018"/>
      <w:bookmarkStart w:id="714" w:name="_Toc262675435"/>
      <w:r>
        <w:rPr>
          <w:rStyle w:val="75"/>
          <w:rFonts w:hint="eastAsia" w:ascii="宋体" w:hAnsi="宋体" w:eastAsia="宋体" w:cs="宋体"/>
          <w:color w:val="auto"/>
          <w:kern w:val="0"/>
          <w:sz w:val="21"/>
          <w:szCs w:val="21"/>
          <w:highlight w:val="none"/>
        </w:rPr>
        <w:t>5.4.1 监理人有权拒绝承包人提供的不合格材料或工程设备，并要求承包人立即进行更</w:t>
      </w:r>
      <w:bookmarkEnd w:id="713"/>
      <w:bookmarkEnd w:id="714"/>
      <w:r>
        <w:rPr>
          <w:rStyle w:val="75"/>
          <w:rFonts w:hint="eastAsia" w:ascii="宋体" w:hAnsi="宋体" w:eastAsia="宋体" w:cs="宋体"/>
          <w:color w:val="auto"/>
          <w:kern w:val="0"/>
          <w:sz w:val="21"/>
          <w:szCs w:val="21"/>
          <w:highlight w:val="none"/>
        </w:rPr>
        <w:t>换。监理人应在更换后再次进行检查和检验，由此增加的费用和(或)工期延误由承包人承担。</w:t>
      </w:r>
    </w:p>
    <w:p w14:paraId="0782D7FC">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715" w:name="_Toc199322019"/>
      <w:bookmarkStart w:id="716" w:name="_Toc262675436"/>
      <w:r>
        <w:rPr>
          <w:rStyle w:val="75"/>
          <w:rFonts w:hint="eastAsia" w:ascii="宋体" w:hAnsi="宋体" w:eastAsia="宋体" w:cs="宋体"/>
          <w:color w:val="auto"/>
          <w:kern w:val="0"/>
          <w:sz w:val="21"/>
          <w:szCs w:val="21"/>
          <w:highlight w:val="none"/>
        </w:rPr>
        <w:t>5.4.2 监理人发现承包人使用了不合格的材料和工程设备，应即时发出指示要求承包人</w:t>
      </w:r>
      <w:bookmarkEnd w:id="715"/>
      <w:r>
        <w:rPr>
          <w:rStyle w:val="75"/>
          <w:rFonts w:hint="eastAsia" w:ascii="宋体" w:hAnsi="宋体" w:eastAsia="宋体" w:cs="宋体"/>
          <w:color w:val="auto"/>
          <w:kern w:val="0"/>
          <w:sz w:val="21"/>
          <w:szCs w:val="21"/>
          <w:highlight w:val="none"/>
        </w:rPr>
        <w:t>立即改正，并禁止在工程中继续使用不合格的材料和工程设备。</w:t>
      </w:r>
      <w:bookmarkEnd w:id="716"/>
    </w:p>
    <w:p w14:paraId="5BC180B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717" w:name="_Toc199322020"/>
      <w:bookmarkStart w:id="718" w:name="_Toc262675437"/>
      <w:r>
        <w:rPr>
          <w:rStyle w:val="75"/>
          <w:rFonts w:hint="eastAsia" w:ascii="宋体" w:hAnsi="宋体" w:eastAsia="宋体" w:cs="宋体"/>
          <w:color w:val="auto"/>
          <w:kern w:val="0"/>
          <w:sz w:val="21"/>
          <w:szCs w:val="21"/>
          <w:highlight w:val="none"/>
        </w:rPr>
        <w:t>5.4.3 发包人提供的材料或工程设备不符合合同要求的，承包人有权拒绝，并可要求发</w:t>
      </w:r>
      <w:bookmarkEnd w:id="717"/>
      <w:r>
        <w:rPr>
          <w:rStyle w:val="75"/>
          <w:rFonts w:hint="eastAsia" w:ascii="宋体" w:hAnsi="宋体" w:eastAsia="宋体" w:cs="宋体"/>
          <w:color w:val="auto"/>
          <w:kern w:val="0"/>
          <w:sz w:val="21"/>
          <w:szCs w:val="21"/>
          <w:highlight w:val="none"/>
        </w:rPr>
        <w:t>包人更换，由此增加的费用和(或)工期延误由发包人承担。</w:t>
      </w:r>
      <w:bookmarkEnd w:id="718"/>
    </w:p>
    <w:p w14:paraId="79383607">
      <w:pPr>
        <w:pStyle w:val="39"/>
        <w:autoSpaceDE w:val="0"/>
        <w:autoSpaceDN w:val="0"/>
        <w:adjustRightInd w:val="0"/>
        <w:spacing w:line="360" w:lineRule="exact"/>
        <w:ind w:left="0" w:leftChars="0" w:firstLine="422" w:firstLineChars="200"/>
        <w:jc w:val="left"/>
        <w:outlineLvl w:val="2"/>
        <w:rPr>
          <w:rStyle w:val="75"/>
          <w:rFonts w:hint="eastAsia" w:ascii="宋体" w:hAnsi="宋体" w:eastAsia="宋体" w:cs="宋体"/>
          <w:b/>
          <w:color w:val="auto"/>
          <w:kern w:val="0"/>
          <w:sz w:val="21"/>
          <w:szCs w:val="21"/>
          <w:highlight w:val="none"/>
        </w:rPr>
      </w:pPr>
      <w:bookmarkStart w:id="719" w:name="_Toc312946399"/>
      <w:bookmarkStart w:id="720" w:name="_Toc272432145"/>
      <w:bookmarkStart w:id="721" w:name="_Toc17765"/>
      <w:bookmarkStart w:id="722" w:name="_Toc274249475"/>
      <w:bookmarkStart w:id="723" w:name="_Toc199322021"/>
      <w:bookmarkStart w:id="724" w:name="_Toc260172740"/>
      <w:bookmarkStart w:id="725" w:name="_Toc262675438"/>
      <w:bookmarkStart w:id="726" w:name="_Toc229450804"/>
      <w:bookmarkStart w:id="727" w:name="_Toc294891938"/>
      <w:r>
        <w:rPr>
          <w:rStyle w:val="75"/>
          <w:rFonts w:hint="eastAsia" w:ascii="宋体" w:hAnsi="宋体" w:eastAsia="宋体" w:cs="宋体"/>
          <w:b/>
          <w:color w:val="auto"/>
          <w:kern w:val="0"/>
          <w:sz w:val="21"/>
          <w:szCs w:val="21"/>
          <w:highlight w:val="none"/>
        </w:rPr>
        <w:t>6. 施工设备和临时设施</w:t>
      </w:r>
      <w:bookmarkEnd w:id="719"/>
      <w:bookmarkEnd w:id="720"/>
      <w:bookmarkEnd w:id="721"/>
      <w:bookmarkEnd w:id="722"/>
      <w:bookmarkEnd w:id="723"/>
      <w:bookmarkEnd w:id="724"/>
      <w:bookmarkEnd w:id="725"/>
      <w:bookmarkEnd w:id="726"/>
      <w:bookmarkEnd w:id="727"/>
    </w:p>
    <w:p w14:paraId="359C8477">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728" w:name="_Toc260172741"/>
      <w:bookmarkStart w:id="729" w:name="_Toc274249476"/>
      <w:bookmarkStart w:id="730" w:name="_Toc229450805"/>
      <w:bookmarkStart w:id="731" w:name="_Toc272432146"/>
      <w:bookmarkStart w:id="732" w:name="_Toc5983"/>
      <w:bookmarkStart w:id="733" w:name="_Toc294891939"/>
      <w:bookmarkStart w:id="734" w:name="_Toc262675439"/>
      <w:bookmarkStart w:id="735" w:name="_Toc312946400"/>
      <w:r>
        <w:rPr>
          <w:rStyle w:val="75"/>
          <w:rFonts w:hint="eastAsia" w:ascii="宋体" w:hAnsi="宋体" w:eastAsia="宋体" w:cs="宋体"/>
          <w:b/>
          <w:color w:val="auto"/>
          <w:kern w:val="0"/>
          <w:sz w:val="21"/>
          <w:szCs w:val="21"/>
          <w:highlight w:val="none"/>
        </w:rPr>
        <w:t>6.1 承包人提供的施工设备和临时设施</w:t>
      </w:r>
      <w:bookmarkEnd w:id="728"/>
      <w:bookmarkEnd w:id="729"/>
      <w:bookmarkEnd w:id="730"/>
      <w:bookmarkEnd w:id="731"/>
      <w:bookmarkEnd w:id="732"/>
      <w:bookmarkEnd w:id="733"/>
      <w:bookmarkEnd w:id="734"/>
      <w:bookmarkEnd w:id="735"/>
    </w:p>
    <w:p w14:paraId="41B0516D">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6.1.1 承包人应按合同进度计划的要求，及时配置施工设备和修建临时设施。进入施工场地的承包人设备需经监理人核查后才能投入使用。承包人更换合同约定的承包人设备的，应报监理人批准。</w:t>
      </w:r>
    </w:p>
    <w:p w14:paraId="61F99F8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6.1.2 除专用合同条款另有约定外，承包人应自行承担修建临时设施的费用，需要临时占地的，应由承包人办理申请人手续并承担相应费用。</w:t>
      </w:r>
    </w:p>
    <w:p w14:paraId="410A66FF">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736" w:name="_Toc294891940"/>
      <w:bookmarkStart w:id="737" w:name="_Toc8975"/>
      <w:bookmarkStart w:id="738" w:name="_Toc229450806"/>
      <w:bookmarkStart w:id="739" w:name="_Toc274249477"/>
      <w:bookmarkStart w:id="740" w:name="_Toc260172742"/>
      <w:bookmarkStart w:id="741" w:name="_Toc272432147"/>
      <w:bookmarkStart w:id="742" w:name="_Toc262675440"/>
      <w:bookmarkStart w:id="743" w:name="_Toc312946401"/>
      <w:r>
        <w:rPr>
          <w:rStyle w:val="75"/>
          <w:rFonts w:hint="eastAsia" w:ascii="宋体" w:hAnsi="宋体" w:eastAsia="宋体" w:cs="宋体"/>
          <w:b/>
          <w:color w:val="auto"/>
          <w:kern w:val="0"/>
          <w:sz w:val="21"/>
          <w:szCs w:val="21"/>
          <w:highlight w:val="none"/>
        </w:rPr>
        <w:t>6.2 发包人提供的施工设备和临时设施</w:t>
      </w:r>
      <w:bookmarkEnd w:id="736"/>
      <w:bookmarkEnd w:id="737"/>
      <w:bookmarkEnd w:id="738"/>
      <w:bookmarkEnd w:id="739"/>
      <w:bookmarkEnd w:id="740"/>
      <w:bookmarkEnd w:id="741"/>
      <w:bookmarkEnd w:id="742"/>
      <w:bookmarkEnd w:id="743"/>
    </w:p>
    <w:p w14:paraId="7408A2EE">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发包人提供的施工设备或临时设施在专用合同条款中约定。</w:t>
      </w:r>
    </w:p>
    <w:p w14:paraId="253BBB46">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744" w:name="_Toc294891941"/>
      <w:bookmarkStart w:id="745" w:name="_Toc312946402"/>
      <w:bookmarkStart w:id="746" w:name="_Toc260172743"/>
      <w:bookmarkStart w:id="747" w:name="_Toc262675441"/>
      <w:bookmarkStart w:id="748" w:name="_Toc8726"/>
      <w:bookmarkStart w:id="749" w:name="_Toc274249478"/>
      <w:bookmarkStart w:id="750" w:name="_Toc229450807"/>
      <w:bookmarkStart w:id="751" w:name="_Toc272432148"/>
      <w:r>
        <w:rPr>
          <w:rStyle w:val="75"/>
          <w:rFonts w:hint="eastAsia" w:ascii="宋体" w:hAnsi="宋体" w:eastAsia="宋体" w:cs="宋体"/>
          <w:b/>
          <w:color w:val="auto"/>
          <w:kern w:val="0"/>
          <w:sz w:val="21"/>
          <w:szCs w:val="21"/>
          <w:highlight w:val="none"/>
        </w:rPr>
        <w:t>6.3 要求承包人增加或更换施工设备</w:t>
      </w:r>
      <w:bookmarkEnd w:id="744"/>
      <w:bookmarkEnd w:id="745"/>
      <w:bookmarkEnd w:id="746"/>
      <w:bookmarkEnd w:id="747"/>
      <w:bookmarkEnd w:id="748"/>
      <w:bookmarkEnd w:id="749"/>
      <w:bookmarkEnd w:id="750"/>
      <w:bookmarkEnd w:id="751"/>
    </w:p>
    <w:p w14:paraId="7A696F3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承包人使用的施工设备不能满足合同进度计划和(或)质量要求时，监理人有权要求承包人增加或更换施工设备，承包人应及时增加或更换，由此增加的费用和(或)工期延误由承包人承担。</w:t>
      </w:r>
    </w:p>
    <w:p w14:paraId="7F7106D6">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752" w:name="_Toc312946403"/>
      <w:bookmarkStart w:id="753" w:name="_Toc274249479"/>
      <w:bookmarkStart w:id="754" w:name="_Toc262675442"/>
      <w:bookmarkStart w:id="755" w:name="_Toc294891942"/>
      <w:bookmarkStart w:id="756" w:name="_Toc229450808"/>
      <w:bookmarkStart w:id="757" w:name="_Toc272432149"/>
      <w:bookmarkStart w:id="758" w:name="_Toc2535"/>
      <w:bookmarkStart w:id="759" w:name="_Toc260172744"/>
      <w:r>
        <w:rPr>
          <w:rStyle w:val="75"/>
          <w:rFonts w:hint="eastAsia" w:ascii="宋体" w:hAnsi="宋体" w:eastAsia="宋体" w:cs="宋体"/>
          <w:b/>
          <w:color w:val="auto"/>
          <w:kern w:val="0"/>
          <w:sz w:val="21"/>
          <w:szCs w:val="21"/>
          <w:highlight w:val="none"/>
        </w:rPr>
        <w:t>6.4 施工设备和临时设施专用于合同工程</w:t>
      </w:r>
      <w:bookmarkEnd w:id="752"/>
      <w:bookmarkEnd w:id="753"/>
      <w:bookmarkEnd w:id="754"/>
      <w:bookmarkEnd w:id="755"/>
      <w:bookmarkEnd w:id="756"/>
      <w:bookmarkEnd w:id="757"/>
      <w:bookmarkEnd w:id="758"/>
      <w:bookmarkEnd w:id="759"/>
    </w:p>
    <w:p w14:paraId="667820A7">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6.4.1 除合同另有约定外，运入施工场地的所有施工设备以及在施工场地建设的临时设施应专用于合同工程。未经监理人同意，不得将上述施工设备和临时设施中的任何部分运出施工场地或挪作他用。</w:t>
      </w:r>
    </w:p>
    <w:p w14:paraId="10A774A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6.4.2 经监理人同意，承包人可根据合同进度计划撤走闲置的施工设备。</w:t>
      </w:r>
    </w:p>
    <w:p w14:paraId="3EB25071">
      <w:pPr>
        <w:pStyle w:val="38"/>
        <w:spacing w:line="360" w:lineRule="exact"/>
        <w:ind w:left="0" w:leftChars="0" w:firstLine="420" w:firstLineChars="200"/>
        <w:jc w:val="left"/>
        <w:outlineLvl w:val="2"/>
        <w:rPr>
          <w:rStyle w:val="75"/>
          <w:rFonts w:hint="eastAsia" w:ascii="宋体" w:hAnsi="宋体" w:eastAsia="宋体" w:cs="宋体"/>
          <w:color w:val="auto"/>
          <w:kern w:val="0"/>
          <w:sz w:val="21"/>
          <w:szCs w:val="21"/>
          <w:highlight w:val="none"/>
        </w:rPr>
      </w:pPr>
      <w:bookmarkStart w:id="760" w:name="_Toc199322022"/>
      <w:bookmarkStart w:id="761" w:name="_Toc260172745"/>
      <w:bookmarkStart w:id="762" w:name="_Toc229450809"/>
      <w:bookmarkStart w:id="763" w:name="_Toc262675443"/>
      <w:bookmarkStart w:id="764" w:name="_Toc272432150"/>
      <w:bookmarkStart w:id="765" w:name="_Toc274249480"/>
      <w:bookmarkStart w:id="766" w:name="_Toc567"/>
      <w:bookmarkStart w:id="767" w:name="_Toc294891943"/>
      <w:r>
        <w:rPr>
          <w:rStyle w:val="75"/>
          <w:rFonts w:hint="eastAsia" w:ascii="宋体" w:hAnsi="宋体" w:eastAsia="宋体" w:cs="宋体"/>
          <w:color w:val="auto"/>
          <w:kern w:val="0"/>
          <w:sz w:val="21"/>
          <w:szCs w:val="21"/>
          <w:highlight w:val="none"/>
        </w:rPr>
        <w:t>7. 交通运输</w:t>
      </w:r>
      <w:bookmarkEnd w:id="760"/>
      <w:bookmarkEnd w:id="761"/>
      <w:bookmarkEnd w:id="762"/>
      <w:bookmarkEnd w:id="763"/>
      <w:bookmarkEnd w:id="764"/>
      <w:bookmarkEnd w:id="765"/>
      <w:bookmarkEnd w:id="766"/>
      <w:bookmarkEnd w:id="767"/>
    </w:p>
    <w:p w14:paraId="7131E355">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768" w:name="_Toc274249481"/>
      <w:bookmarkStart w:id="769" w:name="_Toc312946404"/>
      <w:bookmarkStart w:id="770" w:name="_Toc294891944"/>
      <w:bookmarkStart w:id="771" w:name="_Toc11953"/>
      <w:bookmarkStart w:id="772" w:name="_Toc260172746"/>
      <w:bookmarkStart w:id="773" w:name="_Toc229450810"/>
      <w:bookmarkStart w:id="774" w:name="_Toc272432151"/>
      <w:bookmarkStart w:id="775" w:name="_Toc262675444"/>
      <w:r>
        <w:rPr>
          <w:rStyle w:val="75"/>
          <w:rFonts w:hint="eastAsia" w:ascii="宋体" w:hAnsi="宋体" w:eastAsia="宋体" w:cs="宋体"/>
          <w:b/>
          <w:color w:val="auto"/>
          <w:kern w:val="0"/>
          <w:sz w:val="21"/>
          <w:szCs w:val="21"/>
          <w:highlight w:val="none"/>
        </w:rPr>
        <w:t>7.1 道路通行权和场外设施</w:t>
      </w:r>
      <w:bookmarkEnd w:id="768"/>
      <w:bookmarkEnd w:id="769"/>
      <w:bookmarkEnd w:id="770"/>
      <w:bookmarkEnd w:id="771"/>
      <w:bookmarkEnd w:id="772"/>
      <w:bookmarkEnd w:id="773"/>
      <w:bookmarkEnd w:id="774"/>
      <w:bookmarkEnd w:id="775"/>
    </w:p>
    <w:p w14:paraId="081181D4">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除专用合同条款另有约定外，承包人应根据合同工程的施工需要，负责办理取得出入施工场地的专用和临时道路的通行权，以及取得为工程建设所需修建场外设施的权利，并承担有关费用。发包人应协助承包人办理上述手续。</w:t>
      </w:r>
    </w:p>
    <w:p w14:paraId="30996236">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776" w:name="_Toc294891945"/>
      <w:bookmarkStart w:id="777" w:name="_Toc15088"/>
      <w:bookmarkStart w:id="778" w:name="_Toc272432152"/>
      <w:bookmarkStart w:id="779" w:name="_Toc229450811"/>
      <w:bookmarkStart w:id="780" w:name="_Toc260172747"/>
      <w:bookmarkStart w:id="781" w:name="_Toc262675445"/>
      <w:bookmarkStart w:id="782" w:name="_Toc274249482"/>
      <w:bookmarkStart w:id="783" w:name="_Toc312946405"/>
      <w:r>
        <w:rPr>
          <w:rStyle w:val="75"/>
          <w:rFonts w:hint="eastAsia" w:ascii="宋体" w:hAnsi="宋体" w:eastAsia="宋体" w:cs="宋体"/>
          <w:b/>
          <w:color w:val="auto"/>
          <w:kern w:val="0"/>
          <w:sz w:val="21"/>
          <w:szCs w:val="21"/>
          <w:highlight w:val="none"/>
        </w:rPr>
        <w:t>7.2 场内施工道路</w:t>
      </w:r>
      <w:bookmarkEnd w:id="776"/>
      <w:bookmarkEnd w:id="777"/>
      <w:bookmarkEnd w:id="778"/>
      <w:bookmarkEnd w:id="779"/>
      <w:bookmarkEnd w:id="780"/>
      <w:bookmarkEnd w:id="781"/>
      <w:bookmarkEnd w:id="782"/>
      <w:bookmarkEnd w:id="783"/>
    </w:p>
    <w:p w14:paraId="39FDCE18">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7.2.1 除本合同约定由发包人提供的部分道路和交通设施外，承包人应负责修建、维修、养护和管理施工所需的全部临时道路和交通设施（包括合同约定由发包人提供的部分道路和交通设施的维修、养护和管理），并承担相应费用。</w:t>
      </w:r>
    </w:p>
    <w:p w14:paraId="56EE2655">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7.2.2 承包人修建的临时道路和交通设施，应免费提供发包人、监理人以及本合同有关的其他承包人使用。</w:t>
      </w:r>
    </w:p>
    <w:p w14:paraId="6049872E">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784" w:name="_Toc274249483"/>
      <w:bookmarkStart w:id="785" w:name="_Toc260172748"/>
      <w:bookmarkStart w:id="786" w:name="_Toc262675446"/>
      <w:bookmarkStart w:id="787" w:name="_Toc229450812"/>
      <w:bookmarkStart w:id="788" w:name="_Toc11102"/>
      <w:bookmarkStart w:id="789" w:name="_Toc312946406"/>
      <w:bookmarkStart w:id="790" w:name="_Toc294891946"/>
      <w:bookmarkStart w:id="791" w:name="_Toc272432153"/>
      <w:r>
        <w:rPr>
          <w:rStyle w:val="75"/>
          <w:rFonts w:hint="eastAsia" w:ascii="宋体" w:hAnsi="宋体" w:eastAsia="宋体" w:cs="宋体"/>
          <w:b/>
          <w:color w:val="auto"/>
          <w:kern w:val="0"/>
          <w:sz w:val="21"/>
          <w:szCs w:val="21"/>
          <w:highlight w:val="none"/>
        </w:rPr>
        <w:t>7.3 场外交通</w:t>
      </w:r>
      <w:bookmarkEnd w:id="784"/>
      <w:bookmarkEnd w:id="785"/>
      <w:bookmarkEnd w:id="786"/>
      <w:bookmarkEnd w:id="787"/>
      <w:bookmarkEnd w:id="788"/>
      <w:bookmarkEnd w:id="789"/>
      <w:bookmarkEnd w:id="790"/>
      <w:bookmarkEnd w:id="791"/>
    </w:p>
    <w:p w14:paraId="1415E14D">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7.3.1 承包人车辆外出行驶所需的场外公共道路的通行费、养路费和税款等由承包人承担。</w:t>
      </w:r>
    </w:p>
    <w:p w14:paraId="6A4F06B0">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7.3.2 承包人应遵守有关交通法规，严格按照道路和桥梁的限制荷重安全行驶，并服从交通管理部门的检查和监督。</w:t>
      </w:r>
    </w:p>
    <w:p w14:paraId="5743BFC8">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792" w:name="_Toc260172749"/>
      <w:bookmarkStart w:id="793" w:name="_Toc31752"/>
      <w:bookmarkStart w:id="794" w:name="_Toc272432154"/>
      <w:bookmarkStart w:id="795" w:name="_Toc229450813"/>
      <w:bookmarkStart w:id="796" w:name="_Toc262675447"/>
      <w:bookmarkStart w:id="797" w:name="_Toc294891947"/>
      <w:bookmarkStart w:id="798" w:name="_Toc312946407"/>
      <w:bookmarkStart w:id="799" w:name="_Toc274249484"/>
      <w:r>
        <w:rPr>
          <w:rStyle w:val="75"/>
          <w:rFonts w:hint="eastAsia" w:ascii="宋体" w:hAnsi="宋体" w:eastAsia="宋体" w:cs="宋体"/>
          <w:b/>
          <w:color w:val="auto"/>
          <w:kern w:val="0"/>
          <w:sz w:val="21"/>
          <w:szCs w:val="21"/>
          <w:highlight w:val="none"/>
        </w:rPr>
        <w:t>7.4 超大件和超重件的运输</w:t>
      </w:r>
      <w:bookmarkEnd w:id="792"/>
      <w:bookmarkEnd w:id="793"/>
      <w:bookmarkEnd w:id="794"/>
      <w:bookmarkEnd w:id="795"/>
      <w:bookmarkEnd w:id="796"/>
      <w:bookmarkEnd w:id="797"/>
      <w:bookmarkEnd w:id="798"/>
      <w:bookmarkEnd w:id="799"/>
    </w:p>
    <w:p w14:paraId="36BABEFC">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4F37B34E">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800" w:name="_Toc260172750"/>
      <w:bookmarkStart w:id="801" w:name="_Toc274249485"/>
      <w:bookmarkStart w:id="802" w:name="_Toc294891948"/>
      <w:bookmarkStart w:id="803" w:name="_Toc262675448"/>
      <w:bookmarkStart w:id="804" w:name="_Toc272432155"/>
      <w:bookmarkStart w:id="805" w:name="_Toc16352"/>
      <w:bookmarkStart w:id="806" w:name="_Toc312946408"/>
      <w:bookmarkStart w:id="807" w:name="_Toc229450814"/>
      <w:r>
        <w:rPr>
          <w:rStyle w:val="75"/>
          <w:rFonts w:hint="eastAsia" w:ascii="宋体" w:hAnsi="宋体" w:eastAsia="宋体" w:cs="宋体"/>
          <w:b/>
          <w:color w:val="auto"/>
          <w:kern w:val="0"/>
          <w:sz w:val="21"/>
          <w:szCs w:val="21"/>
          <w:highlight w:val="none"/>
        </w:rPr>
        <w:t>7.5 道路和桥梁的损坏责任</w:t>
      </w:r>
      <w:bookmarkEnd w:id="800"/>
      <w:bookmarkEnd w:id="801"/>
      <w:bookmarkEnd w:id="802"/>
      <w:bookmarkEnd w:id="803"/>
      <w:bookmarkEnd w:id="804"/>
      <w:bookmarkEnd w:id="805"/>
      <w:bookmarkEnd w:id="806"/>
      <w:bookmarkEnd w:id="807"/>
    </w:p>
    <w:p w14:paraId="48088A02">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因承包人运输造成施工场地内外公共道路和桥梁损坏的，由承包人承担修复损坏的全部费用和可能引起的赔偿。</w:t>
      </w:r>
    </w:p>
    <w:p w14:paraId="0FFC4B1A">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808" w:name="_Toc260172751"/>
      <w:bookmarkStart w:id="809" w:name="_Toc312946409"/>
      <w:bookmarkStart w:id="810" w:name="_Toc229450815"/>
      <w:bookmarkStart w:id="811" w:name="_Toc262675449"/>
      <w:bookmarkStart w:id="812" w:name="_Toc16324"/>
      <w:bookmarkStart w:id="813" w:name="_Toc272432156"/>
      <w:bookmarkStart w:id="814" w:name="_Toc294891949"/>
      <w:bookmarkStart w:id="815" w:name="_Toc274249486"/>
      <w:r>
        <w:rPr>
          <w:rStyle w:val="75"/>
          <w:rFonts w:hint="eastAsia" w:ascii="宋体" w:hAnsi="宋体" w:eastAsia="宋体" w:cs="宋体"/>
          <w:b/>
          <w:color w:val="auto"/>
          <w:kern w:val="0"/>
          <w:sz w:val="21"/>
          <w:szCs w:val="21"/>
          <w:highlight w:val="none"/>
        </w:rPr>
        <w:t>7.6 水路和航空运输</w:t>
      </w:r>
      <w:bookmarkEnd w:id="808"/>
      <w:bookmarkEnd w:id="809"/>
      <w:bookmarkEnd w:id="810"/>
      <w:bookmarkEnd w:id="811"/>
      <w:bookmarkEnd w:id="812"/>
      <w:bookmarkEnd w:id="813"/>
      <w:bookmarkEnd w:id="814"/>
      <w:bookmarkEnd w:id="815"/>
    </w:p>
    <w:p w14:paraId="35191329">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本条上述各款的内容适用于水路运输和航空运输，其中"道路"一词的涵义包括河道、航线、船闸、机场、码头、堤防以及水路或航空运输中其他相似结构物;"车辆"一词的涵义包括船舶和飞机等。</w:t>
      </w:r>
    </w:p>
    <w:p w14:paraId="372E166C">
      <w:pPr>
        <w:pStyle w:val="39"/>
        <w:autoSpaceDE w:val="0"/>
        <w:autoSpaceDN w:val="0"/>
        <w:adjustRightInd w:val="0"/>
        <w:spacing w:line="360" w:lineRule="exact"/>
        <w:ind w:left="0" w:leftChars="0" w:firstLine="422" w:firstLineChars="200"/>
        <w:jc w:val="left"/>
        <w:outlineLvl w:val="2"/>
        <w:rPr>
          <w:rStyle w:val="75"/>
          <w:rFonts w:hint="eastAsia" w:ascii="宋体" w:hAnsi="宋体" w:eastAsia="宋体" w:cs="宋体"/>
          <w:b/>
          <w:color w:val="auto"/>
          <w:kern w:val="0"/>
          <w:sz w:val="21"/>
          <w:szCs w:val="21"/>
          <w:highlight w:val="none"/>
        </w:rPr>
      </w:pPr>
      <w:bookmarkStart w:id="816" w:name="_Toc312946410"/>
      <w:bookmarkStart w:id="817" w:name="_Toc262675450"/>
      <w:bookmarkStart w:id="818" w:name="_Toc199322023"/>
      <w:bookmarkStart w:id="819" w:name="_Toc272432157"/>
      <w:bookmarkStart w:id="820" w:name="_Toc229450816"/>
      <w:bookmarkStart w:id="821" w:name="_Toc260172752"/>
      <w:bookmarkStart w:id="822" w:name="_Toc294891950"/>
      <w:bookmarkStart w:id="823" w:name="_Toc274249487"/>
      <w:bookmarkStart w:id="824" w:name="_Toc22273"/>
      <w:r>
        <w:rPr>
          <w:rStyle w:val="75"/>
          <w:rFonts w:hint="eastAsia" w:ascii="宋体" w:hAnsi="宋体" w:eastAsia="宋体" w:cs="宋体"/>
          <w:b/>
          <w:color w:val="auto"/>
          <w:kern w:val="0"/>
          <w:sz w:val="21"/>
          <w:szCs w:val="21"/>
          <w:highlight w:val="none"/>
        </w:rPr>
        <w:t>8. 测量放线</w:t>
      </w:r>
      <w:bookmarkEnd w:id="816"/>
      <w:bookmarkEnd w:id="817"/>
      <w:bookmarkEnd w:id="818"/>
      <w:bookmarkEnd w:id="819"/>
      <w:bookmarkEnd w:id="820"/>
      <w:bookmarkEnd w:id="821"/>
      <w:bookmarkEnd w:id="822"/>
      <w:bookmarkEnd w:id="823"/>
      <w:bookmarkEnd w:id="824"/>
    </w:p>
    <w:p w14:paraId="77176DD1">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825" w:name="_Toc260172753"/>
      <w:bookmarkStart w:id="826" w:name="_Toc229450817"/>
      <w:bookmarkStart w:id="827" w:name="_Toc272432158"/>
      <w:bookmarkStart w:id="828" w:name="_Toc312946411"/>
      <w:bookmarkStart w:id="829" w:name="_Toc294891951"/>
      <w:bookmarkStart w:id="830" w:name="_Toc262675451"/>
      <w:bookmarkStart w:id="831" w:name="_Toc274249488"/>
      <w:bookmarkStart w:id="832" w:name="_Toc199322024"/>
      <w:bookmarkStart w:id="833" w:name="_Toc8444"/>
      <w:r>
        <w:rPr>
          <w:rStyle w:val="75"/>
          <w:rFonts w:hint="eastAsia" w:ascii="宋体" w:hAnsi="宋体" w:eastAsia="宋体" w:cs="宋体"/>
          <w:b/>
          <w:color w:val="auto"/>
          <w:kern w:val="0"/>
          <w:sz w:val="21"/>
          <w:szCs w:val="21"/>
          <w:highlight w:val="none"/>
        </w:rPr>
        <w:t>8.1 施工控制网</w:t>
      </w:r>
      <w:bookmarkEnd w:id="825"/>
      <w:bookmarkEnd w:id="826"/>
      <w:bookmarkEnd w:id="827"/>
      <w:bookmarkEnd w:id="828"/>
      <w:bookmarkEnd w:id="829"/>
      <w:bookmarkEnd w:id="830"/>
      <w:bookmarkEnd w:id="831"/>
      <w:bookmarkEnd w:id="832"/>
      <w:bookmarkEnd w:id="833"/>
    </w:p>
    <w:p w14:paraId="74D575C4">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8.1.1 除专用合同条款另有约定外，施工控制网由承包人负责测设，发包人应在本合同协议书签订后14天内，向承包人提供测量基准点、基准线和水准点及其相关资料。承包人应在收到上述资料后的28天内，将施测的施工控制网资料提交监理人审批。监理人应在收到报批后的14天内批复承包人。</w:t>
      </w:r>
    </w:p>
    <w:p w14:paraId="7A598201">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8.1.2 承包人应负责管理施工控制网点。施工控制网点丢失或损坏的，承包人应及时修复。承包人应承担施工控制网点的管理与修复费用，并在工程竣工后将施工控制网点移交发包人。</w:t>
      </w:r>
    </w:p>
    <w:p w14:paraId="2C3772DF">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834" w:name="_Toc260172754"/>
      <w:bookmarkStart w:id="835" w:name="_Toc199322025"/>
      <w:bookmarkStart w:id="836" w:name="_Toc274249489"/>
      <w:bookmarkStart w:id="837" w:name="_Toc22183"/>
      <w:bookmarkStart w:id="838" w:name="_Toc312946412"/>
      <w:bookmarkStart w:id="839" w:name="_Toc262675452"/>
      <w:bookmarkStart w:id="840" w:name="_Toc294891952"/>
      <w:bookmarkStart w:id="841" w:name="_Toc229450818"/>
      <w:bookmarkStart w:id="842" w:name="_Toc272432159"/>
      <w:r>
        <w:rPr>
          <w:rStyle w:val="75"/>
          <w:rFonts w:hint="eastAsia" w:ascii="宋体" w:hAnsi="宋体" w:eastAsia="宋体" w:cs="宋体"/>
          <w:b/>
          <w:color w:val="auto"/>
          <w:kern w:val="0"/>
          <w:sz w:val="21"/>
          <w:szCs w:val="21"/>
          <w:highlight w:val="none"/>
        </w:rPr>
        <w:t>8.2 施工测量</w:t>
      </w:r>
      <w:bookmarkEnd w:id="834"/>
      <w:bookmarkEnd w:id="835"/>
      <w:bookmarkEnd w:id="836"/>
      <w:bookmarkEnd w:id="837"/>
      <w:bookmarkEnd w:id="838"/>
      <w:bookmarkEnd w:id="839"/>
      <w:bookmarkEnd w:id="840"/>
      <w:bookmarkEnd w:id="841"/>
      <w:bookmarkEnd w:id="842"/>
    </w:p>
    <w:p w14:paraId="35908BCC">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8.2.1 承包人应负责施工过程中的全部施工测量放线工作，并配置合格的人员、仪器、设备和其他物品。</w:t>
      </w:r>
    </w:p>
    <w:p w14:paraId="239D48F8">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8.2.2 监理人可以指示承包人进行抽样复测，当复测中发现错误或出现超过合同约定的误差时，承包人应按监理人指示进行修正或补测，并承担相应的复测费用。</w:t>
      </w:r>
    </w:p>
    <w:p w14:paraId="5A9197A1">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843" w:name="_Toc272432160"/>
      <w:bookmarkStart w:id="844" w:name="_Toc199322026"/>
      <w:bookmarkStart w:id="845" w:name="_Toc29375"/>
      <w:bookmarkStart w:id="846" w:name="_Toc274249490"/>
      <w:bookmarkStart w:id="847" w:name="_Toc229450819"/>
      <w:bookmarkStart w:id="848" w:name="_Toc294891953"/>
      <w:bookmarkStart w:id="849" w:name="_Toc262675453"/>
      <w:bookmarkStart w:id="850" w:name="_Toc312946413"/>
      <w:bookmarkStart w:id="851" w:name="_Toc260172755"/>
      <w:r>
        <w:rPr>
          <w:rStyle w:val="75"/>
          <w:rFonts w:hint="eastAsia" w:ascii="宋体" w:hAnsi="宋体" w:eastAsia="宋体" w:cs="宋体"/>
          <w:b/>
          <w:color w:val="auto"/>
          <w:kern w:val="0"/>
          <w:sz w:val="21"/>
          <w:szCs w:val="21"/>
          <w:highlight w:val="none"/>
        </w:rPr>
        <w:t>8.3 基准资料错误的责任</w:t>
      </w:r>
      <w:bookmarkEnd w:id="843"/>
      <w:bookmarkEnd w:id="844"/>
      <w:bookmarkEnd w:id="845"/>
      <w:bookmarkEnd w:id="846"/>
      <w:bookmarkEnd w:id="847"/>
      <w:bookmarkEnd w:id="848"/>
      <w:bookmarkEnd w:id="849"/>
      <w:bookmarkEnd w:id="850"/>
      <w:bookmarkEnd w:id="851"/>
    </w:p>
    <w:p w14:paraId="0FE94D4B">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78EBD4CB">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852" w:name="_Toc272432161"/>
      <w:bookmarkStart w:id="853" w:name="_Toc274249491"/>
      <w:bookmarkStart w:id="854" w:name="_Toc294891954"/>
      <w:bookmarkStart w:id="855" w:name="_Toc262675454"/>
      <w:bookmarkStart w:id="856" w:name="_Toc260172756"/>
      <w:bookmarkStart w:id="857" w:name="_Toc16223"/>
      <w:bookmarkStart w:id="858" w:name="_Toc312946414"/>
      <w:r>
        <w:rPr>
          <w:rStyle w:val="75"/>
          <w:rFonts w:hint="eastAsia" w:ascii="宋体" w:hAnsi="宋体" w:eastAsia="宋体" w:cs="宋体"/>
          <w:b/>
          <w:color w:val="auto"/>
          <w:kern w:val="0"/>
          <w:sz w:val="21"/>
          <w:szCs w:val="21"/>
          <w:highlight w:val="none"/>
        </w:rPr>
        <w:t>8.4监理人使用施工控制网</w:t>
      </w:r>
      <w:bookmarkEnd w:id="852"/>
      <w:bookmarkEnd w:id="853"/>
      <w:bookmarkEnd w:id="854"/>
      <w:bookmarkEnd w:id="855"/>
      <w:bookmarkEnd w:id="856"/>
      <w:bookmarkEnd w:id="857"/>
      <w:bookmarkEnd w:id="858"/>
    </w:p>
    <w:p w14:paraId="69F1E544">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监理人需要使用施工控制网的，承包人应提供必要的协助，发包人不再为此支付费用。</w:t>
      </w:r>
    </w:p>
    <w:p w14:paraId="6DF3F9E5">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859" w:name="_Toc312946415"/>
      <w:bookmarkStart w:id="860" w:name="_Toc274249492"/>
      <w:bookmarkStart w:id="861" w:name="_Toc262675455"/>
      <w:bookmarkStart w:id="862" w:name="_Toc272432162"/>
      <w:bookmarkStart w:id="863" w:name="_Toc11832"/>
      <w:bookmarkStart w:id="864" w:name="_Toc260172757"/>
      <w:bookmarkStart w:id="865" w:name="_Toc294891955"/>
      <w:r>
        <w:rPr>
          <w:rStyle w:val="75"/>
          <w:rFonts w:hint="eastAsia" w:ascii="宋体" w:hAnsi="宋体" w:eastAsia="宋体" w:cs="宋体"/>
          <w:b/>
          <w:color w:val="auto"/>
          <w:kern w:val="0"/>
          <w:sz w:val="21"/>
          <w:szCs w:val="21"/>
          <w:highlight w:val="none"/>
        </w:rPr>
        <w:t>8.5 补充地质勘探</w:t>
      </w:r>
      <w:bookmarkEnd w:id="859"/>
      <w:bookmarkEnd w:id="860"/>
      <w:bookmarkEnd w:id="861"/>
      <w:bookmarkEnd w:id="862"/>
      <w:bookmarkEnd w:id="863"/>
      <w:bookmarkEnd w:id="864"/>
      <w:bookmarkEnd w:id="865"/>
    </w:p>
    <w:p w14:paraId="4E05C987">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p>
    <w:p w14:paraId="08F7CFC7">
      <w:pPr>
        <w:pStyle w:val="39"/>
        <w:autoSpaceDE w:val="0"/>
        <w:autoSpaceDN w:val="0"/>
        <w:adjustRightInd w:val="0"/>
        <w:spacing w:line="360" w:lineRule="exact"/>
        <w:ind w:left="0" w:leftChars="0" w:firstLine="422" w:firstLineChars="200"/>
        <w:jc w:val="left"/>
        <w:outlineLvl w:val="2"/>
        <w:rPr>
          <w:rStyle w:val="75"/>
          <w:rFonts w:hint="eastAsia" w:ascii="宋体" w:hAnsi="宋体" w:eastAsia="宋体" w:cs="宋体"/>
          <w:b/>
          <w:color w:val="auto"/>
          <w:kern w:val="0"/>
          <w:sz w:val="21"/>
          <w:szCs w:val="21"/>
          <w:highlight w:val="none"/>
        </w:rPr>
      </w:pPr>
      <w:bookmarkStart w:id="866" w:name="_Toc272432163"/>
      <w:bookmarkStart w:id="867" w:name="_Toc32046"/>
      <w:bookmarkStart w:id="868" w:name="_Toc260172758"/>
      <w:bookmarkStart w:id="869" w:name="_Toc294891956"/>
      <w:bookmarkStart w:id="870" w:name="_Toc312946416"/>
      <w:bookmarkStart w:id="871" w:name="_Toc229450820"/>
      <w:bookmarkStart w:id="872" w:name="_Toc274249493"/>
      <w:bookmarkStart w:id="873" w:name="_Toc262675456"/>
      <w:r>
        <w:rPr>
          <w:rStyle w:val="75"/>
          <w:rFonts w:hint="eastAsia" w:ascii="宋体" w:hAnsi="宋体" w:eastAsia="宋体" w:cs="宋体"/>
          <w:b/>
          <w:color w:val="auto"/>
          <w:kern w:val="0"/>
          <w:sz w:val="21"/>
          <w:szCs w:val="21"/>
          <w:highlight w:val="none"/>
        </w:rPr>
        <w:t>9. 施工安全、治安保卫和环境保护</w:t>
      </w:r>
      <w:bookmarkEnd w:id="866"/>
      <w:bookmarkEnd w:id="867"/>
      <w:bookmarkEnd w:id="868"/>
      <w:bookmarkEnd w:id="869"/>
      <w:bookmarkEnd w:id="870"/>
      <w:bookmarkEnd w:id="871"/>
      <w:bookmarkEnd w:id="872"/>
      <w:bookmarkEnd w:id="873"/>
    </w:p>
    <w:p w14:paraId="0ECEE104">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874" w:name="_Toc229450821"/>
      <w:bookmarkStart w:id="875" w:name="_Toc199322027"/>
      <w:bookmarkStart w:id="876" w:name="_Toc260172759"/>
      <w:bookmarkStart w:id="877" w:name="_Toc274249494"/>
      <w:bookmarkStart w:id="878" w:name="_Toc262675457"/>
      <w:bookmarkStart w:id="879" w:name="_Toc294891957"/>
      <w:bookmarkStart w:id="880" w:name="_Toc12475"/>
      <w:bookmarkStart w:id="881" w:name="_Toc272432164"/>
      <w:bookmarkStart w:id="882" w:name="_Toc312946417"/>
      <w:r>
        <w:rPr>
          <w:rStyle w:val="75"/>
          <w:rFonts w:hint="eastAsia" w:ascii="宋体" w:hAnsi="宋体" w:eastAsia="宋体" w:cs="宋体"/>
          <w:b/>
          <w:color w:val="auto"/>
          <w:kern w:val="0"/>
          <w:sz w:val="21"/>
          <w:szCs w:val="21"/>
          <w:highlight w:val="none"/>
        </w:rPr>
        <w:t>9.1 发包人的施工安全责任</w:t>
      </w:r>
      <w:bookmarkEnd w:id="874"/>
      <w:bookmarkEnd w:id="875"/>
      <w:bookmarkEnd w:id="876"/>
      <w:bookmarkEnd w:id="877"/>
      <w:bookmarkEnd w:id="878"/>
      <w:bookmarkEnd w:id="879"/>
      <w:bookmarkEnd w:id="880"/>
      <w:bookmarkEnd w:id="881"/>
      <w:bookmarkEnd w:id="882"/>
    </w:p>
    <w:p w14:paraId="21C122F8">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9.1.1 发包人应按合同约定履行安全职责。发包人委托监理人根据国家有关安全的法律、法规、强制性标准及部门规章，对承包人的安全责任履行情况进行监督和检查。监理人的监督检查不减轻承包人应负的安全责任。</w:t>
      </w:r>
    </w:p>
    <w:p w14:paraId="19AC216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9.1.2 发包人应对其现场机构雇佣的全部人员的工伤事故承担责任，但由于承包人原因造成发包人人员工伤的，应由承包人承担责任。</w:t>
      </w:r>
    </w:p>
    <w:p w14:paraId="27831F9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9.1.3 发包人应负责赔偿以下各种情况造成的第三者人身伤亡和财产损失：</w:t>
      </w:r>
    </w:p>
    <w:p w14:paraId="3691110D">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工程或工程的任何部分对土地的占用所造成的第三者财产损失；</w:t>
      </w:r>
    </w:p>
    <w:p w14:paraId="67816A8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由于发包人原因在施工场地及其毗邻地带造成的第三者人身伤亡和财产损失。</w:t>
      </w:r>
    </w:p>
    <w:p w14:paraId="47D723DC">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9.1.4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p>
    <w:p w14:paraId="285C378E">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9.1.5 发包人按照已标价工程量清单所列金额和合同约定的计量支付规定，支付安全作业环境及安全施工措施所需费用。</w:t>
      </w:r>
    </w:p>
    <w:p w14:paraId="4DA07FB6">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9.1.6 发包人负责组织工程参建单位编制保证安全生产的措施方案。工程开工前，就落实保证安全生产的措施进行全面系统的布置，进一步明确承包人的安全生产责任。</w:t>
      </w:r>
    </w:p>
    <w:p w14:paraId="7F347555">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9.1.7 发包人负责在拆除工程和爆破工程施工14天前向有关部门或机构报送相关备案资料。</w:t>
      </w:r>
    </w:p>
    <w:p w14:paraId="685F7034">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883" w:name="_Toc7156"/>
      <w:bookmarkStart w:id="884" w:name="_Toc199322028"/>
      <w:bookmarkStart w:id="885" w:name="_Toc312946418"/>
      <w:bookmarkStart w:id="886" w:name="_Toc294891958"/>
      <w:bookmarkStart w:id="887" w:name="_Toc260172760"/>
      <w:bookmarkStart w:id="888" w:name="_Toc262675458"/>
      <w:bookmarkStart w:id="889" w:name="_Toc274249495"/>
      <w:bookmarkStart w:id="890" w:name="_Toc272432165"/>
      <w:bookmarkStart w:id="891" w:name="_Toc229450822"/>
      <w:r>
        <w:rPr>
          <w:rStyle w:val="75"/>
          <w:rFonts w:hint="eastAsia" w:ascii="宋体" w:hAnsi="宋体" w:eastAsia="宋体" w:cs="宋体"/>
          <w:b/>
          <w:color w:val="auto"/>
          <w:kern w:val="0"/>
          <w:sz w:val="21"/>
          <w:szCs w:val="21"/>
          <w:highlight w:val="none"/>
        </w:rPr>
        <w:t>9.2 承包人的施工安全责任</w:t>
      </w:r>
      <w:bookmarkEnd w:id="883"/>
      <w:bookmarkEnd w:id="884"/>
      <w:bookmarkEnd w:id="885"/>
      <w:bookmarkEnd w:id="886"/>
      <w:bookmarkEnd w:id="887"/>
      <w:bookmarkEnd w:id="888"/>
      <w:bookmarkEnd w:id="889"/>
      <w:bookmarkEnd w:id="890"/>
      <w:bookmarkEnd w:id="891"/>
    </w:p>
    <w:p w14:paraId="6872690F">
      <w:pPr>
        <w:pStyle w:val="39"/>
        <w:autoSpaceDE w:val="0"/>
        <w:autoSpaceDN w:val="0"/>
        <w:adjustRightInd w:val="0"/>
        <w:spacing w:line="360" w:lineRule="exact"/>
        <w:ind w:left="0" w:leftChars="0" w:firstLine="404" w:firstLineChars="200"/>
        <w:jc w:val="left"/>
        <w:rPr>
          <w:rStyle w:val="75"/>
          <w:rFonts w:hint="eastAsia" w:ascii="宋体" w:hAnsi="宋体" w:eastAsia="宋体" w:cs="宋体"/>
          <w:color w:val="auto"/>
          <w:spacing w:val="-4"/>
          <w:kern w:val="0"/>
          <w:sz w:val="21"/>
          <w:szCs w:val="21"/>
          <w:highlight w:val="none"/>
        </w:rPr>
      </w:pPr>
      <w:r>
        <w:rPr>
          <w:rStyle w:val="75"/>
          <w:rFonts w:hint="eastAsia" w:ascii="宋体" w:hAnsi="宋体" w:eastAsia="宋体" w:cs="宋体"/>
          <w:color w:val="auto"/>
          <w:spacing w:val="-4"/>
          <w:kern w:val="0"/>
          <w:sz w:val="21"/>
          <w:szCs w:val="21"/>
          <w:highlight w:val="none"/>
        </w:rPr>
        <w:t>9.2.1 承包人应按合同约定履行安全职责，执行监理人有关安全工作的指示，承包人应按技术标准和要求（合同技术条款）约定的内容和期限 ，以及监理人的指示，编制施工安全技术措施提交监理人审批。监理人应在技术标准和要求（合同技术条款）约定的期限批复承包人。</w:t>
      </w:r>
    </w:p>
    <w:p w14:paraId="17B7DB70">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9.2.2 承包人应加强施工作业安全管理，特别应加强易燃、易爆材料、火工器材、有毒与腐蚀性材料和其他危险品的管理，以及对爆破作业等危险作业的管理。</w:t>
      </w:r>
    </w:p>
    <w:p w14:paraId="3B22353A">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9.2.3 承包人应严格按照国家安全标准制定施工安全操作规程，配备必要的安全生产和劳动保护设施，加强对承包人人员的安全教育，井发放安全工作手册和劳动保护用具。</w:t>
      </w:r>
    </w:p>
    <w:p w14:paraId="1E1B911C">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9.2.4 承包人应按监理人的指示制定应对灾害的紧急预案，报送监理人审批。承包人还应按预案做好安全检查，配置必要的救助物资和器材，切实保护好有关人员的人身和财产安全.</w:t>
      </w:r>
    </w:p>
    <w:p w14:paraId="62B7DDF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032780B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9.2.6 承包人应对其履行合同所雇佣的全部人员，包括分包人人员的工伤事故承担责任，但由于发包人原因造成承包人人员工伤事故的，应由发包人承担责任。</w:t>
      </w:r>
    </w:p>
    <w:p w14:paraId="54D54264">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9.2.7 由于承包人原因在施工场地内及其毗邻地带造成的第三者人员伤亡和财产损失，由承包人负责赔偿。</w:t>
      </w:r>
    </w:p>
    <w:p w14:paraId="27D9298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9.2.8 承包人已标价工程量清单应包含工程安全作业环境及安全施工措施所需费用。</w:t>
      </w:r>
    </w:p>
    <w:p w14:paraId="4DAC8FB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9.2.9 承包人应建立建全安全生产责任制度和安全生产教育培训制度，制定安全生产规章制度和操作规程，保证本单位建立和完善安全生产条件所需资金的投入，对本工程进行定期和专项安全检查，并做好安全检查记录。</w:t>
      </w:r>
    </w:p>
    <w:p w14:paraId="0ABA5C0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9.2.10 承包人应设立安全生产管理机构，施工现场应有专职安全生产管理人员。</w:t>
      </w:r>
    </w:p>
    <w:p w14:paraId="114F0EF7">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9.2.11 承包人应负责对特种作业人员进行专门的安全作业培训，并保证特种作业人员持证上岗。</w:t>
      </w:r>
    </w:p>
    <w:p w14:paraId="56A85B2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9.2.12 承包人应在施工组织设计中编制安全技术措施和施工现场临时用电方案。对专用合同条款约定的工程，应编制专项施工方案报监理人批准。对专用合同条款约定的专项施工方案，还应组织专家进行认证、审查，其中专家1/2人员应经发包人同意。</w:t>
      </w:r>
    </w:p>
    <w:p w14:paraId="43BAF2B4">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9.2.13 承包人在使用施工起重机械和整体提升脚手架、模板等自升式架设设施前，应组织有关单位进行验收。</w:t>
      </w:r>
    </w:p>
    <w:p w14:paraId="642A0772">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892" w:name="_Toc294891959"/>
      <w:bookmarkStart w:id="893" w:name="_Toc260172761"/>
      <w:bookmarkStart w:id="894" w:name="_Toc312946419"/>
      <w:bookmarkStart w:id="895" w:name="_Toc199322029"/>
      <w:bookmarkStart w:id="896" w:name="_Toc262675459"/>
      <w:bookmarkStart w:id="897" w:name="_Toc272432166"/>
      <w:bookmarkStart w:id="898" w:name="_Toc21273"/>
      <w:bookmarkStart w:id="899" w:name="_Toc274249496"/>
      <w:bookmarkStart w:id="900" w:name="_Toc229450823"/>
      <w:r>
        <w:rPr>
          <w:rStyle w:val="75"/>
          <w:rFonts w:hint="eastAsia" w:ascii="宋体" w:hAnsi="宋体" w:eastAsia="宋体" w:cs="宋体"/>
          <w:b/>
          <w:color w:val="auto"/>
          <w:kern w:val="0"/>
          <w:sz w:val="21"/>
          <w:szCs w:val="21"/>
          <w:highlight w:val="none"/>
        </w:rPr>
        <w:t>9.3 治安保卫</w:t>
      </w:r>
      <w:bookmarkEnd w:id="892"/>
      <w:bookmarkEnd w:id="893"/>
      <w:bookmarkEnd w:id="894"/>
      <w:bookmarkEnd w:id="895"/>
      <w:bookmarkEnd w:id="896"/>
      <w:bookmarkEnd w:id="897"/>
      <w:bookmarkEnd w:id="898"/>
      <w:bookmarkEnd w:id="899"/>
      <w:bookmarkEnd w:id="900"/>
    </w:p>
    <w:p w14:paraId="5B5C4C3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9.3.1 除合同另有约定外，发包人应与当地公安部门协商，在现场建立治安管理机构或联防组织，统一管理施工场地的治安保卫事项，履行合同工程的治安保卫职责。</w:t>
      </w:r>
    </w:p>
    <w:p w14:paraId="0CD7020D">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9.3.2 发包人和承包人除应协助现场治安管理机构或联防组织维护施工场地的社会治安外，还应做好包括生活区在内的各自管辖区的治安保卫工作。</w:t>
      </w:r>
    </w:p>
    <w:p w14:paraId="458E3AE7">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3B12EA63">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901" w:name="_Toc260172762"/>
      <w:bookmarkStart w:id="902" w:name="_Toc25578"/>
      <w:bookmarkStart w:id="903" w:name="_Toc294891960"/>
      <w:bookmarkStart w:id="904" w:name="_Toc262675460"/>
      <w:bookmarkStart w:id="905" w:name="_Toc312946420"/>
      <w:bookmarkStart w:id="906" w:name="_Toc272432167"/>
      <w:bookmarkStart w:id="907" w:name="_Toc229450824"/>
      <w:bookmarkStart w:id="908" w:name="_Toc274249497"/>
      <w:bookmarkStart w:id="909" w:name="_Toc199322030"/>
      <w:r>
        <w:rPr>
          <w:rStyle w:val="75"/>
          <w:rFonts w:hint="eastAsia" w:ascii="宋体" w:hAnsi="宋体" w:eastAsia="宋体" w:cs="宋体"/>
          <w:b/>
          <w:color w:val="auto"/>
          <w:kern w:val="0"/>
          <w:sz w:val="21"/>
          <w:szCs w:val="21"/>
          <w:highlight w:val="none"/>
        </w:rPr>
        <w:t>9.4 环境保护</w:t>
      </w:r>
      <w:bookmarkEnd w:id="901"/>
      <w:bookmarkEnd w:id="902"/>
      <w:bookmarkEnd w:id="903"/>
      <w:bookmarkEnd w:id="904"/>
      <w:bookmarkEnd w:id="905"/>
      <w:bookmarkEnd w:id="906"/>
      <w:bookmarkEnd w:id="907"/>
      <w:bookmarkEnd w:id="908"/>
      <w:bookmarkEnd w:id="909"/>
    </w:p>
    <w:p w14:paraId="2714682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9.4.1 承包人在施工过程中，应遵守有关环境保护的法律，履行合同约定的环境保护义务，并对违反法律和合同约定义务所造成的环境破坏、人身伤害和财产损失负责。</w:t>
      </w:r>
    </w:p>
    <w:p w14:paraId="5561A38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9.4.2 承包人应按合同约定的环保工作内容，编制施工环保措施计划，报送监理人审批。</w:t>
      </w:r>
    </w:p>
    <w:p w14:paraId="4F7370ED">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4C5CCCB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9.4.4 承包人应按合同约定采取有效措施，对施工开挖的边坡及时进行支护，维护排水设施，并进行水土保护，避免因施工造成的地质灾害。</w:t>
      </w:r>
    </w:p>
    <w:p w14:paraId="65526F4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9.4.5 承包人应按国家饮用水管理标准定期对饮用水源进行监测，防止施工活动污染饮用水源。</w:t>
      </w:r>
    </w:p>
    <w:p w14:paraId="3558D89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9.4.6 承包人应按合同约定，加强对噪声、粉尘、废气、废水和废油的控制，努力降低噪声，控制粉尘和废气浓度，做好废水和废油的治理和排放。</w:t>
      </w:r>
    </w:p>
    <w:p w14:paraId="6D76359B">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910" w:name="_Toc260172763"/>
      <w:bookmarkStart w:id="911" w:name="_Toc294891961"/>
      <w:bookmarkStart w:id="912" w:name="_Toc229450825"/>
      <w:bookmarkStart w:id="913" w:name="_Toc272432168"/>
      <w:bookmarkStart w:id="914" w:name="_Toc262675461"/>
      <w:bookmarkStart w:id="915" w:name="_Toc274249498"/>
      <w:bookmarkStart w:id="916" w:name="_Toc199322031"/>
      <w:bookmarkStart w:id="917" w:name="_Toc312946421"/>
      <w:bookmarkStart w:id="918" w:name="_Toc27819"/>
      <w:r>
        <w:rPr>
          <w:rStyle w:val="75"/>
          <w:rFonts w:hint="eastAsia" w:ascii="宋体" w:hAnsi="宋体" w:eastAsia="宋体" w:cs="宋体"/>
          <w:b/>
          <w:color w:val="auto"/>
          <w:kern w:val="0"/>
          <w:sz w:val="21"/>
          <w:szCs w:val="21"/>
          <w:highlight w:val="none"/>
        </w:rPr>
        <w:t>9.5 事故处理</w:t>
      </w:r>
      <w:bookmarkEnd w:id="910"/>
      <w:bookmarkEnd w:id="911"/>
      <w:bookmarkEnd w:id="912"/>
      <w:bookmarkEnd w:id="913"/>
      <w:bookmarkEnd w:id="914"/>
      <w:bookmarkEnd w:id="915"/>
      <w:bookmarkEnd w:id="916"/>
      <w:bookmarkEnd w:id="917"/>
      <w:bookmarkEnd w:id="918"/>
    </w:p>
    <w:p w14:paraId="0976A86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9.5.1 发包人负责组织参建单位制定本工程的质量与安全事故应急预案，建立质量与安全事故应急处置指挥部。</w:t>
      </w:r>
    </w:p>
    <w:p w14:paraId="5779EB38">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9.5.2 承包人应对施工现场易发生重大事故的部位、环节进行监控，配备救援器材、设备，并定期组织演练。</w:t>
      </w:r>
    </w:p>
    <w:p w14:paraId="08B4A4AC">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9.5.3 工程开工前，承包人应根据本工程的特点制定施工现场施工质量与安全事故应急预案，并报发包人备案。</w:t>
      </w:r>
    </w:p>
    <w:p w14:paraId="1D91E95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9.5.4 施工过程中发生事故时，发包人、承包人应立即启动应急预案。</w:t>
      </w:r>
    </w:p>
    <w:p w14:paraId="42918497">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9.5.5 事故调查处理由发包人按相关规定履行手续，承包人应配合。</w:t>
      </w:r>
    </w:p>
    <w:p w14:paraId="64F0CBD5">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919" w:name="_Toc274249499"/>
      <w:bookmarkStart w:id="920" w:name="_Toc294891962"/>
      <w:bookmarkStart w:id="921" w:name="_Toc312946422"/>
      <w:bookmarkStart w:id="922" w:name="_Toc272432169"/>
      <w:bookmarkStart w:id="923" w:name="_Toc262675462"/>
      <w:bookmarkStart w:id="924" w:name="_Toc18171"/>
      <w:bookmarkStart w:id="925" w:name="_Toc260172764"/>
      <w:r>
        <w:rPr>
          <w:rStyle w:val="75"/>
          <w:rFonts w:hint="eastAsia" w:ascii="宋体" w:hAnsi="宋体" w:eastAsia="宋体" w:cs="宋体"/>
          <w:b/>
          <w:color w:val="auto"/>
          <w:kern w:val="0"/>
          <w:sz w:val="21"/>
          <w:szCs w:val="21"/>
          <w:highlight w:val="none"/>
        </w:rPr>
        <w:t>9.6 水土保持</w:t>
      </w:r>
      <w:bookmarkEnd w:id="919"/>
      <w:bookmarkEnd w:id="920"/>
      <w:bookmarkEnd w:id="921"/>
      <w:bookmarkEnd w:id="922"/>
      <w:bookmarkEnd w:id="923"/>
      <w:bookmarkEnd w:id="924"/>
      <w:bookmarkEnd w:id="925"/>
    </w:p>
    <w:p w14:paraId="45648D8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9.6.1 发包人应及时向承包人提供水土保持方案。</w:t>
      </w:r>
    </w:p>
    <w:p w14:paraId="7D213738">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9.6.2 承包人在施工过程中，应遵守有关水土保持的法律法规和规章，履行合同约定的水土保持义务，并对其违反法律和合同约定义务所造成的水土流失灾害、人身伤害和财产损失负责。</w:t>
      </w:r>
    </w:p>
    <w:p w14:paraId="424C43AC">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9.6.3 承包人的水土保持措施计划，应满足技术标准和要求（合同技术条款）约定的要求。</w:t>
      </w:r>
    </w:p>
    <w:p w14:paraId="19CAE923">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926" w:name="_Toc312946423"/>
      <w:bookmarkStart w:id="927" w:name="_Toc274249500"/>
      <w:bookmarkStart w:id="928" w:name="_Toc262675463"/>
      <w:bookmarkStart w:id="929" w:name="_Toc294891963"/>
      <w:bookmarkStart w:id="930" w:name="_Toc10173"/>
      <w:bookmarkStart w:id="931" w:name="_Toc260172765"/>
      <w:bookmarkStart w:id="932" w:name="_Toc272432170"/>
      <w:r>
        <w:rPr>
          <w:rStyle w:val="75"/>
          <w:rFonts w:hint="eastAsia" w:ascii="宋体" w:hAnsi="宋体" w:eastAsia="宋体" w:cs="宋体"/>
          <w:b/>
          <w:color w:val="auto"/>
          <w:kern w:val="0"/>
          <w:sz w:val="21"/>
          <w:szCs w:val="21"/>
          <w:highlight w:val="none"/>
        </w:rPr>
        <w:t>9.7 文明工地</w:t>
      </w:r>
      <w:bookmarkEnd w:id="926"/>
      <w:bookmarkEnd w:id="927"/>
      <w:bookmarkEnd w:id="928"/>
      <w:bookmarkEnd w:id="929"/>
      <w:bookmarkEnd w:id="930"/>
      <w:bookmarkEnd w:id="931"/>
      <w:bookmarkEnd w:id="932"/>
    </w:p>
    <w:p w14:paraId="7F513FD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9.7.1 发包人应按专用合同条款的约定，负责建立创建文明建设工地的组织机构，制定创建文明建设工地的规划和办法。</w:t>
      </w:r>
    </w:p>
    <w:p w14:paraId="17B86A3C">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9.7.2 承包人应按创建文明建设工地的规划和办法，履行职责，承担相应责任。所需费用应含在已标价工程量清单中。</w:t>
      </w:r>
    </w:p>
    <w:p w14:paraId="434F171E">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933" w:name="_Toc272432171"/>
      <w:bookmarkStart w:id="934" w:name="_Toc294891964"/>
      <w:bookmarkStart w:id="935" w:name="_Toc312946424"/>
      <w:bookmarkStart w:id="936" w:name="_Toc260172766"/>
      <w:bookmarkStart w:id="937" w:name="_Toc262675464"/>
      <w:bookmarkStart w:id="938" w:name="_Toc274249501"/>
      <w:bookmarkStart w:id="939" w:name="_Toc3601"/>
      <w:r>
        <w:rPr>
          <w:rStyle w:val="75"/>
          <w:rFonts w:hint="eastAsia" w:ascii="宋体" w:hAnsi="宋体" w:eastAsia="宋体" w:cs="宋体"/>
          <w:b/>
          <w:color w:val="auto"/>
          <w:kern w:val="0"/>
          <w:sz w:val="21"/>
          <w:szCs w:val="21"/>
          <w:highlight w:val="none"/>
        </w:rPr>
        <w:t>9.8 防汛度汛</w:t>
      </w:r>
      <w:bookmarkEnd w:id="933"/>
      <w:bookmarkEnd w:id="934"/>
      <w:bookmarkEnd w:id="935"/>
      <w:bookmarkEnd w:id="936"/>
      <w:bookmarkEnd w:id="937"/>
      <w:bookmarkEnd w:id="938"/>
      <w:bookmarkEnd w:id="939"/>
    </w:p>
    <w:p w14:paraId="4904A487">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9.8.1 发包人负责组织工程参建单位编制本工程的度汛方案和措施。</w:t>
      </w:r>
    </w:p>
    <w:p w14:paraId="4F3F550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9.8.2 承包人应根据发包人编制的本工程度汛方案和措施，制定相应的度汛方案，报发包人批准后实施。</w:t>
      </w:r>
    </w:p>
    <w:p w14:paraId="02478F38">
      <w:pPr>
        <w:pStyle w:val="39"/>
        <w:autoSpaceDE w:val="0"/>
        <w:autoSpaceDN w:val="0"/>
        <w:adjustRightInd w:val="0"/>
        <w:spacing w:line="360" w:lineRule="exact"/>
        <w:ind w:left="0" w:leftChars="0" w:firstLine="422" w:firstLineChars="200"/>
        <w:jc w:val="left"/>
        <w:outlineLvl w:val="2"/>
        <w:rPr>
          <w:rStyle w:val="75"/>
          <w:rFonts w:hint="eastAsia" w:ascii="宋体" w:hAnsi="宋体" w:eastAsia="宋体" w:cs="宋体"/>
          <w:b/>
          <w:color w:val="auto"/>
          <w:kern w:val="0"/>
          <w:sz w:val="21"/>
          <w:szCs w:val="21"/>
          <w:highlight w:val="none"/>
        </w:rPr>
      </w:pPr>
      <w:bookmarkStart w:id="940" w:name="_Toc260172767"/>
      <w:bookmarkStart w:id="941" w:name="_Toc199322032"/>
      <w:bookmarkStart w:id="942" w:name="_Toc262675465"/>
      <w:bookmarkStart w:id="943" w:name="_Toc294891965"/>
      <w:bookmarkStart w:id="944" w:name="_Toc272432172"/>
      <w:bookmarkStart w:id="945" w:name="_Toc274249502"/>
      <w:bookmarkStart w:id="946" w:name="_Toc31290"/>
      <w:bookmarkStart w:id="947" w:name="_Toc229450826"/>
      <w:bookmarkStart w:id="948" w:name="_Toc312946425"/>
      <w:r>
        <w:rPr>
          <w:rStyle w:val="75"/>
          <w:rFonts w:hint="eastAsia" w:ascii="宋体" w:hAnsi="宋体" w:eastAsia="宋体" w:cs="宋体"/>
          <w:b/>
          <w:color w:val="auto"/>
          <w:kern w:val="0"/>
          <w:sz w:val="21"/>
          <w:szCs w:val="21"/>
          <w:highlight w:val="none"/>
        </w:rPr>
        <w:t>10. 进度计划</w:t>
      </w:r>
      <w:bookmarkEnd w:id="940"/>
      <w:bookmarkEnd w:id="941"/>
      <w:bookmarkEnd w:id="942"/>
      <w:bookmarkEnd w:id="943"/>
      <w:bookmarkEnd w:id="944"/>
      <w:bookmarkEnd w:id="945"/>
      <w:bookmarkEnd w:id="946"/>
      <w:bookmarkEnd w:id="947"/>
      <w:bookmarkEnd w:id="948"/>
    </w:p>
    <w:p w14:paraId="65C58D6E">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949" w:name="_Toc199322033"/>
      <w:bookmarkStart w:id="950" w:name="_Toc312946426"/>
      <w:bookmarkStart w:id="951" w:name="_Toc229450827"/>
      <w:bookmarkStart w:id="952" w:name="_Toc262675466"/>
      <w:bookmarkStart w:id="953" w:name="_Toc260172768"/>
      <w:bookmarkStart w:id="954" w:name="_Toc294891966"/>
      <w:bookmarkStart w:id="955" w:name="_Toc28036"/>
      <w:bookmarkStart w:id="956" w:name="_Toc274249503"/>
      <w:bookmarkStart w:id="957" w:name="_Toc272432173"/>
      <w:r>
        <w:rPr>
          <w:rStyle w:val="75"/>
          <w:rFonts w:hint="eastAsia" w:ascii="宋体" w:hAnsi="宋体" w:eastAsia="宋体" w:cs="宋体"/>
          <w:b/>
          <w:color w:val="auto"/>
          <w:kern w:val="0"/>
          <w:sz w:val="21"/>
          <w:szCs w:val="21"/>
          <w:highlight w:val="none"/>
        </w:rPr>
        <w:t>10.1 合同进度计划</w:t>
      </w:r>
      <w:bookmarkEnd w:id="949"/>
      <w:bookmarkEnd w:id="950"/>
      <w:bookmarkEnd w:id="951"/>
      <w:bookmarkEnd w:id="952"/>
      <w:bookmarkEnd w:id="953"/>
      <w:bookmarkEnd w:id="954"/>
      <w:bookmarkEnd w:id="955"/>
      <w:bookmarkEnd w:id="956"/>
      <w:bookmarkEnd w:id="957"/>
    </w:p>
    <w:p w14:paraId="4258877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计划的依据。承包人还应根据合同进度计划，编制更为详细的分阶段或单位工程或分部工程进度计划，报监理人审批。</w:t>
      </w:r>
    </w:p>
    <w:p w14:paraId="638E10C6">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958" w:name="_Toc294891967"/>
      <w:bookmarkStart w:id="959" w:name="_Toc312946427"/>
      <w:bookmarkStart w:id="960" w:name="_Toc262675467"/>
      <w:bookmarkStart w:id="961" w:name="_Toc260172769"/>
      <w:bookmarkStart w:id="962" w:name="_Toc27846"/>
      <w:bookmarkStart w:id="963" w:name="_Toc272432174"/>
      <w:bookmarkStart w:id="964" w:name="_Toc199322034"/>
      <w:bookmarkStart w:id="965" w:name="_Toc229450828"/>
      <w:bookmarkStart w:id="966" w:name="_Toc274249504"/>
      <w:r>
        <w:rPr>
          <w:rStyle w:val="75"/>
          <w:rFonts w:hint="eastAsia" w:ascii="宋体" w:hAnsi="宋体" w:eastAsia="宋体" w:cs="宋体"/>
          <w:b/>
          <w:color w:val="auto"/>
          <w:kern w:val="0"/>
          <w:sz w:val="21"/>
          <w:szCs w:val="21"/>
          <w:highlight w:val="none"/>
        </w:rPr>
        <w:t>10.2 合同进度计划的修订</w:t>
      </w:r>
      <w:bookmarkEnd w:id="958"/>
      <w:bookmarkEnd w:id="959"/>
      <w:bookmarkEnd w:id="960"/>
      <w:bookmarkEnd w:id="961"/>
      <w:bookmarkEnd w:id="962"/>
      <w:bookmarkEnd w:id="963"/>
      <w:bookmarkEnd w:id="964"/>
      <w:bookmarkEnd w:id="965"/>
      <w:bookmarkEnd w:id="966"/>
    </w:p>
    <w:p w14:paraId="742057C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不论何种原因造成工程的实际进度与第10.1款的合同进度计划不符时，承包人均应在14天内向监理人提交修订合同进度计划的申请报告，并附有关措施和相关资料。报监理人审批，监理人应在收到申请报告后14天内批复。当监理人认为需要修订合同进度计划时，承包人应按监理人的指示，在14天内向监理人提交修订的合同进度计划，并附调整计划的相关资料，提交监理人审批 ，监理人应在收到进度计划后的14天内批复。</w:t>
      </w:r>
    </w:p>
    <w:p w14:paraId="60BB5C8C">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p>
    <w:p w14:paraId="03EA1D8B">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967" w:name="_Toc312946428"/>
      <w:bookmarkStart w:id="968" w:name="_Toc274249505"/>
      <w:bookmarkStart w:id="969" w:name="_Toc260172770"/>
      <w:bookmarkStart w:id="970" w:name="_Toc262675468"/>
      <w:bookmarkStart w:id="971" w:name="_Toc272432175"/>
      <w:bookmarkStart w:id="972" w:name="_Toc8785"/>
      <w:bookmarkStart w:id="973" w:name="_Toc294891968"/>
      <w:r>
        <w:rPr>
          <w:rStyle w:val="75"/>
          <w:rFonts w:hint="eastAsia" w:ascii="宋体" w:hAnsi="宋体" w:eastAsia="宋体" w:cs="宋体"/>
          <w:b/>
          <w:color w:val="auto"/>
          <w:kern w:val="0"/>
          <w:sz w:val="21"/>
          <w:szCs w:val="21"/>
          <w:highlight w:val="none"/>
        </w:rPr>
        <w:t>10.3 单位工程进度计划</w:t>
      </w:r>
      <w:bookmarkEnd w:id="967"/>
      <w:bookmarkEnd w:id="968"/>
      <w:bookmarkEnd w:id="969"/>
      <w:bookmarkEnd w:id="970"/>
      <w:bookmarkEnd w:id="971"/>
      <w:bookmarkEnd w:id="972"/>
      <w:bookmarkEnd w:id="973"/>
    </w:p>
    <w:p w14:paraId="762578B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监理人认为有必要时，承包人应按监理人指示的内容和期限，并根据合同进度计划的进度控制要求，编制单位工程进度计划，提交监理人审批。</w:t>
      </w:r>
    </w:p>
    <w:p w14:paraId="7AE25549">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974" w:name="_Toc260172771"/>
      <w:bookmarkStart w:id="975" w:name="_Toc272432176"/>
      <w:bookmarkStart w:id="976" w:name="_Toc27567"/>
      <w:bookmarkStart w:id="977" w:name="_Toc262675469"/>
      <w:bookmarkStart w:id="978" w:name="_Toc312946429"/>
      <w:bookmarkStart w:id="979" w:name="_Toc294891969"/>
      <w:bookmarkStart w:id="980" w:name="_Toc274249506"/>
      <w:r>
        <w:rPr>
          <w:rStyle w:val="75"/>
          <w:rFonts w:hint="eastAsia" w:ascii="宋体" w:hAnsi="宋体" w:eastAsia="宋体" w:cs="宋体"/>
          <w:b/>
          <w:color w:val="auto"/>
          <w:kern w:val="0"/>
          <w:sz w:val="21"/>
          <w:szCs w:val="21"/>
          <w:highlight w:val="none"/>
        </w:rPr>
        <w:t>10.4 提交资金流估算表</w:t>
      </w:r>
      <w:bookmarkEnd w:id="974"/>
      <w:bookmarkEnd w:id="975"/>
      <w:bookmarkEnd w:id="976"/>
      <w:bookmarkEnd w:id="977"/>
      <w:bookmarkEnd w:id="978"/>
      <w:bookmarkEnd w:id="979"/>
      <w:bookmarkEnd w:id="980"/>
    </w:p>
    <w:p w14:paraId="79A8245E">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p>
    <w:p w14:paraId="58847D72">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资金流估算表（参考格式）                                               金额单位</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6"/>
        <w:gridCol w:w="372"/>
        <w:gridCol w:w="990"/>
        <w:gridCol w:w="1446"/>
        <w:gridCol w:w="1298"/>
        <w:gridCol w:w="1088"/>
        <w:gridCol w:w="1028"/>
        <w:gridCol w:w="676"/>
        <w:gridCol w:w="820"/>
        <w:gridCol w:w="1122"/>
      </w:tblGrid>
      <w:tr w14:paraId="49D62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dxa"/>
          </w:tcPr>
          <w:p w14:paraId="2DE4C2AC">
            <w:pPr>
              <w:pStyle w:val="39"/>
              <w:autoSpaceDE w:val="0"/>
              <w:autoSpaceDN w:val="0"/>
              <w:adjustRightInd w:val="0"/>
              <w:spacing w:line="360" w:lineRule="exact"/>
              <w:ind w:left="0" w:leftChars="0" w:firstLine="336" w:firstLineChars="200"/>
              <w:jc w:val="left"/>
              <w:rPr>
                <w:rStyle w:val="75"/>
                <w:rFonts w:hint="eastAsia" w:ascii="宋体" w:hAnsi="宋体" w:eastAsia="宋体" w:cs="宋体"/>
                <w:color w:val="auto"/>
                <w:w w:val="80"/>
                <w:kern w:val="0"/>
                <w:sz w:val="21"/>
                <w:szCs w:val="21"/>
                <w:highlight w:val="none"/>
              </w:rPr>
            </w:pPr>
            <w:r>
              <w:rPr>
                <w:rStyle w:val="75"/>
                <w:rFonts w:hint="eastAsia" w:ascii="宋体" w:hAnsi="宋体" w:eastAsia="宋体" w:cs="宋体"/>
                <w:color w:val="auto"/>
                <w:w w:val="80"/>
                <w:kern w:val="0"/>
                <w:sz w:val="21"/>
                <w:szCs w:val="21"/>
                <w:highlight w:val="none"/>
              </w:rPr>
              <w:t>年</w:t>
            </w:r>
          </w:p>
        </w:tc>
        <w:tc>
          <w:tcPr>
            <w:tcW w:w="372" w:type="dxa"/>
          </w:tcPr>
          <w:p w14:paraId="179E1292">
            <w:pPr>
              <w:pStyle w:val="39"/>
              <w:autoSpaceDE w:val="0"/>
              <w:autoSpaceDN w:val="0"/>
              <w:adjustRightInd w:val="0"/>
              <w:spacing w:line="360" w:lineRule="exact"/>
              <w:ind w:left="0" w:leftChars="0" w:firstLine="336" w:firstLineChars="200"/>
              <w:jc w:val="left"/>
              <w:rPr>
                <w:rStyle w:val="75"/>
                <w:rFonts w:hint="eastAsia" w:ascii="宋体" w:hAnsi="宋体" w:eastAsia="宋体" w:cs="宋体"/>
                <w:color w:val="auto"/>
                <w:w w:val="80"/>
                <w:kern w:val="0"/>
                <w:sz w:val="21"/>
                <w:szCs w:val="21"/>
                <w:highlight w:val="none"/>
              </w:rPr>
            </w:pPr>
            <w:r>
              <w:rPr>
                <w:rStyle w:val="75"/>
                <w:rFonts w:hint="eastAsia" w:ascii="宋体" w:hAnsi="宋体" w:eastAsia="宋体" w:cs="宋体"/>
                <w:color w:val="auto"/>
                <w:w w:val="80"/>
                <w:kern w:val="0"/>
                <w:sz w:val="21"/>
                <w:szCs w:val="21"/>
                <w:highlight w:val="none"/>
              </w:rPr>
              <w:t>月</w:t>
            </w:r>
          </w:p>
        </w:tc>
        <w:tc>
          <w:tcPr>
            <w:tcW w:w="990" w:type="dxa"/>
          </w:tcPr>
          <w:p w14:paraId="611E01F2">
            <w:pPr>
              <w:pStyle w:val="39"/>
              <w:autoSpaceDE w:val="0"/>
              <w:autoSpaceDN w:val="0"/>
              <w:adjustRightInd w:val="0"/>
              <w:spacing w:line="360" w:lineRule="exact"/>
              <w:ind w:left="0" w:leftChars="0" w:firstLine="336" w:firstLineChars="200"/>
              <w:jc w:val="left"/>
              <w:rPr>
                <w:rStyle w:val="75"/>
                <w:rFonts w:hint="eastAsia" w:ascii="宋体" w:hAnsi="宋体" w:eastAsia="宋体" w:cs="宋体"/>
                <w:color w:val="auto"/>
                <w:w w:val="80"/>
                <w:kern w:val="0"/>
                <w:sz w:val="21"/>
                <w:szCs w:val="21"/>
                <w:highlight w:val="none"/>
              </w:rPr>
            </w:pPr>
            <w:r>
              <w:rPr>
                <w:rStyle w:val="75"/>
                <w:rFonts w:hint="eastAsia" w:ascii="宋体" w:hAnsi="宋体" w:eastAsia="宋体" w:cs="宋体"/>
                <w:color w:val="auto"/>
                <w:w w:val="80"/>
                <w:kern w:val="0"/>
                <w:sz w:val="21"/>
                <w:szCs w:val="21"/>
                <w:highlight w:val="none"/>
              </w:rPr>
              <w:t>工程预付款</w:t>
            </w:r>
          </w:p>
        </w:tc>
        <w:tc>
          <w:tcPr>
            <w:tcW w:w="1446" w:type="dxa"/>
          </w:tcPr>
          <w:p w14:paraId="122A69A0">
            <w:pPr>
              <w:pStyle w:val="39"/>
              <w:autoSpaceDE w:val="0"/>
              <w:autoSpaceDN w:val="0"/>
              <w:adjustRightInd w:val="0"/>
              <w:spacing w:line="360" w:lineRule="exact"/>
              <w:ind w:left="0" w:leftChars="0" w:firstLine="336" w:firstLineChars="200"/>
              <w:jc w:val="left"/>
              <w:rPr>
                <w:rStyle w:val="75"/>
                <w:rFonts w:hint="eastAsia" w:ascii="宋体" w:hAnsi="宋体" w:eastAsia="宋体" w:cs="宋体"/>
                <w:color w:val="auto"/>
                <w:w w:val="80"/>
                <w:kern w:val="0"/>
                <w:sz w:val="21"/>
                <w:szCs w:val="21"/>
                <w:highlight w:val="none"/>
              </w:rPr>
            </w:pPr>
            <w:r>
              <w:rPr>
                <w:rStyle w:val="75"/>
                <w:rFonts w:hint="eastAsia" w:ascii="宋体" w:hAnsi="宋体" w:eastAsia="宋体" w:cs="宋体"/>
                <w:color w:val="auto"/>
                <w:w w:val="80"/>
                <w:kern w:val="0"/>
                <w:sz w:val="21"/>
                <w:szCs w:val="21"/>
                <w:highlight w:val="none"/>
              </w:rPr>
              <w:t>完成工作量付款</w:t>
            </w:r>
          </w:p>
        </w:tc>
        <w:tc>
          <w:tcPr>
            <w:tcW w:w="1298" w:type="dxa"/>
          </w:tcPr>
          <w:p w14:paraId="43D9CAEC">
            <w:pPr>
              <w:pStyle w:val="39"/>
              <w:autoSpaceDE w:val="0"/>
              <w:autoSpaceDN w:val="0"/>
              <w:adjustRightInd w:val="0"/>
              <w:spacing w:line="360" w:lineRule="exact"/>
              <w:ind w:left="0" w:leftChars="0" w:firstLine="336" w:firstLineChars="200"/>
              <w:jc w:val="left"/>
              <w:rPr>
                <w:rStyle w:val="75"/>
                <w:rFonts w:hint="eastAsia" w:ascii="宋体" w:hAnsi="宋体" w:eastAsia="宋体" w:cs="宋体"/>
                <w:color w:val="auto"/>
                <w:w w:val="80"/>
                <w:kern w:val="0"/>
                <w:sz w:val="21"/>
                <w:szCs w:val="21"/>
                <w:highlight w:val="none"/>
              </w:rPr>
            </w:pPr>
            <w:r>
              <w:rPr>
                <w:rStyle w:val="75"/>
                <w:rFonts w:hint="eastAsia" w:ascii="宋体" w:hAnsi="宋体" w:eastAsia="宋体" w:cs="宋体"/>
                <w:color w:val="auto"/>
                <w:w w:val="80"/>
                <w:kern w:val="0"/>
                <w:sz w:val="21"/>
                <w:szCs w:val="21"/>
                <w:highlight w:val="none"/>
              </w:rPr>
              <w:t>质量保证金扣留</w:t>
            </w:r>
          </w:p>
        </w:tc>
        <w:tc>
          <w:tcPr>
            <w:tcW w:w="1088" w:type="dxa"/>
          </w:tcPr>
          <w:p w14:paraId="66A9269B">
            <w:pPr>
              <w:pStyle w:val="39"/>
              <w:autoSpaceDE w:val="0"/>
              <w:autoSpaceDN w:val="0"/>
              <w:adjustRightInd w:val="0"/>
              <w:spacing w:line="360" w:lineRule="exact"/>
              <w:ind w:left="0" w:leftChars="0" w:firstLine="336" w:firstLineChars="200"/>
              <w:jc w:val="left"/>
              <w:rPr>
                <w:rStyle w:val="75"/>
                <w:rFonts w:hint="eastAsia" w:ascii="宋体" w:hAnsi="宋体" w:eastAsia="宋体" w:cs="宋体"/>
                <w:color w:val="auto"/>
                <w:w w:val="80"/>
                <w:kern w:val="0"/>
                <w:sz w:val="21"/>
                <w:szCs w:val="21"/>
                <w:highlight w:val="none"/>
              </w:rPr>
            </w:pPr>
            <w:r>
              <w:rPr>
                <w:rStyle w:val="75"/>
                <w:rFonts w:hint="eastAsia" w:ascii="宋体" w:hAnsi="宋体" w:eastAsia="宋体" w:cs="宋体"/>
                <w:color w:val="auto"/>
                <w:w w:val="80"/>
                <w:kern w:val="0"/>
                <w:sz w:val="21"/>
                <w:szCs w:val="21"/>
                <w:highlight w:val="none"/>
              </w:rPr>
              <w:t>材料款扣除</w:t>
            </w:r>
          </w:p>
        </w:tc>
        <w:tc>
          <w:tcPr>
            <w:tcW w:w="1028" w:type="dxa"/>
          </w:tcPr>
          <w:p w14:paraId="61A52ABE">
            <w:pPr>
              <w:pStyle w:val="39"/>
              <w:autoSpaceDE w:val="0"/>
              <w:autoSpaceDN w:val="0"/>
              <w:adjustRightInd w:val="0"/>
              <w:spacing w:line="360" w:lineRule="exact"/>
              <w:ind w:left="0" w:leftChars="0" w:firstLine="336" w:firstLineChars="200"/>
              <w:jc w:val="left"/>
              <w:rPr>
                <w:rStyle w:val="75"/>
                <w:rFonts w:hint="eastAsia" w:ascii="宋体" w:hAnsi="宋体" w:eastAsia="宋体" w:cs="宋体"/>
                <w:color w:val="auto"/>
                <w:w w:val="80"/>
                <w:kern w:val="0"/>
                <w:sz w:val="21"/>
                <w:szCs w:val="21"/>
                <w:highlight w:val="none"/>
              </w:rPr>
            </w:pPr>
            <w:r>
              <w:rPr>
                <w:rStyle w:val="75"/>
                <w:rFonts w:hint="eastAsia" w:ascii="宋体" w:hAnsi="宋体" w:eastAsia="宋体" w:cs="宋体"/>
                <w:color w:val="auto"/>
                <w:w w:val="80"/>
                <w:kern w:val="0"/>
                <w:sz w:val="21"/>
                <w:szCs w:val="21"/>
                <w:highlight w:val="none"/>
              </w:rPr>
              <w:t>预付款扣还</w:t>
            </w:r>
          </w:p>
        </w:tc>
        <w:tc>
          <w:tcPr>
            <w:tcW w:w="676" w:type="dxa"/>
          </w:tcPr>
          <w:p w14:paraId="28074830">
            <w:pPr>
              <w:pStyle w:val="39"/>
              <w:autoSpaceDE w:val="0"/>
              <w:autoSpaceDN w:val="0"/>
              <w:adjustRightInd w:val="0"/>
              <w:spacing w:line="360" w:lineRule="exact"/>
              <w:ind w:left="0" w:leftChars="0" w:firstLine="336" w:firstLineChars="200"/>
              <w:jc w:val="left"/>
              <w:rPr>
                <w:rStyle w:val="75"/>
                <w:rFonts w:hint="eastAsia" w:ascii="宋体" w:hAnsi="宋体" w:eastAsia="宋体" w:cs="宋体"/>
                <w:color w:val="auto"/>
                <w:w w:val="80"/>
                <w:kern w:val="0"/>
                <w:sz w:val="21"/>
                <w:szCs w:val="21"/>
                <w:highlight w:val="none"/>
              </w:rPr>
            </w:pPr>
            <w:r>
              <w:rPr>
                <w:rStyle w:val="75"/>
                <w:rFonts w:hint="eastAsia" w:ascii="宋体" w:hAnsi="宋体" w:eastAsia="宋体" w:cs="宋体"/>
                <w:color w:val="auto"/>
                <w:w w:val="80"/>
                <w:kern w:val="0"/>
                <w:sz w:val="21"/>
                <w:szCs w:val="21"/>
                <w:highlight w:val="none"/>
              </w:rPr>
              <w:t>其它</w:t>
            </w:r>
          </w:p>
        </w:tc>
        <w:tc>
          <w:tcPr>
            <w:tcW w:w="820" w:type="dxa"/>
          </w:tcPr>
          <w:p w14:paraId="353DD16C">
            <w:pPr>
              <w:pStyle w:val="39"/>
              <w:autoSpaceDE w:val="0"/>
              <w:autoSpaceDN w:val="0"/>
              <w:adjustRightInd w:val="0"/>
              <w:spacing w:line="360" w:lineRule="exact"/>
              <w:ind w:left="0" w:leftChars="0" w:firstLine="336" w:firstLineChars="200"/>
              <w:jc w:val="left"/>
              <w:rPr>
                <w:rStyle w:val="75"/>
                <w:rFonts w:hint="eastAsia" w:ascii="宋体" w:hAnsi="宋体" w:eastAsia="宋体" w:cs="宋体"/>
                <w:color w:val="auto"/>
                <w:w w:val="80"/>
                <w:kern w:val="0"/>
                <w:sz w:val="21"/>
                <w:szCs w:val="21"/>
                <w:highlight w:val="none"/>
              </w:rPr>
            </w:pPr>
            <w:r>
              <w:rPr>
                <w:rStyle w:val="75"/>
                <w:rFonts w:hint="eastAsia" w:ascii="宋体" w:hAnsi="宋体" w:eastAsia="宋体" w:cs="宋体"/>
                <w:color w:val="auto"/>
                <w:w w:val="80"/>
                <w:kern w:val="0"/>
                <w:sz w:val="21"/>
                <w:szCs w:val="21"/>
                <w:highlight w:val="none"/>
              </w:rPr>
              <w:t>应收款</w:t>
            </w:r>
          </w:p>
        </w:tc>
        <w:tc>
          <w:tcPr>
            <w:tcW w:w="1122" w:type="dxa"/>
          </w:tcPr>
          <w:p w14:paraId="61637DA8">
            <w:pPr>
              <w:pStyle w:val="39"/>
              <w:autoSpaceDE w:val="0"/>
              <w:autoSpaceDN w:val="0"/>
              <w:adjustRightInd w:val="0"/>
              <w:spacing w:line="360" w:lineRule="exact"/>
              <w:ind w:left="0" w:leftChars="0" w:firstLine="336" w:firstLineChars="200"/>
              <w:jc w:val="left"/>
              <w:rPr>
                <w:rStyle w:val="75"/>
                <w:rFonts w:hint="eastAsia" w:ascii="宋体" w:hAnsi="宋体" w:eastAsia="宋体" w:cs="宋体"/>
                <w:color w:val="auto"/>
                <w:w w:val="80"/>
                <w:kern w:val="0"/>
                <w:sz w:val="21"/>
                <w:szCs w:val="21"/>
                <w:highlight w:val="none"/>
              </w:rPr>
            </w:pPr>
            <w:r>
              <w:rPr>
                <w:rStyle w:val="75"/>
                <w:rFonts w:hint="eastAsia" w:ascii="宋体" w:hAnsi="宋体" w:eastAsia="宋体" w:cs="宋体"/>
                <w:color w:val="auto"/>
                <w:w w:val="80"/>
                <w:kern w:val="0"/>
                <w:sz w:val="21"/>
                <w:szCs w:val="21"/>
                <w:highlight w:val="none"/>
              </w:rPr>
              <w:t>累计应收款</w:t>
            </w:r>
          </w:p>
        </w:tc>
      </w:tr>
      <w:tr w14:paraId="35486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dxa"/>
          </w:tcPr>
          <w:p w14:paraId="7BBA34B6">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372" w:type="dxa"/>
          </w:tcPr>
          <w:p w14:paraId="6DB90F0A">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990" w:type="dxa"/>
          </w:tcPr>
          <w:p w14:paraId="65769366">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1446" w:type="dxa"/>
          </w:tcPr>
          <w:p w14:paraId="1FEAA580">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1298" w:type="dxa"/>
          </w:tcPr>
          <w:p w14:paraId="606559E1">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1088" w:type="dxa"/>
          </w:tcPr>
          <w:p w14:paraId="395FF654">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1028" w:type="dxa"/>
          </w:tcPr>
          <w:p w14:paraId="11FBCDAE">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676" w:type="dxa"/>
          </w:tcPr>
          <w:p w14:paraId="551AD111">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820" w:type="dxa"/>
          </w:tcPr>
          <w:p w14:paraId="19B8811C">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1122" w:type="dxa"/>
          </w:tcPr>
          <w:p w14:paraId="5C1B53D8">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r>
      <w:tr w14:paraId="7626A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dxa"/>
          </w:tcPr>
          <w:p w14:paraId="15A1B79C">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372" w:type="dxa"/>
          </w:tcPr>
          <w:p w14:paraId="4F13DE65">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990" w:type="dxa"/>
          </w:tcPr>
          <w:p w14:paraId="3C22B774">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1446" w:type="dxa"/>
          </w:tcPr>
          <w:p w14:paraId="71A1C140">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1298" w:type="dxa"/>
          </w:tcPr>
          <w:p w14:paraId="7AC788DE">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1088" w:type="dxa"/>
          </w:tcPr>
          <w:p w14:paraId="476E880D">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1028" w:type="dxa"/>
          </w:tcPr>
          <w:p w14:paraId="539D85C5">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676" w:type="dxa"/>
          </w:tcPr>
          <w:p w14:paraId="3C7DDCD0">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820" w:type="dxa"/>
          </w:tcPr>
          <w:p w14:paraId="551E07E2">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1122" w:type="dxa"/>
          </w:tcPr>
          <w:p w14:paraId="3A13D9DA">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r>
      <w:tr w14:paraId="55DB5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dxa"/>
          </w:tcPr>
          <w:p w14:paraId="5B95850F">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372" w:type="dxa"/>
          </w:tcPr>
          <w:p w14:paraId="2AE10F30">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990" w:type="dxa"/>
          </w:tcPr>
          <w:p w14:paraId="382121E0">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1446" w:type="dxa"/>
          </w:tcPr>
          <w:p w14:paraId="56D72F0C">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1298" w:type="dxa"/>
          </w:tcPr>
          <w:p w14:paraId="2AFFC351">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1088" w:type="dxa"/>
          </w:tcPr>
          <w:p w14:paraId="6CA730F1">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1028" w:type="dxa"/>
          </w:tcPr>
          <w:p w14:paraId="03C54485">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676" w:type="dxa"/>
          </w:tcPr>
          <w:p w14:paraId="363ABD25">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820" w:type="dxa"/>
          </w:tcPr>
          <w:p w14:paraId="11E569CC">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c>
          <w:tcPr>
            <w:tcW w:w="1122" w:type="dxa"/>
          </w:tcPr>
          <w:p w14:paraId="512A8872">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p>
        </w:tc>
      </w:tr>
    </w:tbl>
    <w:p w14:paraId="5E1990D3">
      <w:pPr>
        <w:pStyle w:val="39"/>
        <w:autoSpaceDE w:val="0"/>
        <w:autoSpaceDN w:val="0"/>
        <w:adjustRightInd w:val="0"/>
        <w:spacing w:line="360" w:lineRule="exact"/>
        <w:ind w:left="0" w:leftChars="0" w:firstLine="422" w:firstLineChars="200"/>
        <w:jc w:val="left"/>
        <w:outlineLvl w:val="2"/>
        <w:rPr>
          <w:rStyle w:val="75"/>
          <w:rFonts w:hint="eastAsia" w:ascii="宋体" w:hAnsi="宋体" w:eastAsia="宋体" w:cs="宋体"/>
          <w:b/>
          <w:color w:val="auto"/>
          <w:kern w:val="0"/>
          <w:sz w:val="21"/>
          <w:szCs w:val="21"/>
          <w:highlight w:val="none"/>
        </w:rPr>
      </w:pPr>
      <w:bookmarkStart w:id="981" w:name="_Toc260172772"/>
      <w:bookmarkStart w:id="982" w:name="_Toc272432177"/>
      <w:bookmarkStart w:id="983" w:name="_Toc229450829"/>
      <w:bookmarkStart w:id="984" w:name="_Toc274249507"/>
      <w:bookmarkStart w:id="985" w:name="_Toc262675470"/>
      <w:bookmarkStart w:id="986" w:name="_Toc294891970"/>
      <w:bookmarkStart w:id="987" w:name="_Toc312946430"/>
      <w:bookmarkStart w:id="988" w:name="_Toc1478"/>
      <w:r>
        <w:rPr>
          <w:rStyle w:val="75"/>
          <w:rFonts w:hint="eastAsia" w:ascii="宋体" w:hAnsi="宋体" w:eastAsia="宋体" w:cs="宋体"/>
          <w:b/>
          <w:color w:val="auto"/>
          <w:kern w:val="0"/>
          <w:sz w:val="21"/>
          <w:szCs w:val="21"/>
          <w:highlight w:val="none"/>
        </w:rPr>
        <w:t>11.开工和竣工</w:t>
      </w:r>
      <w:bookmarkEnd w:id="981"/>
      <w:bookmarkEnd w:id="982"/>
      <w:bookmarkEnd w:id="983"/>
      <w:bookmarkEnd w:id="984"/>
      <w:bookmarkEnd w:id="985"/>
      <w:bookmarkEnd w:id="986"/>
      <w:bookmarkEnd w:id="987"/>
      <w:bookmarkEnd w:id="988"/>
    </w:p>
    <w:p w14:paraId="07470A96">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989" w:name="_Toc229450830"/>
      <w:bookmarkStart w:id="990" w:name="_Toc199322035"/>
      <w:bookmarkStart w:id="991" w:name="_Toc262675471"/>
      <w:bookmarkStart w:id="992" w:name="_Toc294891971"/>
      <w:bookmarkStart w:id="993" w:name="_Toc260172773"/>
      <w:bookmarkStart w:id="994" w:name="_Toc272432178"/>
      <w:bookmarkStart w:id="995" w:name="_Toc312946431"/>
      <w:bookmarkStart w:id="996" w:name="_Toc30810"/>
      <w:bookmarkStart w:id="997" w:name="_Toc274249508"/>
      <w:r>
        <w:rPr>
          <w:rStyle w:val="75"/>
          <w:rFonts w:hint="eastAsia" w:ascii="宋体" w:hAnsi="宋体" w:eastAsia="宋体" w:cs="宋体"/>
          <w:b/>
          <w:color w:val="auto"/>
          <w:kern w:val="0"/>
          <w:sz w:val="21"/>
          <w:szCs w:val="21"/>
          <w:highlight w:val="none"/>
        </w:rPr>
        <w:t>11.1 开工</w:t>
      </w:r>
      <w:bookmarkEnd w:id="989"/>
      <w:bookmarkEnd w:id="990"/>
      <w:bookmarkEnd w:id="991"/>
      <w:bookmarkEnd w:id="992"/>
      <w:bookmarkEnd w:id="993"/>
      <w:bookmarkEnd w:id="994"/>
      <w:bookmarkEnd w:id="995"/>
      <w:bookmarkEnd w:id="996"/>
      <w:bookmarkEnd w:id="997"/>
    </w:p>
    <w:p w14:paraId="7B266B9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11.1.1 监理人应在开工日期4天前向承包人发出开工通知。监理人在发出开工通知前应获得发包人同意。工期自监理人发出的开工通知中载明的开工日期起计算。承包人应在开工日期后尽快施工。</w:t>
      </w:r>
    </w:p>
    <w:p w14:paraId="253A1828">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0450F4A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11.1.3 若发包人未能按合同约定向承包人提供开工的必要条件，承包人有权要求延长工期。监理人应在收到承包人的书面要求后，按第3.5条款的约定，与合同双方商定或确定增加的费用和延长的工期。</w:t>
      </w:r>
    </w:p>
    <w:p w14:paraId="638927B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p>
    <w:p w14:paraId="0D77C94E">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998" w:name="_Toc260172774"/>
      <w:bookmarkStart w:id="999" w:name="_Toc229450831"/>
      <w:bookmarkStart w:id="1000" w:name="_Toc199322036"/>
      <w:bookmarkStart w:id="1001" w:name="_Toc262675472"/>
      <w:bookmarkStart w:id="1002" w:name="_Toc272432179"/>
      <w:bookmarkStart w:id="1003" w:name="_Toc294891972"/>
      <w:bookmarkStart w:id="1004" w:name="_Toc274249509"/>
      <w:bookmarkStart w:id="1005" w:name="_Toc312946432"/>
      <w:bookmarkStart w:id="1006" w:name="_Toc13249"/>
      <w:r>
        <w:rPr>
          <w:rStyle w:val="75"/>
          <w:rFonts w:hint="eastAsia" w:ascii="宋体" w:hAnsi="宋体" w:eastAsia="宋体" w:cs="宋体"/>
          <w:b/>
          <w:color w:val="auto"/>
          <w:kern w:val="0"/>
          <w:sz w:val="21"/>
          <w:szCs w:val="21"/>
          <w:highlight w:val="none"/>
        </w:rPr>
        <w:t>11.2 竣工</w:t>
      </w:r>
      <w:bookmarkEnd w:id="998"/>
      <w:bookmarkEnd w:id="999"/>
      <w:bookmarkEnd w:id="1000"/>
      <w:bookmarkEnd w:id="1001"/>
      <w:bookmarkEnd w:id="1002"/>
      <w:r>
        <w:rPr>
          <w:rStyle w:val="75"/>
          <w:rFonts w:hint="eastAsia" w:ascii="宋体" w:hAnsi="宋体" w:eastAsia="宋体" w:cs="宋体"/>
          <w:b/>
          <w:color w:val="auto"/>
          <w:kern w:val="0"/>
          <w:sz w:val="21"/>
          <w:szCs w:val="21"/>
          <w:highlight w:val="none"/>
        </w:rPr>
        <w:t>(完工)</w:t>
      </w:r>
      <w:bookmarkEnd w:id="1003"/>
      <w:bookmarkEnd w:id="1004"/>
      <w:bookmarkEnd w:id="1005"/>
      <w:bookmarkEnd w:id="1006"/>
    </w:p>
    <w:p w14:paraId="4BCF5DC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承包人应在第1.1.4.3目约定的期限内完成合同工程。合同工程实际完工日期在合同工程完工证书中明确。</w:t>
      </w:r>
    </w:p>
    <w:p w14:paraId="2937BDCD">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007" w:name="_Toc260172775"/>
      <w:bookmarkStart w:id="1008" w:name="_Toc274249510"/>
      <w:bookmarkStart w:id="1009" w:name="_Toc229450832"/>
      <w:bookmarkStart w:id="1010" w:name="_Toc272432180"/>
      <w:bookmarkStart w:id="1011" w:name="_Toc1812"/>
      <w:bookmarkStart w:id="1012" w:name="_Toc199322037"/>
      <w:bookmarkStart w:id="1013" w:name="_Toc262675473"/>
      <w:bookmarkStart w:id="1014" w:name="_Toc294891973"/>
      <w:bookmarkStart w:id="1015" w:name="_Toc312946433"/>
      <w:r>
        <w:rPr>
          <w:rStyle w:val="75"/>
          <w:rFonts w:hint="eastAsia" w:ascii="宋体" w:hAnsi="宋体" w:eastAsia="宋体" w:cs="宋体"/>
          <w:b/>
          <w:color w:val="auto"/>
          <w:kern w:val="0"/>
          <w:sz w:val="21"/>
          <w:szCs w:val="21"/>
          <w:highlight w:val="none"/>
        </w:rPr>
        <w:t>11.3 发包人的工期延误</w:t>
      </w:r>
      <w:bookmarkEnd w:id="1007"/>
      <w:bookmarkEnd w:id="1008"/>
      <w:bookmarkEnd w:id="1009"/>
      <w:bookmarkEnd w:id="1010"/>
      <w:bookmarkEnd w:id="1011"/>
      <w:bookmarkEnd w:id="1012"/>
      <w:bookmarkEnd w:id="1013"/>
      <w:bookmarkEnd w:id="1014"/>
      <w:bookmarkEnd w:id="1015"/>
    </w:p>
    <w:p w14:paraId="1FD9E664">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在履行合同过程中，由于发包人的下列原因造成工期延误的，承包人有权要求发包人延长工期和(或)增加费用，并支付合理利润。需要修订合同进度计划的，按照第10.2款的约定办理。</w:t>
      </w:r>
    </w:p>
    <w:p w14:paraId="5EB7CA3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增加合同工作内容；</w:t>
      </w:r>
    </w:p>
    <w:p w14:paraId="1257677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改变合同中任何一项工作的质量要求或其他特性；</w:t>
      </w:r>
    </w:p>
    <w:p w14:paraId="4D46CB3E">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 发包人迟延提供材料、工程设备或变更交货地点的；</w:t>
      </w:r>
    </w:p>
    <w:p w14:paraId="3FDB97D2">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 因发包人原因导致的暂停施工；</w:t>
      </w:r>
    </w:p>
    <w:p w14:paraId="5929EE3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(5) 提供图纸延误；</w:t>
      </w:r>
    </w:p>
    <w:p w14:paraId="55AF61E8">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(6) 未按合同约定及时支付预付款、进度款；</w:t>
      </w:r>
    </w:p>
    <w:p w14:paraId="7ADB5E5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(7) 发包人造成工期延误的其他原因。</w:t>
      </w:r>
    </w:p>
    <w:p w14:paraId="4D95D6C0">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016" w:name="_Toc272432181"/>
      <w:bookmarkStart w:id="1017" w:name="_Toc260172776"/>
      <w:bookmarkStart w:id="1018" w:name="_Toc312946434"/>
      <w:bookmarkStart w:id="1019" w:name="_Toc199322038"/>
      <w:bookmarkStart w:id="1020" w:name="_Toc294891974"/>
      <w:bookmarkStart w:id="1021" w:name="_Toc229450833"/>
      <w:bookmarkStart w:id="1022" w:name="_Toc32694"/>
      <w:bookmarkStart w:id="1023" w:name="_Toc274249511"/>
      <w:bookmarkStart w:id="1024" w:name="_Toc262675474"/>
      <w:r>
        <w:rPr>
          <w:rStyle w:val="75"/>
          <w:rFonts w:hint="eastAsia" w:ascii="宋体" w:hAnsi="宋体" w:eastAsia="宋体" w:cs="宋体"/>
          <w:b/>
          <w:color w:val="auto"/>
          <w:kern w:val="0"/>
          <w:sz w:val="21"/>
          <w:szCs w:val="21"/>
          <w:highlight w:val="none"/>
        </w:rPr>
        <w:t>11.4 异常恶劣的气候条件</w:t>
      </w:r>
      <w:bookmarkEnd w:id="1016"/>
      <w:bookmarkEnd w:id="1017"/>
      <w:bookmarkEnd w:id="1018"/>
      <w:bookmarkEnd w:id="1019"/>
      <w:bookmarkEnd w:id="1020"/>
      <w:bookmarkEnd w:id="1021"/>
      <w:bookmarkEnd w:id="1022"/>
      <w:bookmarkEnd w:id="1023"/>
      <w:bookmarkEnd w:id="1024"/>
    </w:p>
    <w:p w14:paraId="1F553DE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025" w:name="_Toc229450834"/>
      <w:bookmarkStart w:id="1026" w:name="_Toc199322039"/>
      <w:r>
        <w:rPr>
          <w:rStyle w:val="75"/>
          <w:rFonts w:hint="eastAsia" w:ascii="宋体" w:hAnsi="宋体" w:eastAsia="宋体" w:cs="宋体"/>
          <w:color w:val="auto"/>
          <w:kern w:val="0"/>
          <w:sz w:val="21"/>
          <w:szCs w:val="21"/>
          <w:highlight w:val="none"/>
        </w:rPr>
        <w:t>11.4.1 当工程所在地发生危及施工安全的异常恶劣气候时，发包人和承包人应按本合同通用合同条款第12条的约定，及时采取暂停施工或部分暂停施工措施。异常恶劣气候条件解除后，承包从应及时安排复工。</w:t>
      </w:r>
    </w:p>
    <w:p w14:paraId="3383DF38">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11.4.2 异常恶劣气候条件造成的工期延误和工程损坏，应由发包人与承包人参照本合同通用合同条款第21.3款的约定协商处理。</w:t>
      </w:r>
    </w:p>
    <w:p w14:paraId="0A72B164">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11.4.3 本合同工程界定异常恶劣气候条件的范围在专用合同条款中约定。</w:t>
      </w:r>
    </w:p>
    <w:p w14:paraId="7662DB1E">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027" w:name="_Toc274249512"/>
      <w:bookmarkStart w:id="1028" w:name="_Toc312946435"/>
      <w:bookmarkStart w:id="1029" w:name="_Toc262675475"/>
      <w:bookmarkStart w:id="1030" w:name="_Toc29806"/>
      <w:bookmarkStart w:id="1031" w:name="_Toc272432182"/>
      <w:bookmarkStart w:id="1032" w:name="_Toc260172777"/>
      <w:bookmarkStart w:id="1033" w:name="_Toc294891975"/>
      <w:r>
        <w:rPr>
          <w:rStyle w:val="75"/>
          <w:rFonts w:hint="eastAsia" w:ascii="宋体" w:hAnsi="宋体" w:eastAsia="宋体" w:cs="宋体"/>
          <w:b/>
          <w:color w:val="auto"/>
          <w:kern w:val="0"/>
          <w:sz w:val="21"/>
          <w:szCs w:val="21"/>
          <w:highlight w:val="none"/>
        </w:rPr>
        <w:t>11.5 承包人的工期延误</w:t>
      </w:r>
      <w:bookmarkEnd w:id="1025"/>
      <w:bookmarkEnd w:id="1026"/>
      <w:bookmarkEnd w:id="1027"/>
      <w:bookmarkEnd w:id="1028"/>
      <w:bookmarkEnd w:id="1029"/>
      <w:bookmarkEnd w:id="1030"/>
      <w:bookmarkEnd w:id="1031"/>
      <w:bookmarkEnd w:id="1032"/>
      <w:bookmarkEnd w:id="1033"/>
    </w:p>
    <w:p w14:paraId="1BBBC6EC">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02F19F56">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034" w:name="_Toc5912"/>
      <w:bookmarkStart w:id="1035" w:name="_Toc260172778"/>
      <w:bookmarkStart w:id="1036" w:name="_Toc294891976"/>
      <w:bookmarkStart w:id="1037" w:name="_Toc272432183"/>
      <w:bookmarkStart w:id="1038" w:name="_Toc274249513"/>
      <w:bookmarkStart w:id="1039" w:name="_Toc312946436"/>
      <w:bookmarkStart w:id="1040" w:name="_Toc229450835"/>
      <w:bookmarkStart w:id="1041" w:name="_Toc199322040"/>
      <w:bookmarkStart w:id="1042" w:name="_Toc262675476"/>
      <w:r>
        <w:rPr>
          <w:rStyle w:val="75"/>
          <w:rFonts w:hint="eastAsia" w:ascii="宋体" w:hAnsi="宋体" w:eastAsia="宋体" w:cs="宋体"/>
          <w:b/>
          <w:color w:val="auto"/>
          <w:kern w:val="0"/>
          <w:sz w:val="21"/>
          <w:szCs w:val="21"/>
          <w:highlight w:val="none"/>
        </w:rPr>
        <w:t>11.6 工期提前</w:t>
      </w:r>
      <w:bookmarkEnd w:id="1034"/>
      <w:bookmarkEnd w:id="1035"/>
      <w:bookmarkEnd w:id="1036"/>
      <w:bookmarkEnd w:id="1037"/>
      <w:bookmarkEnd w:id="1038"/>
      <w:bookmarkEnd w:id="1039"/>
      <w:bookmarkEnd w:id="1040"/>
      <w:bookmarkEnd w:id="1041"/>
      <w:bookmarkEnd w:id="1042"/>
    </w:p>
    <w:p w14:paraId="1CC4F32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p>
    <w:p w14:paraId="77DD22F8">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发包人要求提前完工的，双方协商一致后应签订提前完工协议，协议内容包括：</w:t>
      </w:r>
    </w:p>
    <w:p w14:paraId="6E5DA122">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（1）提前的时间和修订后的进度计划。</w:t>
      </w:r>
    </w:p>
    <w:p w14:paraId="75A7423E">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（2）承包人的赶工措施；</w:t>
      </w:r>
    </w:p>
    <w:p w14:paraId="646F9ACE">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（3）发包人为赶工提供的条件；</w:t>
      </w:r>
    </w:p>
    <w:p w14:paraId="498205D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（4）赶工费用（包括利润和奖金）。</w:t>
      </w:r>
    </w:p>
    <w:p w14:paraId="6F73BED4">
      <w:pPr>
        <w:pStyle w:val="39"/>
        <w:autoSpaceDE w:val="0"/>
        <w:autoSpaceDN w:val="0"/>
        <w:adjustRightInd w:val="0"/>
        <w:spacing w:line="360" w:lineRule="exact"/>
        <w:ind w:left="0" w:leftChars="0" w:firstLine="422" w:firstLineChars="200"/>
        <w:jc w:val="left"/>
        <w:outlineLvl w:val="2"/>
        <w:rPr>
          <w:rStyle w:val="75"/>
          <w:rFonts w:hint="eastAsia" w:ascii="宋体" w:hAnsi="宋体" w:eastAsia="宋体" w:cs="宋体"/>
          <w:b/>
          <w:color w:val="auto"/>
          <w:kern w:val="0"/>
          <w:sz w:val="21"/>
          <w:szCs w:val="21"/>
          <w:highlight w:val="none"/>
        </w:rPr>
      </w:pPr>
      <w:bookmarkStart w:id="1043" w:name="_Toc229450836"/>
      <w:bookmarkStart w:id="1044" w:name="_Toc199322041"/>
      <w:bookmarkStart w:id="1045" w:name="_Toc294891977"/>
      <w:bookmarkStart w:id="1046" w:name="_Toc262675477"/>
      <w:bookmarkStart w:id="1047" w:name="_Toc274249514"/>
      <w:bookmarkStart w:id="1048" w:name="_Toc260172779"/>
      <w:bookmarkStart w:id="1049" w:name="_Toc5783"/>
      <w:bookmarkStart w:id="1050" w:name="_Toc312946437"/>
      <w:bookmarkStart w:id="1051" w:name="_Toc272432184"/>
      <w:r>
        <w:rPr>
          <w:rStyle w:val="75"/>
          <w:rFonts w:hint="eastAsia" w:ascii="宋体" w:hAnsi="宋体" w:eastAsia="宋体" w:cs="宋体"/>
          <w:b/>
          <w:color w:val="auto"/>
          <w:kern w:val="0"/>
          <w:sz w:val="21"/>
          <w:szCs w:val="21"/>
          <w:highlight w:val="none"/>
        </w:rPr>
        <w:t>12．暂停施工</w:t>
      </w:r>
      <w:bookmarkEnd w:id="1043"/>
      <w:bookmarkEnd w:id="1044"/>
      <w:bookmarkEnd w:id="1045"/>
      <w:bookmarkEnd w:id="1046"/>
      <w:bookmarkEnd w:id="1047"/>
      <w:bookmarkEnd w:id="1048"/>
      <w:bookmarkEnd w:id="1049"/>
      <w:bookmarkEnd w:id="1050"/>
      <w:bookmarkEnd w:id="1051"/>
    </w:p>
    <w:p w14:paraId="4A668051">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052" w:name="_Toc260172780"/>
      <w:bookmarkStart w:id="1053" w:name="_Toc25561"/>
      <w:bookmarkStart w:id="1054" w:name="_Toc272432185"/>
      <w:bookmarkStart w:id="1055" w:name="_Toc229450837"/>
      <w:bookmarkStart w:id="1056" w:name="_Toc274249515"/>
      <w:bookmarkStart w:id="1057" w:name="_Toc312946438"/>
      <w:bookmarkStart w:id="1058" w:name="_Toc262675478"/>
      <w:bookmarkStart w:id="1059" w:name="_Toc294891978"/>
      <w:bookmarkStart w:id="1060" w:name="_Toc199322042"/>
      <w:r>
        <w:rPr>
          <w:rStyle w:val="75"/>
          <w:rFonts w:hint="eastAsia" w:ascii="宋体" w:hAnsi="宋体" w:eastAsia="宋体" w:cs="宋体"/>
          <w:b/>
          <w:color w:val="auto"/>
          <w:kern w:val="0"/>
          <w:sz w:val="21"/>
          <w:szCs w:val="21"/>
          <w:highlight w:val="none"/>
        </w:rPr>
        <w:t>12.1 承包人暂停施工的责任</w:t>
      </w:r>
      <w:bookmarkEnd w:id="1052"/>
      <w:bookmarkEnd w:id="1053"/>
      <w:bookmarkEnd w:id="1054"/>
      <w:bookmarkEnd w:id="1055"/>
      <w:bookmarkEnd w:id="1056"/>
      <w:bookmarkEnd w:id="1057"/>
      <w:bookmarkEnd w:id="1058"/>
      <w:bookmarkEnd w:id="1059"/>
      <w:bookmarkEnd w:id="1060"/>
    </w:p>
    <w:p w14:paraId="640E935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因下列暂停施工增加的费用和(或)工期延误由承包人承担；</w:t>
      </w:r>
    </w:p>
    <w:p w14:paraId="0BF57C6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承包人违约引起的暂停施工；</w:t>
      </w:r>
    </w:p>
    <w:p w14:paraId="030E5997">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由于承包人原因为工程合理施工和安全保障所必需的暂停施工；</w:t>
      </w:r>
    </w:p>
    <w:p w14:paraId="3DF67E0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 承包人擅自暂停施工；</w:t>
      </w:r>
    </w:p>
    <w:p w14:paraId="54497142">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 承包人其他原因引起的暂停施工；</w:t>
      </w:r>
    </w:p>
    <w:p w14:paraId="6E0B6DD7">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(5) 专用合同条款约定由承包人承担的其他暂停施工。</w:t>
      </w:r>
    </w:p>
    <w:p w14:paraId="660F64F3">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061" w:name="_Toc260172781"/>
      <w:bookmarkStart w:id="1062" w:name="_Toc294891979"/>
      <w:bookmarkStart w:id="1063" w:name="_Toc312946439"/>
      <w:bookmarkStart w:id="1064" w:name="_Toc272432186"/>
      <w:bookmarkStart w:id="1065" w:name="_Toc21061"/>
      <w:bookmarkStart w:id="1066" w:name="_Toc229450838"/>
      <w:bookmarkStart w:id="1067" w:name="_Toc262675479"/>
      <w:bookmarkStart w:id="1068" w:name="_Toc274249516"/>
      <w:r>
        <w:rPr>
          <w:rStyle w:val="75"/>
          <w:rFonts w:hint="eastAsia" w:ascii="宋体" w:hAnsi="宋体" w:eastAsia="宋体" w:cs="宋体"/>
          <w:b/>
          <w:color w:val="auto"/>
          <w:kern w:val="0"/>
          <w:sz w:val="21"/>
          <w:szCs w:val="21"/>
          <w:highlight w:val="none"/>
        </w:rPr>
        <w:t>12.2 发包人暂停施工的责任</w:t>
      </w:r>
      <w:bookmarkEnd w:id="1061"/>
      <w:bookmarkEnd w:id="1062"/>
      <w:bookmarkEnd w:id="1063"/>
      <w:bookmarkEnd w:id="1064"/>
      <w:bookmarkEnd w:id="1065"/>
      <w:bookmarkEnd w:id="1066"/>
      <w:bookmarkEnd w:id="1067"/>
      <w:bookmarkEnd w:id="1068"/>
    </w:p>
    <w:p w14:paraId="77E6DC5D">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由于发包人原因引起的暂停施工造成工期延误的，承包人有权要求发包人延长工期和(或)增加费用，并支付合理利润。</w:t>
      </w:r>
    </w:p>
    <w:p w14:paraId="7C8E8CB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属于下列任何一种情况引起的暂停施工，均为发包人的责任：</w:t>
      </w:r>
    </w:p>
    <w:p w14:paraId="2E229D77">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（1）由于发包人违约引起的暂停施工；</w:t>
      </w:r>
    </w:p>
    <w:p w14:paraId="0B0C07B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（2）由于不可抗力的自然或社会因素引起的暂停施工；</w:t>
      </w:r>
    </w:p>
    <w:p w14:paraId="20116EB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（3）专用合同条款中约定的其它由于发包人原因引起的暂停施工。</w:t>
      </w:r>
    </w:p>
    <w:p w14:paraId="719BEE56">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069" w:name="_Toc6173"/>
      <w:bookmarkStart w:id="1070" w:name="_Toc294891980"/>
      <w:bookmarkStart w:id="1071" w:name="_Toc272432187"/>
      <w:bookmarkStart w:id="1072" w:name="_Toc260172782"/>
      <w:bookmarkStart w:id="1073" w:name="_Toc262675480"/>
      <w:bookmarkStart w:id="1074" w:name="_Toc312946440"/>
      <w:bookmarkStart w:id="1075" w:name="_Toc229450839"/>
      <w:bookmarkStart w:id="1076" w:name="_Toc274249517"/>
      <w:bookmarkStart w:id="1077" w:name="_Toc199322043"/>
      <w:r>
        <w:rPr>
          <w:rStyle w:val="75"/>
          <w:rFonts w:hint="eastAsia" w:ascii="宋体" w:hAnsi="宋体" w:eastAsia="宋体" w:cs="宋体"/>
          <w:b/>
          <w:color w:val="auto"/>
          <w:kern w:val="0"/>
          <w:sz w:val="21"/>
          <w:szCs w:val="21"/>
          <w:highlight w:val="none"/>
        </w:rPr>
        <w:t>12.3 监理人暂停施工指示</w:t>
      </w:r>
      <w:bookmarkEnd w:id="1069"/>
      <w:bookmarkEnd w:id="1070"/>
      <w:bookmarkEnd w:id="1071"/>
      <w:bookmarkEnd w:id="1072"/>
      <w:bookmarkEnd w:id="1073"/>
      <w:bookmarkEnd w:id="1074"/>
      <w:bookmarkEnd w:id="1075"/>
      <w:bookmarkEnd w:id="1076"/>
      <w:bookmarkEnd w:id="1077"/>
    </w:p>
    <w:p w14:paraId="05BE5332">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12.3.1 监理人认为有必要时，可向承包人作出暂停施工的指示，承包人应按监理人指示暂停施工。不论由于何种原因引起的暂停施工，暂停施工期间承包人应负责妥善保护工程并提供安全保障。</w:t>
      </w:r>
    </w:p>
    <w:p w14:paraId="45850004">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033EA384">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078" w:name="_Toc229450840"/>
      <w:bookmarkStart w:id="1079" w:name="_Toc274249518"/>
      <w:bookmarkStart w:id="1080" w:name="_Toc260172783"/>
      <w:bookmarkStart w:id="1081" w:name="_Toc199322044"/>
      <w:bookmarkStart w:id="1082" w:name="_Toc294891981"/>
      <w:bookmarkStart w:id="1083" w:name="_Toc272432188"/>
      <w:bookmarkStart w:id="1084" w:name="_Toc262675481"/>
      <w:bookmarkStart w:id="1085" w:name="_Toc312946441"/>
      <w:bookmarkStart w:id="1086" w:name="_Toc6192"/>
      <w:r>
        <w:rPr>
          <w:rStyle w:val="75"/>
          <w:rFonts w:hint="eastAsia" w:ascii="宋体" w:hAnsi="宋体" w:eastAsia="宋体" w:cs="宋体"/>
          <w:b/>
          <w:color w:val="auto"/>
          <w:kern w:val="0"/>
          <w:sz w:val="21"/>
          <w:szCs w:val="21"/>
          <w:highlight w:val="none"/>
        </w:rPr>
        <w:t>12.4 暂停施工后的复工</w:t>
      </w:r>
      <w:bookmarkEnd w:id="1078"/>
      <w:bookmarkEnd w:id="1079"/>
      <w:bookmarkEnd w:id="1080"/>
      <w:bookmarkEnd w:id="1081"/>
      <w:bookmarkEnd w:id="1082"/>
      <w:bookmarkEnd w:id="1083"/>
      <w:bookmarkEnd w:id="1084"/>
      <w:bookmarkEnd w:id="1085"/>
      <w:bookmarkEnd w:id="1086"/>
    </w:p>
    <w:p w14:paraId="05F3670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12.4.1 暂停施工后，监理人应与发包人和承包人协商，采取有效措施积极消除暂停施工的影响。当工程具备复工条件时，监理人应立即向承包人发出复工通知。 承包人收到复工通知后，应在监理人指定的期限内复工。</w:t>
      </w:r>
    </w:p>
    <w:p w14:paraId="752AA7CD">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12.4.2 承包人无故拖延和拒绝复工的，由此增加的费用和工期延误由承包人承担:因发包人原因无法按时复工的，承包人有权要求发包人延长工期和(或)增加费用，并支付合理利润。</w:t>
      </w:r>
    </w:p>
    <w:p w14:paraId="39474B60">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087" w:name="_Toc312946442"/>
      <w:bookmarkStart w:id="1088" w:name="_Toc199322045"/>
      <w:bookmarkStart w:id="1089" w:name="_Toc262675482"/>
      <w:bookmarkStart w:id="1090" w:name="_Toc272432189"/>
      <w:bookmarkStart w:id="1091" w:name="_Toc229450841"/>
      <w:bookmarkStart w:id="1092" w:name="_Toc274249519"/>
      <w:bookmarkStart w:id="1093" w:name="_Toc294891982"/>
      <w:bookmarkStart w:id="1094" w:name="_Toc21590"/>
      <w:bookmarkStart w:id="1095" w:name="_Toc260172784"/>
      <w:r>
        <w:rPr>
          <w:rStyle w:val="75"/>
          <w:rFonts w:hint="eastAsia" w:ascii="宋体" w:hAnsi="宋体" w:eastAsia="宋体" w:cs="宋体"/>
          <w:b/>
          <w:color w:val="auto"/>
          <w:kern w:val="0"/>
          <w:sz w:val="21"/>
          <w:szCs w:val="21"/>
          <w:highlight w:val="none"/>
        </w:rPr>
        <w:t>12.5 暂停施工持续28天以上</w:t>
      </w:r>
      <w:bookmarkEnd w:id="1087"/>
      <w:bookmarkEnd w:id="1088"/>
      <w:bookmarkEnd w:id="1089"/>
      <w:bookmarkEnd w:id="1090"/>
      <w:bookmarkEnd w:id="1091"/>
      <w:bookmarkEnd w:id="1092"/>
      <w:bookmarkEnd w:id="1093"/>
      <w:bookmarkEnd w:id="1094"/>
      <w:bookmarkEnd w:id="1095"/>
    </w:p>
    <w:p w14:paraId="1E55F1B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12.5.1 监理人发出暂停施工指示后28天内未向承包人发出复工通知，除了该项停工属于第12.1款的情况外，承包人可向监理人提交书面通知，要求监理人在收到书面通知后14天内准许已暂停施工的工程或其中一部分工程继续施工。如监理人逾期不予批准，则承包人可以通知监理人，将工程受影响的部分视为按第15.1(1)项的可取消工作。如暂停施工影响到整个工程，可视为发包人违约，应按第22.2 款的规定办理。</w:t>
      </w:r>
    </w:p>
    <w:p w14:paraId="0FF2A12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12.5.2 由于承包人责任引起的暂停施工，如承包人在收到监理人暂停施工指示后28天内不认真采取有效的复工措施，造成工期延误，可视为承包人违约，应按第22.1 款的规定办理。</w:t>
      </w:r>
    </w:p>
    <w:p w14:paraId="64AA841B">
      <w:pPr>
        <w:pStyle w:val="39"/>
        <w:autoSpaceDE w:val="0"/>
        <w:autoSpaceDN w:val="0"/>
        <w:adjustRightInd w:val="0"/>
        <w:spacing w:line="360" w:lineRule="exact"/>
        <w:ind w:left="0" w:leftChars="0" w:firstLine="422" w:firstLineChars="200"/>
        <w:jc w:val="left"/>
        <w:outlineLvl w:val="2"/>
        <w:rPr>
          <w:rStyle w:val="75"/>
          <w:rFonts w:hint="eastAsia" w:ascii="宋体" w:hAnsi="宋体" w:eastAsia="宋体" w:cs="宋体"/>
          <w:b/>
          <w:color w:val="auto"/>
          <w:kern w:val="0"/>
          <w:sz w:val="21"/>
          <w:szCs w:val="21"/>
          <w:highlight w:val="none"/>
        </w:rPr>
      </w:pPr>
      <w:bookmarkStart w:id="1096" w:name="_Toc274249520"/>
      <w:bookmarkStart w:id="1097" w:name="_Toc294891983"/>
      <w:bookmarkStart w:id="1098" w:name="_Toc312946443"/>
      <w:bookmarkStart w:id="1099" w:name="_Toc272432190"/>
      <w:bookmarkStart w:id="1100" w:name="_Toc260172785"/>
      <w:bookmarkStart w:id="1101" w:name="_Toc5939"/>
      <w:bookmarkStart w:id="1102" w:name="_Toc262675483"/>
      <w:bookmarkStart w:id="1103" w:name="_Toc229450842"/>
      <w:r>
        <w:rPr>
          <w:rStyle w:val="75"/>
          <w:rFonts w:hint="eastAsia" w:ascii="宋体" w:hAnsi="宋体" w:eastAsia="宋体" w:cs="宋体"/>
          <w:b/>
          <w:color w:val="auto"/>
          <w:kern w:val="0"/>
          <w:sz w:val="21"/>
          <w:szCs w:val="21"/>
          <w:highlight w:val="none"/>
        </w:rPr>
        <w:t>13.工程质量</w:t>
      </w:r>
      <w:bookmarkEnd w:id="1096"/>
      <w:bookmarkEnd w:id="1097"/>
      <w:bookmarkEnd w:id="1098"/>
      <w:bookmarkEnd w:id="1099"/>
      <w:bookmarkEnd w:id="1100"/>
      <w:bookmarkEnd w:id="1101"/>
      <w:bookmarkEnd w:id="1102"/>
      <w:bookmarkEnd w:id="1103"/>
    </w:p>
    <w:p w14:paraId="6C7F3EBA">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104" w:name="_Toc229450843"/>
      <w:bookmarkStart w:id="1105" w:name="_Toc9054"/>
      <w:bookmarkStart w:id="1106" w:name="_Toc294891984"/>
      <w:bookmarkStart w:id="1107" w:name="_Toc312946444"/>
      <w:bookmarkStart w:id="1108" w:name="_Toc274249521"/>
      <w:bookmarkStart w:id="1109" w:name="_Toc262675484"/>
      <w:bookmarkStart w:id="1110" w:name="_Toc260172786"/>
      <w:bookmarkStart w:id="1111" w:name="_Toc272432191"/>
      <w:r>
        <w:rPr>
          <w:rStyle w:val="75"/>
          <w:rFonts w:hint="eastAsia" w:ascii="宋体" w:hAnsi="宋体" w:eastAsia="宋体" w:cs="宋体"/>
          <w:b/>
          <w:color w:val="auto"/>
          <w:kern w:val="0"/>
          <w:sz w:val="21"/>
          <w:szCs w:val="21"/>
          <w:highlight w:val="none"/>
        </w:rPr>
        <w:t>13.1 工程质量要求</w:t>
      </w:r>
      <w:bookmarkEnd w:id="1104"/>
      <w:bookmarkEnd w:id="1105"/>
      <w:bookmarkEnd w:id="1106"/>
      <w:bookmarkEnd w:id="1107"/>
      <w:bookmarkEnd w:id="1108"/>
      <w:bookmarkEnd w:id="1109"/>
      <w:bookmarkEnd w:id="1110"/>
      <w:bookmarkEnd w:id="1111"/>
    </w:p>
    <w:p w14:paraId="1441401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13.1.1 工程质量验收按合同约定验收标准执行。</w:t>
      </w:r>
    </w:p>
    <w:p w14:paraId="5905333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112" w:name="_Toc262675485"/>
      <w:r>
        <w:rPr>
          <w:rStyle w:val="75"/>
          <w:rFonts w:hint="eastAsia" w:ascii="宋体" w:hAnsi="宋体" w:eastAsia="宋体" w:cs="宋体"/>
          <w:color w:val="auto"/>
          <w:kern w:val="0"/>
          <w:sz w:val="21"/>
          <w:szCs w:val="21"/>
          <w:highlight w:val="none"/>
        </w:rPr>
        <w:t>13.1.2 因承包人原因造成工程质量达不到合同约定验收标准的，监理人有权要求承包人返工直至符合合同要求为止，由此造成的费用增加和(或)工期延误由承包人承担。</w:t>
      </w:r>
      <w:bookmarkEnd w:id="1112"/>
    </w:p>
    <w:p w14:paraId="31EF4EF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13.1.3 因发包人原因造成工程质量达不到合同约定验收标准的，发包人应承担由于承包人返工造成的费用增加和(或)工期延误，并支付承包人合理利润。</w:t>
      </w:r>
    </w:p>
    <w:p w14:paraId="1192D168">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113" w:name="_Toc312946445"/>
      <w:bookmarkStart w:id="1114" w:name="_Toc262675486"/>
      <w:bookmarkStart w:id="1115" w:name="_Toc274249522"/>
      <w:bookmarkStart w:id="1116" w:name="_Toc272432192"/>
      <w:bookmarkStart w:id="1117" w:name="_Toc229450844"/>
      <w:bookmarkStart w:id="1118" w:name="_Toc294891985"/>
      <w:bookmarkStart w:id="1119" w:name="_Toc4228"/>
      <w:bookmarkStart w:id="1120" w:name="_Toc260172787"/>
      <w:r>
        <w:rPr>
          <w:rStyle w:val="75"/>
          <w:rFonts w:hint="eastAsia" w:ascii="宋体" w:hAnsi="宋体" w:eastAsia="宋体" w:cs="宋体"/>
          <w:b/>
          <w:color w:val="auto"/>
          <w:kern w:val="0"/>
          <w:sz w:val="21"/>
          <w:szCs w:val="21"/>
          <w:highlight w:val="none"/>
        </w:rPr>
        <w:t>13.2 承包人的质量管理</w:t>
      </w:r>
      <w:bookmarkEnd w:id="1113"/>
      <w:bookmarkEnd w:id="1114"/>
      <w:bookmarkEnd w:id="1115"/>
      <w:bookmarkEnd w:id="1116"/>
      <w:bookmarkEnd w:id="1117"/>
      <w:bookmarkEnd w:id="1118"/>
      <w:bookmarkEnd w:id="1119"/>
      <w:bookmarkEnd w:id="1120"/>
    </w:p>
    <w:p w14:paraId="4750EE0A">
      <w:pPr>
        <w:pStyle w:val="39"/>
        <w:autoSpaceDE w:val="0"/>
        <w:autoSpaceDN w:val="0"/>
        <w:adjustRightInd w:val="0"/>
        <w:spacing w:line="360" w:lineRule="exact"/>
        <w:ind w:left="0" w:leftChars="0" w:firstLine="412"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spacing w:val="-2"/>
          <w:kern w:val="0"/>
          <w:sz w:val="21"/>
          <w:szCs w:val="21"/>
          <w:highlight w:val="none"/>
        </w:rPr>
        <w:t>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p>
    <w:p w14:paraId="510BF9B4">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13.2.2 承包人应加强对施工人员的质量教育和技术培训，定期考核施工人员的劳动技能，严格执行规范和操作规程。</w:t>
      </w:r>
    </w:p>
    <w:p w14:paraId="000BA4CC">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121" w:name="_Toc229450845"/>
      <w:bookmarkStart w:id="1122" w:name="_Toc260172788"/>
      <w:bookmarkStart w:id="1123" w:name="_Toc262675487"/>
      <w:bookmarkStart w:id="1124" w:name="_Toc312946446"/>
      <w:bookmarkStart w:id="1125" w:name="_Toc274249523"/>
      <w:bookmarkStart w:id="1126" w:name="_Toc9295"/>
      <w:bookmarkStart w:id="1127" w:name="_Toc272432193"/>
      <w:bookmarkStart w:id="1128" w:name="_Toc294891986"/>
      <w:r>
        <w:rPr>
          <w:rStyle w:val="75"/>
          <w:rFonts w:hint="eastAsia" w:ascii="宋体" w:hAnsi="宋体" w:eastAsia="宋体" w:cs="宋体"/>
          <w:b/>
          <w:color w:val="auto"/>
          <w:kern w:val="0"/>
          <w:sz w:val="21"/>
          <w:szCs w:val="21"/>
          <w:highlight w:val="none"/>
        </w:rPr>
        <w:t>13.3 承包人的质量检查</w:t>
      </w:r>
      <w:bookmarkEnd w:id="1121"/>
      <w:bookmarkEnd w:id="1122"/>
      <w:bookmarkEnd w:id="1123"/>
      <w:bookmarkEnd w:id="1124"/>
      <w:bookmarkEnd w:id="1125"/>
      <w:bookmarkEnd w:id="1126"/>
      <w:bookmarkEnd w:id="1127"/>
      <w:bookmarkEnd w:id="1128"/>
    </w:p>
    <w:p w14:paraId="65FEA144">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承包人应按合同约定对材料、工程设备以及工程的所有部位及其施工工艺进行全过程的质量检查和检验，并作详细记录，编制工程质量报表，报送监理人审查。</w:t>
      </w:r>
    </w:p>
    <w:p w14:paraId="038AA36D">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129" w:name="_Toc312946447"/>
      <w:bookmarkStart w:id="1130" w:name="_Toc274249524"/>
      <w:bookmarkStart w:id="1131" w:name="_Toc26279"/>
      <w:bookmarkStart w:id="1132" w:name="_Toc272432194"/>
      <w:bookmarkStart w:id="1133" w:name="_Toc262675488"/>
      <w:bookmarkStart w:id="1134" w:name="_Toc260172789"/>
      <w:bookmarkStart w:id="1135" w:name="_Toc229450846"/>
      <w:bookmarkStart w:id="1136" w:name="_Toc294891987"/>
      <w:r>
        <w:rPr>
          <w:rStyle w:val="75"/>
          <w:rFonts w:hint="eastAsia" w:ascii="宋体" w:hAnsi="宋体" w:eastAsia="宋体" w:cs="宋体"/>
          <w:b/>
          <w:color w:val="auto"/>
          <w:kern w:val="0"/>
          <w:sz w:val="21"/>
          <w:szCs w:val="21"/>
          <w:highlight w:val="none"/>
        </w:rPr>
        <w:t>13.4 监理人的质量检查</w:t>
      </w:r>
      <w:bookmarkEnd w:id="1129"/>
      <w:bookmarkEnd w:id="1130"/>
      <w:bookmarkEnd w:id="1131"/>
      <w:bookmarkEnd w:id="1132"/>
      <w:bookmarkEnd w:id="1133"/>
      <w:bookmarkEnd w:id="1134"/>
      <w:bookmarkEnd w:id="1135"/>
      <w:bookmarkEnd w:id="1136"/>
    </w:p>
    <w:p w14:paraId="0D107FC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3E6F88FC">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137" w:name="_Toc262675489"/>
      <w:bookmarkStart w:id="1138" w:name="_Toc260172790"/>
      <w:bookmarkStart w:id="1139" w:name="_Toc229450847"/>
      <w:bookmarkStart w:id="1140" w:name="_Toc312946448"/>
      <w:bookmarkStart w:id="1141" w:name="_Toc272432195"/>
      <w:bookmarkStart w:id="1142" w:name="_Toc14373"/>
      <w:bookmarkStart w:id="1143" w:name="_Toc274249525"/>
      <w:bookmarkStart w:id="1144" w:name="_Toc294891988"/>
      <w:r>
        <w:rPr>
          <w:rStyle w:val="75"/>
          <w:rFonts w:hint="eastAsia" w:ascii="宋体" w:hAnsi="宋体" w:eastAsia="宋体" w:cs="宋体"/>
          <w:b/>
          <w:color w:val="auto"/>
          <w:kern w:val="0"/>
          <w:sz w:val="21"/>
          <w:szCs w:val="21"/>
          <w:highlight w:val="none"/>
        </w:rPr>
        <w:t>13.5 工程隐蔽部位覆盖前的检查</w:t>
      </w:r>
      <w:bookmarkEnd w:id="1137"/>
      <w:bookmarkEnd w:id="1138"/>
      <w:bookmarkEnd w:id="1139"/>
      <w:bookmarkEnd w:id="1140"/>
      <w:bookmarkEnd w:id="1141"/>
      <w:bookmarkEnd w:id="1142"/>
      <w:bookmarkEnd w:id="1143"/>
      <w:bookmarkEnd w:id="1144"/>
    </w:p>
    <w:p w14:paraId="02EBE375">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13.5.1 通知监理人检查</w:t>
      </w:r>
    </w:p>
    <w:p w14:paraId="72746AC3">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787CF007">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13.5.2 监理人未到场检查</w:t>
      </w:r>
    </w:p>
    <w:p w14:paraId="396E2333">
      <w:pPr>
        <w:pStyle w:val="39"/>
        <w:autoSpaceDE w:val="0"/>
        <w:autoSpaceDN w:val="0"/>
        <w:adjustRightInd w:val="0"/>
        <w:spacing w:line="360" w:lineRule="exact"/>
        <w:ind w:left="0" w:leftChars="0" w:firstLine="412"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spacing w:val="-2"/>
          <w:kern w:val="0"/>
          <w:sz w:val="21"/>
          <w:szCs w:val="21"/>
          <w:highlight w:val="none"/>
        </w:rPr>
        <w:t>监理人未按第13.5.1 项约定的时间进行检查的，除监理人另有指示外，承包人可自行完</w:t>
      </w:r>
      <w:r>
        <w:rPr>
          <w:rStyle w:val="75"/>
          <w:rFonts w:hint="eastAsia" w:ascii="宋体" w:hAnsi="宋体" w:eastAsia="宋体" w:cs="宋体"/>
          <w:color w:val="auto"/>
          <w:kern w:val="0"/>
          <w:sz w:val="21"/>
          <w:szCs w:val="21"/>
          <w:highlight w:val="none"/>
        </w:rPr>
        <w:t>成覆盖工作，并作相应记录报送监理人，监理人应签字确认。监理人事后对检查记录有疑问的，可按第13.5.3 项的约定重新检查。</w:t>
      </w:r>
    </w:p>
    <w:p w14:paraId="03F65031">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13.5.3 监理人重新检查</w:t>
      </w:r>
    </w:p>
    <w:p w14:paraId="53794F58">
      <w:pPr>
        <w:pStyle w:val="39"/>
        <w:autoSpaceDE w:val="0"/>
        <w:autoSpaceDN w:val="0"/>
        <w:adjustRightInd w:val="0"/>
        <w:spacing w:line="360" w:lineRule="exact"/>
        <w:ind w:left="0" w:leftChars="0" w:firstLine="404"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spacing w:val="-4"/>
          <w:kern w:val="0"/>
          <w:sz w:val="21"/>
          <w:szCs w:val="21"/>
          <w:highlight w:val="none"/>
        </w:rPr>
        <w:t>承包人按第13.5.1 项或第13.5.2 项覆盖工程隐蔽部位后，监理人对质量有疑问的，可要</w:t>
      </w:r>
      <w:r>
        <w:rPr>
          <w:rStyle w:val="75"/>
          <w:rFonts w:hint="eastAsia" w:ascii="宋体" w:hAnsi="宋体" w:eastAsia="宋体" w:cs="宋体"/>
          <w:color w:val="auto"/>
          <w:kern w:val="0"/>
          <w:sz w:val="21"/>
          <w:szCs w:val="21"/>
          <w:highlight w:val="none"/>
        </w:rPr>
        <w:t>求承包人对已覆盖的部位进行钻孔探测或揭开重新检验，承包人应遵照执行，并在检验后重</w:t>
      </w:r>
      <w:r>
        <w:rPr>
          <w:rStyle w:val="75"/>
          <w:rFonts w:hint="eastAsia" w:ascii="宋体" w:hAnsi="宋体" w:eastAsia="宋体" w:cs="宋体"/>
          <w:color w:val="auto"/>
          <w:spacing w:val="4"/>
          <w:kern w:val="0"/>
          <w:sz w:val="21"/>
          <w:szCs w:val="21"/>
          <w:highlight w:val="none"/>
        </w:rPr>
        <w:t>新覆盖恢复原状。经检验证明工程质量符合合同要求的，由发包人承担由此增加的费用和(或)工期延误，并支付承包人合理利润:经检验证明工程质量不符合合同要求的，由此增加的费</w:t>
      </w:r>
      <w:r>
        <w:rPr>
          <w:rStyle w:val="75"/>
          <w:rFonts w:hint="eastAsia" w:ascii="宋体" w:hAnsi="宋体" w:eastAsia="宋体" w:cs="宋体"/>
          <w:color w:val="auto"/>
          <w:kern w:val="0"/>
          <w:sz w:val="21"/>
          <w:szCs w:val="21"/>
          <w:highlight w:val="none"/>
        </w:rPr>
        <w:t>用和(或)工期延误由承包人承担。</w:t>
      </w:r>
    </w:p>
    <w:p w14:paraId="76355736">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13.5.4 承包人私自覆盖</w:t>
      </w:r>
    </w:p>
    <w:p w14:paraId="1147E59B">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承包人未通知监理人到场检查，私自将工程隐蔽部位覆盖的，监理人有权指示承包人钻孔探测或揭开检查，由此增加的费用和(或)工期延误由承包人承担。</w:t>
      </w:r>
    </w:p>
    <w:p w14:paraId="36A6DDA7">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145" w:name="_Toc1290"/>
      <w:bookmarkStart w:id="1146" w:name="_Toc260172791"/>
      <w:bookmarkStart w:id="1147" w:name="_Toc229450848"/>
      <w:bookmarkStart w:id="1148" w:name="_Toc312946449"/>
      <w:bookmarkStart w:id="1149" w:name="_Toc262675490"/>
      <w:bookmarkStart w:id="1150" w:name="_Toc274249526"/>
      <w:bookmarkStart w:id="1151" w:name="_Toc294891989"/>
      <w:bookmarkStart w:id="1152" w:name="_Toc272432196"/>
      <w:r>
        <w:rPr>
          <w:rStyle w:val="75"/>
          <w:rFonts w:hint="eastAsia" w:ascii="宋体" w:hAnsi="宋体" w:eastAsia="宋体" w:cs="宋体"/>
          <w:b/>
          <w:color w:val="auto"/>
          <w:kern w:val="0"/>
          <w:sz w:val="21"/>
          <w:szCs w:val="21"/>
          <w:highlight w:val="none"/>
        </w:rPr>
        <w:t>13.6 清除不合格工程</w:t>
      </w:r>
      <w:bookmarkEnd w:id="1145"/>
      <w:bookmarkEnd w:id="1146"/>
      <w:bookmarkEnd w:id="1147"/>
      <w:bookmarkEnd w:id="1148"/>
      <w:bookmarkEnd w:id="1149"/>
      <w:bookmarkEnd w:id="1150"/>
      <w:bookmarkEnd w:id="1151"/>
      <w:bookmarkEnd w:id="1152"/>
    </w:p>
    <w:p w14:paraId="65A26D0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20F7FC1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13.6.2 由于发包人提供的材料或工程设备不合格造成的工程不合格，需要承包人采取措施补救的，发包人应承担由此增加的费用和(或)工期延误，并支付承包人合理利润。</w:t>
      </w:r>
    </w:p>
    <w:p w14:paraId="1DA6C130">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153" w:name="_Toc262675491"/>
      <w:bookmarkStart w:id="1154" w:name="_Toc272432197"/>
      <w:bookmarkStart w:id="1155" w:name="_Toc274249527"/>
      <w:bookmarkStart w:id="1156" w:name="_Toc312946450"/>
      <w:bookmarkStart w:id="1157" w:name="_Toc31089"/>
      <w:bookmarkStart w:id="1158" w:name="_Toc294891990"/>
      <w:bookmarkStart w:id="1159" w:name="_Toc260172792"/>
      <w:r>
        <w:rPr>
          <w:rStyle w:val="75"/>
          <w:rFonts w:hint="eastAsia" w:ascii="宋体" w:hAnsi="宋体" w:eastAsia="宋体" w:cs="宋体"/>
          <w:b/>
          <w:color w:val="auto"/>
          <w:kern w:val="0"/>
          <w:sz w:val="21"/>
          <w:szCs w:val="21"/>
          <w:highlight w:val="none"/>
        </w:rPr>
        <w:t>13.7 质量评定</w:t>
      </w:r>
      <w:bookmarkEnd w:id="1153"/>
      <w:bookmarkEnd w:id="1154"/>
      <w:bookmarkEnd w:id="1155"/>
      <w:bookmarkEnd w:id="1156"/>
      <w:bookmarkEnd w:id="1157"/>
      <w:bookmarkEnd w:id="1158"/>
      <w:bookmarkEnd w:id="1159"/>
    </w:p>
    <w:p w14:paraId="5AD388E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13.7.1 发包人应组织承包人进行工程项目划分，并确定单位工程、主要分部工程、重要隐蔽单元工程和关键部位单元工程。</w:t>
      </w:r>
    </w:p>
    <w:p w14:paraId="0EC7988E">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13.7.2 工程实施过程中，单位工程、主要分部工程、重要隐蔽单元工程和关键部位单元工程的项目划分需要调整时，承包人应报发包人确认。</w:t>
      </w:r>
    </w:p>
    <w:p w14:paraId="617C9F0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13.7.3 承包人应在单元（工序）工程质量自评合格后，报监理人核定质量等级并签证认可。</w:t>
      </w:r>
    </w:p>
    <w:p w14:paraId="220A2E9C">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p>
    <w:p w14:paraId="14B2D52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13.7.5 承包人应在分部工程质量自评合格后，报监理人复核和发包人认定。发包人负责按有关规定完成分部工程质量结论报工程质量监督机构核备（核定）手续。</w:t>
      </w:r>
    </w:p>
    <w:p w14:paraId="502DA4D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13.7.6 承包人应在单位工程质量自评合格后，报监理人复核和发包人认定。发包人负责按有关规定完成单位工程质量结论报工程质量监督机构核定手续。</w:t>
      </w:r>
    </w:p>
    <w:p w14:paraId="2C2C88F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13.7.7 除专用合同条款另有约定外，工程质量等级分为合格和优良，应分另达到约定的标准。</w:t>
      </w:r>
    </w:p>
    <w:p w14:paraId="628B83A6">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160" w:name="_Toc28009"/>
      <w:bookmarkStart w:id="1161" w:name="_Toc272432198"/>
      <w:bookmarkStart w:id="1162" w:name="_Toc312946451"/>
      <w:bookmarkStart w:id="1163" w:name="_Toc274249528"/>
      <w:bookmarkStart w:id="1164" w:name="_Toc262675492"/>
      <w:bookmarkStart w:id="1165" w:name="_Toc294891991"/>
      <w:bookmarkStart w:id="1166" w:name="_Toc260172793"/>
      <w:r>
        <w:rPr>
          <w:rStyle w:val="75"/>
          <w:rFonts w:hint="eastAsia" w:ascii="宋体" w:hAnsi="宋体" w:eastAsia="宋体" w:cs="宋体"/>
          <w:b/>
          <w:color w:val="auto"/>
          <w:kern w:val="0"/>
          <w:sz w:val="21"/>
          <w:szCs w:val="21"/>
          <w:highlight w:val="none"/>
        </w:rPr>
        <w:t>13.8 质量事故处理</w:t>
      </w:r>
      <w:bookmarkEnd w:id="1160"/>
      <w:bookmarkEnd w:id="1161"/>
      <w:bookmarkEnd w:id="1162"/>
      <w:bookmarkEnd w:id="1163"/>
      <w:bookmarkEnd w:id="1164"/>
      <w:bookmarkEnd w:id="1165"/>
      <w:bookmarkEnd w:id="1166"/>
    </w:p>
    <w:p w14:paraId="76F22FA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13.8.1 发生质量事故时，承包人应及时向发包人和监理人报告。</w:t>
      </w:r>
    </w:p>
    <w:p w14:paraId="1814E7F4">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13.8.2 质量事故调查处理由发包人按相关规定履行手续，承包人应配合。</w:t>
      </w:r>
    </w:p>
    <w:p w14:paraId="7CF617D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13.8.3 承包人应对质量缺陷进行备案。发包人委托监理人对质量缺陷备案情况进行监督检查并履行相关手续。</w:t>
      </w:r>
    </w:p>
    <w:p w14:paraId="54450F1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13.8.4 除专用合同条款另有约定外，工程竣工验收时，发包人负责向竣工验收委员会汇报并提交历次质量缺陷处理的备案资料。</w:t>
      </w:r>
    </w:p>
    <w:p w14:paraId="38B9AEF4">
      <w:pPr>
        <w:pStyle w:val="39"/>
        <w:autoSpaceDE w:val="0"/>
        <w:autoSpaceDN w:val="0"/>
        <w:adjustRightInd w:val="0"/>
        <w:spacing w:line="360" w:lineRule="exact"/>
        <w:ind w:left="0" w:leftChars="0" w:firstLine="422" w:firstLineChars="200"/>
        <w:jc w:val="left"/>
        <w:outlineLvl w:val="2"/>
        <w:rPr>
          <w:rStyle w:val="75"/>
          <w:rFonts w:hint="eastAsia" w:ascii="宋体" w:hAnsi="宋体" w:eastAsia="宋体" w:cs="宋体"/>
          <w:b/>
          <w:color w:val="auto"/>
          <w:kern w:val="0"/>
          <w:sz w:val="21"/>
          <w:szCs w:val="21"/>
          <w:highlight w:val="none"/>
        </w:rPr>
      </w:pPr>
      <w:bookmarkStart w:id="1167" w:name="_Toc272432199"/>
      <w:bookmarkStart w:id="1168" w:name="_Toc294891992"/>
      <w:bookmarkStart w:id="1169" w:name="_Toc312946452"/>
      <w:bookmarkStart w:id="1170" w:name="_Toc262675493"/>
      <w:bookmarkStart w:id="1171" w:name="_Toc260172794"/>
      <w:bookmarkStart w:id="1172" w:name="_Toc274249529"/>
      <w:bookmarkStart w:id="1173" w:name="_Toc199322046"/>
      <w:bookmarkStart w:id="1174" w:name="_Toc13992"/>
      <w:bookmarkStart w:id="1175" w:name="_Toc229450849"/>
      <w:r>
        <w:rPr>
          <w:rStyle w:val="75"/>
          <w:rFonts w:hint="eastAsia" w:ascii="宋体" w:hAnsi="宋体" w:eastAsia="宋体" w:cs="宋体"/>
          <w:b/>
          <w:color w:val="auto"/>
          <w:kern w:val="0"/>
          <w:sz w:val="21"/>
          <w:szCs w:val="21"/>
          <w:highlight w:val="none"/>
        </w:rPr>
        <w:t>14. 试验和检验</w:t>
      </w:r>
      <w:bookmarkEnd w:id="1167"/>
      <w:bookmarkEnd w:id="1168"/>
      <w:bookmarkEnd w:id="1169"/>
      <w:bookmarkEnd w:id="1170"/>
      <w:bookmarkEnd w:id="1171"/>
      <w:bookmarkEnd w:id="1172"/>
      <w:bookmarkEnd w:id="1173"/>
      <w:bookmarkEnd w:id="1174"/>
      <w:bookmarkEnd w:id="1175"/>
    </w:p>
    <w:p w14:paraId="2C19537F">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176" w:name="_Toc262675494"/>
      <w:bookmarkStart w:id="1177" w:name="_Toc294891993"/>
      <w:bookmarkStart w:id="1178" w:name="_Toc260172795"/>
      <w:bookmarkStart w:id="1179" w:name="_Toc272432200"/>
      <w:bookmarkStart w:id="1180" w:name="_Toc24940"/>
      <w:bookmarkStart w:id="1181" w:name="_Toc229450850"/>
      <w:bookmarkStart w:id="1182" w:name="_Toc312946453"/>
      <w:bookmarkStart w:id="1183" w:name="_Toc274249530"/>
      <w:r>
        <w:rPr>
          <w:rStyle w:val="75"/>
          <w:rFonts w:hint="eastAsia" w:ascii="宋体" w:hAnsi="宋体" w:eastAsia="宋体" w:cs="宋体"/>
          <w:b/>
          <w:color w:val="auto"/>
          <w:kern w:val="0"/>
          <w:sz w:val="21"/>
          <w:szCs w:val="21"/>
          <w:highlight w:val="none"/>
        </w:rPr>
        <w:t>14.1 材料、工程设备和工程的试验和检验</w:t>
      </w:r>
      <w:bookmarkEnd w:id="1176"/>
      <w:bookmarkEnd w:id="1177"/>
      <w:bookmarkEnd w:id="1178"/>
      <w:bookmarkEnd w:id="1179"/>
      <w:bookmarkEnd w:id="1180"/>
      <w:bookmarkEnd w:id="1181"/>
      <w:bookmarkEnd w:id="1182"/>
      <w:bookmarkEnd w:id="1183"/>
    </w:p>
    <w:p w14:paraId="5FB7E078">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57488DF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14.1.2 监理人未按合同约定派员参加试验和检验的，除监理人另有指示外，承包人可自行试验和检验，并应立即将试验和检验结果报送监理人，监理人应签字确认。</w:t>
      </w:r>
    </w:p>
    <w:p w14:paraId="5FB3606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351B044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14.1.4 承包人应按相关规定和标准对水泥、钢材等原材料与中间产品质量进行检验，并报监理人复核。</w:t>
      </w:r>
    </w:p>
    <w:p w14:paraId="11C3EEE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p>
    <w:p w14:paraId="4233973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14.1.6 对专用合同条款约定的试块、试件及有关材料，监理人实行见证取样。见证取样资料由承包人制备，记录应真实齐全，监理人、承包人等参与见证取样人员均应在相关文件上签字。</w:t>
      </w:r>
    </w:p>
    <w:p w14:paraId="63CAEFAA">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184" w:name="_Toc260172796"/>
      <w:bookmarkStart w:id="1185" w:name="_Toc272432201"/>
      <w:bookmarkStart w:id="1186" w:name="_Toc312946454"/>
      <w:bookmarkStart w:id="1187" w:name="_Toc294891994"/>
      <w:bookmarkStart w:id="1188" w:name="_Toc262675495"/>
      <w:bookmarkStart w:id="1189" w:name="_Toc229450851"/>
      <w:bookmarkStart w:id="1190" w:name="_Toc11210"/>
      <w:bookmarkStart w:id="1191" w:name="_Toc274249531"/>
      <w:r>
        <w:rPr>
          <w:rStyle w:val="75"/>
          <w:rFonts w:hint="eastAsia" w:ascii="宋体" w:hAnsi="宋体" w:eastAsia="宋体" w:cs="宋体"/>
          <w:b/>
          <w:color w:val="auto"/>
          <w:kern w:val="0"/>
          <w:sz w:val="21"/>
          <w:szCs w:val="21"/>
          <w:highlight w:val="none"/>
        </w:rPr>
        <w:t>14.2 现场材料试验</w:t>
      </w:r>
      <w:bookmarkEnd w:id="1184"/>
      <w:bookmarkEnd w:id="1185"/>
      <w:bookmarkEnd w:id="1186"/>
      <w:bookmarkEnd w:id="1187"/>
      <w:bookmarkEnd w:id="1188"/>
      <w:bookmarkEnd w:id="1189"/>
      <w:bookmarkEnd w:id="1190"/>
      <w:bookmarkEnd w:id="1191"/>
    </w:p>
    <w:p w14:paraId="53859F0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14.2.1 承包人根据合同约定或监理人指示进行的现场材料试验，应由承包人提供试验场所、试验人员、试验设备器材以及其他必要的试验条件。</w:t>
      </w:r>
    </w:p>
    <w:p w14:paraId="0C36058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14.2.2 监理人在必要时可以使用承包人的试验场所、试验设备器材以及其他试验条件，进行以工程质量检查为目的的复核性材料试验，承包人应予以协助。</w:t>
      </w:r>
    </w:p>
    <w:p w14:paraId="53BF7BC8">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192" w:name="_Toc312946455"/>
      <w:bookmarkStart w:id="1193" w:name="_Toc262675496"/>
      <w:bookmarkStart w:id="1194" w:name="_Toc229450852"/>
      <w:bookmarkStart w:id="1195" w:name="_Toc294891995"/>
      <w:bookmarkStart w:id="1196" w:name="_Toc274249532"/>
      <w:bookmarkStart w:id="1197" w:name="_Toc272432202"/>
      <w:bookmarkStart w:id="1198" w:name="_Toc260172797"/>
      <w:bookmarkStart w:id="1199" w:name="_Toc4639"/>
      <w:r>
        <w:rPr>
          <w:rStyle w:val="75"/>
          <w:rFonts w:hint="eastAsia" w:ascii="宋体" w:hAnsi="宋体" w:eastAsia="宋体" w:cs="宋体"/>
          <w:b/>
          <w:color w:val="auto"/>
          <w:kern w:val="0"/>
          <w:sz w:val="21"/>
          <w:szCs w:val="21"/>
          <w:highlight w:val="none"/>
        </w:rPr>
        <w:t>14.3 现场工艺试验</w:t>
      </w:r>
      <w:bookmarkEnd w:id="1192"/>
      <w:bookmarkEnd w:id="1193"/>
      <w:bookmarkEnd w:id="1194"/>
      <w:bookmarkEnd w:id="1195"/>
      <w:bookmarkEnd w:id="1196"/>
      <w:bookmarkEnd w:id="1197"/>
      <w:bookmarkEnd w:id="1198"/>
      <w:bookmarkEnd w:id="1199"/>
    </w:p>
    <w:p w14:paraId="40C1A87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承包人应按合同约定或监理人指示进行现场工艺试验.对大型的现场工艺试验，监理人认为必要时，应由承包人根据监理人提出的工艺试验要求，编制工艺试验措施计划，报送监理人审批。</w:t>
      </w:r>
    </w:p>
    <w:p w14:paraId="2597C362">
      <w:pPr>
        <w:pStyle w:val="39"/>
        <w:autoSpaceDE w:val="0"/>
        <w:autoSpaceDN w:val="0"/>
        <w:adjustRightInd w:val="0"/>
        <w:spacing w:line="360" w:lineRule="exact"/>
        <w:ind w:left="0" w:leftChars="0" w:firstLine="422" w:firstLineChars="200"/>
        <w:jc w:val="left"/>
        <w:outlineLvl w:val="2"/>
        <w:rPr>
          <w:rStyle w:val="75"/>
          <w:rFonts w:hint="eastAsia" w:ascii="宋体" w:hAnsi="宋体" w:eastAsia="宋体" w:cs="宋体"/>
          <w:b/>
          <w:color w:val="auto"/>
          <w:kern w:val="0"/>
          <w:sz w:val="21"/>
          <w:szCs w:val="21"/>
          <w:highlight w:val="none"/>
        </w:rPr>
      </w:pPr>
      <w:bookmarkStart w:id="1200" w:name="_Toc312946456"/>
      <w:bookmarkStart w:id="1201" w:name="_Toc24192"/>
      <w:bookmarkStart w:id="1202" w:name="_Toc229450853"/>
      <w:bookmarkStart w:id="1203" w:name="_Toc260172798"/>
      <w:bookmarkStart w:id="1204" w:name="_Toc199322047"/>
      <w:bookmarkStart w:id="1205" w:name="_Toc294891996"/>
      <w:bookmarkStart w:id="1206" w:name="_Toc262675497"/>
      <w:bookmarkStart w:id="1207" w:name="_Toc272432203"/>
      <w:bookmarkStart w:id="1208" w:name="_Toc274249533"/>
      <w:r>
        <w:rPr>
          <w:rStyle w:val="75"/>
          <w:rFonts w:hint="eastAsia" w:ascii="宋体" w:hAnsi="宋体" w:eastAsia="宋体" w:cs="宋体"/>
          <w:b/>
          <w:color w:val="auto"/>
          <w:kern w:val="0"/>
          <w:sz w:val="21"/>
          <w:szCs w:val="21"/>
          <w:highlight w:val="none"/>
        </w:rPr>
        <w:t>15. 变更</w:t>
      </w:r>
      <w:bookmarkEnd w:id="1200"/>
      <w:bookmarkEnd w:id="1201"/>
      <w:bookmarkEnd w:id="1202"/>
      <w:bookmarkEnd w:id="1203"/>
      <w:bookmarkEnd w:id="1204"/>
      <w:bookmarkEnd w:id="1205"/>
      <w:bookmarkEnd w:id="1206"/>
      <w:bookmarkEnd w:id="1207"/>
      <w:bookmarkEnd w:id="1208"/>
    </w:p>
    <w:p w14:paraId="0697AC9E">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209" w:name="_Toc272432204"/>
      <w:bookmarkStart w:id="1210" w:name="_Toc274249534"/>
      <w:bookmarkStart w:id="1211" w:name="_Toc19504"/>
      <w:bookmarkStart w:id="1212" w:name="_Toc262675498"/>
      <w:bookmarkStart w:id="1213" w:name="_Toc229450854"/>
      <w:bookmarkStart w:id="1214" w:name="_Toc260172799"/>
      <w:bookmarkStart w:id="1215" w:name="_Toc312946457"/>
      <w:bookmarkStart w:id="1216" w:name="_Toc294891997"/>
      <w:r>
        <w:rPr>
          <w:rStyle w:val="75"/>
          <w:rFonts w:hint="eastAsia" w:ascii="宋体" w:hAnsi="宋体" w:eastAsia="宋体" w:cs="宋体"/>
          <w:b/>
          <w:color w:val="auto"/>
          <w:kern w:val="0"/>
          <w:sz w:val="21"/>
          <w:szCs w:val="21"/>
          <w:highlight w:val="none"/>
        </w:rPr>
        <w:t>15.1 变更的范围和内容</w:t>
      </w:r>
      <w:bookmarkEnd w:id="1209"/>
      <w:bookmarkEnd w:id="1210"/>
      <w:bookmarkEnd w:id="1211"/>
      <w:bookmarkEnd w:id="1212"/>
      <w:bookmarkEnd w:id="1213"/>
      <w:bookmarkEnd w:id="1214"/>
      <w:bookmarkEnd w:id="1215"/>
      <w:bookmarkEnd w:id="1216"/>
    </w:p>
    <w:p w14:paraId="41D42FD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在履行合同中发生以下情形之一，应按照本款规定进行变更。</w:t>
      </w:r>
    </w:p>
    <w:p w14:paraId="702E3122">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取消合同中任何一项工作，但被取消的工作不能转由发包人或其他人实施；</w:t>
      </w:r>
    </w:p>
    <w:p w14:paraId="49CB13F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改变合同中任何一项工作的质量或其他特性；</w:t>
      </w:r>
    </w:p>
    <w:p w14:paraId="4AF8E602">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 改变合同工程的基线、标高、位置或尺寸；</w:t>
      </w:r>
    </w:p>
    <w:p w14:paraId="5869CDC7">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 改变合同中任何一项工作的施工时间或改变已批准的施工工艺或顺序；</w:t>
      </w:r>
    </w:p>
    <w:p w14:paraId="46CF580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(5) 为完成工程需要追加的额外工作；</w:t>
      </w:r>
    </w:p>
    <w:p w14:paraId="42F759F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（6）增加或减少专用合同条款中约定的关键项目工程量超过其工程总量的一定数量百分比。</w:t>
      </w:r>
    </w:p>
    <w:p w14:paraId="7B89EB47">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上述第（1）～（6）目的变更内容引起工程施工组织和进度计划发生实质性变动和影响其原定的价格时，才予调整该项目的单价。第（6）目情形下单价调整方式在专用合同条款中约定。</w:t>
      </w:r>
    </w:p>
    <w:p w14:paraId="1DF7C0DF">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217" w:name="_Toc283132695"/>
      <w:bookmarkStart w:id="1218" w:name="_Toc22491"/>
      <w:bookmarkStart w:id="1219" w:name="_Toc260172800"/>
      <w:bookmarkStart w:id="1220" w:name="_Toc274249535"/>
      <w:bookmarkStart w:id="1221" w:name="_Toc312946458"/>
      <w:bookmarkStart w:id="1222" w:name="_Toc229450855"/>
      <w:bookmarkStart w:id="1223" w:name="_Toc272432205"/>
      <w:bookmarkStart w:id="1224" w:name="_Toc262675499"/>
      <w:bookmarkStart w:id="1225" w:name="_Toc294891998"/>
      <w:r>
        <w:rPr>
          <w:rStyle w:val="75"/>
          <w:rFonts w:hint="eastAsia" w:ascii="宋体" w:hAnsi="宋体" w:eastAsia="宋体" w:cs="宋体"/>
          <w:b/>
          <w:color w:val="auto"/>
          <w:kern w:val="0"/>
          <w:sz w:val="21"/>
          <w:szCs w:val="21"/>
          <w:highlight w:val="none"/>
        </w:rPr>
        <w:t>15.2 变更权</w:t>
      </w:r>
      <w:bookmarkEnd w:id="1217"/>
      <w:bookmarkEnd w:id="1218"/>
      <w:bookmarkEnd w:id="1219"/>
      <w:bookmarkEnd w:id="1220"/>
      <w:bookmarkEnd w:id="1221"/>
      <w:bookmarkEnd w:id="1222"/>
      <w:bookmarkEnd w:id="1223"/>
      <w:bookmarkEnd w:id="1224"/>
      <w:bookmarkEnd w:id="1225"/>
    </w:p>
    <w:p w14:paraId="4A97F4AE">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在履行合同过程中，经发包人同意，监理人可按第15.3 款约定的变更程序向承包人作出变更指示，承包人应遵照执行。没有监理人的变更指示，承包人不得擅自变更。</w:t>
      </w:r>
    </w:p>
    <w:p w14:paraId="5C5B6E86">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226" w:name="_Toc260172801"/>
      <w:bookmarkStart w:id="1227" w:name="_Toc283132696"/>
      <w:bookmarkStart w:id="1228" w:name="_Toc262675500"/>
      <w:bookmarkStart w:id="1229" w:name="_Toc3862"/>
      <w:bookmarkStart w:id="1230" w:name="_Toc294891999"/>
      <w:bookmarkStart w:id="1231" w:name="_Toc229450856"/>
      <w:bookmarkStart w:id="1232" w:name="_Toc274249536"/>
      <w:bookmarkStart w:id="1233" w:name="_Toc272432206"/>
      <w:bookmarkStart w:id="1234" w:name="_Toc312946459"/>
      <w:r>
        <w:rPr>
          <w:rStyle w:val="75"/>
          <w:rFonts w:hint="eastAsia" w:ascii="宋体" w:hAnsi="宋体" w:eastAsia="宋体" w:cs="宋体"/>
          <w:b/>
          <w:color w:val="auto"/>
          <w:kern w:val="0"/>
          <w:sz w:val="21"/>
          <w:szCs w:val="21"/>
          <w:highlight w:val="none"/>
        </w:rPr>
        <w:t>15.3 变更程序</w:t>
      </w:r>
      <w:bookmarkEnd w:id="1226"/>
      <w:bookmarkEnd w:id="1227"/>
      <w:bookmarkEnd w:id="1228"/>
      <w:bookmarkEnd w:id="1229"/>
      <w:bookmarkEnd w:id="1230"/>
      <w:bookmarkEnd w:id="1231"/>
      <w:bookmarkEnd w:id="1232"/>
      <w:bookmarkEnd w:id="1233"/>
      <w:bookmarkEnd w:id="1234"/>
    </w:p>
    <w:p w14:paraId="0475FAF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235" w:name="_Toc199322048"/>
      <w:r>
        <w:rPr>
          <w:rStyle w:val="75"/>
          <w:rFonts w:hint="eastAsia" w:ascii="宋体" w:hAnsi="宋体" w:eastAsia="宋体" w:cs="宋体"/>
          <w:color w:val="auto"/>
          <w:kern w:val="0"/>
          <w:sz w:val="21"/>
          <w:szCs w:val="21"/>
          <w:highlight w:val="none"/>
        </w:rPr>
        <w:t>15.3.1 变更的提出</w:t>
      </w:r>
      <w:bookmarkEnd w:id="1235"/>
    </w:p>
    <w:p w14:paraId="611FA3B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在合同履行过程中，可能发生第15.1 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 项约定发出变更指示。</w:t>
      </w:r>
    </w:p>
    <w:p w14:paraId="28595B8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在合同履行过程中，发生第15.1 款约定情形的，监理人应按照第15.3.3 项约定向承包人发出变更指示。</w:t>
      </w:r>
    </w:p>
    <w:p w14:paraId="128EB0D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 承包人收到监理人按合同约定发出的图纸和文件，经检查认为其中存在第15.1 款约定情形的，可向监理人提出书面变更建议。变更建议应阐明要求变更的依据，并附必要的图纸和说明。监理人收到承包人书面建议后，应与发包人共同研究，确认存在变更的，应在收到承包人书面建议后的7 天内作出变更指示。经研究后不同意作为变更的，应由监理人书面答复承包人。</w:t>
      </w:r>
    </w:p>
    <w:p w14:paraId="3519714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 若承包人收到监理人的变更意向书后认为难以实施此项变更，应立即通知监理人，说明原因并附详细依据。监理人与承包人和发包人协商后确定撤销、改变或不改变原变更意向书。</w:t>
      </w:r>
    </w:p>
    <w:p w14:paraId="3E79108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15.3.2 变更估价</w:t>
      </w:r>
    </w:p>
    <w:p w14:paraId="12D73A6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除专用合同条款对期限另有约定外，承包人应在收到变更指示或变更意向书后的7天内，向监理人提交变更报价书，报价内容应根据第15.4款约定的估价原则，详细开列变更工作的价格组成及其依据，并附必要的施工方法说明和有关图纸。</w:t>
      </w:r>
    </w:p>
    <w:p w14:paraId="52C57CE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变更工作影响工期的，承包人应提出调整工期的具体细节。监理人认为有必要时，可要求承包人提交要求提前或延长工期的施工进度计划及相应施工措施等详细资料。</w:t>
      </w:r>
    </w:p>
    <w:p w14:paraId="40CCBB7C">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 除专用合同条款对期限另有约定外，监理人收到承包人变更报价书后的7天内，根据第15.4款约定的估价原则，按照第3.5款商定或确定变更价格。</w:t>
      </w:r>
    </w:p>
    <w:p w14:paraId="52D219F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236" w:name="_Toc199322049"/>
      <w:r>
        <w:rPr>
          <w:rStyle w:val="75"/>
          <w:rFonts w:hint="eastAsia" w:ascii="宋体" w:hAnsi="宋体" w:eastAsia="宋体" w:cs="宋体"/>
          <w:color w:val="auto"/>
          <w:kern w:val="0"/>
          <w:sz w:val="21"/>
          <w:szCs w:val="21"/>
          <w:highlight w:val="none"/>
        </w:rPr>
        <w:t>15.3.3 变更指示</w:t>
      </w:r>
      <w:bookmarkEnd w:id="1236"/>
    </w:p>
    <w:p w14:paraId="5F04CE6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变更指示只能由监理人发出。</w:t>
      </w:r>
    </w:p>
    <w:p w14:paraId="3808A26E">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变更指示应说明变更的目的、范围、变更内容以及变更的工程量及其进度和技术要求，并附有关图纸和文件。承包人收到变更指示后，应按变更指示进行变更工作。</w:t>
      </w:r>
    </w:p>
    <w:p w14:paraId="0C4A42F8">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237" w:name="_Toc283132697"/>
      <w:bookmarkStart w:id="1238" w:name="_Toc229450857"/>
      <w:bookmarkStart w:id="1239" w:name="_Toc272432207"/>
      <w:bookmarkStart w:id="1240" w:name="_Toc4444"/>
      <w:bookmarkStart w:id="1241" w:name="_Toc312946460"/>
      <w:bookmarkStart w:id="1242" w:name="_Toc260172802"/>
      <w:bookmarkStart w:id="1243" w:name="_Toc294892000"/>
      <w:bookmarkStart w:id="1244" w:name="_Toc274249537"/>
      <w:bookmarkStart w:id="1245" w:name="_Toc262675501"/>
      <w:r>
        <w:rPr>
          <w:rStyle w:val="75"/>
          <w:rFonts w:hint="eastAsia" w:ascii="宋体" w:hAnsi="宋体" w:eastAsia="宋体" w:cs="宋体"/>
          <w:b/>
          <w:color w:val="auto"/>
          <w:kern w:val="0"/>
          <w:sz w:val="21"/>
          <w:szCs w:val="21"/>
          <w:highlight w:val="none"/>
        </w:rPr>
        <w:t>15.4 变更的估价原则</w:t>
      </w:r>
      <w:bookmarkEnd w:id="1237"/>
      <w:bookmarkEnd w:id="1238"/>
      <w:bookmarkEnd w:id="1239"/>
      <w:bookmarkEnd w:id="1240"/>
      <w:bookmarkEnd w:id="1241"/>
      <w:bookmarkEnd w:id="1242"/>
      <w:bookmarkEnd w:id="1243"/>
      <w:bookmarkEnd w:id="1244"/>
      <w:bookmarkEnd w:id="1245"/>
    </w:p>
    <w:p w14:paraId="4AD5783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除专用合同条款另有约定外，因变更引起的价格调整按照本款约定处理。</w:t>
      </w:r>
    </w:p>
    <w:p w14:paraId="065D64F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15.4.1 已标价工程量清单中有适用于变更工作的子目的，采用该子目的单价。</w:t>
      </w:r>
    </w:p>
    <w:p w14:paraId="6C4B4C6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246" w:name="_Toc199322050"/>
      <w:r>
        <w:rPr>
          <w:rStyle w:val="75"/>
          <w:rFonts w:hint="eastAsia" w:ascii="宋体" w:hAnsi="宋体" w:eastAsia="宋体" w:cs="宋体"/>
          <w:color w:val="auto"/>
          <w:kern w:val="0"/>
          <w:sz w:val="21"/>
          <w:szCs w:val="21"/>
          <w:highlight w:val="none"/>
        </w:rPr>
        <w:t>15.4.2 已标价工程量清单中无适用于变更工作的子目，但有类似子目的，可在合理范围内参照类似子目的单价，由监理人按第3.5款商定或确定变更工作的单价。</w:t>
      </w:r>
      <w:bookmarkEnd w:id="1246"/>
    </w:p>
    <w:p w14:paraId="20CF9E3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15.4.3 已标价工程量清单中无适用或类似子目的单价，可按照成本加利润的原则，由监理人按第3.5 款商定或确定变更工作的单价。</w:t>
      </w:r>
    </w:p>
    <w:p w14:paraId="78F49244">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247" w:name="_Toc262675502"/>
      <w:bookmarkStart w:id="1248" w:name="_Toc274249538"/>
      <w:bookmarkStart w:id="1249" w:name="_Toc260172803"/>
      <w:bookmarkStart w:id="1250" w:name="_Toc312946461"/>
      <w:bookmarkStart w:id="1251" w:name="_Toc229450858"/>
      <w:bookmarkStart w:id="1252" w:name="_Toc283132698"/>
      <w:bookmarkStart w:id="1253" w:name="_Toc272432208"/>
      <w:bookmarkStart w:id="1254" w:name="_Toc294892001"/>
      <w:bookmarkStart w:id="1255" w:name="_Toc11927"/>
      <w:r>
        <w:rPr>
          <w:rStyle w:val="75"/>
          <w:rFonts w:hint="eastAsia" w:ascii="宋体" w:hAnsi="宋体" w:eastAsia="宋体" w:cs="宋体"/>
          <w:b/>
          <w:color w:val="auto"/>
          <w:kern w:val="0"/>
          <w:sz w:val="21"/>
          <w:szCs w:val="21"/>
          <w:highlight w:val="none"/>
        </w:rPr>
        <w:t>15.5 承包人的合理化建议</w:t>
      </w:r>
      <w:bookmarkEnd w:id="1247"/>
      <w:bookmarkEnd w:id="1248"/>
      <w:bookmarkEnd w:id="1249"/>
      <w:bookmarkEnd w:id="1250"/>
      <w:bookmarkEnd w:id="1251"/>
      <w:bookmarkEnd w:id="1252"/>
      <w:bookmarkEnd w:id="1253"/>
      <w:bookmarkEnd w:id="1254"/>
      <w:bookmarkEnd w:id="1255"/>
    </w:p>
    <w:p w14:paraId="0939997D">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 项约定向承包人发出变更指示。</w:t>
      </w:r>
    </w:p>
    <w:p w14:paraId="50D5D2E8">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256" w:name="_Toc199322051"/>
      <w:r>
        <w:rPr>
          <w:rStyle w:val="75"/>
          <w:rFonts w:hint="eastAsia" w:ascii="宋体" w:hAnsi="宋体" w:eastAsia="宋体" w:cs="宋体"/>
          <w:color w:val="auto"/>
          <w:kern w:val="0"/>
          <w:sz w:val="21"/>
          <w:szCs w:val="21"/>
          <w:highlight w:val="none"/>
        </w:rPr>
        <w:t>15.5.2 承包人提出的合理化建议降低了合同价格、缩短了工期或者提高了工程经济效益的，发包人可按国家有关规定在专用合同条款中约定给予奖励。</w:t>
      </w:r>
      <w:bookmarkEnd w:id="1256"/>
    </w:p>
    <w:p w14:paraId="338A0B6A">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257" w:name="_Toc22255"/>
      <w:bookmarkStart w:id="1258" w:name="_Toc283132699"/>
      <w:bookmarkStart w:id="1259" w:name="_Toc262675503"/>
      <w:bookmarkStart w:id="1260" w:name="_Toc312946462"/>
      <w:bookmarkStart w:id="1261" w:name="_Toc260172804"/>
      <w:bookmarkStart w:id="1262" w:name="_Toc229450859"/>
      <w:bookmarkStart w:id="1263" w:name="_Toc294892002"/>
      <w:bookmarkStart w:id="1264" w:name="_Toc272432209"/>
      <w:bookmarkStart w:id="1265" w:name="_Toc274249539"/>
      <w:r>
        <w:rPr>
          <w:rStyle w:val="75"/>
          <w:rFonts w:hint="eastAsia" w:ascii="宋体" w:hAnsi="宋体" w:eastAsia="宋体" w:cs="宋体"/>
          <w:b/>
          <w:color w:val="auto"/>
          <w:kern w:val="0"/>
          <w:sz w:val="21"/>
          <w:szCs w:val="21"/>
          <w:highlight w:val="none"/>
        </w:rPr>
        <w:t>15.6 暂列金额</w:t>
      </w:r>
      <w:bookmarkEnd w:id="1257"/>
      <w:bookmarkEnd w:id="1258"/>
      <w:bookmarkEnd w:id="1259"/>
      <w:bookmarkEnd w:id="1260"/>
      <w:bookmarkEnd w:id="1261"/>
      <w:bookmarkEnd w:id="1262"/>
      <w:bookmarkEnd w:id="1263"/>
      <w:bookmarkEnd w:id="1264"/>
      <w:bookmarkEnd w:id="1265"/>
    </w:p>
    <w:p w14:paraId="2738123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暂列金额只能按照监理人的指示使用，并对合同价格进行相应调整。</w:t>
      </w:r>
    </w:p>
    <w:p w14:paraId="7E84703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266" w:name="_Toc229450860"/>
      <w:bookmarkStart w:id="1267" w:name="_Toc294892003"/>
      <w:bookmarkStart w:id="1268" w:name="_Toc283132700"/>
      <w:bookmarkStart w:id="1269" w:name="_Toc260172805"/>
      <w:bookmarkStart w:id="1270" w:name="_Toc262675504"/>
      <w:bookmarkStart w:id="1271" w:name="_Toc272432210"/>
      <w:bookmarkStart w:id="1272" w:name="_Toc274249540"/>
      <w:r>
        <w:rPr>
          <w:rStyle w:val="75"/>
          <w:rFonts w:hint="eastAsia" w:ascii="宋体" w:hAnsi="宋体" w:eastAsia="宋体" w:cs="宋体"/>
          <w:color w:val="auto"/>
          <w:kern w:val="0"/>
          <w:sz w:val="21"/>
          <w:szCs w:val="21"/>
          <w:highlight w:val="none"/>
        </w:rPr>
        <w:t>15.7 计日工</w:t>
      </w:r>
      <w:bookmarkEnd w:id="1266"/>
      <w:bookmarkEnd w:id="1267"/>
      <w:bookmarkEnd w:id="1268"/>
      <w:bookmarkEnd w:id="1269"/>
      <w:bookmarkEnd w:id="1270"/>
      <w:bookmarkEnd w:id="1271"/>
      <w:bookmarkEnd w:id="1272"/>
    </w:p>
    <w:p w14:paraId="0F9AE98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15.7.1 发包人认为有必要时，由监理人通知承包人以计日工方式实施变更的零星工作。其价款按列入已标价工程量清单中的计日工计价子目及其单价进行计算。</w:t>
      </w:r>
    </w:p>
    <w:p w14:paraId="7124D1C7">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15.7.2 采用计日工计价的任何一项变更工作，应从暂列金额中支付，承包人应在该项变更的实施过程中，每天提交以下报表和有关凭证报送监理人审批：</w:t>
      </w:r>
    </w:p>
    <w:p w14:paraId="485DC3B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工作名称、内容和数量；</w:t>
      </w:r>
    </w:p>
    <w:p w14:paraId="6D428D2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投入该工作所有人员的姓名、工种、级别和耗用工时:</w:t>
      </w:r>
    </w:p>
    <w:p w14:paraId="5AA2CBD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 投入该工作的材料类别和数量:</w:t>
      </w:r>
    </w:p>
    <w:p w14:paraId="204A410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 投入该工作的施工设备型号、台数和耗用台时:</w:t>
      </w:r>
    </w:p>
    <w:p w14:paraId="59208F1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(5) 监理人要求提交的其他资料和凭证。</w:t>
      </w:r>
    </w:p>
    <w:p w14:paraId="78981C7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15.7.3 计日工由承包人汇总后，按第17.3.2 项的约定列入进度付款申请单，由监理人复核并经发包人同意后列入进度付款。</w:t>
      </w:r>
    </w:p>
    <w:p w14:paraId="3751FDEE">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273" w:name="_Toc262675505"/>
      <w:bookmarkStart w:id="1274" w:name="_Toc274249541"/>
      <w:bookmarkStart w:id="1275" w:name="_Toc312946463"/>
      <w:bookmarkStart w:id="1276" w:name="_Toc294892004"/>
      <w:bookmarkStart w:id="1277" w:name="_Toc229450861"/>
      <w:bookmarkStart w:id="1278" w:name="_Toc260172806"/>
      <w:bookmarkStart w:id="1279" w:name="_Toc283132701"/>
      <w:bookmarkStart w:id="1280" w:name="_Toc272432211"/>
      <w:bookmarkStart w:id="1281" w:name="_Toc22847"/>
      <w:r>
        <w:rPr>
          <w:rStyle w:val="75"/>
          <w:rFonts w:hint="eastAsia" w:ascii="宋体" w:hAnsi="宋体" w:eastAsia="宋体" w:cs="宋体"/>
          <w:b/>
          <w:color w:val="auto"/>
          <w:kern w:val="0"/>
          <w:sz w:val="21"/>
          <w:szCs w:val="21"/>
          <w:highlight w:val="none"/>
        </w:rPr>
        <w:t>15.8 暂估价</w:t>
      </w:r>
      <w:bookmarkEnd w:id="1273"/>
      <w:bookmarkEnd w:id="1274"/>
      <w:bookmarkEnd w:id="1275"/>
      <w:bookmarkEnd w:id="1276"/>
      <w:bookmarkEnd w:id="1277"/>
      <w:bookmarkEnd w:id="1278"/>
      <w:bookmarkEnd w:id="1279"/>
      <w:bookmarkEnd w:id="1280"/>
      <w:bookmarkEnd w:id="1281"/>
    </w:p>
    <w:p w14:paraId="6826881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p>
    <w:p w14:paraId="043E7A4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15.8.2 发包人在工程量清单中给定暂估价的材料和工程设备不属于依法必须招标的范围或未达到规定的规模标准的，应由承包人按第5 .1款的约定提供.经监理人确认的材料、工程设备的价格与工程量清单中所列的暂估价的金额差以及相应的税金等其他费用列入合同价格。</w:t>
      </w:r>
    </w:p>
    <w:p w14:paraId="5E0BB37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14:paraId="20C26124">
      <w:pPr>
        <w:pStyle w:val="39"/>
        <w:autoSpaceDE w:val="0"/>
        <w:autoSpaceDN w:val="0"/>
        <w:adjustRightInd w:val="0"/>
        <w:spacing w:line="360" w:lineRule="exact"/>
        <w:ind w:left="0" w:leftChars="0" w:firstLine="422" w:firstLineChars="200"/>
        <w:jc w:val="left"/>
        <w:outlineLvl w:val="2"/>
        <w:rPr>
          <w:rStyle w:val="75"/>
          <w:rFonts w:hint="eastAsia" w:ascii="宋体" w:hAnsi="宋体" w:eastAsia="宋体" w:cs="宋体"/>
          <w:b/>
          <w:color w:val="auto"/>
          <w:kern w:val="0"/>
          <w:sz w:val="21"/>
          <w:szCs w:val="21"/>
          <w:highlight w:val="none"/>
        </w:rPr>
      </w:pPr>
      <w:bookmarkStart w:id="1282" w:name="_Toc199322052"/>
      <w:bookmarkStart w:id="1283" w:name="_Toc262675506"/>
      <w:bookmarkStart w:id="1284" w:name="_Toc294892005"/>
      <w:bookmarkStart w:id="1285" w:name="_Toc11767"/>
      <w:bookmarkStart w:id="1286" w:name="_Toc260172807"/>
      <w:bookmarkStart w:id="1287" w:name="_Toc272432212"/>
      <w:bookmarkStart w:id="1288" w:name="_Toc312946464"/>
      <w:bookmarkStart w:id="1289" w:name="_Toc229450862"/>
      <w:bookmarkStart w:id="1290" w:name="_Toc274249542"/>
      <w:r>
        <w:rPr>
          <w:rStyle w:val="75"/>
          <w:rFonts w:hint="eastAsia" w:ascii="宋体" w:hAnsi="宋体" w:eastAsia="宋体" w:cs="宋体"/>
          <w:b/>
          <w:color w:val="auto"/>
          <w:kern w:val="0"/>
          <w:sz w:val="21"/>
          <w:szCs w:val="21"/>
          <w:highlight w:val="none"/>
        </w:rPr>
        <w:t>16. 价格调整</w:t>
      </w:r>
      <w:bookmarkEnd w:id="1282"/>
      <w:bookmarkEnd w:id="1283"/>
      <w:bookmarkEnd w:id="1284"/>
      <w:bookmarkEnd w:id="1285"/>
      <w:bookmarkEnd w:id="1286"/>
      <w:bookmarkEnd w:id="1287"/>
      <w:bookmarkEnd w:id="1288"/>
      <w:bookmarkEnd w:id="1289"/>
      <w:bookmarkEnd w:id="1290"/>
    </w:p>
    <w:p w14:paraId="17DBACC2">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按专用合同条款规定执行。</w:t>
      </w:r>
    </w:p>
    <w:p w14:paraId="5DB9311E">
      <w:pPr>
        <w:pStyle w:val="39"/>
        <w:autoSpaceDE w:val="0"/>
        <w:autoSpaceDN w:val="0"/>
        <w:adjustRightInd w:val="0"/>
        <w:spacing w:line="360" w:lineRule="exact"/>
        <w:ind w:left="0" w:leftChars="0" w:firstLine="422" w:firstLineChars="200"/>
        <w:jc w:val="left"/>
        <w:outlineLvl w:val="2"/>
        <w:rPr>
          <w:rStyle w:val="75"/>
          <w:rFonts w:hint="eastAsia" w:ascii="宋体" w:hAnsi="宋体" w:eastAsia="宋体" w:cs="宋体"/>
          <w:b/>
          <w:color w:val="auto"/>
          <w:kern w:val="0"/>
          <w:sz w:val="21"/>
          <w:szCs w:val="21"/>
          <w:highlight w:val="none"/>
        </w:rPr>
      </w:pPr>
      <w:bookmarkStart w:id="1291" w:name="_Toc199322053"/>
      <w:bookmarkStart w:id="1292" w:name="_Toc262675510"/>
      <w:bookmarkStart w:id="1293" w:name="_Toc260172809"/>
      <w:bookmarkStart w:id="1294" w:name="_Toc29637"/>
      <w:bookmarkStart w:id="1295" w:name="_Toc294892009"/>
      <w:bookmarkStart w:id="1296" w:name="_Toc229450864"/>
      <w:bookmarkStart w:id="1297" w:name="_Toc272432216"/>
      <w:bookmarkStart w:id="1298" w:name="_Toc274249544"/>
      <w:bookmarkStart w:id="1299" w:name="_Toc312946466"/>
      <w:r>
        <w:rPr>
          <w:rStyle w:val="75"/>
          <w:rFonts w:hint="eastAsia" w:ascii="宋体" w:hAnsi="宋体" w:eastAsia="宋体" w:cs="宋体"/>
          <w:b/>
          <w:color w:val="auto"/>
          <w:kern w:val="0"/>
          <w:sz w:val="21"/>
          <w:szCs w:val="21"/>
          <w:highlight w:val="none"/>
        </w:rPr>
        <w:t>17. 计量与支付</w:t>
      </w:r>
      <w:bookmarkEnd w:id="1291"/>
      <w:bookmarkEnd w:id="1292"/>
      <w:bookmarkEnd w:id="1293"/>
      <w:bookmarkEnd w:id="1294"/>
      <w:bookmarkEnd w:id="1295"/>
      <w:bookmarkEnd w:id="1296"/>
      <w:bookmarkEnd w:id="1297"/>
      <w:bookmarkEnd w:id="1298"/>
      <w:bookmarkEnd w:id="1299"/>
    </w:p>
    <w:p w14:paraId="4B06F6C0">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300" w:name="_Toc262675511"/>
      <w:bookmarkStart w:id="1301" w:name="_Toc199322054"/>
      <w:bookmarkStart w:id="1302" w:name="_Toc294892010"/>
      <w:bookmarkStart w:id="1303" w:name="_Toc312946467"/>
      <w:bookmarkStart w:id="1304" w:name="_Toc4523"/>
      <w:bookmarkStart w:id="1305" w:name="_Toc272432217"/>
      <w:bookmarkStart w:id="1306" w:name="_Toc229450865"/>
      <w:bookmarkStart w:id="1307" w:name="_Toc274249545"/>
      <w:bookmarkStart w:id="1308" w:name="_Toc260172810"/>
      <w:r>
        <w:rPr>
          <w:rStyle w:val="75"/>
          <w:rFonts w:hint="eastAsia" w:ascii="宋体" w:hAnsi="宋体" w:eastAsia="宋体" w:cs="宋体"/>
          <w:b/>
          <w:color w:val="auto"/>
          <w:kern w:val="0"/>
          <w:sz w:val="21"/>
          <w:szCs w:val="21"/>
          <w:highlight w:val="none"/>
        </w:rPr>
        <w:t>17.1 计量</w:t>
      </w:r>
      <w:bookmarkEnd w:id="1300"/>
      <w:bookmarkEnd w:id="1301"/>
      <w:bookmarkEnd w:id="1302"/>
      <w:bookmarkEnd w:id="1303"/>
      <w:bookmarkEnd w:id="1304"/>
      <w:bookmarkEnd w:id="1305"/>
      <w:bookmarkEnd w:id="1306"/>
      <w:bookmarkEnd w:id="1307"/>
      <w:bookmarkEnd w:id="1308"/>
    </w:p>
    <w:p w14:paraId="5B0A37E1">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309" w:name="_Toc488678484"/>
      <w:bookmarkStart w:id="1310" w:name="_Toc491246813"/>
      <w:bookmarkStart w:id="1311" w:name="_Toc199322055"/>
      <w:r>
        <w:rPr>
          <w:rStyle w:val="75"/>
          <w:rFonts w:hint="eastAsia" w:ascii="宋体" w:hAnsi="宋体" w:eastAsia="宋体" w:cs="宋体"/>
          <w:color w:val="auto"/>
          <w:kern w:val="0"/>
          <w:sz w:val="21"/>
          <w:szCs w:val="21"/>
          <w:highlight w:val="none"/>
        </w:rPr>
        <w:t>17.1.1 计量单位</w:t>
      </w:r>
      <w:bookmarkEnd w:id="1309"/>
      <w:bookmarkEnd w:id="1310"/>
      <w:bookmarkEnd w:id="1311"/>
    </w:p>
    <w:p w14:paraId="430E57B5">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计量采用国家法定的计量单位。</w:t>
      </w:r>
    </w:p>
    <w:p w14:paraId="1B1AA407">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312" w:name="_Toc488678485"/>
      <w:bookmarkStart w:id="1313" w:name="_Toc199322056"/>
      <w:bookmarkStart w:id="1314" w:name="_Toc491246814"/>
      <w:r>
        <w:rPr>
          <w:rStyle w:val="75"/>
          <w:rFonts w:hint="eastAsia" w:ascii="宋体" w:hAnsi="宋体" w:eastAsia="宋体" w:cs="宋体"/>
          <w:color w:val="auto"/>
          <w:kern w:val="0"/>
          <w:sz w:val="21"/>
          <w:szCs w:val="21"/>
          <w:highlight w:val="none"/>
        </w:rPr>
        <w:t>17.1.2 计量方法</w:t>
      </w:r>
      <w:bookmarkEnd w:id="1312"/>
      <w:bookmarkEnd w:id="1313"/>
      <w:bookmarkEnd w:id="1314"/>
    </w:p>
    <w:p w14:paraId="489485A4">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结算工程量应按工程量清单中约定的方法计量。</w:t>
      </w:r>
    </w:p>
    <w:p w14:paraId="55F15895">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315" w:name="_Toc199322057"/>
      <w:bookmarkStart w:id="1316" w:name="_Toc488678486"/>
      <w:bookmarkStart w:id="1317" w:name="_Toc491246815"/>
      <w:r>
        <w:rPr>
          <w:rStyle w:val="75"/>
          <w:rFonts w:hint="eastAsia" w:ascii="宋体" w:hAnsi="宋体" w:eastAsia="宋体" w:cs="宋体"/>
          <w:color w:val="auto"/>
          <w:kern w:val="0"/>
          <w:sz w:val="21"/>
          <w:szCs w:val="21"/>
          <w:highlight w:val="none"/>
        </w:rPr>
        <w:t>17.1.3 计量周期</w:t>
      </w:r>
      <w:bookmarkEnd w:id="1315"/>
      <w:bookmarkEnd w:id="1316"/>
      <w:bookmarkEnd w:id="1317"/>
    </w:p>
    <w:p w14:paraId="06BEC0CA">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除专用合同条款另有约定外，单价子目已完成工程量按月计量，总价子目的计量周期按批准的支付分解报告确定。</w:t>
      </w:r>
    </w:p>
    <w:p w14:paraId="3000C92C">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318" w:name="_Toc491246816"/>
      <w:bookmarkStart w:id="1319" w:name="_Toc488678487"/>
      <w:r>
        <w:rPr>
          <w:rStyle w:val="75"/>
          <w:rFonts w:hint="eastAsia" w:ascii="宋体" w:hAnsi="宋体" w:eastAsia="宋体" w:cs="宋体"/>
          <w:color w:val="auto"/>
          <w:kern w:val="0"/>
          <w:sz w:val="21"/>
          <w:szCs w:val="21"/>
          <w:highlight w:val="none"/>
        </w:rPr>
        <w:t>17.1.4 单价子目的计量</w:t>
      </w:r>
      <w:bookmarkEnd w:id="1318"/>
      <w:bookmarkEnd w:id="1319"/>
    </w:p>
    <w:p w14:paraId="5C14BB9B">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已标价工程量清单中的单价子目工程量为估算工程量。结算工程量是承包人实际完成的，并按合同约定的计量方法进行计量的工程量。</w:t>
      </w:r>
    </w:p>
    <w:p w14:paraId="7C808976">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承包人对已完成的工程进行计量，向监理人提交进度付款申请单、已完成工程量报表和有关计量资料。</w:t>
      </w:r>
    </w:p>
    <w:p w14:paraId="55B8FB56">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 监理人对承包人提交的工程量报表进行复核，以确定实际完成的工程量。对数量有异议的，可要求承包人按第8.2 款约定进行共同复核和抽样复测。承包人应协助监理人进行复核并按监理人要求提供补充计量资料。承包人未按监理人要求参加复核，监理人复核或修正的工程量视为承包人实际完成的工程量。</w:t>
      </w:r>
    </w:p>
    <w:p w14:paraId="6CDFDDBE">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 监理人认为有必要时，可通知承包人共同进行联合测量、计量，承包人应遵照执行。</w:t>
      </w:r>
    </w:p>
    <w:p w14:paraId="0D0F9697">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(5) 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末按监理人要求派员参加的，监理人最终核实的工程量视为承包人完成该子目的准确工程量。</w:t>
      </w:r>
    </w:p>
    <w:p w14:paraId="772D7F71">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(6) 监理人应在收到承包人提交的工程量报表后的7 天内进行复核，监理人未在约定时间内复核的，承包人提交的工程量报表中的工程量视为承包人实际完成的工程量，据此计算工程价款。</w:t>
      </w:r>
    </w:p>
    <w:p w14:paraId="7AD352B4">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320" w:name="_Toc491246817"/>
      <w:bookmarkStart w:id="1321" w:name="_Toc488678488"/>
      <w:bookmarkStart w:id="1322" w:name="_Toc199322058"/>
      <w:r>
        <w:rPr>
          <w:rStyle w:val="75"/>
          <w:rFonts w:hint="eastAsia" w:ascii="宋体" w:hAnsi="宋体" w:eastAsia="宋体" w:cs="宋体"/>
          <w:color w:val="auto"/>
          <w:kern w:val="0"/>
          <w:sz w:val="21"/>
          <w:szCs w:val="21"/>
          <w:highlight w:val="none"/>
        </w:rPr>
        <w:t>17.1.5 总价子目的计量</w:t>
      </w:r>
      <w:bookmarkEnd w:id="1320"/>
      <w:bookmarkEnd w:id="1321"/>
      <w:bookmarkEnd w:id="1322"/>
    </w:p>
    <w:p w14:paraId="2BE1F01E">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总价子目的分解和计量按照下述约定进行。</w:t>
      </w:r>
    </w:p>
    <w:p w14:paraId="2E47A786">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总价子目的计量和支付应以总价为基础，不因第16.1 款中的因素而进行调整。承包人实际完成的工程量，是进行工程目标管理和控制进度支付的依据。</w:t>
      </w:r>
    </w:p>
    <w:p w14:paraId="6374DD58">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p>
    <w:p w14:paraId="01181EAC">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 监理人对承包人提交的上述资料进行复核，以确定分阶段实际完成的工程量和工程形象目标。对其有异议的，可要求承包人按第8.2 款约定进行共同复核和抽样复测。</w:t>
      </w:r>
    </w:p>
    <w:p w14:paraId="1D40B7C8">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 除按照第15条约定的变更外，总价子目的工程量是承包人用于结算的最终工程量。</w:t>
      </w:r>
    </w:p>
    <w:p w14:paraId="6F506954">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323" w:name="_Toc312946468"/>
      <w:bookmarkStart w:id="1324" w:name="_Toc229450866"/>
      <w:bookmarkStart w:id="1325" w:name="_Toc294892011"/>
      <w:bookmarkStart w:id="1326" w:name="_Toc274249546"/>
      <w:bookmarkStart w:id="1327" w:name="_Toc30840"/>
      <w:bookmarkStart w:id="1328" w:name="_Toc260172811"/>
      <w:bookmarkStart w:id="1329" w:name="_Toc199322059"/>
      <w:bookmarkStart w:id="1330" w:name="_Toc262675512"/>
      <w:bookmarkStart w:id="1331" w:name="_Toc272432218"/>
      <w:r>
        <w:rPr>
          <w:rStyle w:val="75"/>
          <w:rFonts w:hint="eastAsia" w:ascii="宋体" w:hAnsi="宋体" w:eastAsia="宋体" w:cs="宋体"/>
          <w:b/>
          <w:color w:val="auto"/>
          <w:kern w:val="0"/>
          <w:sz w:val="21"/>
          <w:szCs w:val="21"/>
          <w:highlight w:val="none"/>
        </w:rPr>
        <w:t>17.2 预付款</w:t>
      </w:r>
      <w:bookmarkEnd w:id="1323"/>
      <w:bookmarkEnd w:id="1324"/>
      <w:bookmarkEnd w:id="1325"/>
      <w:bookmarkEnd w:id="1326"/>
      <w:bookmarkEnd w:id="1327"/>
      <w:bookmarkEnd w:id="1328"/>
      <w:bookmarkEnd w:id="1329"/>
      <w:bookmarkEnd w:id="1330"/>
      <w:bookmarkEnd w:id="1331"/>
    </w:p>
    <w:p w14:paraId="581DF4F0">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17.2.1 预付款</w:t>
      </w:r>
    </w:p>
    <w:p w14:paraId="078D8A04">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p>
    <w:p w14:paraId="26F0695C">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332" w:name="_Toc199322060"/>
      <w:r>
        <w:rPr>
          <w:rStyle w:val="75"/>
          <w:rFonts w:hint="eastAsia" w:ascii="宋体" w:hAnsi="宋体" w:eastAsia="宋体" w:cs="宋体"/>
          <w:color w:val="auto"/>
          <w:kern w:val="0"/>
          <w:sz w:val="21"/>
          <w:szCs w:val="21"/>
          <w:highlight w:val="none"/>
        </w:rPr>
        <w:t>17.2.2 预付款保函</w:t>
      </w:r>
      <w:bookmarkEnd w:id="1332"/>
      <w:r>
        <w:rPr>
          <w:rStyle w:val="75"/>
          <w:rFonts w:hint="eastAsia" w:ascii="宋体" w:hAnsi="宋体" w:eastAsia="宋体" w:cs="宋体"/>
          <w:color w:val="auto"/>
          <w:kern w:val="0"/>
          <w:sz w:val="21"/>
          <w:szCs w:val="21"/>
          <w:highlight w:val="none"/>
        </w:rPr>
        <w:t>（担保）</w:t>
      </w:r>
    </w:p>
    <w:p w14:paraId="5EFD6C97">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（1）承包应在收到第一次工程预付款的同时向发包人提交工程预付款担保，担保金额应与第一次工程预付款金额相同，工程预付款担保在第一次工程预付款被发包人扣回前一直有效。</w:t>
      </w:r>
    </w:p>
    <w:p w14:paraId="58109752">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（2）工程材料预付款的担保在专用合同条款中约定。</w:t>
      </w:r>
    </w:p>
    <w:p w14:paraId="43AFAF48">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（3）预付款担保的担保金额可根据预付款扣回的金额相应递减。</w:t>
      </w:r>
    </w:p>
    <w:p w14:paraId="0FBC0503">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17.2.3 预付款的扣回与还清</w:t>
      </w:r>
    </w:p>
    <w:p w14:paraId="07D78707">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预付款在进度付款中扣回，扣回与还清办法在专用合同条款中约定。在颁发合同工程完工证书前，由于不可抗力或其他原因解除合同时，预付款尚未扣清的，尚未扣清的预付款余额应作为承包人的到期应付款。</w:t>
      </w:r>
    </w:p>
    <w:p w14:paraId="0BD4148D">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333" w:name="_Toc272432219"/>
      <w:bookmarkStart w:id="1334" w:name="_Toc262675513"/>
      <w:bookmarkStart w:id="1335" w:name="_Toc294892012"/>
      <w:bookmarkStart w:id="1336" w:name="_Toc312946469"/>
      <w:bookmarkStart w:id="1337" w:name="_Toc5959"/>
      <w:bookmarkStart w:id="1338" w:name="_Toc260172812"/>
      <w:bookmarkStart w:id="1339" w:name="_Toc199322061"/>
      <w:bookmarkStart w:id="1340" w:name="_Toc229450867"/>
      <w:bookmarkStart w:id="1341" w:name="_Toc274249547"/>
      <w:r>
        <w:rPr>
          <w:rStyle w:val="75"/>
          <w:rFonts w:hint="eastAsia" w:ascii="宋体" w:hAnsi="宋体" w:eastAsia="宋体" w:cs="宋体"/>
          <w:b/>
          <w:color w:val="auto"/>
          <w:kern w:val="0"/>
          <w:sz w:val="21"/>
          <w:szCs w:val="21"/>
          <w:highlight w:val="none"/>
        </w:rPr>
        <w:t>17.3 工程进度付款</w:t>
      </w:r>
      <w:bookmarkEnd w:id="1333"/>
      <w:bookmarkEnd w:id="1334"/>
      <w:bookmarkEnd w:id="1335"/>
      <w:bookmarkEnd w:id="1336"/>
      <w:bookmarkEnd w:id="1337"/>
      <w:bookmarkEnd w:id="1338"/>
      <w:bookmarkEnd w:id="1339"/>
      <w:bookmarkEnd w:id="1340"/>
      <w:bookmarkEnd w:id="1341"/>
    </w:p>
    <w:p w14:paraId="78CCD7BF">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342" w:name="_Toc488678491"/>
      <w:bookmarkStart w:id="1343" w:name="_Toc491246820"/>
      <w:r>
        <w:rPr>
          <w:rStyle w:val="75"/>
          <w:rFonts w:hint="eastAsia" w:ascii="宋体" w:hAnsi="宋体" w:eastAsia="宋体" w:cs="宋体"/>
          <w:color w:val="auto"/>
          <w:kern w:val="0"/>
          <w:sz w:val="21"/>
          <w:szCs w:val="21"/>
          <w:highlight w:val="none"/>
        </w:rPr>
        <w:t>17.3.1 付款周期</w:t>
      </w:r>
      <w:bookmarkEnd w:id="1342"/>
      <w:bookmarkEnd w:id="1343"/>
    </w:p>
    <w:p w14:paraId="5E673827">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付款周期同计量周期。</w:t>
      </w:r>
    </w:p>
    <w:p w14:paraId="65D88B7D">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344" w:name="_Toc488678492"/>
      <w:bookmarkStart w:id="1345" w:name="_Toc491246821"/>
      <w:r>
        <w:rPr>
          <w:rStyle w:val="75"/>
          <w:rFonts w:hint="eastAsia" w:ascii="宋体" w:hAnsi="宋体" w:eastAsia="宋体" w:cs="宋体"/>
          <w:color w:val="auto"/>
          <w:kern w:val="0"/>
          <w:sz w:val="21"/>
          <w:szCs w:val="21"/>
          <w:highlight w:val="none"/>
        </w:rPr>
        <w:t>17.3.2 进度付款申请单</w:t>
      </w:r>
      <w:bookmarkEnd w:id="1344"/>
      <w:bookmarkEnd w:id="1345"/>
    </w:p>
    <w:p w14:paraId="1F9C5259">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承包人应在每个付款周期未，按监理人批准的格式和专用合同条款约定的份数，向监理人提交进度付款申请单，并附相应的支持性证明文件。除专用合同条款另有约定外，进度付款申请单应包括下列内容:</w:t>
      </w:r>
    </w:p>
    <w:p w14:paraId="7CDFD72E">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截至本次付款周期末已实施工程的价款；</w:t>
      </w:r>
    </w:p>
    <w:p w14:paraId="44DA7084">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根据第15条应增加和扣减的变更金额；</w:t>
      </w:r>
    </w:p>
    <w:p w14:paraId="4FDD19F4">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 根据第23条应增加和扣减的索赔金额；</w:t>
      </w:r>
    </w:p>
    <w:p w14:paraId="36B07B24">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 根据第17.2款约定应支付的预付款和扣减的返还预付款；</w:t>
      </w:r>
    </w:p>
    <w:p w14:paraId="5FACAC60">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(5) 根据第17.4.1项约定应扣减的质量保证金；</w:t>
      </w:r>
    </w:p>
    <w:p w14:paraId="09141C8C">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(6) 根据合同应增加和扣减的其他金额。</w:t>
      </w:r>
    </w:p>
    <w:p w14:paraId="16D146BE">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346" w:name="_Toc491246822"/>
      <w:bookmarkStart w:id="1347" w:name="_Toc488678493"/>
      <w:r>
        <w:rPr>
          <w:rStyle w:val="75"/>
          <w:rFonts w:hint="eastAsia" w:ascii="宋体" w:hAnsi="宋体" w:eastAsia="宋体" w:cs="宋体"/>
          <w:color w:val="auto"/>
          <w:kern w:val="0"/>
          <w:sz w:val="21"/>
          <w:szCs w:val="21"/>
          <w:highlight w:val="none"/>
        </w:rPr>
        <w:t>17.3.3 进度付款证书和支付时间</w:t>
      </w:r>
      <w:bookmarkEnd w:id="1346"/>
      <w:bookmarkEnd w:id="1347"/>
    </w:p>
    <w:p w14:paraId="2C14A836">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进度款支付按照专用合同条款执行。</w:t>
      </w:r>
    </w:p>
    <w:p w14:paraId="29427E26">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348" w:name="_Toc491246823"/>
      <w:bookmarkStart w:id="1349" w:name="_Toc488678494"/>
      <w:bookmarkStart w:id="1350" w:name="_Toc199322062"/>
      <w:r>
        <w:rPr>
          <w:rStyle w:val="75"/>
          <w:rFonts w:hint="eastAsia" w:ascii="宋体" w:hAnsi="宋体" w:eastAsia="宋体" w:cs="宋体"/>
          <w:color w:val="auto"/>
          <w:kern w:val="0"/>
          <w:sz w:val="21"/>
          <w:szCs w:val="21"/>
          <w:highlight w:val="none"/>
        </w:rPr>
        <w:t>17.3.4 工程进度付款的修正</w:t>
      </w:r>
      <w:bookmarkEnd w:id="1348"/>
      <w:bookmarkEnd w:id="1349"/>
      <w:bookmarkEnd w:id="1350"/>
    </w:p>
    <w:p w14:paraId="25C23961">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在对以往历次已签发的进度付款证书进行汇总和复核中发现错、漏或重复的，监理人有权予以修正，承包人也有权提出修正申请。经双方复核同意的修正，应在本改进度付款中支付或扣除。</w:t>
      </w:r>
    </w:p>
    <w:p w14:paraId="774080DB">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351" w:name="_Toc229450868"/>
      <w:bookmarkStart w:id="1352" w:name="_Toc199322063"/>
      <w:bookmarkStart w:id="1353" w:name="_Toc272432220"/>
      <w:bookmarkStart w:id="1354" w:name="_Toc312946470"/>
      <w:bookmarkStart w:id="1355" w:name="_Toc17187"/>
      <w:bookmarkStart w:id="1356" w:name="_Toc294892013"/>
      <w:bookmarkStart w:id="1357" w:name="_Toc274249548"/>
      <w:bookmarkStart w:id="1358" w:name="_Toc262675514"/>
      <w:bookmarkStart w:id="1359" w:name="_Toc260172813"/>
      <w:r>
        <w:rPr>
          <w:rStyle w:val="75"/>
          <w:rFonts w:hint="eastAsia" w:ascii="宋体" w:hAnsi="宋体" w:eastAsia="宋体" w:cs="宋体"/>
          <w:b/>
          <w:color w:val="auto"/>
          <w:kern w:val="0"/>
          <w:sz w:val="21"/>
          <w:szCs w:val="21"/>
          <w:highlight w:val="none"/>
        </w:rPr>
        <w:t>17.4 质量保证金</w:t>
      </w:r>
      <w:bookmarkEnd w:id="1351"/>
      <w:bookmarkEnd w:id="1352"/>
      <w:bookmarkEnd w:id="1353"/>
      <w:bookmarkEnd w:id="1354"/>
      <w:bookmarkEnd w:id="1355"/>
      <w:bookmarkEnd w:id="1356"/>
      <w:bookmarkEnd w:id="1357"/>
      <w:bookmarkEnd w:id="1358"/>
      <w:bookmarkEnd w:id="1359"/>
    </w:p>
    <w:p w14:paraId="32EFB6DA">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17.4.1 监理人应从第一个付款周期开始，在发包人的进度付款中，按专用合同条款的约定扣留质量保证金，直至扣留的质量保证金总额达到专用合同条款约定的金额或比例为止。质量保证金的计算额度不包括预付款的支付与扣回金额。</w:t>
      </w:r>
    </w:p>
    <w:p w14:paraId="216727F0">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17.4.2 合同工程完工证书颁发后的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p>
    <w:p w14:paraId="66DC1427">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17.4.3 在第1.1.4.5目约定的缺陷责任期满时，承包人没有完成缺陷责任的，发包人有权扣留与未履行责任剩余工作所需金额相应的质量保证金余额，并有权根据第19.3款约定要求延长缺陷责任期，直至完成剩余工作为止。</w:t>
      </w:r>
    </w:p>
    <w:p w14:paraId="4CC13238">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360" w:name="_Toc199322064"/>
      <w:bookmarkStart w:id="1361" w:name="_Toc229450869"/>
      <w:bookmarkStart w:id="1362" w:name="_Toc274249549"/>
      <w:bookmarkStart w:id="1363" w:name="_Toc294892014"/>
      <w:bookmarkStart w:id="1364" w:name="_Toc262675515"/>
      <w:bookmarkStart w:id="1365" w:name="_Toc260172814"/>
      <w:bookmarkStart w:id="1366" w:name="_Toc24805"/>
      <w:bookmarkStart w:id="1367" w:name="_Toc312946471"/>
      <w:bookmarkStart w:id="1368" w:name="_Toc272432221"/>
      <w:r>
        <w:rPr>
          <w:rStyle w:val="75"/>
          <w:rFonts w:hint="eastAsia" w:ascii="宋体" w:hAnsi="宋体" w:eastAsia="宋体" w:cs="宋体"/>
          <w:b/>
          <w:color w:val="auto"/>
          <w:kern w:val="0"/>
          <w:sz w:val="21"/>
          <w:szCs w:val="21"/>
          <w:highlight w:val="none"/>
        </w:rPr>
        <w:t>17.5 竣工结算</w:t>
      </w:r>
      <w:bookmarkEnd w:id="1360"/>
      <w:bookmarkEnd w:id="1361"/>
      <w:r>
        <w:rPr>
          <w:rStyle w:val="75"/>
          <w:rFonts w:hint="eastAsia" w:ascii="宋体" w:hAnsi="宋体" w:eastAsia="宋体" w:cs="宋体"/>
          <w:b/>
          <w:color w:val="auto"/>
          <w:kern w:val="0"/>
          <w:sz w:val="21"/>
          <w:szCs w:val="21"/>
          <w:highlight w:val="none"/>
        </w:rPr>
        <w:t>（完工结算）</w:t>
      </w:r>
      <w:bookmarkEnd w:id="1362"/>
      <w:bookmarkEnd w:id="1363"/>
      <w:bookmarkEnd w:id="1364"/>
      <w:bookmarkEnd w:id="1365"/>
      <w:bookmarkEnd w:id="1366"/>
      <w:bookmarkEnd w:id="1367"/>
      <w:bookmarkEnd w:id="1368"/>
    </w:p>
    <w:p w14:paraId="5539757C">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17.5.1 竣工（完工）付款申请单</w:t>
      </w:r>
    </w:p>
    <w:p w14:paraId="1EE5A383">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p>
    <w:p w14:paraId="572BC2F1">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监理人对完工付款申请单有异议的，有权要求承包人进行修正和提供补充资料。经监理人和承包人协商后，由承包人向监理人提交修正后的完工付款申请单。</w:t>
      </w:r>
    </w:p>
    <w:p w14:paraId="0220A97D">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17.5.2 竣工(完工)付款证书及支付时间</w:t>
      </w:r>
    </w:p>
    <w:p w14:paraId="2450BA32">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监理人在收到承包人提交的完工付款申请单后的14天内完成核查，提出发包人到期应支付给承包人的价款送发包人审核并抄送承包人。发包人应在收到后14 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p>
    <w:p w14:paraId="6E2AA553">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发包人应在监理人出具完工付款证书后的14天内，将应支付款支付给承包人。发包人不按期支付的，按第17.3.3 (2) 目的约定，将逾期付款违约金支付给承包人。</w:t>
      </w:r>
    </w:p>
    <w:p w14:paraId="48F74C87">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 承包人对发包人签认的完工付款证书有异议的，发包人可出具完工付款申请单中承包人已同意部分的临时付款证书。存在争议的部分，按第24条的约定办理。</w:t>
      </w:r>
    </w:p>
    <w:p w14:paraId="2F6EC6EF">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 完工付款涉及政府投资资金的，按第17.3.3 (4) 目的约定办理。</w:t>
      </w:r>
    </w:p>
    <w:p w14:paraId="2CF13617">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369" w:name="_Toc262675516"/>
      <w:bookmarkStart w:id="1370" w:name="_Toc260172815"/>
      <w:bookmarkStart w:id="1371" w:name="_Toc312946472"/>
      <w:bookmarkStart w:id="1372" w:name="_Toc13581"/>
      <w:bookmarkStart w:id="1373" w:name="_Toc272432222"/>
      <w:bookmarkStart w:id="1374" w:name="_Toc229450870"/>
      <w:bookmarkStart w:id="1375" w:name="_Toc274249550"/>
      <w:bookmarkStart w:id="1376" w:name="_Toc199322065"/>
      <w:bookmarkStart w:id="1377" w:name="_Toc294892015"/>
      <w:r>
        <w:rPr>
          <w:rStyle w:val="75"/>
          <w:rFonts w:hint="eastAsia" w:ascii="宋体" w:hAnsi="宋体" w:eastAsia="宋体" w:cs="宋体"/>
          <w:b/>
          <w:color w:val="auto"/>
          <w:kern w:val="0"/>
          <w:sz w:val="21"/>
          <w:szCs w:val="21"/>
          <w:highlight w:val="none"/>
        </w:rPr>
        <w:t>17.6 最终结清</w:t>
      </w:r>
      <w:bookmarkEnd w:id="1369"/>
      <w:bookmarkEnd w:id="1370"/>
      <w:bookmarkEnd w:id="1371"/>
      <w:bookmarkEnd w:id="1372"/>
      <w:bookmarkEnd w:id="1373"/>
      <w:bookmarkEnd w:id="1374"/>
      <w:bookmarkEnd w:id="1375"/>
      <w:bookmarkEnd w:id="1376"/>
      <w:bookmarkEnd w:id="1377"/>
    </w:p>
    <w:p w14:paraId="576166C2">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378" w:name="_Toc199322066"/>
      <w:r>
        <w:rPr>
          <w:rStyle w:val="75"/>
          <w:rFonts w:hint="eastAsia" w:ascii="宋体" w:hAnsi="宋体" w:eastAsia="宋体" w:cs="宋体"/>
          <w:color w:val="auto"/>
          <w:kern w:val="0"/>
          <w:sz w:val="21"/>
          <w:szCs w:val="21"/>
          <w:highlight w:val="none"/>
        </w:rPr>
        <w:t>17.6.1 最终结清申请单</w:t>
      </w:r>
      <w:bookmarkEnd w:id="1378"/>
    </w:p>
    <w:p w14:paraId="1669471C">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工程质量保修责任终止证书签发后，承包人应按监理人批准的格式提交最终结清申请单。提交最终结清申请单的份数在专用合同条款中约定。</w:t>
      </w:r>
    </w:p>
    <w:p w14:paraId="73BD613C">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发包人对最终结清申请单内容有异议的，有权要求承包人进行修正和提供补充资料，由承包人向监理人提交修正后的最终结清申请单。</w:t>
      </w:r>
    </w:p>
    <w:p w14:paraId="6C3B9A5C">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17.6.2 最终结清证书和支付时间</w:t>
      </w:r>
    </w:p>
    <w:p w14:paraId="17F1C773">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监理人收到承包人提交的最终结清申请单后的14 天内，提出发包人应支付给承包人的价款送发包人审核井抄送承包人。发包人应在收到后14 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0AF19F35">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发包人应在监理人出具最终结清证书后的14天内，将应支付款支付给承包人。发包人不按期支付的，按第17.3.3 (2) 目的约定，将逾期付款违约金支付给承包人。</w:t>
      </w:r>
    </w:p>
    <w:p w14:paraId="6197B9A6">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 承包人对发包人签认的最终结清证书有异议的，按第24 条的约定办理。</w:t>
      </w:r>
    </w:p>
    <w:p w14:paraId="7566773A">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 最终结清付款涉及政府投资资金的，按第17.3.3 (4)目的约定办理。</w:t>
      </w:r>
    </w:p>
    <w:p w14:paraId="3F188525">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379" w:name="_Toc260172816"/>
      <w:bookmarkStart w:id="1380" w:name="_Toc294892016"/>
      <w:bookmarkStart w:id="1381" w:name="_Toc274249551"/>
      <w:bookmarkStart w:id="1382" w:name="_Toc262675517"/>
      <w:bookmarkStart w:id="1383" w:name="_Toc272432223"/>
      <w:r>
        <w:rPr>
          <w:rStyle w:val="75"/>
          <w:rFonts w:hint="eastAsia" w:ascii="宋体" w:hAnsi="宋体" w:eastAsia="宋体" w:cs="宋体"/>
          <w:color w:val="auto"/>
          <w:kern w:val="0"/>
          <w:sz w:val="21"/>
          <w:szCs w:val="21"/>
          <w:highlight w:val="none"/>
        </w:rPr>
        <w:t>17.7 竣工财务决算</w:t>
      </w:r>
      <w:bookmarkEnd w:id="1379"/>
      <w:bookmarkEnd w:id="1380"/>
      <w:bookmarkEnd w:id="1381"/>
      <w:bookmarkEnd w:id="1382"/>
      <w:bookmarkEnd w:id="1383"/>
    </w:p>
    <w:p w14:paraId="174AD084">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发包人负责编制本工程项目竣工财务决算，承包人应按专用合同条款的约定提供竣工财务决算编制所需的相关材料。</w:t>
      </w:r>
    </w:p>
    <w:p w14:paraId="4F21C1B6">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384" w:name="_Toc294892017"/>
      <w:bookmarkStart w:id="1385" w:name="_Toc262675518"/>
      <w:bookmarkStart w:id="1386" w:name="_Toc260172817"/>
      <w:bookmarkStart w:id="1387" w:name="_Toc274249552"/>
      <w:bookmarkStart w:id="1388" w:name="_Toc312946473"/>
      <w:bookmarkStart w:id="1389" w:name="_Toc15352"/>
      <w:bookmarkStart w:id="1390" w:name="_Toc272432224"/>
      <w:r>
        <w:rPr>
          <w:rStyle w:val="75"/>
          <w:rFonts w:hint="eastAsia" w:ascii="宋体" w:hAnsi="宋体" w:eastAsia="宋体" w:cs="宋体"/>
          <w:b/>
          <w:color w:val="auto"/>
          <w:kern w:val="0"/>
          <w:sz w:val="21"/>
          <w:szCs w:val="21"/>
          <w:highlight w:val="none"/>
        </w:rPr>
        <w:t>17.8 竣工审计</w:t>
      </w:r>
      <w:bookmarkEnd w:id="1384"/>
      <w:bookmarkEnd w:id="1385"/>
      <w:bookmarkEnd w:id="1386"/>
      <w:bookmarkEnd w:id="1387"/>
      <w:bookmarkEnd w:id="1388"/>
      <w:bookmarkEnd w:id="1389"/>
      <w:bookmarkEnd w:id="1390"/>
    </w:p>
    <w:p w14:paraId="1E936AB1">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发包人负责完成本工程竣工审计手续，承包人应完成相关配合工作。</w:t>
      </w:r>
    </w:p>
    <w:p w14:paraId="067ACF1D">
      <w:pPr>
        <w:pStyle w:val="39"/>
        <w:autoSpaceDE w:val="0"/>
        <w:autoSpaceDN w:val="0"/>
        <w:adjustRightInd w:val="0"/>
        <w:spacing w:line="360" w:lineRule="exact"/>
        <w:ind w:left="0" w:leftChars="0" w:firstLine="422" w:firstLineChars="200"/>
        <w:jc w:val="left"/>
        <w:outlineLvl w:val="2"/>
        <w:rPr>
          <w:rStyle w:val="75"/>
          <w:rFonts w:hint="eastAsia" w:ascii="宋体" w:hAnsi="宋体" w:eastAsia="宋体" w:cs="宋体"/>
          <w:b/>
          <w:color w:val="auto"/>
          <w:kern w:val="0"/>
          <w:sz w:val="21"/>
          <w:szCs w:val="21"/>
          <w:highlight w:val="none"/>
        </w:rPr>
      </w:pPr>
      <w:bookmarkStart w:id="1391" w:name="_Toc199322067"/>
      <w:bookmarkStart w:id="1392" w:name="_Toc229450871"/>
      <w:bookmarkStart w:id="1393" w:name="_Toc294892018"/>
      <w:bookmarkStart w:id="1394" w:name="_Toc312946474"/>
      <w:bookmarkStart w:id="1395" w:name="_Toc14850"/>
      <w:bookmarkStart w:id="1396" w:name="_Toc262675519"/>
      <w:bookmarkStart w:id="1397" w:name="_Toc274249553"/>
      <w:bookmarkStart w:id="1398" w:name="_Toc260172818"/>
      <w:bookmarkStart w:id="1399" w:name="_Toc272432225"/>
      <w:r>
        <w:rPr>
          <w:rStyle w:val="75"/>
          <w:rFonts w:hint="eastAsia" w:ascii="宋体" w:hAnsi="宋体" w:eastAsia="宋体" w:cs="宋体"/>
          <w:b/>
          <w:color w:val="auto"/>
          <w:kern w:val="0"/>
          <w:sz w:val="21"/>
          <w:szCs w:val="21"/>
          <w:highlight w:val="none"/>
        </w:rPr>
        <w:t>18. 竣工验收</w:t>
      </w:r>
      <w:bookmarkEnd w:id="1391"/>
      <w:bookmarkEnd w:id="1392"/>
      <w:r>
        <w:rPr>
          <w:rStyle w:val="75"/>
          <w:rFonts w:hint="eastAsia" w:ascii="宋体" w:hAnsi="宋体" w:eastAsia="宋体" w:cs="宋体"/>
          <w:b/>
          <w:color w:val="auto"/>
          <w:kern w:val="0"/>
          <w:sz w:val="21"/>
          <w:szCs w:val="21"/>
          <w:highlight w:val="none"/>
        </w:rPr>
        <w:t>（验收）</w:t>
      </w:r>
      <w:bookmarkEnd w:id="1393"/>
      <w:bookmarkEnd w:id="1394"/>
      <w:bookmarkEnd w:id="1395"/>
      <w:bookmarkEnd w:id="1396"/>
      <w:bookmarkEnd w:id="1397"/>
      <w:bookmarkEnd w:id="1398"/>
      <w:bookmarkEnd w:id="1399"/>
    </w:p>
    <w:p w14:paraId="60665596">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400" w:name="_Toc199322068"/>
      <w:bookmarkStart w:id="1401" w:name="_Toc229450872"/>
      <w:bookmarkStart w:id="1402" w:name="_Toc28858"/>
      <w:bookmarkStart w:id="1403" w:name="_Toc294892019"/>
      <w:bookmarkStart w:id="1404" w:name="_Toc260172819"/>
      <w:bookmarkStart w:id="1405" w:name="_Toc312946475"/>
      <w:bookmarkStart w:id="1406" w:name="_Toc274249554"/>
      <w:bookmarkStart w:id="1407" w:name="_Toc272432226"/>
      <w:bookmarkStart w:id="1408" w:name="_Toc262675520"/>
      <w:r>
        <w:rPr>
          <w:rStyle w:val="75"/>
          <w:rFonts w:hint="eastAsia" w:ascii="宋体" w:hAnsi="宋体" w:eastAsia="宋体" w:cs="宋体"/>
          <w:b/>
          <w:color w:val="auto"/>
          <w:kern w:val="0"/>
          <w:sz w:val="21"/>
          <w:szCs w:val="21"/>
          <w:highlight w:val="none"/>
        </w:rPr>
        <w:t xml:space="preserve">18.1 </w:t>
      </w:r>
      <w:bookmarkEnd w:id="1400"/>
      <w:bookmarkEnd w:id="1401"/>
      <w:r>
        <w:rPr>
          <w:rStyle w:val="75"/>
          <w:rFonts w:hint="eastAsia" w:ascii="宋体" w:hAnsi="宋体" w:eastAsia="宋体" w:cs="宋体"/>
          <w:b/>
          <w:color w:val="auto"/>
          <w:kern w:val="0"/>
          <w:sz w:val="21"/>
          <w:szCs w:val="21"/>
          <w:highlight w:val="none"/>
        </w:rPr>
        <w:t>验收工作分类</w:t>
      </w:r>
      <w:bookmarkEnd w:id="1402"/>
      <w:bookmarkEnd w:id="1403"/>
      <w:bookmarkEnd w:id="1404"/>
      <w:bookmarkEnd w:id="1405"/>
      <w:bookmarkEnd w:id="1406"/>
      <w:bookmarkEnd w:id="1407"/>
      <w:bookmarkEnd w:id="1408"/>
    </w:p>
    <w:p w14:paraId="1DC68EBA">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本工程验收工作按主持单位分为法人验收和政府验收。法人验收和政府验收的类别在专用合同条款中约定。除专用合同条款另有约定外，法人验收由发包人主持。承包人就完成法人验收和政府验收的配合工作，所需费用应含在已标价工程量清单中。</w:t>
      </w:r>
    </w:p>
    <w:p w14:paraId="3CC9D62C">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409" w:name="_Toc229450873"/>
      <w:bookmarkStart w:id="1410" w:name="_Toc199322069"/>
      <w:bookmarkStart w:id="1411" w:name="_Toc260172820"/>
      <w:bookmarkStart w:id="1412" w:name="_Toc312946476"/>
      <w:bookmarkStart w:id="1413" w:name="_Toc15999"/>
      <w:bookmarkStart w:id="1414" w:name="_Toc274249555"/>
      <w:bookmarkStart w:id="1415" w:name="_Toc262675521"/>
      <w:bookmarkStart w:id="1416" w:name="_Toc294892020"/>
      <w:bookmarkStart w:id="1417" w:name="_Toc272432227"/>
      <w:r>
        <w:rPr>
          <w:rStyle w:val="75"/>
          <w:rFonts w:hint="eastAsia" w:ascii="宋体" w:hAnsi="宋体" w:eastAsia="宋体" w:cs="宋体"/>
          <w:b/>
          <w:color w:val="auto"/>
          <w:kern w:val="0"/>
          <w:sz w:val="21"/>
          <w:szCs w:val="21"/>
          <w:highlight w:val="none"/>
        </w:rPr>
        <w:t xml:space="preserve">18.2 </w:t>
      </w:r>
      <w:bookmarkEnd w:id="1409"/>
      <w:bookmarkEnd w:id="1410"/>
      <w:r>
        <w:rPr>
          <w:rStyle w:val="75"/>
          <w:rFonts w:hint="eastAsia" w:ascii="宋体" w:hAnsi="宋体" w:eastAsia="宋体" w:cs="宋体"/>
          <w:b/>
          <w:color w:val="auto"/>
          <w:kern w:val="0"/>
          <w:sz w:val="21"/>
          <w:szCs w:val="21"/>
          <w:highlight w:val="none"/>
        </w:rPr>
        <w:t>分部工程验收</w:t>
      </w:r>
      <w:bookmarkEnd w:id="1411"/>
      <w:bookmarkEnd w:id="1412"/>
      <w:bookmarkEnd w:id="1413"/>
      <w:bookmarkEnd w:id="1414"/>
      <w:bookmarkEnd w:id="1415"/>
      <w:bookmarkEnd w:id="1416"/>
      <w:bookmarkEnd w:id="1417"/>
    </w:p>
    <w:p w14:paraId="1F049B65">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18.2.1 分部工程具备验收条件时，承包人应向发包人提交验收申请报告，发包人应在收到验收申请报告之日起10个工作日内决定是否同意进行验收。</w:t>
      </w:r>
    </w:p>
    <w:p w14:paraId="3565E32B">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18.2.2 除专用合同条款另有约定外，监理人主持分部工程验收，承包人应派符合条件的代表参加验收工作组。</w:t>
      </w:r>
    </w:p>
    <w:p w14:paraId="17F7C26D">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18.2.3 分部工程验收通过后，发包人向承包人发送分部工程验收鉴定书。承包人应及时完成分部工程验收鉴定书载明应由承包人处理的遗留问题。</w:t>
      </w:r>
    </w:p>
    <w:p w14:paraId="50478253">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418" w:name="_Toc229450874"/>
      <w:bookmarkStart w:id="1419" w:name="_Toc199322070"/>
      <w:bookmarkStart w:id="1420" w:name="_Toc272432228"/>
      <w:bookmarkStart w:id="1421" w:name="_Toc274249556"/>
      <w:bookmarkStart w:id="1422" w:name="_Toc294892021"/>
      <w:bookmarkStart w:id="1423" w:name="_Toc312946477"/>
      <w:bookmarkStart w:id="1424" w:name="_Toc260172821"/>
      <w:bookmarkStart w:id="1425" w:name="_Toc262675522"/>
      <w:bookmarkStart w:id="1426" w:name="_Toc12824"/>
      <w:r>
        <w:rPr>
          <w:rStyle w:val="75"/>
          <w:rFonts w:hint="eastAsia" w:ascii="宋体" w:hAnsi="宋体" w:eastAsia="宋体" w:cs="宋体"/>
          <w:b/>
          <w:color w:val="auto"/>
          <w:kern w:val="0"/>
          <w:sz w:val="21"/>
          <w:szCs w:val="21"/>
          <w:highlight w:val="none"/>
        </w:rPr>
        <w:t xml:space="preserve">18.3 </w:t>
      </w:r>
      <w:bookmarkEnd w:id="1418"/>
      <w:bookmarkEnd w:id="1419"/>
      <w:r>
        <w:rPr>
          <w:rStyle w:val="75"/>
          <w:rFonts w:hint="eastAsia" w:ascii="宋体" w:hAnsi="宋体" w:eastAsia="宋体" w:cs="宋体"/>
          <w:b/>
          <w:color w:val="auto"/>
          <w:kern w:val="0"/>
          <w:sz w:val="21"/>
          <w:szCs w:val="21"/>
          <w:highlight w:val="none"/>
        </w:rPr>
        <w:t>单位工程验收</w:t>
      </w:r>
      <w:bookmarkEnd w:id="1420"/>
      <w:bookmarkEnd w:id="1421"/>
      <w:bookmarkEnd w:id="1422"/>
      <w:bookmarkEnd w:id="1423"/>
      <w:bookmarkEnd w:id="1424"/>
      <w:bookmarkEnd w:id="1425"/>
      <w:bookmarkEnd w:id="1426"/>
    </w:p>
    <w:p w14:paraId="14A5FA8C">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427" w:name="_Toc199322071"/>
      <w:r>
        <w:rPr>
          <w:rStyle w:val="75"/>
          <w:rFonts w:hint="eastAsia" w:ascii="宋体" w:hAnsi="宋体" w:eastAsia="宋体" w:cs="宋体"/>
          <w:color w:val="auto"/>
          <w:kern w:val="0"/>
          <w:sz w:val="21"/>
          <w:szCs w:val="21"/>
          <w:highlight w:val="none"/>
        </w:rPr>
        <w:t xml:space="preserve">18.3.1 </w:t>
      </w:r>
      <w:bookmarkEnd w:id="1427"/>
      <w:r>
        <w:rPr>
          <w:rStyle w:val="75"/>
          <w:rFonts w:hint="eastAsia" w:ascii="宋体" w:hAnsi="宋体" w:eastAsia="宋体" w:cs="宋体"/>
          <w:color w:val="auto"/>
          <w:kern w:val="0"/>
          <w:sz w:val="21"/>
          <w:szCs w:val="21"/>
          <w:highlight w:val="none"/>
        </w:rPr>
        <w:t>单位工程具备验收条件时，承包人应向发包人提交验收申请报告，发包人应在收到验收申请报告之日起10个工作日内决定是否同意进行验收。</w:t>
      </w:r>
    </w:p>
    <w:p w14:paraId="3B282504">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428" w:name="_Toc199322072"/>
      <w:r>
        <w:rPr>
          <w:rStyle w:val="75"/>
          <w:rFonts w:hint="eastAsia" w:ascii="宋体" w:hAnsi="宋体" w:eastAsia="宋体" w:cs="宋体"/>
          <w:color w:val="auto"/>
          <w:kern w:val="0"/>
          <w:sz w:val="21"/>
          <w:szCs w:val="21"/>
          <w:highlight w:val="none"/>
        </w:rPr>
        <w:t xml:space="preserve">18.3.2 </w:t>
      </w:r>
      <w:bookmarkEnd w:id="1428"/>
      <w:r>
        <w:rPr>
          <w:rStyle w:val="75"/>
          <w:rFonts w:hint="eastAsia" w:ascii="宋体" w:hAnsi="宋体" w:eastAsia="宋体" w:cs="宋体"/>
          <w:color w:val="auto"/>
          <w:kern w:val="0"/>
          <w:sz w:val="21"/>
          <w:szCs w:val="21"/>
          <w:highlight w:val="none"/>
        </w:rPr>
        <w:t>发包人主持单位工程验收，承包人应派符合条件的代表参加验收工作组。</w:t>
      </w:r>
    </w:p>
    <w:p w14:paraId="58CCC23F">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429" w:name="_Toc199322073"/>
      <w:r>
        <w:rPr>
          <w:rStyle w:val="75"/>
          <w:rFonts w:hint="eastAsia" w:ascii="宋体" w:hAnsi="宋体" w:eastAsia="宋体" w:cs="宋体"/>
          <w:color w:val="auto"/>
          <w:kern w:val="0"/>
          <w:sz w:val="21"/>
          <w:szCs w:val="21"/>
          <w:highlight w:val="none"/>
        </w:rPr>
        <w:t xml:space="preserve">18.3.3 </w:t>
      </w:r>
      <w:bookmarkEnd w:id="1429"/>
      <w:r>
        <w:rPr>
          <w:rStyle w:val="75"/>
          <w:rFonts w:hint="eastAsia" w:ascii="宋体" w:hAnsi="宋体" w:eastAsia="宋体" w:cs="宋体"/>
          <w:color w:val="auto"/>
          <w:kern w:val="0"/>
          <w:sz w:val="21"/>
          <w:szCs w:val="21"/>
          <w:highlight w:val="none"/>
        </w:rPr>
        <w:t>单位工程验收通过后，发包人向承包人发送单位工程验收鉴定书。承包人应及时完成单位工程验收鉴定书载明应由承包人处理的遗留问题。</w:t>
      </w:r>
    </w:p>
    <w:p w14:paraId="58C92F00">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430" w:name="_Toc199322074"/>
      <w:r>
        <w:rPr>
          <w:rStyle w:val="75"/>
          <w:rFonts w:hint="eastAsia" w:ascii="宋体" w:hAnsi="宋体" w:eastAsia="宋体" w:cs="宋体"/>
          <w:color w:val="auto"/>
          <w:kern w:val="0"/>
          <w:sz w:val="21"/>
          <w:szCs w:val="21"/>
          <w:highlight w:val="none"/>
        </w:rPr>
        <w:t xml:space="preserve">18.3.4 </w:t>
      </w:r>
      <w:bookmarkEnd w:id="1430"/>
      <w:r>
        <w:rPr>
          <w:rStyle w:val="75"/>
          <w:rFonts w:hint="eastAsia" w:ascii="宋体" w:hAnsi="宋体" w:eastAsia="宋体" w:cs="宋体"/>
          <w:color w:val="auto"/>
          <w:kern w:val="0"/>
          <w:sz w:val="21"/>
          <w:szCs w:val="21"/>
          <w:highlight w:val="none"/>
        </w:rPr>
        <w:t>需提交投入使用的单位工程在专用合同条款中明确。</w:t>
      </w:r>
    </w:p>
    <w:p w14:paraId="055C49AB">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431" w:name="_Toc199322077"/>
      <w:bookmarkStart w:id="1432" w:name="_Toc229450875"/>
      <w:bookmarkStart w:id="1433" w:name="_Toc294892022"/>
      <w:bookmarkStart w:id="1434" w:name="_Toc26753"/>
      <w:bookmarkStart w:id="1435" w:name="_Toc260172822"/>
      <w:bookmarkStart w:id="1436" w:name="_Toc274249557"/>
      <w:bookmarkStart w:id="1437" w:name="_Toc262675523"/>
      <w:bookmarkStart w:id="1438" w:name="_Toc312946478"/>
      <w:bookmarkStart w:id="1439" w:name="_Toc272432229"/>
      <w:r>
        <w:rPr>
          <w:rStyle w:val="75"/>
          <w:rFonts w:hint="eastAsia" w:ascii="宋体" w:hAnsi="宋体" w:eastAsia="宋体" w:cs="宋体"/>
          <w:b/>
          <w:color w:val="auto"/>
          <w:kern w:val="0"/>
          <w:sz w:val="21"/>
          <w:szCs w:val="21"/>
          <w:highlight w:val="none"/>
        </w:rPr>
        <w:t xml:space="preserve">18.4 </w:t>
      </w:r>
      <w:bookmarkEnd w:id="1431"/>
      <w:bookmarkEnd w:id="1432"/>
      <w:r>
        <w:rPr>
          <w:rStyle w:val="75"/>
          <w:rFonts w:hint="eastAsia" w:ascii="宋体" w:hAnsi="宋体" w:eastAsia="宋体" w:cs="宋体"/>
          <w:b/>
          <w:color w:val="auto"/>
          <w:kern w:val="0"/>
          <w:sz w:val="21"/>
          <w:szCs w:val="21"/>
          <w:highlight w:val="none"/>
        </w:rPr>
        <w:t>合同工程完工验收</w:t>
      </w:r>
      <w:bookmarkEnd w:id="1433"/>
      <w:bookmarkEnd w:id="1434"/>
      <w:bookmarkEnd w:id="1435"/>
      <w:bookmarkEnd w:id="1436"/>
      <w:bookmarkEnd w:id="1437"/>
      <w:bookmarkEnd w:id="1438"/>
      <w:bookmarkEnd w:id="1439"/>
    </w:p>
    <w:p w14:paraId="43CA3F08">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18.4.1 合同工程具备验收条件时，承包人应向发包人提交验收申请报告，发包人应在收到验收申请报告之日起20个工作日内决定是否同意进行验收。</w:t>
      </w:r>
    </w:p>
    <w:p w14:paraId="7C483E4E">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18.4.2 发包人主持合同工程完工验收后,承包人应派代表参加验收工作组。</w:t>
      </w:r>
    </w:p>
    <w:p w14:paraId="7FA2E83E">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18.4.3 合同工程完工验收通过后，发包人向承包人发送合同工程完工验收签定书。承包人应及时完成合同工程完工验收签定书载明应由承包人处理的遗留问题。</w:t>
      </w:r>
    </w:p>
    <w:p w14:paraId="3158F545">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18.4.4 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p>
    <w:p w14:paraId="6A72E665">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440" w:name="_Toc229450876"/>
      <w:bookmarkStart w:id="1441" w:name="_Toc262675524"/>
      <w:bookmarkStart w:id="1442" w:name="_Toc199322078"/>
      <w:bookmarkStart w:id="1443" w:name="_Toc272432230"/>
      <w:bookmarkStart w:id="1444" w:name="_Toc260172823"/>
      <w:bookmarkStart w:id="1445" w:name="_Toc23002"/>
      <w:bookmarkStart w:id="1446" w:name="_Toc294892023"/>
      <w:bookmarkStart w:id="1447" w:name="_Toc312946479"/>
      <w:bookmarkStart w:id="1448" w:name="_Toc274249558"/>
      <w:r>
        <w:rPr>
          <w:rStyle w:val="75"/>
          <w:rFonts w:hint="eastAsia" w:ascii="宋体" w:hAnsi="宋体" w:eastAsia="宋体" w:cs="宋体"/>
          <w:b/>
          <w:color w:val="auto"/>
          <w:kern w:val="0"/>
          <w:sz w:val="21"/>
          <w:szCs w:val="21"/>
          <w:highlight w:val="none"/>
        </w:rPr>
        <w:t xml:space="preserve">18.5 </w:t>
      </w:r>
      <w:bookmarkEnd w:id="1440"/>
      <w:bookmarkEnd w:id="1441"/>
      <w:bookmarkEnd w:id="1442"/>
      <w:bookmarkEnd w:id="1443"/>
      <w:bookmarkEnd w:id="1444"/>
      <w:r>
        <w:rPr>
          <w:rStyle w:val="75"/>
          <w:rFonts w:hint="eastAsia" w:ascii="宋体" w:hAnsi="宋体" w:eastAsia="宋体" w:cs="宋体"/>
          <w:b/>
          <w:color w:val="auto"/>
          <w:kern w:val="0"/>
          <w:sz w:val="21"/>
          <w:szCs w:val="21"/>
          <w:highlight w:val="none"/>
        </w:rPr>
        <w:t>阶段验收</w:t>
      </w:r>
      <w:bookmarkEnd w:id="1445"/>
      <w:bookmarkEnd w:id="1446"/>
      <w:bookmarkEnd w:id="1447"/>
      <w:bookmarkEnd w:id="1448"/>
    </w:p>
    <w:p w14:paraId="0DCC6A9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449" w:name="_Toc199322079"/>
      <w:r>
        <w:rPr>
          <w:rStyle w:val="75"/>
          <w:rFonts w:hint="eastAsia" w:ascii="宋体" w:hAnsi="宋体" w:eastAsia="宋体" w:cs="宋体"/>
          <w:color w:val="auto"/>
          <w:kern w:val="0"/>
          <w:sz w:val="21"/>
          <w:szCs w:val="21"/>
          <w:highlight w:val="none"/>
        </w:rPr>
        <w:t xml:space="preserve">18.5.1 </w:t>
      </w:r>
      <w:bookmarkEnd w:id="1449"/>
      <w:r>
        <w:rPr>
          <w:rStyle w:val="75"/>
          <w:rFonts w:hint="eastAsia" w:ascii="宋体" w:hAnsi="宋体" w:eastAsia="宋体" w:cs="宋体"/>
          <w:color w:val="auto"/>
          <w:kern w:val="0"/>
          <w:sz w:val="21"/>
          <w:szCs w:val="21"/>
          <w:highlight w:val="none"/>
        </w:rPr>
        <w:t>工程建设具备阶段验收条件时，发包人负责提出阶段验收申请报告。承包人应派代表参加阶段验收，并作为被验收单位在验收鉴定书上签字。阶段验收的具体类别在专用合同条款中约定。</w:t>
      </w:r>
    </w:p>
    <w:p w14:paraId="31876D9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450" w:name="_Toc199322080"/>
      <w:r>
        <w:rPr>
          <w:rStyle w:val="75"/>
          <w:rFonts w:hint="eastAsia" w:ascii="宋体" w:hAnsi="宋体" w:eastAsia="宋体" w:cs="宋体"/>
          <w:color w:val="auto"/>
          <w:kern w:val="0"/>
          <w:sz w:val="21"/>
          <w:szCs w:val="21"/>
          <w:highlight w:val="none"/>
        </w:rPr>
        <w:t xml:space="preserve">18.5.2 </w:t>
      </w:r>
      <w:bookmarkEnd w:id="1450"/>
      <w:r>
        <w:rPr>
          <w:rStyle w:val="75"/>
          <w:rFonts w:hint="eastAsia" w:ascii="宋体" w:hAnsi="宋体" w:eastAsia="宋体" w:cs="宋体"/>
          <w:color w:val="auto"/>
          <w:kern w:val="0"/>
          <w:sz w:val="21"/>
          <w:szCs w:val="21"/>
          <w:highlight w:val="none"/>
        </w:rPr>
        <w:t>承包人应及时完成阶段验收鉴定书载明应由承包人处理的遗留问题。</w:t>
      </w:r>
    </w:p>
    <w:p w14:paraId="1F5F4303">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451" w:name="_Toc272432231"/>
      <w:bookmarkStart w:id="1452" w:name="_Toc260172824"/>
      <w:bookmarkStart w:id="1453" w:name="_Toc199322081"/>
      <w:bookmarkStart w:id="1454" w:name="_Toc262675525"/>
      <w:bookmarkStart w:id="1455" w:name="_Toc229450877"/>
      <w:bookmarkStart w:id="1456" w:name="_Toc312946480"/>
      <w:bookmarkStart w:id="1457" w:name="_Toc294892024"/>
      <w:bookmarkStart w:id="1458" w:name="_Toc12164"/>
      <w:bookmarkStart w:id="1459" w:name="_Toc274249559"/>
      <w:r>
        <w:rPr>
          <w:rStyle w:val="75"/>
          <w:rFonts w:hint="eastAsia" w:ascii="宋体" w:hAnsi="宋体" w:eastAsia="宋体" w:cs="宋体"/>
          <w:b/>
          <w:color w:val="auto"/>
          <w:kern w:val="0"/>
          <w:sz w:val="21"/>
          <w:szCs w:val="21"/>
          <w:highlight w:val="none"/>
        </w:rPr>
        <w:t xml:space="preserve">18.6 </w:t>
      </w:r>
      <w:bookmarkEnd w:id="1451"/>
      <w:bookmarkEnd w:id="1452"/>
      <w:bookmarkEnd w:id="1453"/>
      <w:bookmarkEnd w:id="1454"/>
      <w:bookmarkEnd w:id="1455"/>
      <w:r>
        <w:rPr>
          <w:rStyle w:val="75"/>
          <w:rFonts w:hint="eastAsia" w:ascii="宋体" w:hAnsi="宋体" w:eastAsia="宋体" w:cs="宋体"/>
          <w:b/>
          <w:color w:val="auto"/>
          <w:kern w:val="0"/>
          <w:sz w:val="21"/>
          <w:szCs w:val="21"/>
          <w:highlight w:val="none"/>
        </w:rPr>
        <w:t>专项验收</w:t>
      </w:r>
      <w:bookmarkEnd w:id="1456"/>
      <w:bookmarkEnd w:id="1457"/>
      <w:bookmarkEnd w:id="1458"/>
      <w:bookmarkEnd w:id="1459"/>
    </w:p>
    <w:p w14:paraId="178F139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460" w:name="_Toc199322082"/>
      <w:r>
        <w:rPr>
          <w:rStyle w:val="75"/>
          <w:rFonts w:hint="eastAsia" w:ascii="宋体" w:hAnsi="宋体" w:eastAsia="宋体" w:cs="宋体"/>
          <w:color w:val="auto"/>
          <w:kern w:val="0"/>
          <w:sz w:val="21"/>
          <w:szCs w:val="21"/>
          <w:highlight w:val="none"/>
        </w:rPr>
        <w:t xml:space="preserve">18.6.1 </w:t>
      </w:r>
      <w:bookmarkEnd w:id="1460"/>
      <w:r>
        <w:rPr>
          <w:rStyle w:val="75"/>
          <w:rFonts w:hint="eastAsia" w:ascii="宋体" w:hAnsi="宋体" w:eastAsia="宋体" w:cs="宋体"/>
          <w:color w:val="auto"/>
          <w:kern w:val="0"/>
          <w:sz w:val="21"/>
          <w:szCs w:val="21"/>
          <w:highlight w:val="none"/>
        </w:rPr>
        <w:t>发包人负责提出专项验收申请报告。承包人应按专项验收的相关规定参加专项验收。专项验收的具体类别在专用合同条款中约定。</w:t>
      </w:r>
    </w:p>
    <w:p w14:paraId="3846C78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461" w:name="_Toc199322083"/>
      <w:r>
        <w:rPr>
          <w:rStyle w:val="75"/>
          <w:rFonts w:hint="eastAsia" w:ascii="宋体" w:hAnsi="宋体" w:eastAsia="宋体" w:cs="宋体"/>
          <w:color w:val="auto"/>
          <w:kern w:val="0"/>
          <w:sz w:val="21"/>
          <w:szCs w:val="21"/>
          <w:highlight w:val="none"/>
        </w:rPr>
        <w:t xml:space="preserve">18.6.2 </w:t>
      </w:r>
      <w:bookmarkEnd w:id="1461"/>
      <w:r>
        <w:rPr>
          <w:rStyle w:val="75"/>
          <w:rFonts w:hint="eastAsia" w:ascii="宋体" w:hAnsi="宋体" w:eastAsia="宋体" w:cs="宋体"/>
          <w:color w:val="auto"/>
          <w:kern w:val="0"/>
          <w:sz w:val="21"/>
          <w:szCs w:val="21"/>
          <w:highlight w:val="none"/>
        </w:rPr>
        <w:t>承包人应及时完成专项验收成果性文件载明应由承包人处理的遗留问题。</w:t>
      </w:r>
    </w:p>
    <w:p w14:paraId="5DC1C029">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462" w:name="_Toc229450878"/>
      <w:bookmarkStart w:id="1463" w:name="_Toc199322084"/>
      <w:bookmarkStart w:id="1464" w:name="_Toc294892025"/>
      <w:bookmarkStart w:id="1465" w:name="_Toc274249560"/>
      <w:bookmarkStart w:id="1466" w:name="_Toc262675526"/>
      <w:bookmarkStart w:id="1467" w:name="_Toc15124"/>
      <w:bookmarkStart w:id="1468" w:name="_Toc260172825"/>
      <w:bookmarkStart w:id="1469" w:name="_Toc272432232"/>
      <w:bookmarkStart w:id="1470" w:name="_Toc312946481"/>
      <w:r>
        <w:rPr>
          <w:rStyle w:val="75"/>
          <w:rFonts w:hint="eastAsia" w:ascii="宋体" w:hAnsi="宋体" w:eastAsia="宋体" w:cs="宋体"/>
          <w:b/>
          <w:color w:val="auto"/>
          <w:kern w:val="0"/>
          <w:sz w:val="21"/>
          <w:szCs w:val="21"/>
          <w:highlight w:val="none"/>
        </w:rPr>
        <w:t>18.7 竣工</w:t>
      </w:r>
      <w:bookmarkEnd w:id="1462"/>
      <w:bookmarkEnd w:id="1463"/>
      <w:r>
        <w:rPr>
          <w:rStyle w:val="75"/>
          <w:rFonts w:hint="eastAsia" w:ascii="宋体" w:hAnsi="宋体" w:eastAsia="宋体" w:cs="宋体"/>
          <w:b/>
          <w:color w:val="auto"/>
          <w:kern w:val="0"/>
          <w:sz w:val="21"/>
          <w:szCs w:val="21"/>
          <w:highlight w:val="none"/>
        </w:rPr>
        <w:t>验收</w:t>
      </w:r>
      <w:bookmarkEnd w:id="1464"/>
      <w:bookmarkEnd w:id="1465"/>
      <w:bookmarkEnd w:id="1466"/>
      <w:bookmarkEnd w:id="1467"/>
      <w:bookmarkEnd w:id="1468"/>
      <w:bookmarkEnd w:id="1469"/>
      <w:bookmarkEnd w:id="1470"/>
    </w:p>
    <w:p w14:paraId="0A7C5F6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18.7.1 申请竣工验收前，发包人组织竣工验收自查，承包人应派代表参加。</w:t>
      </w:r>
    </w:p>
    <w:p w14:paraId="57FB50E3">
      <w:pPr>
        <w:pStyle w:val="38"/>
        <w:spacing w:line="360" w:lineRule="exact"/>
        <w:ind w:left="0" w:leftChars="0" w:firstLine="412" w:firstLineChars="200"/>
        <w:jc w:val="left"/>
        <w:rPr>
          <w:rStyle w:val="75"/>
          <w:rFonts w:hint="eastAsia" w:ascii="宋体" w:hAnsi="宋体" w:eastAsia="宋体" w:cs="宋体"/>
          <w:color w:val="auto"/>
          <w:spacing w:val="-2"/>
          <w:kern w:val="0"/>
          <w:sz w:val="21"/>
          <w:szCs w:val="21"/>
          <w:highlight w:val="none"/>
        </w:rPr>
      </w:pPr>
      <w:r>
        <w:rPr>
          <w:rStyle w:val="75"/>
          <w:rFonts w:hint="eastAsia" w:ascii="宋体" w:hAnsi="宋体" w:eastAsia="宋体" w:cs="宋体"/>
          <w:color w:val="auto"/>
          <w:spacing w:val="-2"/>
          <w:kern w:val="0"/>
          <w:sz w:val="21"/>
          <w:szCs w:val="21"/>
          <w:highlight w:val="none"/>
        </w:rPr>
        <w:t>18.7.2 竣工验收分为竣工技术预验收和竣工验收两个阶段。发包人应通知承包人派代表参加技术预验收和竣工验收。</w:t>
      </w:r>
    </w:p>
    <w:p w14:paraId="6B88AC9A">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18.7.3 专用合同条款约定工程需要进行技术鉴定的，承包人应提交有关资料并完成配合工作。</w:t>
      </w:r>
    </w:p>
    <w:p w14:paraId="33B01DB1">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471" w:name="_Toc262675527"/>
      <w:r>
        <w:rPr>
          <w:rStyle w:val="75"/>
          <w:rFonts w:hint="eastAsia" w:ascii="宋体" w:hAnsi="宋体" w:eastAsia="宋体" w:cs="宋体"/>
          <w:color w:val="auto"/>
          <w:kern w:val="0"/>
          <w:sz w:val="21"/>
          <w:szCs w:val="21"/>
          <w:highlight w:val="none"/>
        </w:rPr>
        <w:t>18.7.4 竣工验收需要进行质量检测的，所需费用由发包人承担，但因承包人原因造成质量不合格的除外。</w:t>
      </w:r>
      <w:bookmarkEnd w:id="1471"/>
    </w:p>
    <w:p w14:paraId="3A791651">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18.7.5 工程质量保修期满以及竣工验收遗留问题和尾工处理完成并通过验收后，发包人负责将处理情况和验收成果报送竣工验收主持单位，申请领取工程竣工证书，并发送承包人。</w:t>
      </w:r>
    </w:p>
    <w:p w14:paraId="43A7D884">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472" w:name="_Toc229450879"/>
      <w:bookmarkStart w:id="1473" w:name="_Toc272432233"/>
      <w:bookmarkStart w:id="1474" w:name="_Toc274249561"/>
      <w:bookmarkStart w:id="1475" w:name="_Toc260172826"/>
      <w:bookmarkStart w:id="1476" w:name="_Toc262675528"/>
      <w:bookmarkStart w:id="1477" w:name="_Toc312946482"/>
      <w:bookmarkStart w:id="1478" w:name="_Toc5552"/>
      <w:bookmarkStart w:id="1479" w:name="_Toc294892026"/>
      <w:r>
        <w:rPr>
          <w:rStyle w:val="75"/>
          <w:rFonts w:hint="eastAsia" w:ascii="宋体" w:hAnsi="宋体" w:eastAsia="宋体" w:cs="宋体"/>
          <w:b/>
          <w:color w:val="auto"/>
          <w:kern w:val="0"/>
          <w:sz w:val="21"/>
          <w:szCs w:val="21"/>
          <w:highlight w:val="none"/>
        </w:rPr>
        <w:t>18.8 施工</w:t>
      </w:r>
      <w:bookmarkEnd w:id="1472"/>
      <w:r>
        <w:rPr>
          <w:rStyle w:val="75"/>
          <w:rFonts w:hint="eastAsia" w:ascii="宋体" w:hAnsi="宋体" w:eastAsia="宋体" w:cs="宋体"/>
          <w:b/>
          <w:color w:val="auto"/>
          <w:kern w:val="0"/>
          <w:sz w:val="21"/>
          <w:szCs w:val="21"/>
          <w:highlight w:val="none"/>
        </w:rPr>
        <w:t>期运行</w:t>
      </w:r>
      <w:bookmarkEnd w:id="1473"/>
      <w:bookmarkEnd w:id="1474"/>
      <w:bookmarkEnd w:id="1475"/>
      <w:bookmarkEnd w:id="1476"/>
      <w:bookmarkEnd w:id="1477"/>
      <w:bookmarkEnd w:id="1478"/>
      <w:bookmarkEnd w:id="1479"/>
    </w:p>
    <w:p w14:paraId="49F559E2">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18.8.1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p>
    <w:p w14:paraId="77B9C4DD">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18.8.2 在施工期运行中发现工程或工程设备损坏或存在缺陷的，由承包人按第19.2款约定进行修复。</w:t>
      </w:r>
    </w:p>
    <w:p w14:paraId="0499A84D">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480" w:name="_Toc272432234"/>
      <w:bookmarkStart w:id="1481" w:name="_Toc260172827"/>
      <w:bookmarkStart w:id="1482" w:name="_Toc274249562"/>
      <w:bookmarkStart w:id="1483" w:name="_Toc25895"/>
      <w:bookmarkStart w:id="1484" w:name="_Toc262675529"/>
      <w:bookmarkStart w:id="1485" w:name="_Toc312946483"/>
      <w:bookmarkStart w:id="1486" w:name="_Toc294892027"/>
      <w:r>
        <w:rPr>
          <w:rStyle w:val="75"/>
          <w:rFonts w:hint="eastAsia" w:ascii="宋体" w:hAnsi="宋体" w:eastAsia="宋体" w:cs="宋体"/>
          <w:b/>
          <w:color w:val="auto"/>
          <w:kern w:val="0"/>
          <w:sz w:val="21"/>
          <w:szCs w:val="21"/>
          <w:highlight w:val="none"/>
        </w:rPr>
        <w:t>18.9 试运行</w:t>
      </w:r>
      <w:bookmarkEnd w:id="1480"/>
      <w:bookmarkEnd w:id="1481"/>
      <w:bookmarkEnd w:id="1482"/>
      <w:bookmarkEnd w:id="1483"/>
      <w:bookmarkEnd w:id="1484"/>
      <w:bookmarkEnd w:id="1485"/>
      <w:bookmarkEnd w:id="1486"/>
    </w:p>
    <w:p w14:paraId="571FCAE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18.9.1除专用合同条款另有约定外，承包人应按规定进行工程及工程设备试运行，负责提供试运行所需人员、器材和必要的条件，并承担全部试运行费用。</w:t>
      </w:r>
    </w:p>
    <w:p w14:paraId="0F451114">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0DB418F0">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487" w:name="_Toc274249563"/>
      <w:bookmarkStart w:id="1488" w:name="_Toc262675530"/>
      <w:bookmarkStart w:id="1489" w:name="_Toc272432235"/>
      <w:bookmarkStart w:id="1490" w:name="_Toc312946484"/>
      <w:bookmarkStart w:id="1491" w:name="_Toc260172828"/>
      <w:bookmarkStart w:id="1492" w:name="_Toc4942"/>
      <w:bookmarkStart w:id="1493" w:name="_Toc294892028"/>
      <w:r>
        <w:rPr>
          <w:rStyle w:val="75"/>
          <w:rFonts w:hint="eastAsia" w:ascii="宋体" w:hAnsi="宋体" w:eastAsia="宋体" w:cs="宋体"/>
          <w:b/>
          <w:color w:val="auto"/>
          <w:kern w:val="0"/>
          <w:sz w:val="21"/>
          <w:szCs w:val="21"/>
          <w:highlight w:val="none"/>
        </w:rPr>
        <w:t>18.10 竣工（完工）清场</w:t>
      </w:r>
      <w:bookmarkEnd w:id="1487"/>
      <w:bookmarkEnd w:id="1488"/>
      <w:bookmarkEnd w:id="1489"/>
      <w:bookmarkEnd w:id="1490"/>
      <w:bookmarkEnd w:id="1491"/>
      <w:bookmarkEnd w:id="1492"/>
      <w:bookmarkEnd w:id="1493"/>
    </w:p>
    <w:p w14:paraId="0AA7A8C2">
      <w:pPr>
        <w:pStyle w:val="38"/>
        <w:spacing w:line="360" w:lineRule="exact"/>
        <w:ind w:left="0" w:leftChars="0" w:firstLine="412" w:firstLineChars="200"/>
        <w:jc w:val="left"/>
        <w:rPr>
          <w:rStyle w:val="75"/>
          <w:rFonts w:hint="eastAsia" w:ascii="宋体" w:hAnsi="宋体" w:eastAsia="宋体" w:cs="宋体"/>
          <w:color w:val="auto"/>
          <w:spacing w:val="-2"/>
          <w:kern w:val="0"/>
          <w:sz w:val="21"/>
          <w:szCs w:val="21"/>
          <w:highlight w:val="none"/>
        </w:rPr>
      </w:pPr>
      <w:r>
        <w:rPr>
          <w:rStyle w:val="75"/>
          <w:rFonts w:hint="eastAsia" w:ascii="宋体" w:hAnsi="宋体" w:eastAsia="宋体" w:cs="宋体"/>
          <w:color w:val="auto"/>
          <w:spacing w:val="-2"/>
          <w:kern w:val="0"/>
          <w:sz w:val="21"/>
          <w:szCs w:val="21"/>
          <w:highlight w:val="none"/>
        </w:rPr>
        <w:t>18.10.1 工程项目竣工（完工）清场的工作范围和内容在技术标准和要求（合同技术条款）中约定。</w:t>
      </w:r>
    </w:p>
    <w:p w14:paraId="295F2D0C">
      <w:pPr>
        <w:pStyle w:val="38"/>
        <w:spacing w:line="360" w:lineRule="exact"/>
        <w:ind w:left="0" w:leftChars="0" w:firstLine="412" w:firstLineChars="200"/>
        <w:jc w:val="left"/>
        <w:rPr>
          <w:rStyle w:val="75"/>
          <w:rFonts w:hint="eastAsia" w:ascii="宋体" w:hAnsi="宋体" w:eastAsia="宋体" w:cs="宋体"/>
          <w:color w:val="auto"/>
          <w:spacing w:val="-2"/>
          <w:kern w:val="0"/>
          <w:sz w:val="21"/>
          <w:szCs w:val="21"/>
          <w:highlight w:val="none"/>
        </w:rPr>
      </w:pPr>
      <w:r>
        <w:rPr>
          <w:rStyle w:val="75"/>
          <w:rFonts w:hint="eastAsia" w:ascii="宋体" w:hAnsi="宋体" w:eastAsia="宋体" w:cs="宋体"/>
          <w:color w:val="auto"/>
          <w:spacing w:val="-2"/>
          <w:kern w:val="0"/>
          <w:sz w:val="21"/>
          <w:szCs w:val="21"/>
          <w:highlight w:val="none"/>
        </w:rPr>
        <w:t>18.10.2 承包人未按监理人的要求恢复临时占地，或者场地清理未达到合同约定的，发包人有权委托其它人恢复或清理，所发生的金额从拟支付给承包人款项中扣除。</w:t>
      </w:r>
    </w:p>
    <w:p w14:paraId="7A23594D">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494" w:name="_Toc17379"/>
      <w:bookmarkStart w:id="1495" w:name="_Toc294892029"/>
      <w:bookmarkStart w:id="1496" w:name="_Toc312946485"/>
      <w:bookmarkStart w:id="1497" w:name="_Toc260172829"/>
      <w:bookmarkStart w:id="1498" w:name="_Toc262675531"/>
      <w:bookmarkStart w:id="1499" w:name="_Toc274249564"/>
      <w:bookmarkStart w:id="1500" w:name="_Toc272432236"/>
      <w:r>
        <w:rPr>
          <w:rStyle w:val="75"/>
          <w:rFonts w:hint="eastAsia" w:ascii="宋体" w:hAnsi="宋体" w:eastAsia="宋体" w:cs="宋体"/>
          <w:b/>
          <w:color w:val="auto"/>
          <w:kern w:val="0"/>
          <w:sz w:val="21"/>
          <w:szCs w:val="21"/>
          <w:highlight w:val="none"/>
        </w:rPr>
        <w:t>18.11 施工队伍的撤离</w:t>
      </w:r>
      <w:bookmarkEnd w:id="1494"/>
      <w:bookmarkEnd w:id="1495"/>
      <w:bookmarkEnd w:id="1496"/>
      <w:bookmarkEnd w:id="1497"/>
      <w:bookmarkEnd w:id="1498"/>
      <w:bookmarkEnd w:id="1499"/>
      <w:bookmarkEnd w:id="1500"/>
    </w:p>
    <w:p w14:paraId="12F1159E">
      <w:pPr>
        <w:pStyle w:val="38"/>
        <w:spacing w:line="360" w:lineRule="exact"/>
        <w:ind w:left="0" w:leftChars="0" w:firstLine="412"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spacing w:val="-2"/>
          <w:kern w:val="0"/>
          <w:sz w:val="21"/>
          <w:szCs w:val="21"/>
          <w:highlight w:val="none"/>
        </w:rPr>
        <w:t>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p>
    <w:p w14:paraId="38AC23B9">
      <w:pPr>
        <w:pStyle w:val="39"/>
        <w:autoSpaceDE w:val="0"/>
        <w:autoSpaceDN w:val="0"/>
        <w:adjustRightInd w:val="0"/>
        <w:spacing w:line="360" w:lineRule="exact"/>
        <w:ind w:left="0" w:leftChars="0" w:firstLine="422" w:firstLineChars="200"/>
        <w:jc w:val="left"/>
        <w:outlineLvl w:val="2"/>
        <w:rPr>
          <w:rStyle w:val="75"/>
          <w:rFonts w:hint="eastAsia" w:ascii="宋体" w:hAnsi="宋体" w:eastAsia="宋体" w:cs="宋体"/>
          <w:b/>
          <w:color w:val="auto"/>
          <w:kern w:val="0"/>
          <w:sz w:val="21"/>
          <w:szCs w:val="21"/>
          <w:highlight w:val="none"/>
        </w:rPr>
      </w:pPr>
      <w:bookmarkStart w:id="1501" w:name="_Toc262675532"/>
      <w:bookmarkStart w:id="1502" w:name="_Toc312946486"/>
      <w:bookmarkStart w:id="1503" w:name="_Toc260172830"/>
      <w:bookmarkStart w:id="1504" w:name="_Toc199322085"/>
      <w:bookmarkStart w:id="1505" w:name="_Toc229450880"/>
      <w:bookmarkStart w:id="1506" w:name="_Toc294892030"/>
      <w:bookmarkStart w:id="1507" w:name="_Toc274249565"/>
      <w:bookmarkStart w:id="1508" w:name="_Toc272432237"/>
      <w:bookmarkStart w:id="1509" w:name="_Toc3829"/>
      <w:r>
        <w:rPr>
          <w:rStyle w:val="75"/>
          <w:rFonts w:hint="eastAsia" w:ascii="宋体" w:hAnsi="宋体" w:eastAsia="宋体" w:cs="宋体"/>
          <w:b/>
          <w:color w:val="auto"/>
          <w:kern w:val="0"/>
          <w:sz w:val="21"/>
          <w:szCs w:val="21"/>
          <w:highlight w:val="none"/>
        </w:rPr>
        <w:t>19. 缺陷责任与保修责任</w:t>
      </w:r>
      <w:bookmarkEnd w:id="1501"/>
      <w:bookmarkEnd w:id="1502"/>
      <w:bookmarkEnd w:id="1503"/>
      <w:bookmarkEnd w:id="1504"/>
      <w:bookmarkEnd w:id="1505"/>
      <w:bookmarkEnd w:id="1506"/>
      <w:bookmarkEnd w:id="1507"/>
      <w:bookmarkEnd w:id="1508"/>
      <w:bookmarkEnd w:id="1509"/>
    </w:p>
    <w:p w14:paraId="2B0115AE">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510" w:name="_Toc199322086"/>
      <w:bookmarkStart w:id="1511" w:name="_Toc262675533"/>
      <w:bookmarkStart w:id="1512" w:name="_Toc229450881"/>
      <w:bookmarkStart w:id="1513" w:name="_Toc274249566"/>
      <w:bookmarkStart w:id="1514" w:name="_Toc294892031"/>
      <w:bookmarkStart w:id="1515" w:name="_Toc11647"/>
      <w:bookmarkStart w:id="1516" w:name="_Toc260172831"/>
      <w:bookmarkStart w:id="1517" w:name="_Toc312946487"/>
      <w:bookmarkStart w:id="1518" w:name="_Toc272432238"/>
      <w:r>
        <w:rPr>
          <w:rStyle w:val="75"/>
          <w:rFonts w:hint="eastAsia" w:ascii="宋体" w:hAnsi="宋体" w:eastAsia="宋体" w:cs="宋体"/>
          <w:b/>
          <w:color w:val="auto"/>
          <w:kern w:val="0"/>
          <w:sz w:val="21"/>
          <w:szCs w:val="21"/>
          <w:highlight w:val="none"/>
        </w:rPr>
        <w:t>19.1 缺陷责任期（工程质量保修期）的起算时间</w:t>
      </w:r>
      <w:bookmarkEnd w:id="1510"/>
      <w:bookmarkEnd w:id="1511"/>
      <w:bookmarkEnd w:id="1512"/>
      <w:bookmarkEnd w:id="1513"/>
      <w:bookmarkEnd w:id="1514"/>
      <w:bookmarkEnd w:id="1515"/>
      <w:bookmarkEnd w:id="1516"/>
      <w:bookmarkEnd w:id="1517"/>
      <w:bookmarkEnd w:id="1518"/>
    </w:p>
    <w:p w14:paraId="385EF753">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p>
    <w:p w14:paraId="6542D66E">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519" w:name="_Toc274249567"/>
      <w:bookmarkStart w:id="1520" w:name="_Toc312946488"/>
      <w:bookmarkStart w:id="1521" w:name="_Toc229450882"/>
      <w:bookmarkStart w:id="1522" w:name="_Toc272432239"/>
      <w:bookmarkStart w:id="1523" w:name="_Toc294892032"/>
      <w:bookmarkStart w:id="1524" w:name="_Toc199322087"/>
      <w:bookmarkStart w:id="1525" w:name="_Toc13697"/>
      <w:bookmarkStart w:id="1526" w:name="_Toc262675534"/>
      <w:bookmarkStart w:id="1527" w:name="_Toc260172832"/>
      <w:r>
        <w:rPr>
          <w:rStyle w:val="75"/>
          <w:rFonts w:hint="eastAsia" w:ascii="宋体" w:hAnsi="宋体" w:eastAsia="宋体" w:cs="宋体"/>
          <w:b/>
          <w:color w:val="auto"/>
          <w:kern w:val="0"/>
          <w:sz w:val="21"/>
          <w:szCs w:val="21"/>
          <w:highlight w:val="none"/>
        </w:rPr>
        <w:t>19.2 缺陷责任</w:t>
      </w:r>
      <w:bookmarkEnd w:id="1519"/>
      <w:bookmarkEnd w:id="1520"/>
      <w:bookmarkEnd w:id="1521"/>
      <w:bookmarkEnd w:id="1522"/>
      <w:bookmarkEnd w:id="1523"/>
      <w:bookmarkEnd w:id="1524"/>
      <w:bookmarkEnd w:id="1525"/>
      <w:bookmarkEnd w:id="1526"/>
      <w:bookmarkEnd w:id="1527"/>
    </w:p>
    <w:p w14:paraId="05A635D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19.2.1 承包人应在缺陷责任期内对已交付使用的工程承担缺陷责任。</w:t>
      </w:r>
    </w:p>
    <w:p w14:paraId="020D804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19.2.2 缺陷责任期内，发包人对已接收使用的工程负责日常维护工作。发包人在使用过程中，发现已接收的工程存在新的缺陷或已修复的缺陷部位或部件又遭损坏的，承包人应负责修复，直至检验合格为止。</w:t>
      </w:r>
    </w:p>
    <w:p w14:paraId="024A6CB2">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528" w:name="_Toc199322088"/>
      <w:r>
        <w:rPr>
          <w:rStyle w:val="75"/>
          <w:rFonts w:hint="eastAsia" w:ascii="宋体" w:hAnsi="宋体" w:eastAsia="宋体" w:cs="宋体"/>
          <w:color w:val="auto"/>
          <w:kern w:val="0"/>
          <w:sz w:val="21"/>
          <w:szCs w:val="21"/>
          <w:highlight w:val="none"/>
        </w:rPr>
        <w:t>19.2.3 监理人和承包人应共同查清缺陷和(或)损坏的原因。经查明属承包人原因造成</w:t>
      </w:r>
      <w:bookmarkEnd w:id="1528"/>
      <w:r>
        <w:rPr>
          <w:rStyle w:val="75"/>
          <w:rFonts w:hint="eastAsia" w:ascii="宋体" w:hAnsi="宋体" w:eastAsia="宋体" w:cs="宋体"/>
          <w:color w:val="auto"/>
          <w:kern w:val="0"/>
          <w:sz w:val="21"/>
          <w:szCs w:val="21"/>
          <w:highlight w:val="none"/>
        </w:rPr>
        <w:t>的，应由承包人承担修复和查验的费用。经查验属发包人原因造成的，发包人应承担修复和查验的费用，并支付承包人合理利润。</w:t>
      </w:r>
    </w:p>
    <w:p w14:paraId="69A48A5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19.2.4承包人不能在合理时间内修复缺陷的，发包人可自行修复或委托其他人修复，所需费用和利润的承担，按第19.2.3项约定办理。</w:t>
      </w:r>
    </w:p>
    <w:p w14:paraId="337766C3">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529" w:name="_Toc274249568"/>
      <w:bookmarkStart w:id="1530" w:name="_Toc262675535"/>
      <w:bookmarkStart w:id="1531" w:name="_Toc1711"/>
      <w:bookmarkStart w:id="1532" w:name="_Toc199322089"/>
      <w:bookmarkStart w:id="1533" w:name="_Toc272432240"/>
      <w:bookmarkStart w:id="1534" w:name="_Toc294892033"/>
      <w:bookmarkStart w:id="1535" w:name="_Toc229450883"/>
      <w:bookmarkStart w:id="1536" w:name="_Toc312946489"/>
      <w:bookmarkStart w:id="1537" w:name="_Toc260172833"/>
      <w:r>
        <w:rPr>
          <w:rStyle w:val="75"/>
          <w:rFonts w:hint="eastAsia" w:ascii="宋体" w:hAnsi="宋体" w:eastAsia="宋体" w:cs="宋体"/>
          <w:b/>
          <w:color w:val="auto"/>
          <w:kern w:val="0"/>
          <w:sz w:val="21"/>
          <w:szCs w:val="21"/>
          <w:highlight w:val="none"/>
        </w:rPr>
        <w:t>19.3 缺陷责任期的延长</w:t>
      </w:r>
      <w:bookmarkEnd w:id="1529"/>
      <w:bookmarkEnd w:id="1530"/>
      <w:bookmarkEnd w:id="1531"/>
      <w:bookmarkEnd w:id="1532"/>
      <w:bookmarkEnd w:id="1533"/>
      <w:bookmarkEnd w:id="1534"/>
      <w:bookmarkEnd w:id="1535"/>
      <w:bookmarkEnd w:id="1536"/>
      <w:bookmarkEnd w:id="1537"/>
    </w:p>
    <w:p w14:paraId="3ECDCBF1">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由于承包人原因造成某项缺陷或损坏使某项工程或工程设备不能按原定目标使用而需要再次检查、检验和修复的，发包人有权要求承包人相应延长缺陷责任期，但缺陷责任期最长不超过2年。</w:t>
      </w:r>
    </w:p>
    <w:p w14:paraId="284392E6">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538" w:name="_Toc262675536"/>
      <w:bookmarkStart w:id="1539" w:name="_Toc260172834"/>
      <w:bookmarkStart w:id="1540" w:name="_Toc272432241"/>
      <w:bookmarkStart w:id="1541" w:name="_Toc312946490"/>
      <w:bookmarkStart w:id="1542" w:name="_Toc5077"/>
      <w:bookmarkStart w:id="1543" w:name="_Toc199322090"/>
      <w:bookmarkStart w:id="1544" w:name="_Toc229450884"/>
      <w:bookmarkStart w:id="1545" w:name="_Toc274249569"/>
      <w:bookmarkStart w:id="1546" w:name="_Toc294892034"/>
      <w:r>
        <w:rPr>
          <w:rStyle w:val="75"/>
          <w:rFonts w:hint="eastAsia" w:ascii="宋体" w:hAnsi="宋体" w:eastAsia="宋体" w:cs="宋体"/>
          <w:b/>
          <w:color w:val="auto"/>
          <w:kern w:val="0"/>
          <w:sz w:val="21"/>
          <w:szCs w:val="21"/>
          <w:highlight w:val="none"/>
        </w:rPr>
        <w:t>19.4 进一步试验和试运行</w:t>
      </w:r>
      <w:bookmarkEnd w:id="1538"/>
      <w:bookmarkEnd w:id="1539"/>
      <w:bookmarkEnd w:id="1540"/>
      <w:bookmarkEnd w:id="1541"/>
      <w:bookmarkEnd w:id="1542"/>
      <w:bookmarkEnd w:id="1543"/>
      <w:bookmarkEnd w:id="1544"/>
      <w:bookmarkEnd w:id="1545"/>
      <w:bookmarkEnd w:id="1546"/>
    </w:p>
    <w:p w14:paraId="1FC2322E">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任何一项缺陷或损坏修复后，经检查证明其影响了工程或工程设备的使用性能，承包人应重新进行合同约定的试验和试运行，试验和试运行的全部费用应由责任方承担。</w:t>
      </w:r>
    </w:p>
    <w:p w14:paraId="0CEC7AD1">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547" w:name="_Toc294892035"/>
      <w:bookmarkStart w:id="1548" w:name="_Toc262675537"/>
      <w:bookmarkStart w:id="1549" w:name="_Toc272432242"/>
      <w:bookmarkStart w:id="1550" w:name="_Toc312946491"/>
      <w:bookmarkStart w:id="1551" w:name="_Toc274249570"/>
      <w:bookmarkStart w:id="1552" w:name="_Toc199322091"/>
      <w:bookmarkStart w:id="1553" w:name="_Toc260172835"/>
      <w:bookmarkStart w:id="1554" w:name="_Toc6847"/>
      <w:bookmarkStart w:id="1555" w:name="_Toc229450885"/>
      <w:r>
        <w:rPr>
          <w:rStyle w:val="75"/>
          <w:rFonts w:hint="eastAsia" w:ascii="宋体" w:hAnsi="宋体" w:eastAsia="宋体" w:cs="宋体"/>
          <w:b/>
          <w:color w:val="auto"/>
          <w:kern w:val="0"/>
          <w:sz w:val="21"/>
          <w:szCs w:val="21"/>
          <w:highlight w:val="none"/>
        </w:rPr>
        <w:t>19.5 承包人的进入权</w:t>
      </w:r>
      <w:bookmarkEnd w:id="1547"/>
      <w:bookmarkEnd w:id="1548"/>
      <w:bookmarkEnd w:id="1549"/>
      <w:bookmarkEnd w:id="1550"/>
      <w:bookmarkEnd w:id="1551"/>
      <w:bookmarkEnd w:id="1552"/>
      <w:bookmarkEnd w:id="1553"/>
      <w:bookmarkEnd w:id="1554"/>
      <w:bookmarkEnd w:id="1555"/>
    </w:p>
    <w:p w14:paraId="00D5C54F">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缺陷责任期内承包人为缺陷修复王作需要，有权进入工程现场，但应遵守发包人的保安</w:t>
      </w:r>
    </w:p>
    <w:p w14:paraId="2E0DCD40">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和保密规定。</w:t>
      </w:r>
    </w:p>
    <w:p w14:paraId="50D4F63F">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556" w:name="_Toc199322092"/>
      <w:bookmarkStart w:id="1557" w:name="_Toc229450886"/>
      <w:bookmarkStart w:id="1558" w:name="_Toc260172836"/>
      <w:bookmarkStart w:id="1559" w:name="_Toc312946492"/>
      <w:bookmarkStart w:id="1560" w:name="_Toc274249571"/>
      <w:bookmarkStart w:id="1561" w:name="_Toc294892036"/>
      <w:bookmarkStart w:id="1562" w:name="_Toc262675538"/>
      <w:bookmarkStart w:id="1563" w:name="_Toc272432243"/>
      <w:bookmarkStart w:id="1564" w:name="_Toc10655"/>
      <w:r>
        <w:rPr>
          <w:rStyle w:val="75"/>
          <w:rFonts w:hint="eastAsia" w:ascii="宋体" w:hAnsi="宋体" w:eastAsia="宋体" w:cs="宋体"/>
          <w:b/>
          <w:color w:val="auto"/>
          <w:kern w:val="0"/>
          <w:sz w:val="21"/>
          <w:szCs w:val="21"/>
          <w:highlight w:val="none"/>
        </w:rPr>
        <w:t>19.6 缺陷责任期终止证书</w:t>
      </w:r>
      <w:bookmarkEnd w:id="1556"/>
      <w:bookmarkEnd w:id="1557"/>
      <w:r>
        <w:rPr>
          <w:rStyle w:val="75"/>
          <w:rFonts w:hint="eastAsia" w:ascii="宋体" w:hAnsi="宋体" w:eastAsia="宋体" w:cs="宋体"/>
          <w:b/>
          <w:color w:val="auto"/>
          <w:kern w:val="0"/>
          <w:sz w:val="21"/>
          <w:szCs w:val="21"/>
          <w:highlight w:val="none"/>
        </w:rPr>
        <w:t>（工程质量保修责任终止证书）</w:t>
      </w:r>
      <w:bookmarkEnd w:id="1558"/>
      <w:bookmarkEnd w:id="1559"/>
      <w:bookmarkEnd w:id="1560"/>
      <w:bookmarkEnd w:id="1561"/>
      <w:bookmarkEnd w:id="1562"/>
      <w:bookmarkEnd w:id="1563"/>
      <w:bookmarkEnd w:id="1564"/>
    </w:p>
    <w:p w14:paraId="07442C1B">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合同工程完工验收或投入使用验收后，发包人与承包人应办理工程交接手续，承包人应向发包人递交工程质量保修书。</w:t>
      </w:r>
    </w:p>
    <w:p w14:paraId="6E18A122">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缺陷责任期（工程质量保修期）满后30个工作日内，发包人应向承包人颁发工程质量保修责任终止证书，并退还剩余的质量保证金，但保修责任范围内的质量缺陷未处理完成的应除外。</w:t>
      </w:r>
    </w:p>
    <w:p w14:paraId="04FAA4B1">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565" w:name="_Toc294892037"/>
      <w:bookmarkStart w:id="1566" w:name="_Toc312946493"/>
      <w:bookmarkStart w:id="1567" w:name="_Toc17946"/>
      <w:bookmarkStart w:id="1568" w:name="_Toc199322093"/>
      <w:bookmarkStart w:id="1569" w:name="_Toc274249572"/>
      <w:bookmarkStart w:id="1570" w:name="_Toc272432244"/>
      <w:bookmarkStart w:id="1571" w:name="_Toc262675539"/>
      <w:bookmarkStart w:id="1572" w:name="_Toc260172837"/>
      <w:bookmarkStart w:id="1573" w:name="_Toc229450887"/>
      <w:r>
        <w:rPr>
          <w:rStyle w:val="75"/>
          <w:rFonts w:hint="eastAsia" w:ascii="宋体" w:hAnsi="宋体" w:eastAsia="宋体" w:cs="宋体"/>
          <w:b/>
          <w:color w:val="auto"/>
          <w:kern w:val="0"/>
          <w:sz w:val="21"/>
          <w:szCs w:val="21"/>
          <w:highlight w:val="none"/>
        </w:rPr>
        <w:t>19.7 保修责任</w:t>
      </w:r>
      <w:bookmarkEnd w:id="1565"/>
      <w:bookmarkEnd w:id="1566"/>
      <w:bookmarkEnd w:id="1567"/>
      <w:bookmarkEnd w:id="1568"/>
      <w:bookmarkEnd w:id="1569"/>
      <w:bookmarkEnd w:id="1570"/>
      <w:bookmarkEnd w:id="1571"/>
      <w:bookmarkEnd w:id="1572"/>
      <w:bookmarkEnd w:id="1573"/>
    </w:p>
    <w:p w14:paraId="5CF7B463">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合同当事人根据有关法律规定，在专用合同条款中约定工程质量保修范围、期限和责任。保修期自实际竣工日期起计算。在全部工程竣工验收前，已经发包人提前验收的单位工程，其保修期的起算日期相应提前。</w:t>
      </w:r>
    </w:p>
    <w:p w14:paraId="6F92BBCF">
      <w:pPr>
        <w:pStyle w:val="39"/>
        <w:autoSpaceDE w:val="0"/>
        <w:autoSpaceDN w:val="0"/>
        <w:adjustRightInd w:val="0"/>
        <w:spacing w:line="360" w:lineRule="exact"/>
        <w:ind w:left="0" w:leftChars="0" w:firstLine="422" w:firstLineChars="200"/>
        <w:jc w:val="left"/>
        <w:outlineLvl w:val="2"/>
        <w:rPr>
          <w:rStyle w:val="75"/>
          <w:rFonts w:hint="eastAsia" w:ascii="宋体" w:hAnsi="宋体" w:eastAsia="宋体" w:cs="宋体"/>
          <w:b/>
          <w:color w:val="auto"/>
          <w:kern w:val="0"/>
          <w:sz w:val="21"/>
          <w:szCs w:val="21"/>
          <w:highlight w:val="none"/>
        </w:rPr>
      </w:pPr>
      <w:bookmarkStart w:id="1574" w:name="_Toc260172838"/>
      <w:bookmarkStart w:id="1575" w:name="_Toc199322094"/>
      <w:bookmarkStart w:id="1576" w:name="_Toc272432245"/>
      <w:bookmarkStart w:id="1577" w:name="_Toc312946494"/>
      <w:bookmarkStart w:id="1578" w:name="_Toc294892038"/>
      <w:bookmarkStart w:id="1579" w:name="_Toc262675540"/>
      <w:bookmarkStart w:id="1580" w:name="_Toc14727"/>
      <w:bookmarkStart w:id="1581" w:name="_Toc229450888"/>
      <w:bookmarkStart w:id="1582" w:name="_Toc274249573"/>
      <w:r>
        <w:rPr>
          <w:rStyle w:val="75"/>
          <w:rFonts w:hint="eastAsia" w:ascii="宋体" w:hAnsi="宋体" w:eastAsia="宋体" w:cs="宋体"/>
          <w:b/>
          <w:color w:val="auto"/>
          <w:kern w:val="0"/>
          <w:sz w:val="21"/>
          <w:szCs w:val="21"/>
          <w:highlight w:val="none"/>
        </w:rPr>
        <w:t>20. 保险</w:t>
      </w:r>
      <w:bookmarkEnd w:id="1574"/>
      <w:bookmarkEnd w:id="1575"/>
      <w:bookmarkEnd w:id="1576"/>
      <w:bookmarkEnd w:id="1577"/>
      <w:bookmarkEnd w:id="1578"/>
      <w:bookmarkEnd w:id="1579"/>
      <w:bookmarkEnd w:id="1580"/>
      <w:bookmarkEnd w:id="1581"/>
      <w:bookmarkEnd w:id="1582"/>
    </w:p>
    <w:p w14:paraId="7AB483E7">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583" w:name="_Toc22550"/>
      <w:bookmarkStart w:id="1584" w:name="_Toc274249574"/>
      <w:bookmarkStart w:id="1585" w:name="_Toc294892039"/>
      <w:bookmarkStart w:id="1586" w:name="_Toc272432246"/>
      <w:bookmarkStart w:id="1587" w:name="_Toc262675541"/>
      <w:bookmarkStart w:id="1588" w:name="_Toc229450889"/>
      <w:bookmarkStart w:id="1589" w:name="_Toc312946495"/>
      <w:bookmarkStart w:id="1590" w:name="_Toc260172839"/>
      <w:bookmarkStart w:id="1591" w:name="_Toc199322095"/>
      <w:r>
        <w:rPr>
          <w:rStyle w:val="75"/>
          <w:rFonts w:hint="eastAsia" w:ascii="宋体" w:hAnsi="宋体" w:eastAsia="宋体" w:cs="宋体"/>
          <w:b/>
          <w:color w:val="auto"/>
          <w:kern w:val="0"/>
          <w:sz w:val="21"/>
          <w:szCs w:val="21"/>
          <w:highlight w:val="none"/>
        </w:rPr>
        <w:t>20.1 工程保险</w:t>
      </w:r>
      <w:bookmarkEnd w:id="1583"/>
      <w:bookmarkEnd w:id="1584"/>
      <w:bookmarkEnd w:id="1585"/>
      <w:bookmarkEnd w:id="1586"/>
      <w:bookmarkEnd w:id="1587"/>
      <w:bookmarkEnd w:id="1588"/>
      <w:bookmarkEnd w:id="1589"/>
      <w:bookmarkEnd w:id="1590"/>
      <w:bookmarkEnd w:id="1591"/>
    </w:p>
    <w:p w14:paraId="0B728E7C">
      <w:pPr>
        <w:pStyle w:val="39"/>
        <w:autoSpaceDE w:val="0"/>
        <w:autoSpaceDN w:val="0"/>
        <w:adjustRightInd w:val="0"/>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4CC03B9B">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592" w:name="_Toc274249575"/>
      <w:bookmarkStart w:id="1593" w:name="_Toc262675542"/>
      <w:bookmarkStart w:id="1594" w:name="_Toc199322096"/>
      <w:bookmarkStart w:id="1595" w:name="_Toc294892040"/>
      <w:bookmarkStart w:id="1596" w:name="_Toc229450890"/>
      <w:bookmarkStart w:id="1597" w:name="_Toc22425"/>
      <w:bookmarkStart w:id="1598" w:name="_Toc260172840"/>
      <w:bookmarkStart w:id="1599" w:name="_Toc272432247"/>
      <w:bookmarkStart w:id="1600" w:name="_Toc312946496"/>
      <w:r>
        <w:rPr>
          <w:rStyle w:val="75"/>
          <w:rFonts w:hint="eastAsia" w:ascii="宋体" w:hAnsi="宋体" w:eastAsia="宋体" w:cs="宋体"/>
          <w:b/>
          <w:color w:val="auto"/>
          <w:kern w:val="0"/>
          <w:sz w:val="21"/>
          <w:szCs w:val="21"/>
          <w:highlight w:val="none"/>
        </w:rPr>
        <w:t>20.2 人员工伤事故的保险</w:t>
      </w:r>
      <w:bookmarkEnd w:id="1592"/>
      <w:bookmarkEnd w:id="1593"/>
      <w:bookmarkEnd w:id="1594"/>
      <w:bookmarkEnd w:id="1595"/>
      <w:bookmarkEnd w:id="1596"/>
      <w:bookmarkEnd w:id="1597"/>
      <w:bookmarkEnd w:id="1598"/>
      <w:bookmarkEnd w:id="1599"/>
      <w:bookmarkEnd w:id="1600"/>
    </w:p>
    <w:p w14:paraId="2558711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601" w:name="_Toc199322097"/>
      <w:r>
        <w:rPr>
          <w:rStyle w:val="75"/>
          <w:rFonts w:hint="eastAsia" w:ascii="宋体" w:hAnsi="宋体" w:eastAsia="宋体" w:cs="宋体"/>
          <w:color w:val="auto"/>
          <w:kern w:val="0"/>
          <w:sz w:val="21"/>
          <w:szCs w:val="21"/>
          <w:highlight w:val="none"/>
        </w:rPr>
        <w:t>20.2.1 承包人员工伤事故的保险</w:t>
      </w:r>
      <w:bookmarkEnd w:id="1601"/>
    </w:p>
    <w:p w14:paraId="71E44DD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承包人应依照有关法律规定参加工伤保险，为其履行合同所雇佣的全部人员，缴纳工伤保险费，并要求其分包人也进行此项保险。</w:t>
      </w:r>
    </w:p>
    <w:p w14:paraId="630B98E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602" w:name="_Toc199322098"/>
      <w:r>
        <w:rPr>
          <w:rStyle w:val="75"/>
          <w:rFonts w:hint="eastAsia" w:ascii="宋体" w:hAnsi="宋体" w:eastAsia="宋体" w:cs="宋体"/>
          <w:color w:val="auto"/>
          <w:kern w:val="0"/>
          <w:sz w:val="21"/>
          <w:szCs w:val="21"/>
          <w:highlight w:val="none"/>
        </w:rPr>
        <w:t>20.2.2 发包人员工伤事故的保险</w:t>
      </w:r>
      <w:bookmarkEnd w:id="1602"/>
    </w:p>
    <w:p w14:paraId="437728B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发包人应依照有关法律规定参加工伤保险，为其现场机构雇佣的全部人员，缴纳工伤保险费，并要求其监理人也进行此项保险。</w:t>
      </w:r>
    </w:p>
    <w:p w14:paraId="6217E46B">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603" w:name="_Toc199322099"/>
      <w:bookmarkStart w:id="1604" w:name="_Toc272432248"/>
      <w:bookmarkStart w:id="1605" w:name="_Toc294892041"/>
      <w:bookmarkStart w:id="1606" w:name="_Toc229450891"/>
      <w:bookmarkStart w:id="1607" w:name="_Toc312946497"/>
      <w:bookmarkStart w:id="1608" w:name="_Toc262675543"/>
      <w:bookmarkStart w:id="1609" w:name="_Toc274249576"/>
      <w:bookmarkStart w:id="1610" w:name="_Toc13939"/>
      <w:bookmarkStart w:id="1611" w:name="_Toc260172841"/>
      <w:r>
        <w:rPr>
          <w:rStyle w:val="75"/>
          <w:rFonts w:hint="eastAsia" w:ascii="宋体" w:hAnsi="宋体" w:eastAsia="宋体" w:cs="宋体"/>
          <w:b/>
          <w:color w:val="auto"/>
          <w:kern w:val="0"/>
          <w:sz w:val="21"/>
          <w:szCs w:val="21"/>
          <w:highlight w:val="none"/>
        </w:rPr>
        <w:t>20.3 人身意外伤害险</w:t>
      </w:r>
      <w:bookmarkEnd w:id="1603"/>
      <w:bookmarkEnd w:id="1604"/>
      <w:bookmarkEnd w:id="1605"/>
      <w:bookmarkEnd w:id="1606"/>
      <w:bookmarkEnd w:id="1607"/>
      <w:bookmarkEnd w:id="1608"/>
      <w:bookmarkEnd w:id="1609"/>
      <w:bookmarkEnd w:id="1610"/>
      <w:bookmarkEnd w:id="1611"/>
    </w:p>
    <w:p w14:paraId="5F96EE5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612" w:name="_Toc199322100"/>
      <w:r>
        <w:rPr>
          <w:rStyle w:val="75"/>
          <w:rFonts w:hint="eastAsia" w:ascii="宋体" w:hAnsi="宋体" w:eastAsia="宋体" w:cs="宋体"/>
          <w:color w:val="auto"/>
          <w:kern w:val="0"/>
          <w:sz w:val="21"/>
          <w:szCs w:val="21"/>
          <w:highlight w:val="none"/>
        </w:rPr>
        <w:t>20.3.1 发包人应在整个施工期间为其现场机构雇用的全部人员，投保人身意外伤害险，缴纳保险费，并要求其监理人也进行此项保险。</w:t>
      </w:r>
      <w:bookmarkEnd w:id="1612"/>
    </w:p>
    <w:p w14:paraId="26E1BDD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20.3.2 承包人应在整个施工期间为其现场机构雇用的全部人员，投保人身意外伤害险，缴纳保险费，并要求其分包人也进行此项保险。</w:t>
      </w:r>
    </w:p>
    <w:p w14:paraId="0605B621">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613" w:name="_Toc274249577"/>
      <w:bookmarkStart w:id="1614" w:name="_Toc29931"/>
      <w:bookmarkStart w:id="1615" w:name="_Toc199322101"/>
      <w:bookmarkStart w:id="1616" w:name="_Toc272432249"/>
      <w:bookmarkStart w:id="1617" w:name="_Toc229450892"/>
      <w:bookmarkStart w:id="1618" w:name="_Toc262675544"/>
      <w:bookmarkStart w:id="1619" w:name="_Toc312946498"/>
      <w:bookmarkStart w:id="1620" w:name="_Toc260172842"/>
      <w:bookmarkStart w:id="1621" w:name="_Toc294892042"/>
      <w:r>
        <w:rPr>
          <w:rStyle w:val="75"/>
          <w:rFonts w:hint="eastAsia" w:ascii="宋体" w:hAnsi="宋体" w:eastAsia="宋体" w:cs="宋体"/>
          <w:b/>
          <w:color w:val="auto"/>
          <w:kern w:val="0"/>
          <w:sz w:val="21"/>
          <w:szCs w:val="21"/>
          <w:highlight w:val="none"/>
        </w:rPr>
        <w:t>20.4 第三者责任险</w:t>
      </w:r>
      <w:bookmarkEnd w:id="1613"/>
      <w:bookmarkEnd w:id="1614"/>
      <w:bookmarkEnd w:id="1615"/>
      <w:bookmarkEnd w:id="1616"/>
      <w:bookmarkEnd w:id="1617"/>
      <w:bookmarkEnd w:id="1618"/>
      <w:bookmarkEnd w:id="1619"/>
      <w:bookmarkEnd w:id="1620"/>
      <w:bookmarkEnd w:id="1621"/>
    </w:p>
    <w:p w14:paraId="2A7BD1D2">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622" w:name="_Toc199322102"/>
      <w:r>
        <w:rPr>
          <w:rStyle w:val="75"/>
          <w:rFonts w:hint="eastAsia" w:ascii="宋体" w:hAnsi="宋体" w:eastAsia="宋体" w:cs="宋体"/>
          <w:color w:val="auto"/>
          <w:kern w:val="0"/>
          <w:sz w:val="21"/>
          <w:szCs w:val="21"/>
          <w:highlight w:val="none"/>
        </w:rPr>
        <w:t>20.4.1 第三者责任系指在保险期内，对因工程意外事故造成的、依法应由被保险人负责</w:t>
      </w:r>
      <w:bookmarkEnd w:id="1622"/>
      <w:r>
        <w:rPr>
          <w:rStyle w:val="75"/>
          <w:rFonts w:hint="eastAsia" w:ascii="宋体" w:hAnsi="宋体" w:eastAsia="宋体" w:cs="宋体"/>
          <w:color w:val="auto"/>
          <w:kern w:val="0"/>
          <w:sz w:val="21"/>
          <w:szCs w:val="21"/>
          <w:highlight w:val="none"/>
        </w:rPr>
        <w:t>的工地上及毗邻地区的第三者人身伤亡、疾病或财产损失。</w:t>
      </w:r>
    </w:p>
    <w:p w14:paraId="5FBFE03D">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623" w:name="_Toc199322103"/>
      <w:r>
        <w:rPr>
          <w:rStyle w:val="75"/>
          <w:rFonts w:hint="eastAsia" w:ascii="宋体" w:hAnsi="宋体" w:eastAsia="宋体" w:cs="宋体"/>
          <w:color w:val="auto"/>
          <w:kern w:val="0"/>
          <w:sz w:val="21"/>
          <w:szCs w:val="21"/>
          <w:highlight w:val="none"/>
        </w:rPr>
        <w:t>20.4.2 在缺陷责任期终止证书颁发前，承包人应以承包人和发包人的共同名义，投保第</w:t>
      </w:r>
      <w:bookmarkEnd w:id="1623"/>
      <w:bookmarkStart w:id="1624" w:name="_Toc199322104"/>
      <w:r>
        <w:rPr>
          <w:rStyle w:val="75"/>
          <w:rFonts w:hint="eastAsia" w:ascii="宋体" w:hAnsi="宋体" w:eastAsia="宋体" w:cs="宋体"/>
          <w:color w:val="auto"/>
          <w:kern w:val="0"/>
          <w:sz w:val="21"/>
          <w:szCs w:val="21"/>
          <w:highlight w:val="none"/>
        </w:rPr>
        <w:t>20.4.1 项约定的第三者责任险，其保险费率、保险金额等有关内容在专用合同条款中约定。</w:t>
      </w:r>
      <w:bookmarkEnd w:id="1624"/>
    </w:p>
    <w:p w14:paraId="77D333D8">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625" w:name="_Toc312946499"/>
      <w:bookmarkStart w:id="1626" w:name="_Toc229450893"/>
      <w:bookmarkStart w:id="1627" w:name="_Toc294892043"/>
      <w:bookmarkStart w:id="1628" w:name="_Toc272432250"/>
      <w:bookmarkStart w:id="1629" w:name="_Toc260172843"/>
      <w:bookmarkStart w:id="1630" w:name="_Toc274249578"/>
      <w:bookmarkStart w:id="1631" w:name="_Toc3804"/>
      <w:bookmarkStart w:id="1632" w:name="_Toc262675545"/>
      <w:bookmarkStart w:id="1633" w:name="_Toc199322105"/>
      <w:r>
        <w:rPr>
          <w:rStyle w:val="75"/>
          <w:rFonts w:hint="eastAsia" w:ascii="宋体" w:hAnsi="宋体" w:eastAsia="宋体" w:cs="宋体"/>
          <w:b/>
          <w:color w:val="auto"/>
          <w:kern w:val="0"/>
          <w:sz w:val="21"/>
          <w:szCs w:val="21"/>
          <w:highlight w:val="none"/>
        </w:rPr>
        <w:t>20.5 其他保险</w:t>
      </w:r>
      <w:bookmarkEnd w:id="1625"/>
      <w:bookmarkEnd w:id="1626"/>
      <w:bookmarkEnd w:id="1627"/>
      <w:bookmarkEnd w:id="1628"/>
      <w:bookmarkEnd w:id="1629"/>
      <w:bookmarkEnd w:id="1630"/>
      <w:bookmarkEnd w:id="1631"/>
      <w:bookmarkEnd w:id="1632"/>
      <w:bookmarkEnd w:id="1633"/>
    </w:p>
    <w:p w14:paraId="4A6855A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除专用合同条款另有约定外，承包人应为其施工设备、进场的材料和工程设备等办理保险。</w:t>
      </w:r>
    </w:p>
    <w:p w14:paraId="6AA6DC88">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634" w:name="_Toc19880"/>
      <w:bookmarkStart w:id="1635" w:name="_Toc272432251"/>
      <w:bookmarkStart w:id="1636" w:name="_Toc229450894"/>
      <w:bookmarkStart w:id="1637" w:name="_Toc312946500"/>
      <w:bookmarkStart w:id="1638" w:name="_Toc274249579"/>
      <w:bookmarkStart w:id="1639" w:name="_Toc260172844"/>
      <w:bookmarkStart w:id="1640" w:name="_Toc262675546"/>
      <w:bookmarkStart w:id="1641" w:name="_Toc294892044"/>
      <w:bookmarkStart w:id="1642" w:name="_Toc199322106"/>
      <w:r>
        <w:rPr>
          <w:rStyle w:val="75"/>
          <w:rFonts w:hint="eastAsia" w:ascii="宋体" w:hAnsi="宋体" w:eastAsia="宋体" w:cs="宋体"/>
          <w:b/>
          <w:color w:val="auto"/>
          <w:kern w:val="0"/>
          <w:sz w:val="21"/>
          <w:szCs w:val="21"/>
          <w:highlight w:val="none"/>
        </w:rPr>
        <w:t>20.6 对各项保险的一般要求</w:t>
      </w:r>
      <w:bookmarkEnd w:id="1634"/>
      <w:bookmarkEnd w:id="1635"/>
      <w:bookmarkEnd w:id="1636"/>
      <w:bookmarkEnd w:id="1637"/>
      <w:bookmarkEnd w:id="1638"/>
      <w:bookmarkEnd w:id="1639"/>
      <w:bookmarkEnd w:id="1640"/>
      <w:bookmarkEnd w:id="1641"/>
      <w:bookmarkEnd w:id="1642"/>
    </w:p>
    <w:p w14:paraId="23CD9A1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643" w:name="_Toc199322107"/>
      <w:r>
        <w:rPr>
          <w:rStyle w:val="75"/>
          <w:rFonts w:hint="eastAsia" w:ascii="宋体" w:hAnsi="宋体" w:eastAsia="宋体" w:cs="宋体"/>
          <w:color w:val="auto"/>
          <w:kern w:val="0"/>
          <w:sz w:val="21"/>
          <w:szCs w:val="21"/>
          <w:highlight w:val="none"/>
        </w:rPr>
        <w:t>20.6.1 保险凭证</w:t>
      </w:r>
      <w:bookmarkEnd w:id="1643"/>
    </w:p>
    <w:p w14:paraId="48DF75A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承包人应在专用合同条款约定的期限内向发包人提交各项保险生效的证据和保险单副本，保险单必须与专用合同条款约定的条件保持一致。</w:t>
      </w:r>
    </w:p>
    <w:p w14:paraId="50EFE978">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644" w:name="_Toc199322108"/>
      <w:r>
        <w:rPr>
          <w:rStyle w:val="75"/>
          <w:rFonts w:hint="eastAsia" w:ascii="宋体" w:hAnsi="宋体" w:eastAsia="宋体" w:cs="宋体"/>
          <w:color w:val="auto"/>
          <w:kern w:val="0"/>
          <w:sz w:val="21"/>
          <w:szCs w:val="21"/>
          <w:highlight w:val="none"/>
        </w:rPr>
        <w:t>20.6.2 保险合同条款的变动</w:t>
      </w:r>
      <w:bookmarkEnd w:id="1644"/>
    </w:p>
    <w:p w14:paraId="0EFE656E">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承包人需要变动保险合同条款时，应事先征得发包人同意，并通知监理人。保险人作出变动的，承包人应在收到保险人通知后立即通知发包人和监理人。</w:t>
      </w:r>
    </w:p>
    <w:p w14:paraId="33A9725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645" w:name="_Toc199322109"/>
      <w:r>
        <w:rPr>
          <w:rStyle w:val="75"/>
          <w:rFonts w:hint="eastAsia" w:ascii="宋体" w:hAnsi="宋体" w:eastAsia="宋体" w:cs="宋体"/>
          <w:color w:val="auto"/>
          <w:kern w:val="0"/>
          <w:sz w:val="21"/>
          <w:szCs w:val="21"/>
          <w:highlight w:val="none"/>
        </w:rPr>
        <w:t>20.6.3 持续保险</w:t>
      </w:r>
      <w:bookmarkEnd w:id="1645"/>
    </w:p>
    <w:p w14:paraId="62F3948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承包人应与保险人保持联系，使保险人能够随时了解工程实施中的变动，并确保按保险合同条款要求持续保险。</w:t>
      </w:r>
    </w:p>
    <w:p w14:paraId="4FB2BC9D">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646" w:name="_Toc199322110"/>
      <w:r>
        <w:rPr>
          <w:rStyle w:val="75"/>
          <w:rFonts w:hint="eastAsia" w:ascii="宋体" w:hAnsi="宋体" w:eastAsia="宋体" w:cs="宋体"/>
          <w:color w:val="auto"/>
          <w:kern w:val="0"/>
          <w:sz w:val="21"/>
          <w:szCs w:val="21"/>
          <w:highlight w:val="none"/>
        </w:rPr>
        <w:t xml:space="preserve">20.6.4 </w:t>
      </w:r>
      <w:bookmarkEnd w:id="1646"/>
      <w:r>
        <w:rPr>
          <w:rStyle w:val="75"/>
          <w:rFonts w:hint="eastAsia" w:ascii="宋体" w:hAnsi="宋体" w:eastAsia="宋体" w:cs="宋体"/>
          <w:color w:val="auto"/>
          <w:kern w:val="0"/>
          <w:sz w:val="21"/>
          <w:szCs w:val="21"/>
          <w:highlight w:val="none"/>
        </w:rPr>
        <w:t>保险金不足以补偿损失时，应由承包人和发包人各自负责补偿的范围和金额在专用合同条款中约定。</w:t>
      </w:r>
    </w:p>
    <w:p w14:paraId="649E9D5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647" w:name="_Toc278380258"/>
      <w:bookmarkStart w:id="1648" w:name="_Toc294892045"/>
      <w:bookmarkStart w:id="1649" w:name="_Toc272432252"/>
      <w:bookmarkStart w:id="1650" w:name="_Toc262675547"/>
      <w:bookmarkStart w:id="1651" w:name="_Toc278987484"/>
      <w:bookmarkStart w:id="1652" w:name="_Toc199322111"/>
      <w:bookmarkStart w:id="1653" w:name="_Toc274249580"/>
      <w:r>
        <w:rPr>
          <w:rStyle w:val="75"/>
          <w:rFonts w:hint="eastAsia" w:ascii="宋体" w:hAnsi="宋体" w:eastAsia="宋体" w:cs="宋体"/>
          <w:color w:val="auto"/>
          <w:kern w:val="0"/>
          <w:sz w:val="21"/>
          <w:szCs w:val="21"/>
          <w:highlight w:val="none"/>
        </w:rPr>
        <w:t>20.6.5 未按约定投保的补救</w:t>
      </w:r>
      <w:bookmarkEnd w:id="1647"/>
      <w:bookmarkEnd w:id="1648"/>
      <w:bookmarkEnd w:id="1649"/>
      <w:bookmarkEnd w:id="1650"/>
      <w:bookmarkEnd w:id="1651"/>
      <w:bookmarkEnd w:id="1652"/>
      <w:bookmarkEnd w:id="1653"/>
    </w:p>
    <w:p w14:paraId="2DC127A8">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由于负有投保义务的一方当事人未按合同约定办理保险，或未能使保险持续有效的，另一方当事人可代为办理，所需费用由对方当事人承担。</w:t>
      </w:r>
    </w:p>
    <w:p w14:paraId="104C307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由于负有投保义务的一方当事人未按合同约定办理某项保险，导致受益人未能得到保险人的赔偿，原应从该项保险得到的保险金应由负有投保义务的一方当事人支付。</w:t>
      </w:r>
    </w:p>
    <w:p w14:paraId="16251BC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654" w:name="_Toc199322112"/>
      <w:r>
        <w:rPr>
          <w:rStyle w:val="75"/>
          <w:rFonts w:hint="eastAsia" w:ascii="宋体" w:hAnsi="宋体" w:eastAsia="宋体" w:cs="宋体"/>
          <w:color w:val="auto"/>
          <w:kern w:val="0"/>
          <w:sz w:val="21"/>
          <w:szCs w:val="21"/>
          <w:highlight w:val="none"/>
        </w:rPr>
        <w:t>20.6.6 报告义务</w:t>
      </w:r>
      <w:bookmarkEnd w:id="1654"/>
    </w:p>
    <w:p w14:paraId="2434B1C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当保险事故发生时，投保人应按照保险单规定的条件和期限及时向保险人报告。</w:t>
      </w:r>
    </w:p>
    <w:p w14:paraId="501C601E">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655" w:name="_Toc262675548"/>
      <w:bookmarkStart w:id="1656" w:name="_Toc274249581"/>
      <w:bookmarkStart w:id="1657" w:name="_Toc312946501"/>
      <w:bookmarkStart w:id="1658" w:name="_Toc272432253"/>
      <w:bookmarkStart w:id="1659" w:name="_Toc260172845"/>
      <w:bookmarkStart w:id="1660" w:name="_Toc1372"/>
      <w:bookmarkStart w:id="1661" w:name="_Toc294892046"/>
      <w:r>
        <w:rPr>
          <w:rStyle w:val="75"/>
          <w:rFonts w:hint="eastAsia" w:ascii="宋体" w:hAnsi="宋体" w:eastAsia="宋体" w:cs="宋体"/>
          <w:b/>
          <w:color w:val="auto"/>
          <w:kern w:val="0"/>
          <w:sz w:val="21"/>
          <w:szCs w:val="21"/>
          <w:highlight w:val="none"/>
        </w:rPr>
        <w:t>20.7 风险责任的转移</w:t>
      </w:r>
      <w:bookmarkEnd w:id="1655"/>
      <w:bookmarkEnd w:id="1656"/>
      <w:bookmarkEnd w:id="1657"/>
      <w:bookmarkEnd w:id="1658"/>
      <w:bookmarkEnd w:id="1659"/>
      <w:bookmarkEnd w:id="1660"/>
      <w:bookmarkEnd w:id="1661"/>
    </w:p>
    <w:p w14:paraId="52A113A8">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工程通过合同工程完工验收并移交给发包人后，原由承包人应承担的风险责任，以及保险的责任、权利和义务同时转移给发包人，但承包人在缺陷责任期（工程质量保修期）前造成损失和损坏情形除外。</w:t>
      </w:r>
    </w:p>
    <w:p w14:paraId="220D86FE">
      <w:pPr>
        <w:pStyle w:val="39"/>
        <w:autoSpaceDE w:val="0"/>
        <w:autoSpaceDN w:val="0"/>
        <w:adjustRightInd w:val="0"/>
        <w:spacing w:line="360" w:lineRule="exact"/>
        <w:ind w:left="0" w:leftChars="0" w:firstLine="422" w:firstLineChars="200"/>
        <w:jc w:val="left"/>
        <w:outlineLvl w:val="2"/>
        <w:rPr>
          <w:rStyle w:val="75"/>
          <w:rFonts w:hint="eastAsia" w:ascii="宋体" w:hAnsi="宋体" w:eastAsia="宋体" w:cs="宋体"/>
          <w:b/>
          <w:color w:val="auto"/>
          <w:kern w:val="0"/>
          <w:sz w:val="21"/>
          <w:szCs w:val="21"/>
          <w:highlight w:val="none"/>
        </w:rPr>
      </w:pPr>
      <w:bookmarkStart w:id="1662" w:name="_Toc274249582"/>
      <w:bookmarkStart w:id="1663" w:name="_Toc294892047"/>
      <w:bookmarkStart w:id="1664" w:name="_Toc229450895"/>
      <w:bookmarkStart w:id="1665" w:name="_Toc262675549"/>
      <w:bookmarkStart w:id="1666" w:name="_Toc272432254"/>
      <w:bookmarkStart w:id="1667" w:name="_Toc312946502"/>
      <w:bookmarkStart w:id="1668" w:name="_Toc199322113"/>
      <w:bookmarkStart w:id="1669" w:name="_Toc260172846"/>
      <w:bookmarkStart w:id="1670" w:name="_Toc29739"/>
      <w:r>
        <w:rPr>
          <w:rStyle w:val="75"/>
          <w:rFonts w:hint="eastAsia" w:ascii="宋体" w:hAnsi="宋体" w:eastAsia="宋体" w:cs="宋体"/>
          <w:b/>
          <w:color w:val="auto"/>
          <w:kern w:val="0"/>
          <w:sz w:val="21"/>
          <w:szCs w:val="21"/>
          <w:highlight w:val="none"/>
        </w:rPr>
        <w:t>21.不可抗力</w:t>
      </w:r>
      <w:bookmarkEnd w:id="1662"/>
      <w:bookmarkEnd w:id="1663"/>
      <w:bookmarkEnd w:id="1664"/>
      <w:bookmarkEnd w:id="1665"/>
      <w:bookmarkEnd w:id="1666"/>
      <w:bookmarkEnd w:id="1667"/>
      <w:bookmarkEnd w:id="1668"/>
      <w:bookmarkEnd w:id="1669"/>
      <w:bookmarkEnd w:id="1670"/>
    </w:p>
    <w:p w14:paraId="618692ED">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671" w:name="_Toc312946503"/>
      <w:bookmarkStart w:id="1672" w:name="_Toc229450896"/>
      <w:bookmarkStart w:id="1673" w:name="_Toc272432255"/>
      <w:bookmarkStart w:id="1674" w:name="_Toc260172847"/>
      <w:bookmarkStart w:id="1675" w:name="_Toc262675550"/>
      <w:bookmarkStart w:id="1676" w:name="_Toc294892048"/>
      <w:bookmarkStart w:id="1677" w:name="_Toc274249583"/>
      <w:bookmarkStart w:id="1678" w:name="_Toc199322114"/>
      <w:bookmarkStart w:id="1679" w:name="_Toc20329"/>
      <w:r>
        <w:rPr>
          <w:rStyle w:val="75"/>
          <w:rFonts w:hint="eastAsia" w:ascii="宋体" w:hAnsi="宋体" w:eastAsia="宋体" w:cs="宋体"/>
          <w:b/>
          <w:color w:val="auto"/>
          <w:kern w:val="0"/>
          <w:sz w:val="21"/>
          <w:szCs w:val="21"/>
          <w:highlight w:val="none"/>
        </w:rPr>
        <w:t>21.1 不可抗力的确认</w:t>
      </w:r>
      <w:bookmarkEnd w:id="1671"/>
      <w:bookmarkEnd w:id="1672"/>
      <w:bookmarkEnd w:id="1673"/>
      <w:bookmarkEnd w:id="1674"/>
      <w:bookmarkEnd w:id="1675"/>
      <w:bookmarkEnd w:id="1676"/>
      <w:bookmarkEnd w:id="1677"/>
      <w:bookmarkEnd w:id="1678"/>
      <w:bookmarkEnd w:id="1679"/>
    </w:p>
    <w:p w14:paraId="2B4FC61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21.1.1 不可抗力是指承包人和发包人在订立合同时不可预见，在工程施工过程中不可避免发生并不能克服的自然灾害和社会性突发事件，如地震、海啸、瘟疫、超标洪水、骚乱、暴动、战争和专用合同条款约定的其他情形。</w:t>
      </w:r>
    </w:p>
    <w:p w14:paraId="01E3985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1548B2A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680" w:name="_Toc199322115"/>
      <w:bookmarkStart w:id="1681" w:name="_Toc278380262"/>
      <w:bookmarkStart w:id="1682" w:name="_Toc294892049"/>
      <w:bookmarkStart w:id="1683" w:name="_Toc274249584"/>
      <w:bookmarkStart w:id="1684" w:name="_Toc262675551"/>
      <w:bookmarkStart w:id="1685" w:name="_Toc272432256"/>
      <w:r>
        <w:rPr>
          <w:rStyle w:val="75"/>
          <w:rFonts w:hint="eastAsia" w:ascii="宋体" w:hAnsi="宋体" w:eastAsia="宋体" w:cs="宋体"/>
          <w:color w:val="auto"/>
          <w:kern w:val="0"/>
          <w:sz w:val="21"/>
          <w:szCs w:val="21"/>
          <w:highlight w:val="none"/>
        </w:rPr>
        <w:t>21.2 不可抗力的通知</w:t>
      </w:r>
      <w:bookmarkEnd w:id="1680"/>
      <w:bookmarkEnd w:id="1681"/>
      <w:bookmarkEnd w:id="1682"/>
      <w:bookmarkEnd w:id="1683"/>
      <w:bookmarkEnd w:id="1684"/>
      <w:bookmarkEnd w:id="1685"/>
    </w:p>
    <w:p w14:paraId="5229FE6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686" w:name="_Toc294892050"/>
      <w:bookmarkStart w:id="1687" w:name="_Toc278987489"/>
      <w:r>
        <w:rPr>
          <w:rStyle w:val="75"/>
          <w:rFonts w:hint="eastAsia" w:ascii="宋体" w:hAnsi="宋体" w:eastAsia="宋体" w:cs="宋体"/>
          <w:color w:val="auto"/>
          <w:kern w:val="0"/>
          <w:sz w:val="21"/>
          <w:szCs w:val="21"/>
          <w:highlight w:val="none"/>
        </w:rPr>
        <w:t>21.2.1 合同一方当事人遇到不可抗力事件，使其履行合同义务受到阻碍时，应立即通知合同另一方当事人和监理人，书面说明不可抗力和受阻碍的详细情况，并提供必要的证明。</w:t>
      </w:r>
      <w:bookmarkEnd w:id="1686"/>
      <w:bookmarkEnd w:id="1687"/>
    </w:p>
    <w:p w14:paraId="48CEC4A2">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688" w:name="_Toc278987490"/>
      <w:bookmarkStart w:id="1689" w:name="_Toc294892051"/>
      <w:r>
        <w:rPr>
          <w:rStyle w:val="75"/>
          <w:rFonts w:hint="eastAsia" w:ascii="宋体" w:hAnsi="宋体" w:eastAsia="宋体" w:cs="宋体"/>
          <w:color w:val="auto"/>
          <w:kern w:val="0"/>
          <w:sz w:val="21"/>
          <w:szCs w:val="21"/>
          <w:highlight w:val="none"/>
        </w:rPr>
        <w:t>21.2.2 如不可抗力持续发生，合同一方当事人应及时向合同另一方当事人和监理人提交中间报告，说明不可抗力和履行合同受阻的情况，并于不可抗力事件结束后28天内提交最终报告及有关资料。</w:t>
      </w:r>
      <w:bookmarkEnd w:id="1688"/>
      <w:bookmarkEnd w:id="1689"/>
    </w:p>
    <w:p w14:paraId="0A5B233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690" w:name="_Toc278380263"/>
      <w:bookmarkStart w:id="1691" w:name="_Toc199322116"/>
      <w:bookmarkStart w:id="1692" w:name="_Toc260172848"/>
      <w:bookmarkStart w:id="1693" w:name="_Toc274249585"/>
      <w:bookmarkStart w:id="1694" w:name="_Toc272432257"/>
      <w:bookmarkStart w:id="1695" w:name="_Toc262675552"/>
      <w:bookmarkStart w:id="1696" w:name="_Toc229450897"/>
      <w:bookmarkStart w:id="1697" w:name="_Toc294892052"/>
      <w:r>
        <w:rPr>
          <w:rStyle w:val="75"/>
          <w:rFonts w:hint="eastAsia" w:ascii="宋体" w:hAnsi="宋体" w:eastAsia="宋体" w:cs="宋体"/>
          <w:color w:val="auto"/>
          <w:kern w:val="0"/>
          <w:sz w:val="21"/>
          <w:szCs w:val="21"/>
          <w:highlight w:val="none"/>
        </w:rPr>
        <w:t>21.3 不可抗力后果及其处理</w:t>
      </w:r>
      <w:bookmarkEnd w:id="1690"/>
      <w:bookmarkEnd w:id="1691"/>
      <w:bookmarkEnd w:id="1692"/>
      <w:bookmarkEnd w:id="1693"/>
      <w:bookmarkEnd w:id="1694"/>
      <w:bookmarkEnd w:id="1695"/>
      <w:bookmarkEnd w:id="1696"/>
      <w:bookmarkEnd w:id="1697"/>
    </w:p>
    <w:p w14:paraId="0D70B2F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698" w:name="_Toc278987492"/>
      <w:bookmarkStart w:id="1699" w:name="_Toc488678526"/>
      <w:bookmarkStart w:id="1700" w:name="_Toc199322117"/>
      <w:bookmarkStart w:id="1701" w:name="_Toc490385467"/>
      <w:bookmarkStart w:id="1702" w:name="_Toc262675553"/>
      <w:bookmarkStart w:id="1703" w:name="_Toc294892053"/>
      <w:bookmarkStart w:id="1704" w:name="_Toc491246855"/>
      <w:bookmarkStart w:id="1705" w:name="_Toc272432258"/>
      <w:r>
        <w:rPr>
          <w:rStyle w:val="75"/>
          <w:rFonts w:hint="eastAsia" w:ascii="宋体" w:hAnsi="宋体" w:eastAsia="宋体" w:cs="宋体"/>
          <w:color w:val="auto"/>
          <w:kern w:val="0"/>
          <w:sz w:val="21"/>
          <w:szCs w:val="21"/>
          <w:highlight w:val="none"/>
        </w:rPr>
        <w:t>21.3.1 不可抗力造成损害的责任</w:t>
      </w:r>
      <w:bookmarkEnd w:id="1698"/>
      <w:bookmarkEnd w:id="1699"/>
      <w:bookmarkEnd w:id="1700"/>
      <w:bookmarkEnd w:id="1701"/>
      <w:bookmarkEnd w:id="1702"/>
      <w:bookmarkEnd w:id="1703"/>
      <w:bookmarkEnd w:id="1704"/>
      <w:bookmarkEnd w:id="1705"/>
    </w:p>
    <w:p w14:paraId="43ED534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除专用合同条款另有约定外，不可抗力导致的人员伤亡、财产损失、费用增加和(或)工期延误等后果，由合同双方按以下原则承担：</w:t>
      </w:r>
    </w:p>
    <w:p w14:paraId="465F95E2">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永久工程，包括已运至施工场地的材料和工程设备的损害，以及因工程损害造成的第三者人员伤亡和财产损失由发包人承担；</w:t>
      </w:r>
    </w:p>
    <w:p w14:paraId="6D360694">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承包人设备的损坏由承包人承担；</w:t>
      </w:r>
    </w:p>
    <w:p w14:paraId="3D6FF4B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 发包人和承包人各自承担其人员伤亡和其他财产损失及其相关费用；</w:t>
      </w:r>
    </w:p>
    <w:p w14:paraId="036E96BE">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 承包人的停工损失由承包人承担，但停工期间应监理人要求照管工程和清理、修复工程的金额由发包人承担；</w:t>
      </w:r>
    </w:p>
    <w:p w14:paraId="6F60C35E">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(5) 不能按期竣工的，应合理延长工期，承包人不需支付逾期竣工违约金。发包人要求赶工的，承包人应采取赶工措施，赶工费用由发包人承担。</w:t>
      </w:r>
    </w:p>
    <w:p w14:paraId="4A25652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706" w:name="_Toc272432259"/>
      <w:bookmarkStart w:id="1707" w:name="_Toc294892054"/>
      <w:bookmarkStart w:id="1708" w:name="_Toc488678527"/>
      <w:bookmarkStart w:id="1709" w:name="_Toc199322118"/>
      <w:bookmarkStart w:id="1710" w:name="_Toc491246856"/>
      <w:bookmarkStart w:id="1711" w:name="_Toc262675554"/>
      <w:bookmarkStart w:id="1712" w:name="_Toc490385468"/>
      <w:bookmarkStart w:id="1713" w:name="_Toc278987493"/>
      <w:r>
        <w:rPr>
          <w:rStyle w:val="75"/>
          <w:rFonts w:hint="eastAsia" w:ascii="宋体" w:hAnsi="宋体" w:eastAsia="宋体" w:cs="宋体"/>
          <w:color w:val="auto"/>
          <w:kern w:val="0"/>
          <w:sz w:val="21"/>
          <w:szCs w:val="21"/>
          <w:highlight w:val="none"/>
        </w:rPr>
        <w:t>21.3.2 延迟履行期间发生的不可抗力</w:t>
      </w:r>
      <w:bookmarkEnd w:id="1706"/>
      <w:bookmarkEnd w:id="1707"/>
      <w:bookmarkEnd w:id="1708"/>
      <w:bookmarkEnd w:id="1709"/>
      <w:bookmarkEnd w:id="1710"/>
      <w:bookmarkEnd w:id="1711"/>
      <w:bookmarkEnd w:id="1712"/>
      <w:bookmarkEnd w:id="1713"/>
    </w:p>
    <w:p w14:paraId="1B8D6C1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合同一方当事人延迟履行，在延迟履行期间发生不可抗力的，不免除其责任。</w:t>
      </w:r>
    </w:p>
    <w:p w14:paraId="22D3578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714" w:name="_Toc199322119"/>
      <w:bookmarkStart w:id="1715" w:name="_Toc294892055"/>
      <w:bookmarkStart w:id="1716" w:name="_Toc262675555"/>
      <w:bookmarkStart w:id="1717" w:name="_Toc491246857"/>
      <w:bookmarkStart w:id="1718" w:name="_Toc272432260"/>
      <w:bookmarkStart w:id="1719" w:name="_Toc488678528"/>
      <w:bookmarkStart w:id="1720" w:name="_Toc278987494"/>
      <w:bookmarkStart w:id="1721" w:name="_Toc490385469"/>
      <w:r>
        <w:rPr>
          <w:rStyle w:val="75"/>
          <w:rFonts w:hint="eastAsia" w:ascii="宋体" w:hAnsi="宋体" w:eastAsia="宋体" w:cs="宋体"/>
          <w:color w:val="auto"/>
          <w:kern w:val="0"/>
          <w:sz w:val="21"/>
          <w:szCs w:val="21"/>
          <w:highlight w:val="none"/>
        </w:rPr>
        <w:t>21.3.3 避免和威少不可抗力损失</w:t>
      </w:r>
      <w:bookmarkEnd w:id="1714"/>
      <w:bookmarkEnd w:id="1715"/>
      <w:bookmarkEnd w:id="1716"/>
      <w:bookmarkEnd w:id="1717"/>
      <w:bookmarkEnd w:id="1718"/>
      <w:bookmarkEnd w:id="1719"/>
      <w:bookmarkEnd w:id="1720"/>
      <w:bookmarkEnd w:id="1721"/>
    </w:p>
    <w:p w14:paraId="7D7D66E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不可抗力发生后，发包人和承包人均应采取措施尽量避免和减少损失的扩大，任何一方</w:t>
      </w:r>
    </w:p>
    <w:p w14:paraId="5356DFFD">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没有采取有效措施导致损失扩大的，应对扩大的损失承担责任。</w:t>
      </w:r>
    </w:p>
    <w:p w14:paraId="37085B9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722" w:name="_Toc262675556"/>
      <w:bookmarkStart w:id="1723" w:name="_Toc278987495"/>
      <w:bookmarkStart w:id="1724" w:name="_Toc490385470"/>
      <w:bookmarkStart w:id="1725" w:name="_Toc488678529"/>
      <w:bookmarkStart w:id="1726" w:name="_Toc491246858"/>
      <w:bookmarkStart w:id="1727" w:name="_Toc294892056"/>
      <w:bookmarkStart w:id="1728" w:name="_Toc199322120"/>
      <w:bookmarkStart w:id="1729" w:name="_Toc272432261"/>
      <w:r>
        <w:rPr>
          <w:rStyle w:val="75"/>
          <w:rFonts w:hint="eastAsia" w:ascii="宋体" w:hAnsi="宋体" w:eastAsia="宋体" w:cs="宋体"/>
          <w:color w:val="auto"/>
          <w:kern w:val="0"/>
          <w:sz w:val="21"/>
          <w:szCs w:val="21"/>
          <w:highlight w:val="none"/>
        </w:rPr>
        <w:t>21.3.4 因不可抗力解除合同</w:t>
      </w:r>
      <w:bookmarkEnd w:id="1722"/>
      <w:bookmarkEnd w:id="1723"/>
      <w:bookmarkEnd w:id="1724"/>
      <w:bookmarkEnd w:id="1725"/>
      <w:bookmarkEnd w:id="1726"/>
      <w:bookmarkEnd w:id="1727"/>
      <w:bookmarkEnd w:id="1728"/>
      <w:bookmarkEnd w:id="1729"/>
    </w:p>
    <w:p w14:paraId="1DC7D232">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合同一方当事人因不可抗力不能履行合同的，应当及时通知对方解除合同。合同解除后，承包人应按照第22.2.5 项约定撤离施工场地。已经订货的材料、设备由订货方负责退货或解除订货合同，不能退还的货款和因退货、解除订货合同发生的费用，由发包人承担，因未及时退货造成的损失由责任方承担。合同解除后的付款，参照第22.2.4 项约定，由监理人按第3.5款商定或确定。</w:t>
      </w:r>
    </w:p>
    <w:p w14:paraId="2D815B4A">
      <w:pPr>
        <w:pStyle w:val="39"/>
        <w:autoSpaceDE w:val="0"/>
        <w:autoSpaceDN w:val="0"/>
        <w:adjustRightInd w:val="0"/>
        <w:spacing w:line="360" w:lineRule="exact"/>
        <w:ind w:left="0" w:leftChars="0" w:firstLine="422" w:firstLineChars="200"/>
        <w:jc w:val="left"/>
        <w:outlineLvl w:val="2"/>
        <w:rPr>
          <w:rStyle w:val="75"/>
          <w:rFonts w:hint="eastAsia" w:ascii="宋体" w:hAnsi="宋体" w:eastAsia="宋体" w:cs="宋体"/>
          <w:b/>
          <w:color w:val="auto"/>
          <w:kern w:val="0"/>
          <w:sz w:val="21"/>
          <w:szCs w:val="21"/>
          <w:highlight w:val="none"/>
        </w:rPr>
      </w:pPr>
      <w:bookmarkStart w:id="1730" w:name="_Toc19033"/>
      <w:bookmarkStart w:id="1731" w:name="_Toc262675557"/>
      <w:bookmarkStart w:id="1732" w:name="_Toc274249586"/>
      <w:bookmarkStart w:id="1733" w:name="_Toc272432262"/>
      <w:bookmarkStart w:id="1734" w:name="_Toc199322121"/>
      <w:bookmarkStart w:id="1735" w:name="_Toc260172849"/>
      <w:bookmarkStart w:id="1736" w:name="_Toc294892057"/>
      <w:bookmarkStart w:id="1737" w:name="_Toc229450898"/>
      <w:bookmarkStart w:id="1738" w:name="_Toc312946504"/>
      <w:r>
        <w:rPr>
          <w:rStyle w:val="75"/>
          <w:rFonts w:hint="eastAsia" w:ascii="宋体" w:hAnsi="宋体" w:eastAsia="宋体" w:cs="宋体"/>
          <w:b/>
          <w:color w:val="auto"/>
          <w:kern w:val="0"/>
          <w:sz w:val="21"/>
          <w:szCs w:val="21"/>
          <w:highlight w:val="none"/>
        </w:rPr>
        <w:t>22．违约</w:t>
      </w:r>
      <w:bookmarkEnd w:id="1730"/>
      <w:bookmarkEnd w:id="1731"/>
      <w:bookmarkEnd w:id="1732"/>
      <w:bookmarkEnd w:id="1733"/>
      <w:bookmarkEnd w:id="1734"/>
      <w:bookmarkEnd w:id="1735"/>
      <w:bookmarkEnd w:id="1736"/>
      <w:bookmarkEnd w:id="1737"/>
      <w:bookmarkEnd w:id="1738"/>
    </w:p>
    <w:p w14:paraId="0E8EB75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739" w:name="_Toc272432263"/>
      <w:bookmarkStart w:id="1740" w:name="_Toc294892058"/>
      <w:bookmarkStart w:id="1741" w:name="_Toc260172850"/>
      <w:bookmarkStart w:id="1742" w:name="_Toc229450899"/>
      <w:bookmarkStart w:id="1743" w:name="_Toc199322122"/>
      <w:bookmarkStart w:id="1744" w:name="_Toc262675558"/>
      <w:bookmarkStart w:id="1745" w:name="_Toc274249587"/>
      <w:r>
        <w:rPr>
          <w:rStyle w:val="75"/>
          <w:rFonts w:hint="eastAsia" w:ascii="宋体" w:hAnsi="宋体" w:eastAsia="宋体" w:cs="宋体"/>
          <w:color w:val="auto"/>
          <w:kern w:val="0"/>
          <w:sz w:val="21"/>
          <w:szCs w:val="21"/>
          <w:highlight w:val="none"/>
        </w:rPr>
        <w:t>22.1 承包人违约</w:t>
      </w:r>
      <w:bookmarkEnd w:id="1739"/>
      <w:bookmarkEnd w:id="1740"/>
      <w:bookmarkEnd w:id="1741"/>
      <w:bookmarkEnd w:id="1742"/>
      <w:bookmarkEnd w:id="1743"/>
      <w:bookmarkEnd w:id="1744"/>
      <w:bookmarkEnd w:id="1745"/>
    </w:p>
    <w:p w14:paraId="0FC113B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746" w:name="_Toc491246861"/>
      <w:bookmarkStart w:id="1747" w:name="_Toc490385473"/>
      <w:r>
        <w:rPr>
          <w:rStyle w:val="75"/>
          <w:rFonts w:hint="eastAsia" w:ascii="宋体" w:hAnsi="宋体" w:eastAsia="宋体" w:cs="宋体"/>
          <w:color w:val="auto"/>
          <w:kern w:val="0"/>
          <w:sz w:val="21"/>
          <w:szCs w:val="21"/>
          <w:highlight w:val="none"/>
        </w:rPr>
        <w:t>22.1.1.承包人违约的情形</w:t>
      </w:r>
      <w:bookmarkEnd w:id="1746"/>
      <w:bookmarkEnd w:id="1747"/>
    </w:p>
    <w:p w14:paraId="0F37CA8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在履行合同过程中发生的下列情况属承包人违约:</w:t>
      </w:r>
    </w:p>
    <w:p w14:paraId="26AFD5EC">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承包人违反第1.8 款或第4.3 款的约定，私自将合同的全部或部分权利转让给其他人，或私自将合同的全部或部分义务转移给其他人；</w:t>
      </w:r>
    </w:p>
    <w:p w14:paraId="3DD4122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承包人违反第5.3款或第6.4款的约定，未经监理人批准，私自将已按合同约定进入施工场地的施工设备、临时设施或材料撤离施工场地；</w:t>
      </w:r>
    </w:p>
    <w:p w14:paraId="770AFA6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 承包人违反第5.4款的约定使用了不合格材料或工程设备，工程质量达不到标准要求，又拒绝清除不合格工程；</w:t>
      </w:r>
    </w:p>
    <w:p w14:paraId="2AC54F8E">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 承包人未能按合同进度计划及时完成合同约定的工作，已造成或预期造成工期延误；</w:t>
      </w:r>
    </w:p>
    <w:p w14:paraId="3A4ECBDD">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（5) 承包人在缺陷责任期内（工程质量保修期）内，未能对合同工程完工验收签定书所列的缺陷清单的内容或缺陷责任期（工程质量保修期）内发生的缺陷进行修复，而又拒绝按监理人指示再进行修补；</w:t>
      </w:r>
    </w:p>
    <w:p w14:paraId="158A30FD">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 xml:space="preserve">(6) 承包人无法继续履行或明确表示不履行或实质上已停止履行合同； </w:t>
      </w:r>
    </w:p>
    <w:p w14:paraId="1CB7B46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(7) 承包人不按合同约定履行义务的其他情况。</w:t>
      </w:r>
    </w:p>
    <w:p w14:paraId="39323418">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748" w:name="_Toc199322123"/>
      <w:r>
        <w:rPr>
          <w:rStyle w:val="75"/>
          <w:rFonts w:hint="eastAsia" w:ascii="宋体" w:hAnsi="宋体" w:eastAsia="宋体" w:cs="宋体"/>
          <w:color w:val="auto"/>
          <w:kern w:val="0"/>
          <w:sz w:val="21"/>
          <w:szCs w:val="21"/>
          <w:highlight w:val="none"/>
        </w:rPr>
        <w:t>22.1.2 对承包人违约的处理</w:t>
      </w:r>
      <w:bookmarkEnd w:id="1748"/>
    </w:p>
    <w:p w14:paraId="59179AD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承包人发生第22.1.1 (6) 目约定的违约情况时，发包人可通知承包人立即解除合同，并按有关法律处理。</w:t>
      </w:r>
    </w:p>
    <w:p w14:paraId="3E518D9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承包人发生除第22.1.1 (6) 目约定以外的其他违约情况时，监理人可向承包人发出整改通知，要求其在指定的期限内改正。承包人应承担其违约所引起的费用增加和(或)工期延误。</w:t>
      </w:r>
    </w:p>
    <w:p w14:paraId="6589F66D">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 经检查证明承包人已采取了有效措施纠正违约行为，具备复工条件的，可由监理人签发复工通知复工。</w:t>
      </w:r>
    </w:p>
    <w:p w14:paraId="398AB467">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22.1.3承包人违约解除合同</w:t>
      </w:r>
    </w:p>
    <w:p w14:paraId="63474F7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57D26A7E">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749" w:name="_Toc199322124"/>
      <w:r>
        <w:rPr>
          <w:rStyle w:val="75"/>
          <w:rFonts w:hint="eastAsia" w:ascii="宋体" w:hAnsi="宋体" w:eastAsia="宋体" w:cs="宋体"/>
          <w:color w:val="auto"/>
          <w:kern w:val="0"/>
          <w:sz w:val="21"/>
          <w:szCs w:val="21"/>
          <w:highlight w:val="none"/>
        </w:rPr>
        <w:t>22.1.4 合同解除后的估价、付款和结清</w:t>
      </w:r>
      <w:bookmarkEnd w:id="1749"/>
    </w:p>
    <w:p w14:paraId="67C09DA2">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合同解除后，监理人按第3.5款商定或确定承包人实际完成工作的价值，以及承包人已提供的材料、施工设备、工程设备和临时工程等的价值。</w:t>
      </w:r>
    </w:p>
    <w:p w14:paraId="036DD8E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合同解除后，发包人应暂停对承包人的一切付款，查清各项付款和已扣款金额，包括承包人应支付的违约金。</w:t>
      </w:r>
    </w:p>
    <w:p w14:paraId="4F58CEB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 合同解除后，发包人应按第23.4款的约定向承包人索赔由于解除合同给发包人造成的损失。</w:t>
      </w:r>
    </w:p>
    <w:p w14:paraId="2A5D8F3D">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 合同双方确认上述往来款项后，出具最终结清付款证书，结清全部合同款项。</w:t>
      </w:r>
    </w:p>
    <w:p w14:paraId="13782040">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(5) 发包人和承包人未能就解除合同后的结清达成一致而形成争议的，按第24条的约定办理.</w:t>
      </w:r>
    </w:p>
    <w:p w14:paraId="74F76892">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750" w:name="_Toc199322125"/>
      <w:r>
        <w:rPr>
          <w:rStyle w:val="75"/>
          <w:rFonts w:hint="eastAsia" w:ascii="宋体" w:hAnsi="宋体" w:eastAsia="宋体" w:cs="宋体"/>
          <w:color w:val="auto"/>
          <w:kern w:val="0"/>
          <w:sz w:val="21"/>
          <w:szCs w:val="21"/>
          <w:highlight w:val="none"/>
        </w:rPr>
        <w:t>22.1.5 协议利益的转让</w:t>
      </w:r>
      <w:bookmarkEnd w:id="1750"/>
    </w:p>
    <w:p w14:paraId="26516CF2">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因承包人违约解除合同的，发包人有权要求承包人将其为实施合同而签订的材料和设备的订货协议或任何服务协议利益转让给发包人，并在解除合同后的14天内，依法办理转让手续。</w:t>
      </w:r>
    </w:p>
    <w:p w14:paraId="4EA7167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751" w:name="_Toc274249588"/>
      <w:bookmarkStart w:id="1752" w:name="_Toc262675559"/>
      <w:bookmarkStart w:id="1753" w:name="_Toc272432264"/>
      <w:bookmarkStart w:id="1754" w:name="_Toc294892059"/>
      <w:bookmarkStart w:id="1755" w:name="_Toc199322126"/>
      <w:bookmarkStart w:id="1756" w:name="_Toc278987498"/>
      <w:bookmarkStart w:id="1757" w:name="_Toc283132753"/>
      <w:bookmarkStart w:id="1758" w:name="_Toc278380266"/>
      <w:r>
        <w:rPr>
          <w:rStyle w:val="75"/>
          <w:rFonts w:hint="eastAsia" w:ascii="宋体" w:hAnsi="宋体" w:eastAsia="宋体" w:cs="宋体"/>
          <w:color w:val="auto"/>
          <w:kern w:val="0"/>
          <w:sz w:val="21"/>
          <w:szCs w:val="21"/>
          <w:highlight w:val="none"/>
        </w:rPr>
        <w:t>22.1.6 紧急情况下无能力或不愿进行抢救</w:t>
      </w:r>
      <w:bookmarkEnd w:id="1751"/>
      <w:bookmarkEnd w:id="1752"/>
      <w:bookmarkEnd w:id="1753"/>
      <w:bookmarkEnd w:id="1754"/>
      <w:bookmarkEnd w:id="1755"/>
      <w:bookmarkEnd w:id="1756"/>
      <w:bookmarkEnd w:id="1757"/>
      <w:bookmarkEnd w:id="1758"/>
    </w:p>
    <w:p w14:paraId="4EDD69E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015BA574">
      <w:pPr>
        <w:pStyle w:val="39"/>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759" w:name="_Toc312946505"/>
      <w:bookmarkStart w:id="1760" w:name="_Toc199322127"/>
      <w:bookmarkStart w:id="1761" w:name="_Toc274249589"/>
      <w:bookmarkStart w:id="1762" w:name="_Toc13415"/>
      <w:bookmarkStart w:id="1763" w:name="_Toc262675560"/>
      <w:bookmarkStart w:id="1764" w:name="_Toc229450900"/>
      <w:bookmarkStart w:id="1765" w:name="_Toc294892060"/>
      <w:bookmarkStart w:id="1766" w:name="_Toc272432265"/>
      <w:bookmarkStart w:id="1767" w:name="_Toc260172851"/>
      <w:r>
        <w:rPr>
          <w:rStyle w:val="75"/>
          <w:rFonts w:hint="eastAsia" w:ascii="宋体" w:hAnsi="宋体" w:eastAsia="宋体" w:cs="宋体"/>
          <w:b/>
          <w:color w:val="auto"/>
          <w:kern w:val="0"/>
          <w:sz w:val="21"/>
          <w:szCs w:val="21"/>
          <w:highlight w:val="none"/>
        </w:rPr>
        <w:t>22.2 发包人违约</w:t>
      </w:r>
      <w:bookmarkEnd w:id="1759"/>
      <w:bookmarkEnd w:id="1760"/>
      <w:bookmarkEnd w:id="1761"/>
      <w:bookmarkEnd w:id="1762"/>
      <w:bookmarkEnd w:id="1763"/>
      <w:bookmarkEnd w:id="1764"/>
      <w:bookmarkEnd w:id="1765"/>
      <w:bookmarkEnd w:id="1766"/>
      <w:bookmarkEnd w:id="1767"/>
    </w:p>
    <w:p w14:paraId="74F0A93E">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22.2.1 发包人违约的情形</w:t>
      </w:r>
    </w:p>
    <w:p w14:paraId="2297526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在履行合同过程中发生的下列情形，属发包人违约:</w:t>
      </w:r>
    </w:p>
    <w:p w14:paraId="0934FF5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发包人未能按合同约定支付预付款或合同价款，或拖延、拒绝批准付款申请和支付凭证，导致付款延误的；</w:t>
      </w:r>
    </w:p>
    <w:p w14:paraId="47A9511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发包人原因造成停工的；</w:t>
      </w:r>
    </w:p>
    <w:p w14:paraId="637A408C">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 监理人无正当理由没有在约定期限内发出复工指示，导致承包人无法复工的；</w:t>
      </w:r>
    </w:p>
    <w:p w14:paraId="6AD1483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 发包人无法继续履行或明确表示不履行或实质上已停止履行合同的；</w:t>
      </w:r>
    </w:p>
    <w:p w14:paraId="662D265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(5) 发包人不履行合同约定其他义务的。</w:t>
      </w:r>
    </w:p>
    <w:p w14:paraId="4B32569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768" w:name="_Toc199322128"/>
      <w:r>
        <w:rPr>
          <w:rStyle w:val="75"/>
          <w:rFonts w:hint="eastAsia" w:ascii="宋体" w:hAnsi="宋体" w:eastAsia="宋体" w:cs="宋体"/>
          <w:color w:val="auto"/>
          <w:kern w:val="0"/>
          <w:sz w:val="21"/>
          <w:szCs w:val="21"/>
          <w:highlight w:val="none"/>
        </w:rPr>
        <w:t>22.2.2 承包人有权暂停施工</w:t>
      </w:r>
      <w:bookmarkEnd w:id="1768"/>
    </w:p>
    <w:p w14:paraId="2AA11B47">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发包人发生除第22.2.1 (4) 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050DB6E4">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769" w:name="_Toc199322129"/>
      <w:bookmarkStart w:id="1770" w:name="_Toc294892061"/>
      <w:bookmarkStart w:id="1771" w:name="_Toc278987500"/>
      <w:r>
        <w:rPr>
          <w:rStyle w:val="75"/>
          <w:rFonts w:hint="eastAsia" w:ascii="宋体" w:hAnsi="宋体" w:eastAsia="宋体" w:cs="宋体"/>
          <w:color w:val="auto"/>
          <w:kern w:val="0"/>
          <w:sz w:val="21"/>
          <w:szCs w:val="21"/>
          <w:highlight w:val="none"/>
        </w:rPr>
        <w:t>22.2.3 发包人违约解除合同</w:t>
      </w:r>
      <w:bookmarkEnd w:id="1769"/>
      <w:bookmarkEnd w:id="1770"/>
      <w:bookmarkEnd w:id="1771"/>
    </w:p>
    <w:p w14:paraId="22B6270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发生第22.2.1 (4) 目的违约情况时，承包人可书面通知发包人解除合同。</w:t>
      </w:r>
    </w:p>
    <w:p w14:paraId="46161D4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承包人按22.2.2 项暂停施工28天后，发包人仍不纠正违约行为的，承包人可向发包人发出解除合同通知。但承包人的这一行动不免除发包人承担的违约责任，也不影响承包人根据合同约定事有的索赔权利。</w:t>
      </w:r>
    </w:p>
    <w:p w14:paraId="0EB676D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772" w:name="_Toc199322130"/>
      <w:r>
        <w:rPr>
          <w:rStyle w:val="75"/>
          <w:rFonts w:hint="eastAsia" w:ascii="宋体" w:hAnsi="宋体" w:eastAsia="宋体" w:cs="宋体"/>
          <w:color w:val="auto"/>
          <w:kern w:val="0"/>
          <w:sz w:val="21"/>
          <w:szCs w:val="21"/>
          <w:highlight w:val="none"/>
        </w:rPr>
        <w:t>22.2.4解除合同后的付款</w:t>
      </w:r>
      <w:bookmarkEnd w:id="1772"/>
    </w:p>
    <w:p w14:paraId="69F0C764">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因发包人违约解除合同的，发包人应在解除合同后28 天内向承包人支付下列金额，承包人应在此期限内及时向发包人提交要求支付下列金额的有关资料和凭证:</w:t>
      </w:r>
    </w:p>
    <w:p w14:paraId="7F525C58">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773" w:name="_Toc283132756"/>
      <w:bookmarkStart w:id="1774" w:name="_Toc294892062"/>
      <w:bookmarkStart w:id="1775" w:name="_Toc278987501"/>
      <w:r>
        <w:rPr>
          <w:rStyle w:val="75"/>
          <w:rFonts w:hint="eastAsia" w:ascii="宋体" w:hAnsi="宋体" w:eastAsia="宋体" w:cs="宋体"/>
          <w:color w:val="auto"/>
          <w:kern w:val="0"/>
          <w:sz w:val="21"/>
          <w:szCs w:val="21"/>
          <w:highlight w:val="none"/>
        </w:rPr>
        <w:t>(1) 合同解除日以前所完成工作的价款；</w:t>
      </w:r>
      <w:bookmarkEnd w:id="1773"/>
      <w:bookmarkEnd w:id="1774"/>
      <w:bookmarkEnd w:id="1775"/>
    </w:p>
    <w:p w14:paraId="7F4E864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承包人为该工程施工订购并已付款的材料、工程设备和其他物品的金额。发包人付还后，该材料、工程设备和其他物品归发包人所有；</w:t>
      </w:r>
    </w:p>
    <w:p w14:paraId="5370A5C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 承包人为完成工程所发生的，而发包人未支付的金额；</w:t>
      </w:r>
    </w:p>
    <w:p w14:paraId="5889D3DD">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 承包人撤离施工场地以及遣散承包人人员的金额；</w:t>
      </w:r>
    </w:p>
    <w:p w14:paraId="32691FD3">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(5) 由于解除合同应赔偿的承包人损失；</w:t>
      </w:r>
    </w:p>
    <w:p w14:paraId="2123490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(6) 按合同约定在合同解除日前应支付给承包人的其他金额；</w:t>
      </w:r>
    </w:p>
    <w:p w14:paraId="2363239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发包人应按本项约定支付上述金额并退还质量保证金和履约担保，但有权要求承包人支付应偿还给发包人的各项金额。</w:t>
      </w:r>
    </w:p>
    <w:p w14:paraId="644A79A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776" w:name="_Toc294892063"/>
      <w:bookmarkStart w:id="1777" w:name="_Toc278987502"/>
      <w:bookmarkStart w:id="1778" w:name="_Toc199322131"/>
      <w:r>
        <w:rPr>
          <w:rStyle w:val="75"/>
          <w:rFonts w:hint="eastAsia" w:ascii="宋体" w:hAnsi="宋体" w:eastAsia="宋体" w:cs="宋体"/>
          <w:color w:val="auto"/>
          <w:kern w:val="0"/>
          <w:sz w:val="21"/>
          <w:szCs w:val="21"/>
          <w:highlight w:val="none"/>
        </w:rPr>
        <w:t>22.2.5 解除合同后的承包人撒离</w:t>
      </w:r>
      <w:bookmarkEnd w:id="1776"/>
      <w:bookmarkEnd w:id="1777"/>
      <w:bookmarkEnd w:id="1778"/>
    </w:p>
    <w:p w14:paraId="0EC8281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因发包人违约而解除合同后，承包人应妥善做好已竣工工程和已购材料、设备的保护和移交工作，按发包人要求将承包人设备和人员撤出施工场地。承包人撤出施工场地应遵守第18.7.1 项的约定,发包人应为承包人撤出提供条件。</w:t>
      </w:r>
    </w:p>
    <w:p w14:paraId="7CD7D5DB">
      <w:pPr>
        <w:pStyle w:val="39"/>
        <w:tabs>
          <w:tab w:val="left" w:pos="1620"/>
        </w:tabs>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779" w:name="_Toc262675561"/>
      <w:bookmarkStart w:id="1780" w:name="_Toc274249590"/>
      <w:bookmarkStart w:id="1781" w:name="_Toc19005"/>
      <w:bookmarkStart w:id="1782" w:name="_Toc312946506"/>
      <w:bookmarkStart w:id="1783" w:name="_Toc294892064"/>
      <w:bookmarkStart w:id="1784" w:name="_Toc272432266"/>
      <w:bookmarkStart w:id="1785" w:name="_Toc229450901"/>
      <w:bookmarkStart w:id="1786" w:name="_Toc260172852"/>
      <w:r>
        <w:rPr>
          <w:rStyle w:val="75"/>
          <w:rFonts w:hint="eastAsia" w:ascii="宋体" w:hAnsi="宋体" w:eastAsia="宋体" w:cs="宋体"/>
          <w:b/>
          <w:color w:val="auto"/>
          <w:kern w:val="0"/>
          <w:sz w:val="21"/>
          <w:szCs w:val="21"/>
          <w:highlight w:val="none"/>
        </w:rPr>
        <w:t>22.3 第三人造成的违约</w:t>
      </w:r>
      <w:bookmarkEnd w:id="1779"/>
      <w:bookmarkEnd w:id="1780"/>
      <w:bookmarkEnd w:id="1781"/>
      <w:bookmarkEnd w:id="1782"/>
      <w:bookmarkEnd w:id="1783"/>
      <w:bookmarkEnd w:id="1784"/>
      <w:bookmarkEnd w:id="1785"/>
      <w:bookmarkEnd w:id="1786"/>
    </w:p>
    <w:p w14:paraId="04443BB7">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在履行合同过程中，一方当事人因第三人的原因造成违约的，应当向对方当事人承担违约责任。一方当事人和第三人之间的纠纷，依照法律规定或者按照约定解决。</w:t>
      </w:r>
    </w:p>
    <w:p w14:paraId="398799DB">
      <w:pPr>
        <w:pStyle w:val="39"/>
        <w:tabs>
          <w:tab w:val="left" w:pos="1620"/>
        </w:tabs>
        <w:autoSpaceDE w:val="0"/>
        <w:autoSpaceDN w:val="0"/>
        <w:adjustRightInd w:val="0"/>
        <w:spacing w:line="360" w:lineRule="exact"/>
        <w:ind w:left="0" w:leftChars="0" w:firstLine="422" w:firstLineChars="200"/>
        <w:jc w:val="left"/>
        <w:outlineLvl w:val="2"/>
        <w:rPr>
          <w:rStyle w:val="75"/>
          <w:rFonts w:hint="eastAsia" w:ascii="宋体" w:hAnsi="宋体" w:eastAsia="宋体" w:cs="宋体"/>
          <w:b/>
          <w:color w:val="auto"/>
          <w:kern w:val="0"/>
          <w:sz w:val="21"/>
          <w:szCs w:val="21"/>
          <w:highlight w:val="none"/>
        </w:rPr>
      </w:pPr>
      <w:bookmarkStart w:id="1787" w:name="_Toc17532"/>
      <w:bookmarkStart w:id="1788" w:name="_Toc294892065"/>
      <w:bookmarkStart w:id="1789" w:name="_Toc312946507"/>
      <w:bookmarkStart w:id="1790" w:name="_Toc229450902"/>
      <w:bookmarkStart w:id="1791" w:name="_Toc272432267"/>
      <w:bookmarkStart w:id="1792" w:name="_Toc274249591"/>
      <w:bookmarkStart w:id="1793" w:name="_Toc260172853"/>
      <w:bookmarkStart w:id="1794" w:name="_Toc262675562"/>
      <w:bookmarkStart w:id="1795" w:name="_Toc199322132"/>
      <w:r>
        <w:rPr>
          <w:rStyle w:val="75"/>
          <w:rFonts w:hint="eastAsia" w:ascii="宋体" w:hAnsi="宋体" w:eastAsia="宋体" w:cs="宋体"/>
          <w:b/>
          <w:color w:val="auto"/>
          <w:kern w:val="0"/>
          <w:sz w:val="21"/>
          <w:szCs w:val="21"/>
          <w:highlight w:val="none"/>
        </w:rPr>
        <w:t>23.索赔</w:t>
      </w:r>
      <w:bookmarkEnd w:id="1787"/>
      <w:bookmarkEnd w:id="1788"/>
      <w:bookmarkEnd w:id="1789"/>
      <w:bookmarkEnd w:id="1790"/>
      <w:bookmarkEnd w:id="1791"/>
      <w:bookmarkEnd w:id="1792"/>
      <w:bookmarkEnd w:id="1793"/>
      <w:bookmarkEnd w:id="1794"/>
      <w:bookmarkEnd w:id="1795"/>
    </w:p>
    <w:p w14:paraId="18C541F9">
      <w:pPr>
        <w:pStyle w:val="39"/>
        <w:tabs>
          <w:tab w:val="left" w:pos="1620"/>
        </w:tabs>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796" w:name="_Toc229450903"/>
      <w:bookmarkStart w:id="1797" w:name="_Toc199322133"/>
      <w:bookmarkStart w:id="1798" w:name="_Toc312946508"/>
      <w:bookmarkStart w:id="1799" w:name="_Toc272432268"/>
      <w:bookmarkStart w:id="1800" w:name="_Toc8873"/>
      <w:bookmarkStart w:id="1801" w:name="_Toc262675563"/>
      <w:bookmarkStart w:id="1802" w:name="_Toc260172854"/>
      <w:bookmarkStart w:id="1803" w:name="_Toc294892066"/>
      <w:bookmarkStart w:id="1804" w:name="_Toc274249592"/>
      <w:r>
        <w:rPr>
          <w:rStyle w:val="75"/>
          <w:rFonts w:hint="eastAsia" w:ascii="宋体" w:hAnsi="宋体" w:eastAsia="宋体" w:cs="宋体"/>
          <w:b/>
          <w:color w:val="auto"/>
          <w:kern w:val="0"/>
          <w:sz w:val="21"/>
          <w:szCs w:val="21"/>
          <w:highlight w:val="none"/>
        </w:rPr>
        <w:t>23.1 承包人索赔的提出</w:t>
      </w:r>
      <w:bookmarkEnd w:id="1796"/>
      <w:bookmarkEnd w:id="1797"/>
      <w:bookmarkEnd w:id="1798"/>
      <w:bookmarkEnd w:id="1799"/>
      <w:bookmarkEnd w:id="1800"/>
      <w:bookmarkEnd w:id="1801"/>
      <w:bookmarkEnd w:id="1802"/>
      <w:bookmarkEnd w:id="1803"/>
      <w:bookmarkEnd w:id="1804"/>
    </w:p>
    <w:p w14:paraId="2A2EDC1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根据合同约定，承包人认为有权得到追加付款和(或)延长工期的，应按以下程序向发包人提出索赔：</w:t>
      </w:r>
    </w:p>
    <w:p w14:paraId="083E1F2B">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承包人应在知道或应当知道索赔事件发生后28 天内，向监理人递交索赔意向通知书，并说明发生索赔事件的事由。承包人未在前述28 天内发出索赔意向通知书的，丧失要求追加付款和(或)延长工期的权利；</w:t>
      </w:r>
    </w:p>
    <w:p w14:paraId="073887A8">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承包人应在发出索赔意向通知书后28 天内，向监理人正式递交索赔通知书。索赔通知书应详细说明索赔理由以及要求追加的付款金额和(或)延长的工期，并附必要的记录和证明材料；</w:t>
      </w:r>
    </w:p>
    <w:p w14:paraId="67E7C0B2">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 索赔事件具有连续影响的，承包人应按合理时间间隔继续递交延续索赔通知，说明连续影响的实际情况和记录，列出累计的追加付款金额和(或)工期延长天数；</w:t>
      </w:r>
    </w:p>
    <w:p w14:paraId="7D9D9C17">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(4) 在索赔事件影响结束后的28 天内，承包人应向监理人递交最终索赔通知书，说明最终要求索赔的追加付款金额和延长的工期，并附必要的记录和证明材料。</w:t>
      </w:r>
    </w:p>
    <w:p w14:paraId="19CD6175">
      <w:pPr>
        <w:pStyle w:val="39"/>
        <w:tabs>
          <w:tab w:val="left" w:pos="1620"/>
        </w:tabs>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805" w:name="_Toc199322134"/>
      <w:bookmarkStart w:id="1806" w:name="_Toc24790"/>
      <w:bookmarkStart w:id="1807" w:name="_Toc274249593"/>
      <w:bookmarkStart w:id="1808" w:name="_Toc262675564"/>
      <w:bookmarkStart w:id="1809" w:name="_Toc272432269"/>
      <w:bookmarkStart w:id="1810" w:name="_Toc294892067"/>
      <w:bookmarkStart w:id="1811" w:name="_Toc260172855"/>
      <w:bookmarkStart w:id="1812" w:name="_Toc229450904"/>
      <w:bookmarkStart w:id="1813" w:name="_Toc312946509"/>
      <w:r>
        <w:rPr>
          <w:rStyle w:val="75"/>
          <w:rFonts w:hint="eastAsia" w:ascii="宋体" w:hAnsi="宋体" w:eastAsia="宋体" w:cs="宋体"/>
          <w:b/>
          <w:color w:val="auto"/>
          <w:kern w:val="0"/>
          <w:sz w:val="21"/>
          <w:szCs w:val="21"/>
          <w:highlight w:val="none"/>
        </w:rPr>
        <w:t>23.2 承包人索赔处理程序</w:t>
      </w:r>
      <w:bookmarkEnd w:id="1805"/>
      <w:bookmarkEnd w:id="1806"/>
      <w:bookmarkEnd w:id="1807"/>
      <w:bookmarkEnd w:id="1808"/>
      <w:bookmarkEnd w:id="1809"/>
      <w:bookmarkEnd w:id="1810"/>
      <w:bookmarkEnd w:id="1811"/>
      <w:bookmarkEnd w:id="1812"/>
      <w:bookmarkEnd w:id="1813"/>
    </w:p>
    <w:p w14:paraId="429FB835">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监理人收到承包人提交的索赔通知书后，应及时审查索赔通知书的内容、查验承包人的记录和证明材料，必要时监理人可要求承包人提交全部原始记录副本。</w:t>
      </w:r>
    </w:p>
    <w:p w14:paraId="15E846E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监理人应按第3.5款商定或确定追加的付款和(或)延长的工期，并在收到上述索赔通知书或有关索赔的进一步证明材料后的42天内，将索赔处理结果答复承包人。</w:t>
      </w:r>
    </w:p>
    <w:p w14:paraId="4DC05224">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(3) 承包人接受索赔处理结果的，发包人应在作出索赔处理结果答复后28天内完成赔付。承包人不接受索赔处理结果的，按第24条的约定办理。</w:t>
      </w:r>
    </w:p>
    <w:p w14:paraId="585CFE6D">
      <w:pPr>
        <w:pStyle w:val="39"/>
        <w:tabs>
          <w:tab w:val="left" w:pos="1620"/>
        </w:tabs>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814" w:name="_Toc312946510"/>
      <w:bookmarkStart w:id="1815" w:name="_Toc7650"/>
      <w:bookmarkStart w:id="1816" w:name="_Toc262675565"/>
      <w:bookmarkStart w:id="1817" w:name="_Toc294892068"/>
      <w:bookmarkStart w:id="1818" w:name="_Toc272432270"/>
      <w:bookmarkStart w:id="1819" w:name="_Toc199322135"/>
      <w:bookmarkStart w:id="1820" w:name="_Toc274249594"/>
      <w:bookmarkStart w:id="1821" w:name="_Toc260172856"/>
      <w:bookmarkStart w:id="1822" w:name="_Toc229450905"/>
      <w:r>
        <w:rPr>
          <w:rStyle w:val="75"/>
          <w:rFonts w:hint="eastAsia" w:ascii="宋体" w:hAnsi="宋体" w:eastAsia="宋体" w:cs="宋体"/>
          <w:b/>
          <w:color w:val="auto"/>
          <w:kern w:val="0"/>
          <w:sz w:val="21"/>
          <w:szCs w:val="21"/>
          <w:highlight w:val="none"/>
        </w:rPr>
        <w:t>23.3 承包人提出索赔的期限</w:t>
      </w:r>
      <w:bookmarkEnd w:id="1814"/>
      <w:bookmarkEnd w:id="1815"/>
      <w:bookmarkEnd w:id="1816"/>
      <w:bookmarkEnd w:id="1817"/>
      <w:bookmarkEnd w:id="1818"/>
      <w:bookmarkEnd w:id="1819"/>
      <w:bookmarkEnd w:id="1820"/>
      <w:bookmarkEnd w:id="1821"/>
      <w:bookmarkEnd w:id="1822"/>
    </w:p>
    <w:p w14:paraId="0F75992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823" w:name="_Toc278987508"/>
      <w:bookmarkStart w:id="1824" w:name="_Toc262675566"/>
      <w:bookmarkStart w:id="1825" w:name="_Toc199322136"/>
      <w:r>
        <w:rPr>
          <w:rStyle w:val="75"/>
          <w:rFonts w:hint="eastAsia" w:ascii="宋体" w:hAnsi="宋体" w:eastAsia="宋体" w:cs="宋体"/>
          <w:color w:val="auto"/>
          <w:kern w:val="0"/>
          <w:sz w:val="21"/>
          <w:szCs w:val="21"/>
          <w:highlight w:val="none"/>
        </w:rPr>
        <w:t>23.3.1 承包人按第17.5款的约定接受了完工付款证书后，应被认为已无权再提出在合同工程接收证书颁发前所发生的任何索赔。</w:t>
      </w:r>
      <w:bookmarkEnd w:id="1823"/>
      <w:bookmarkEnd w:id="1824"/>
      <w:bookmarkEnd w:id="1825"/>
    </w:p>
    <w:p w14:paraId="35BC6CA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826" w:name="_Toc199322137"/>
      <w:r>
        <w:rPr>
          <w:rStyle w:val="75"/>
          <w:rFonts w:hint="eastAsia" w:ascii="宋体" w:hAnsi="宋体" w:eastAsia="宋体" w:cs="宋体"/>
          <w:color w:val="auto"/>
          <w:kern w:val="0"/>
          <w:sz w:val="21"/>
          <w:szCs w:val="21"/>
          <w:highlight w:val="none"/>
        </w:rPr>
        <w:t>23.3.2 承包人按第17.6款的约定提交的最终结清申请单中，只限于提出合同工程完工证书</w:t>
      </w:r>
      <w:bookmarkEnd w:id="1826"/>
      <w:r>
        <w:rPr>
          <w:rStyle w:val="75"/>
          <w:rFonts w:hint="eastAsia" w:ascii="宋体" w:hAnsi="宋体" w:eastAsia="宋体" w:cs="宋体"/>
          <w:color w:val="auto"/>
          <w:kern w:val="0"/>
          <w:sz w:val="21"/>
          <w:szCs w:val="21"/>
          <w:highlight w:val="none"/>
        </w:rPr>
        <w:t>颁发后发生的索赔。提出索赔的期限自接受最终结清证书时终止。</w:t>
      </w:r>
    </w:p>
    <w:p w14:paraId="27ED5A5A">
      <w:pPr>
        <w:pStyle w:val="39"/>
        <w:tabs>
          <w:tab w:val="left" w:pos="1620"/>
        </w:tabs>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827" w:name="_Toc274249595"/>
      <w:bookmarkStart w:id="1828" w:name="_Toc199322138"/>
      <w:bookmarkStart w:id="1829" w:name="_Toc312946511"/>
      <w:bookmarkStart w:id="1830" w:name="_Toc262675567"/>
      <w:bookmarkStart w:id="1831" w:name="_Toc229450906"/>
      <w:bookmarkStart w:id="1832" w:name="_Toc260172857"/>
      <w:bookmarkStart w:id="1833" w:name="_Toc15094"/>
      <w:bookmarkStart w:id="1834" w:name="_Toc272432271"/>
      <w:bookmarkStart w:id="1835" w:name="_Toc294892069"/>
      <w:r>
        <w:rPr>
          <w:rStyle w:val="75"/>
          <w:rFonts w:hint="eastAsia" w:ascii="宋体" w:hAnsi="宋体" w:eastAsia="宋体" w:cs="宋体"/>
          <w:b/>
          <w:color w:val="auto"/>
          <w:kern w:val="0"/>
          <w:sz w:val="21"/>
          <w:szCs w:val="21"/>
          <w:highlight w:val="none"/>
        </w:rPr>
        <w:t>23.4 发包人的索赔</w:t>
      </w:r>
      <w:bookmarkEnd w:id="1827"/>
      <w:bookmarkEnd w:id="1828"/>
      <w:bookmarkEnd w:id="1829"/>
      <w:bookmarkEnd w:id="1830"/>
      <w:bookmarkEnd w:id="1831"/>
      <w:bookmarkEnd w:id="1832"/>
      <w:bookmarkEnd w:id="1833"/>
      <w:bookmarkEnd w:id="1834"/>
      <w:bookmarkEnd w:id="1835"/>
    </w:p>
    <w:p w14:paraId="7D210FD8">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836" w:name="_Toc199322139"/>
      <w:r>
        <w:rPr>
          <w:rStyle w:val="75"/>
          <w:rFonts w:hint="eastAsia" w:ascii="宋体" w:hAnsi="宋体" w:eastAsia="宋体" w:cs="宋体"/>
          <w:color w:val="auto"/>
          <w:kern w:val="0"/>
          <w:sz w:val="21"/>
          <w:szCs w:val="21"/>
          <w:highlight w:val="none"/>
        </w:rPr>
        <w:t>23.4.1 发生索赔事件后，监理人应及时书面通知承包人，详细说明发包人有权得到的索赔金额和(或)延长缺陷责任期的细节和依据。发包人提出索赔的期限和要求与第23.3 款</w:t>
      </w:r>
      <w:bookmarkEnd w:id="1836"/>
      <w:r>
        <w:rPr>
          <w:rStyle w:val="75"/>
          <w:rFonts w:hint="eastAsia" w:ascii="宋体" w:hAnsi="宋体" w:eastAsia="宋体" w:cs="宋体"/>
          <w:color w:val="auto"/>
          <w:kern w:val="0"/>
          <w:sz w:val="21"/>
          <w:szCs w:val="21"/>
          <w:highlight w:val="none"/>
        </w:rPr>
        <w:t>的约定相同，延长缺陷责任期的通知应在缺陷责任期届满前发出。</w:t>
      </w:r>
    </w:p>
    <w:p w14:paraId="0DF91C7E">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837" w:name="_Toc199322140"/>
      <w:r>
        <w:rPr>
          <w:rStyle w:val="75"/>
          <w:rFonts w:hint="eastAsia" w:ascii="宋体" w:hAnsi="宋体" w:eastAsia="宋体" w:cs="宋体"/>
          <w:color w:val="auto"/>
          <w:kern w:val="0"/>
          <w:sz w:val="21"/>
          <w:szCs w:val="21"/>
          <w:highlight w:val="none"/>
        </w:rPr>
        <w:t>23.4.2 监理人按第3.5款商定或确定发包人从承包人处得到赔付的金额和(或)缺陷责</w:t>
      </w:r>
      <w:bookmarkEnd w:id="1837"/>
      <w:r>
        <w:rPr>
          <w:rStyle w:val="75"/>
          <w:rFonts w:hint="eastAsia" w:ascii="宋体" w:hAnsi="宋体" w:eastAsia="宋体" w:cs="宋体"/>
          <w:color w:val="auto"/>
          <w:kern w:val="0"/>
          <w:sz w:val="21"/>
          <w:szCs w:val="21"/>
          <w:highlight w:val="none"/>
        </w:rPr>
        <w:t>任期的延长期。承包人应付给发包人的金额可从以支付给承包人的合同价款中扣除，或由承包人以其他方式支付给发包人。</w:t>
      </w:r>
    </w:p>
    <w:p w14:paraId="4F5A5ED9">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23.4.3 承包人对监理人按第23.4.1项发出的索赔书面通知内容持异议时，应在收到书面通知后的14天内，将持有异议的书面报告及其证明材料提交监理人。监理人应在收到承包人书面报告后14天内，将异议的处理意见通知承包人，并按第23.4.2项的约定执行赔付。若承包人不接受监理人的索赔处理意见，可按本合同第24条的规定办理。</w:t>
      </w:r>
    </w:p>
    <w:p w14:paraId="09F82F2E">
      <w:pPr>
        <w:pStyle w:val="39"/>
        <w:tabs>
          <w:tab w:val="left" w:pos="1620"/>
        </w:tabs>
        <w:autoSpaceDE w:val="0"/>
        <w:autoSpaceDN w:val="0"/>
        <w:adjustRightInd w:val="0"/>
        <w:spacing w:line="360" w:lineRule="exact"/>
        <w:ind w:left="0" w:leftChars="0" w:firstLine="422" w:firstLineChars="200"/>
        <w:jc w:val="left"/>
        <w:outlineLvl w:val="2"/>
        <w:rPr>
          <w:rStyle w:val="75"/>
          <w:rFonts w:hint="eastAsia" w:ascii="宋体" w:hAnsi="宋体" w:eastAsia="宋体" w:cs="宋体"/>
          <w:b/>
          <w:color w:val="auto"/>
          <w:kern w:val="0"/>
          <w:sz w:val="21"/>
          <w:szCs w:val="21"/>
          <w:highlight w:val="none"/>
        </w:rPr>
      </w:pPr>
      <w:bookmarkStart w:id="1838" w:name="_Toc294892070"/>
      <w:bookmarkStart w:id="1839" w:name="_Toc229450907"/>
      <w:bookmarkStart w:id="1840" w:name="_Toc312946512"/>
      <w:bookmarkStart w:id="1841" w:name="_Toc274249596"/>
      <w:bookmarkStart w:id="1842" w:name="_Toc272432272"/>
      <w:bookmarkStart w:id="1843" w:name="_Toc262675568"/>
      <w:bookmarkStart w:id="1844" w:name="_Toc260172858"/>
      <w:bookmarkStart w:id="1845" w:name="_Toc30269"/>
      <w:bookmarkStart w:id="1846" w:name="_Toc199322141"/>
      <w:r>
        <w:rPr>
          <w:rStyle w:val="75"/>
          <w:rFonts w:hint="eastAsia" w:ascii="宋体" w:hAnsi="宋体" w:eastAsia="宋体" w:cs="宋体"/>
          <w:b/>
          <w:color w:val="auto"/>
          <w:kern w:val="0"/>
          <w:sz w:val="21"/>
          <w:szCs w:val="21"/>
          <w:highlight w:val="none"/>
        </w:rPr>
        <w:t>24. 争议的解决</w:t>
      </w:r>
      <w:bookmarkEnd w:id="1838"/>
      <w:bookmarkEnd w:id="1839"/>
      <w:bookmarkEnd w:id="1840"/>
      <w:bookmarkEnd w:id="1841"/>
      <w:bookmarkEnd w:id="1842"/>
      <w:bookmarkEnd w:id="1843"/>
      <w:bookmarkEnd w:id="1844"/>
      <w:bookmarkEnd w:id="1845"/>
      <w:bookmarkEnd w:id="1846"/>
    </w:p>
    <w:p w14:paraId="0B409C32">
      <w:pPr>
        <w:pStyle w:val="39"/>
        <w:tabs>
          <w:tab w:val="left" w:pos="1620"/>
        </w:tabs>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847" w:name="_Toc272432273"/>
      <w:bookmarkStart w:id="1848" w:name="_Toc294892071"/>
      <w:bookmarkStart w:id="1849" w:name="_Toc229450908"/>
      <w:bookmarkStart w:id="1850" w:name="_Toc312946513"/>
      <w:bookmarkStart w:id="1851" w:name="_Toc262675569"/>
      <w:bookmarkStart w:id="1852" w:name="_Toc274249597"/>
      <w:bookmarkStart w:id="1853" w:name="_Toc8018"/>
      <w:bookmarkStart w:id="1854" w:name="_Toc260172859"/>
      <w:r>
        <w:rPr>
          <w:rStyle w:val="75"/>
          <w:rFonts w:hint="eastAsia" w:ascii="宋体" w:hAnsi="宋体" w:eastAsia="宋体" w:cs="宋体"/>
          <w:b/>
          <w:color w:val="auto"/>
          <w:kern w:val="0"/>
          <w:sz w:val="21"/>
          <w:szCs w:val="21"/>
          <w:highlight w:val="none"/>
        </w:rPr>
        <w:t>24.1 争议的解决方式</w:t>
      </w:r>
      <w:bookmarkEnd w:id="1847"/>
      <w:bookmarkEnd w:id="1848"/>
      <w:bookmarkEnd w:id="1849"/>
      <w:bookmarkEnd w:id="1850"/>
      <w:bookmarkEnd w:id="1851"/>
      <w:bookmarkEnd w:id="1852"/>
      <w:bookmarkEnd w:id="1853"/>
      <w:bookmarkEnd w:id="1854"/>
    </w:p>
    <w:p w14:paraId="287DF5CC">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6F5FCF58">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(1) 向约定的仲裁委员会申请仲裁；</w:t>
      </w:r>
    </w:p>
    <w:p w14:paraId="2A44D5BA">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 向有管辖权的人民法院提起诉讼。</w:t>
      </w:r>
    </w:p>
    <w:p w14:paraId="743F81E5">
      <w:pPr>
        <w:pStyle w:val="39"/>
        <w:tabs>
          <w:tab w:val="left" w:pos="1620"/>
        </w:tabs>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855" w:name="_Toc272432274"/>
      <w:bookmarkStart w:id="1856" w:name="_Toc312946514"/>
      <w:bookmarkStart w:id="1857" w:name="_Toc274249598"/>
      <w:bookmarkStart w:id="1858" w:name="_Toc229450909"/>
      <w:bookmarkStart w:id="1859" w:name="_Toc7171"/>
      <w:bookmarkStart w:id="1860" w:name="_Toc294892072"/>
      <w:bookmarkStart w:id="1861" w:name="_Toc262675570"/>
      <w:bookmarkStart w:id="1862" w:name="_Toc260172860"/>
      <w:r>
        <w:rPr>
          <w:rStyle w:val="75"/>
          <w:rFonts w:hint="eastAsia" w:ascii="宋体" w:hAnsi="宋体" w:eastAsia="宋体" w:cs="宋体"/>
          <w:b/>
          <w:color w:val="auto"/>
          <w:kern w:val="0"/>
          <w:sz w:val="21"/>
          <w:szCs w:val="21"/>
          <w:highlight w:val="none"/>
        </w:rPr>
        <w:t>24.2 友好解决</w:t>
      </w:r>
      <w:bookmarkEnd w:id="1855"/>
      <w:bookmarkEnd w:id="1856"/>
      <w:bookmarkEnd w:id="1857"/>
      <w:bookmarkEnd w:id="1858"/>
      <w:bookmarkEnd w:id="1859"/>
      <w:bookmarkEnd w:id="1860"/>
      <w:bookmarkEnd w:id="1861"/>
      <w:bookmarkEnd w:id="1862"/>
    </w:p>
    <w:p w14:paraId="184978A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在提请争议评审、仲裁或者诉讼前，以及在争议评审、仲裁或诉讼过程中，发包人和承包人均可共同努力友好协商解决争议。</w:t>
      </w:r>
    </w:p>
    <w:p w14:paraId="1B2BD2F4">
      <w:pPr>
        <w:pStyle w:val="39"/>
        <w:tabs>
          <w:tab w:val="left" w:pos="1620"/>
        </w:tabs>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863" w:name="_Toc262675571"/>
      <w:bookmarkStart w:id="1864" w:name="_Toc274249599"/>
      <w:bookmarkStart w:id="1865" w:name="_Toc260172861"/>
      <w:bookmarkStart w:id="1866" w:name="_Toc25615"/>
      <w:bookmarkStart w:id="1867" w:name="_Toc272432275"/>
      <w:bookmarkStart w:id="1868" w:name="_Toc294892073"/>
      <w:bookmarkStart w:id="1869" w:name="_Toc312946515"/>
      <w:bookmarkStart w:id="1870" w:name="_Toc229450910"/>
      <w:r>
        <w:rPr>
          <w:rStyle w:val="75"/>
          <w:rFonts w:hint="eastAsia" w:ascii="宋体" w:hAnsi="宋体" w:eastAsia="宋体" w:cs="宋体"/>
          <w:b/>
          <w:color w:val="auto"/>
          <w:kern w:val="0"/>
          <w:sz w:val="21"/>
          <w:szCs w:val="21"/>
          <w:highlight w:val="none"/>
        </w:rPr>
        <w:t>24.3 争议评审</w:t>
      </w:r>
      <w:bookmarkEnd w:id="1863"/>
      <w:bookmarkEnd w:id="1864"/>
      <w:bookmarkEnd w:id="1865"/>
      <w:bookmarkEnd w:id="1866"/>
      <w:bookmarkEnd w:id="1867"/>
      <w:bookmarkEnd w:id="1868"/>
      <w:bookmarkEnd w:id="1869"/>
      <w:bookmarkEnd w:id="1870"/>
    </w:p>
    <w:p w14:paraId="6EEB8A7E">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871" w:name="_Toc199322142"/>
      <w:r>
        <w:rPr>
          <w:rStyle w:val="75"/>
          <w:rFonts w:hint="eastAsia" w:ascii="宋体" w:hAnsi="宋体" w:eastAsia="宋体" w:cs="宋体"/>
          <w:color w:val="auto"/>
          <w:kern w:val="0"/>
          <w:sz w:val="21"/>
          <w:szCs w:val="21"/>
          <w:highlight w:val="none"/>
        </w:rPr>
        <w:t>24.3.1 采用争议评审的，发包人和承包人应在开工日后的28 天内或在争议发生后，协</w:t>
      </w:r>
      <w:bookmarkEnd w:id="1871"/>
      <w:r>
        <w:rPr>
          <w:rStyle w:val="75"/>
          <w:rFonts w:hint="eastAsia" w:ascii="宋体" w:hAnsi="宋体" w:eastAsia="宋体" w:cs="宋体"/>
          <w:color w:val="auto"/>
          <w:kern w:val="0"/>
          <w:sz w:val="21"/>
          <w:szCs w:val="21"/>
          <w:highlight w:val="none"/>
        </w:rPr>
        <w:t>商成立争议评审组。争议评审组由有合同管理和工程实践经验的专家组成。</w:t>
      </w:r>
    </w:p>
    <w:p w14:paraId="672DA381">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24.3.2 合同双方的争议，应首先由申请人向争议评审组提交一份详细的评审申请报告，并附必要的文件、图纸和证明材料，申请人还应将上述报告的副本同时提交给被申请人和监理人。</w:t>
      </w:r>
    </w:p>
    <w:p w14:paraId="162FA936">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24.3.3 被申请人在收到申请人评审申请报告副本后的28 天内，向争议评审组提交一份答辩报告，并附证明材料。被申请人应将答辩报告的副本同时提交给申请人和监理人。</w:t>
      </w:r>
    </w:p>
    <w:p w14:paraId="7149FA3C">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24.3.4 除专用合同条款另有约定外，争议评审组在收到合同双方报告后的14 天内，邀请双方代表和有关人员举行调查会，向双方调查争议细节:必要时争议评审组可要求双方进一步提供补充材料。</w:t>
      </w:r>
    </w:p>
    <w:p w14:paraId="40566B07">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24.3.5 除专用合同条款另有约定外，在调查会结束后的14 天内，争议评审组应在不受任何干扰的情况下进行独立、公正的评审，作出书面评审意见，并说明理由。在争议评审期间，争议双方暂按总监理工程师的确定执行。</w:t>
      </w:r>
    </w:p>
    <w:p w14:paraId="3EC2B9B8">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24.3.6 发包人和承包人接受评审意见的，由监理人根据评审意见拟定执行协议，经争议双方签字后作为合同的补充文件，并遵照执行。</w:t>
      </w:r>
    </w:p>
    <w:p w14:paraId="60CD2CE4">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24.3.7 发包人或承包人不接受评审意见，并要求提交仲裁或提起诉讼的，应在收到评审意见后的14 天内将仲裁或起诉意向书面通知另一方，并抄送监理人，但在仲裁或诉讼结束前应暂按总监理工程师的确定执行。</w:t>
      </w:r>
    </w:p>
    <w:p w14:paraId="19E3AA26">
      <w:pPr>
        <w:pStyle w:val="39"/>
        <w:tabs>
          <w:tab w:val="left" w:pos="1620"/>
        </w:tabs>
        <w:autoSpaceDE w:val="0"/>
        <w:autoSpaceDN w:val="0"/>
        <w:adjustRightInd w:val="0"/>
        <w:spacing w:line="360" w:lineRule="exact"/>
        <w:ind w:left="0" w:leftChars="0" w:firstLine="422" w:firstLineChars="200"/>
        <w:jc w:val="left"/>
        <w:outlineLvl w:val="0"/>
        <w:rPr>
          <w:rStyle w:val="75"/>
          <w:rFonts w:hint="eastAsia" w:ascii="宋体" w:hAnsi="宋体" w:eastAsia="宋体" w:cs="宋体"/>
          <w:b/>
          <w:color w:val="auto"/>
          <w:kern w:val="0"/>
          <w:sz w:val="21"/>
          <w:szCs w:val="21"/>
          <w:highlight w:val="none"/>
        </w:rPr>
      </w:pPr>
      <w:bookmarkStart w:id="1872" w:name="_Toc274249600"/>
      <w:bookmarkStart w:id="1873" w:name="_Toc272432276"/>
      <w:bookmarkStart w:id="1874" w:name="_Toc294892074"/>
      <w:bookmarkStart w:id="1875" w:name="_Toc262675572"/>
      <w:bookmarkStart w:id="1876" w:name="_Toc8129"/>
      <w:bookmarkStart w:id="1877" w:name="_Toc260172862"/>
      <w:bookmarkStart w:id="1878" w:name="_Toc312946516"/>
      <w:r>
        <w:rPr>
          <w:rStyle w:val="75"/>
          <w:rFonts w:hint="eastAsia" w:ascii="宋体" w:hAnsi="宋体" w:eastAsia="宋体" w:cs="宋体"/>
          <w:b/>
          <w:color w:val="auto"/>
          <w:kern w:val="0"/>
          <w:sz w:val="21"/>
          <w:szCs w:val="21"/>
          <w:highlight w:val="none"/>
        </w:rPr>
        <w:t>24.4 争议的解决</w:t>
      </w:r>
      <w:bookmarkEnd w:id="1872"/>
      <w:bookmarkEnd w:id="1873"/>
      <w:bookmarkEnd w:id="1874"/>
      <w:bookmarkEnd w:id="1875"/>
      <w:bookmarkEnd w:id="1876"/>
      <w:bookmarkEnd w:id="1877"/>
      <w:bookmarkEnd w:id="1878"/>
    </w:p>
    <w:p w14:paraId="52CECDFF">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bookmarkStart w:id="1879" w:name="_Toc278987515"/>
      <w:r>
        <w:rPr>
          <w:rStyle w:val="75"/>
          <w:rFonts w:hint="eastAsia" w:ascii="宋体" w:hAnsi="宋体" w:eastAsia="宋体" w:cs="宋体"/>
          <w:color w:val="auto"/>
          <w:kern w:val="0"/>
          <w:sz w:val="21"/>
          <w:szCs w:val="21"/>
          <w:highlight w:val="none"/>
        </w:rPr>
        <w:t>24.4.1 若合同双方商定直接向仲裁机构申请仲裁，应签订仲裁协议并约定仲裁机构。</w:t>
      </w:r>
      <w:bookmarkEnd w:id="1879"/>
    </w:p>
    <w:p w14:paraId="53DAEFFC">
      <w:pPr>
        <w:pStyle w:val="38"/>
        <w:spacing w:line="360" w:lineRule="exact"/>
        <w:ind w:left="0" w:leftChars="0"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24.4.2 若合同双方未能达成仲裁协议，则本合同的仲裁条款无效，任一方均有权向人民法院提起诉讼。</w:t>
      </w:r>
    </w:p>
    <w:p w14:paraId="3D349DC0">
      <w:pPr>
        <w:pStyle w:val="39"/>
        <w:autoSpaceDE w:val="0"/>
        <w:autoSpaceDN w:val="0"/>
        <w:adjustRightInd w:val="0"/>
        <w:spacing w:line="360" w:lineRule="auto"/>
        <w:jc w:val="left"/>
        <w:rPr>
          <w:rStyle w:val="75"/>
          <w:rFonts w:hint="eastAsia" w:ascii="宋体" w:hAnsi="宋体" w:eastAsia="宋体" w:cs="宋体"/>
          <w:b/>
          <w:color w:val="auto"/>
          <w:spacing w:val="6"/>
          <w:kern w:val="0"/>
          <w:sz w:val="21"/>
          <w:szCs w:val="21"/>
          <w:highlight w:val="none"/>
        </w:rPr>
      </w:pPr>
    </w:p>
    <w:p w14:paraId="7CB3BD3B">
      <w:pPr>
        <w:autoSpaceDE w:val="0"/>
        <w:autoSpaceDN w:val="0"/>
        <w:adjustRightInd w:val="0"/>
        <w:spacing w:line="360" w:lineRule="auto"/>
        <w:ind w:firstLine="315" w:firstLineChars="150"/>
        <w:jc w:val="left"/>
        <w:rPr>
          <w:rFonts w:hint="eastAsia" w:ascii="宋体" w:hAnsi="宋体" w:eastAsia="宋体" w:cs="宋体"/>
          <w:color w:val="auto"/>
          <w:kern w:val="0"/>
          <w:sz w:val="21"/>
          <w:szCs w:val="21"/>
          <w:highlight w:val="none"/>
        </w:rPr>
      </w:pPr>
    </w:p>
    <w:p w14:paraId="1CA19A64">
      <w:pPr>
        <w:autoSpaceDE w:val="0"/>
        <w:autoSpaceDN w:val="0"/>
        <w:adjustRightInd w:val="0"/>
        <w:spacing w:line="360" w:lineRule="auto"/>
        <w:jc w:val="center"/>
        <w:outlineLvl w:val="1"/>
        <w:rPr>
          <w:rFonts w:hint="eastAsia" w:ascii="宋体" w:hAnsi="宋体" w:eastAsia="宋体" w:cs="宋体"/>
          <w:b/>
          <w:bCs/>
          <w:color w:val="auto"/>
          <w:kern w:val="0"/>
          <w:sz w:val="32"/>
          <w:szCs w:val="32"/>
          <w:highlight w:val="none"/>
        </w:rPr>
      </w:pPr>
      <w:bookmarkStart w:id="1880" w:name="_Toc15900876"/>
      <w:bookmarkStart w:id="1881" w:name="_Toc265955050"/>
      <w:bookmarkStart w:id="1882" w:name="_Toc265954751"/>
      <w:bookmarkStart w:id="1883" w:name="_Toc265653995"/>
      <w:bookmarkStart w:id="1884" w:name="_Toc244121905"/>
      <w:bookmarkStart w:id="1885" w:name="_Toc491246873"/>
      <w:bookmarkStart w:id="1886" w:name="_Toc209499029"/>
      <w:bookmarkStart w:id="1887" w:name="_Toc447703611"/>
      <w:r>
        <w:rPr>
          <w:rFonts w:hint="eastAsia" w:ascii="宋体" w:hAnsi="宋体" w:eastAsia="宋体" w:cs="宋体"/>
          <w:color w:val="auto"/>
          <w:kern w:val="0"/>
          <w:sz w:val="21"/>
          <w:szCs w:val="21"/>
          <w:highlight w:val="none"/>
        </w:rPr>
        <w:br w:type="page"/>
      </w:r>
      <w:bookmarkStart w:id="1888" w:name="_Toc18957"/>
      <w:bookmarkStart w:id="1889" w:name="_Toc25537"/>
      <w:bookmarkStart w:id="1890" w:name="_Toc30206"/>
      <w:bookmarkStart w:id="1891" w:name="_Toc1689"/>
      <w:r>
        <w:rPr>
          <w:rFonts w:hint="eastAsia" w:ascii="宋体" w:hAnsi="宋体" w:eastAsia="宋体" w:cs="宋体"/>
          <w:b/>
          <w:bCs/>
          <w:color w:val="auto"/>
          <w:kern w:val="0"/>
          <w:sz w:val="32"/>
          <w:szCs w:val="32"/>
          <w:highlight w:val="none"/>
        </w:rPr>
        <w:t>第二节 专用合同条款</w:t>
      </w:r>
      <w:bookmarkEnd w:id="1880"/>
      <w:bookmarkEnd w:id="1881"/>
      <w:bookmarkEnd w:id="1882"/>
      <w:bookmarkEnd w:id="1883"/>
      <w:bookmarkEnd w:id="1884"/>
      <w:bookmarkEnd w:id="1885"/>
      <w:bookmarkEnd w:id="1886"/>
      <w:bookmarkEnd w:id="1887"/>
      <w:bookmarkEnd w:id="1888"/>
      <w:bookmarkEnd w:id="1889"/>
      <w:bookmarkEnd w:id="1890"/>
      <w:bookmarkEnd w:id="1891"/>
    </w:p>
    <w:p w14:paraId="6D83BAC2">
      <w:pPr>
        <w:autoSpaceDE w:val="0"/>
        <w:autoSpaceDN w:val="0"/>
        <w:adjustRightIn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专用合同条款中的各条款是补充和修改通用合同条款中条款号相同的条款或当需要时增加新的条款，两者应对照阅读，一旦出现矛盾或不一致，则以专用合同条款为准，通用合同条款中未补充和修改的部分仍有效。专用条款中未明确的部分在签订合同协议书时由发包人和承包人协商确定。</w:t>
      </w:r>
      <w:bookmarkStart w:id="1892" w:name="_Toc209499030"/>
      <w:bookmarkStart w:id="1893" w:name="_Toc201058948"/>
      <w:bookmarkStart w:id="1894" w:name="_Toc491246874"/>
      <w:bookmarkStart w:id="1895" w:name="_Toc200817287"/>
    </w:p>
    <w:p w14:paraId="3C37F84D">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1896" w:name="_Toc265955051"/>
      <w:bookmarkStart w:id="1897" w:name="_Toc244121906"/>
      <w:bookmarkStart w:id="1898" w:name="_Toc265954752"/>
      <w:bookmarkStart w:id="1899" w:name="_Toc17404"/>
      <w:bookmarkStart w:id="1900" w:name="_Toc265653996"/>
      <w:r>
        <w:rPr>
          <w:rFonts w:hint="eastAsia" w:ascii="宋体" w:hAnsi="宋体" w:eastAsia="宋体" w:cs="宋体"/>
          <w:b/>
          <w:bCs/>
          <w:color w:val="auto"/>
          <w:kern w:val="0"/>
          <w:sz w:val="24"/>
          <w:highlight w:val="none"/>
        </w:rPr>
        <w:t>1. 一般约定</w:t>
      </w:r>
      <w:bookmarkEnd w:id="1892"/>
      <w:bookmarkEnd w:id="1893"/>
      <w:bookmarkEnd w:id="1894"/>
      <w:bookmarkEnd w:id="1895"/>
      <w:bookmarkEnd w:id="1896"/>
      <w:bookmarkEnd w:id="1897"/>
      <w:bookmarkEnd w:id="1898"/>
      <w:bookmarkEnd w:id="1899"/>
      <w:bookmarkEnd w:id="1900"/>
    </w:p>
    <w:p w14:paraId="0EA03FFF">
      <w:pPr>
        <w:autoSpaceDE w:val="0"/>
        <w:autoSpaceDN w:val="0"/>
        <w:adjustRightInd w:val="0"/>
        <w:spacing w:line="360" w:lineRule="auto"/>
        <w:jc w:val="left"/>
        <w:rPr>
          <w:rFonts w:hint="eastAsia" w:ascii="宋体" w:hAnsi="宋体" w:eastAsia="宋体" w:cs="宋体"/>
          <w:color w:val="auto"/>
          <w:kern w:val="0"/>
          <w:sz w:val="24"/>
          <w:highlight w:val="none"/>
        </w:rPr>
      </w:pPr>
      <w:bookmarkStart w:id="1901" w:name="_Toc244121907"/>
      <w:bookmarkStart w:id="1902" w:name="_Toc209499031"/>
      <w:bookmarkStart w:id="1903" w:name="_Toc201058949"/>
      <w:bookmarkStart w:id="1904" w:name="_Toc491246875"/>
      <w:r>
        <w:rPr>
          <w:rFonts w:hint="eastAsia" w:ascii="宋体" w:hAnsi="宋体" w:eastAsia="宋体" w:cs="宋体"/>
          <w:b/>
          <w:bCs/>
          <w:color w:val="auto"/>
          <w:kern w:val="0"/>
          <w:sz w:val="24"/>
          <w:highlight w:val="none"/>
        </w:rPr>
        <w:t>1.1  词语定义：</w:t>
      </w:r>
      <w:bookmarkEnd w:id="1901"/>
      <w:bookmarkEnd w:id="1902"/>
      <w:bookmarkEnd w:id="1903"/>
      <w:bookmarkEnd w:id="1904"/>
    </w:p>
    <w:p w14:paraId="71A49D7D">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bookmarkStart w:id="1905" w:name="_Toc490385488"/>
      <w:bookmarkStart w:id="1906" w:name="_Toc491246876"/>
      <w:bookmarkStart w:id="1907" w:name="_Toc488678547"/>
      <w:bookmarkStart w:id="1908" w:name="_Toc201058950"/>
      <w:r>
        <w:rPr>
          <w:rFonts w:hint="eastAsia" w:ascii="宋体" w:hAnsi="宋体" w:eastAsia="宋体" w:cs="宋体"/>
          <w:color w:val="auto"/>
          <w:kern w:val="0"/>
          <w:szCs w:val="21"/>
          <w:highlight w:val="none"/>
        </w:rPr>
        <w:t>1.1.2 合同当事人和人员</w:t>
      </w:r>
      <w:bookmarkEnd w:id="1905"/>
      <w:bookmarkEnd w:id="1906"/>
      <w:bookmarkEnd w:id="1907"/>
      <w:bookmarkEnd w:id="1908"/>
    </w:p>
    <w:p w14:paraId="3B0AB5B2">
      <w:pPr>
        <w:autoSpaceDE w:val="0"/>
        <w:autoSpaceDN w:val="0"/>
        <w:adjustRightInd w:val="0"/>
        <w:spacing w:line="360" w:lineRule="auto"/>
        <w:ind w:firstLine="420" w:firstLineChars="200"/>
        <w:jc w:val="left"/>
        <w:rPr>
          <w:rFonts w:hint="default" w:ascii="宋体" w:hAnsi="宋体" w:eastAsia="宋体" w:cs="宋体"/>
          <w:color w:val="auto"/>
          <w:szCs w:val="21"/>
          <w:highlight w:val="none"/>
          <w:u w:val="single"/>
          <w:lang w:val="en-US" w:eastAsia="zh-CN"/>
        </w:rPr>
      </w:pPr>
      <w:bookmarkStart w:id="1909" w:name="_Toc490385489"/>
      <w:bookmarkStart w:id="1910" w:name="_Toc488678548"/>
      <w:bookmarkStart w:id="1911" w:name="_Toc491246877"/>
      <w:bookmarkStart w:id="1912" w:name="_Toc201058951"/>
      <w:r>
        <w:rPr>
          <w:rFonts w:hint="eastAsia" w:ascii="宋体" w:hAnsi="宋体" w:eastAsia="宋体" w:cs="宋体"/>
          <w:color w:val="auto"/>
          <w:kern w:val="0"/>
          <w:szCs w:val="21"/>
          <w:highlight w:val="none"/>
        </w:rPr>
        <w:t>1.1.2.2 发包人</w:t>
      </w:r>
      <w:bookmarkEnd w:id="1909"/>
      <w:bookmarkEnd w:id="1910"/>
      <w:bookmarkEnd w:id="1911"/>
      <w:bookmarkEnd w:id="1912"/>
      <w:r>
        <w:rPr>
          <w:rFonts w:hint="eastAsia" w:ascii="宋体" w:hAnsi="宋体" w:eastAsia="宋体" w:cs="宋体"/>
          <w:color w:val="auto"/>
          <w:kern w:val="0"/>
          <w:szCs w:val="21"/>
          <w:highlight w:val="none"/>
        </w:rPr>
        <w:t>：</w:t>
      </w:r>
      <w:r>
        <w:rPr>
          <w:rFonts w:hint="eastAsia" w:ascii="宋体" w:hAnsi="宋体" w:cs="宋体"/>
          <w:b/>
          <w:bCs/>
          <w:color w:val="auto"/>
          <w:szCs w:val="21"/>
          <w:highlight w:val="none"/>
          <w:u w:val="single"/>
          <w:lang w:val="en-US" w:eastAsia="zh-CN"/>
        </w:rPr>
        <w:t xml:space="preserve">    </w:t>
      </w:r>
    </w:p>
    <w:p w14:paraId="40C376B0">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1.1.2.3 承包人：</w:t>
      </w:r>
      <w:r>
        <w:rPr>
          <w:rFonts w:hint="eastAsia" w:ascii="宋体" w:hAnsi="宋体" w:eastAsia="宋体" w:cs="宋体"/>
          <w:b/>
          <w:bCs/>
          <w:color w:val="auto"/>
          <w:kern w:val="0"/>
          <w:szCs w:val="21"/>
          <w:highlight w:val="none"/>
          <w:u w:val="single"/>
        </w:rPr>
        <w:t>（签约后填入承包人的名称）</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rPr>
        <w:t>。</w:t>
      </w:r>
    </w:p>
    <w:p w14:paraId="3112AB34">
      <w:pPr>
        <w:pStyle w:val="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1.1.2.6监理人：</w:t>
      </w:r>
      <w:r>
        <w:rPr>
          <w:rFonts w:hint="eastAsia" w:ascii="宋体" w:hAnsi="宋体" w:eastAsia="宋体" w:cs="宋体"/>
          <w:b/>
          <w:bCs/>
          <w:color w:val="auto"/>
          <w:sz w:val="21"/>
          <w:szCs w:val="21"/>
          <w:highlight w:val="none"/>
          <w:u w:val="single"/>
        </w:rPr>
        <w:t>（签约后填入监理人的名称）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512DD79">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1.1.4日期</w:t>
      </w:r>
    </w:p>
    <w:p w14:paraId="398A7724">
      <w:pPr>
        <w:pStyle w:val="30"/>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    1.1.4.3工期：</w:t>
      </w:r>
      <w:r>
        <w:rPr>
          <w:rFonts w:hint="eastAsia" w:ascii="宋体" w:hAnsi="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63433295">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1.1.7  缺陷责任期（工程质量保修期）：</w:t>
      </w:r>
      <w:r>
        <w:rPr>
          <w:rFonts w:hint="eastAsia" w:ascii="宋体" w:hAnsi="宋体" w:eastAsia="宋体" w:cs="宋体"/>
          <w:color w:val="auto"/>
          <w:kern w:val="0"/>
          <w:szCs w:val="21"/>
          <w:highlight w:val="none"/>
          <w:u w:val="single"/>
        </w:rPr>
        <w:t xml:space="preserve">  </w:t>
      </w:r>
      <w:r>
        <w:rPr>
          <w:rFonts w:hint="eastAsia" w:ascii="宋体" w:hAnsi="宋体" w:eastAsia="宋体" w:cs="宋体"/>
          <w:b/>
          <w:bCs/>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w:t>
      </w:r>
    </w:p>
    <w:p w14:paraId="08162C4B">
      <w:pPr>
        <w:autoSpaceDE w:val="0"/>
        <w:autoSpaceDN w:val="0"/>
        <w:adjustRightInd w:val="0"/>
        <w:spacing w:line="360" w:lineRule="auto"/>
        <w:jc w:val="left"/>
        <w:rPr>
          <w:rFonts w:hint="eastAsia" w:ascii="宋体" w:hAnsi="宋体" w:eastAsia="宋体" w:cs="宋体"/>
          <w:b/>
          <w:bCs/>
          <w:color w:val="auto"/>
          <w:kern w:val="0"/>
          <w:sz w:val="24"/>
          <w:highlight w:val="none"/>
        </w:rPr>
      </w:pPr>
      <w:bookmarkStart w:id="1913" w:name="_Toc209499032"/>
      <w:bookmarkStart w:id="1914" w:name="_Toc244121908"/>
      <w:bookmarkStart w:id="1915" w:name="_Toc491246879"/>
      <w:r>
        <w:rPr>
          <w:rFonts w:hint="eastAsia" w:ascii="宋体" w:hAnsi="宋体" w:eastAsia="宋体" w:cs="宋体"/>
          <w:b/>
          <w:bCs/>
          <w:color w:val="auto"/>
          <w:kern w:val="0"/>
          <w:sz w:val="24"/>
          <w:highlight w:val="none"/>
        </w:rPr>
        <w:t>1.4 合同文件的优先顺序</w:t>
      </w:r>
      <w:bookmarkEnd w:id="1913"/>
      <w:bookmarkEnd w:id="1914"/>
      <w:bookmarkEnd w:id="1915"/>
    </w:p>
    <w:p w14:paraId="26C9F803">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进入合同文件的各项文件及其优先顺序是：</w:t>
      </w:r>
    </w:p>
    <w:p w14:paraId="245E5354">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⑴ 合同协议书（包括会议纪要、补充协议）</w:t>
      </w:r>
    </w:p>
    <w:p w14:paraId="26DDCDA4">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⑵ 中标通知书</w:t>
      </w:r>
    </w:p>
    <w:p w14:paraId="42393881">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⑶ 投标报价书</w:t>
      </w:r>
    </w:p>
    <w:p w14:paraId="2F37BD5B">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⑷ 专用合同条款</w:t>
      </w:r>
    </w:p>
    <w:p w14:paraId="25825267">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⑸ 通用合同条款</w:t>
      </w:r>
    </w:p>
    <w:p w14:paraId="3DF5F93F">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⑹ 技术条款和要求</w:t>
      </w:r>
    </w:p>
    <w:p w14:paraId="58736371">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⑺ 图纸</w:t>
      </w:r>
    </w:p>
    <w:p w14:paraId="75A3FFC9">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⑻ 已标价的工程量清单</w:t>
      </w:r>
    </w:p>
    <w:p w14:paraId="0962D04C">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⑼ 经双方确认进入合同的其它文件（如招标文件、发包人有关</w:t>
      </w:r>
      <w:bookmarkStart w:id="1916" w:name="_Toc491246881"/>
      <w:bookmarkStart w:id="1917" w:name="_Toc209499034"/>
      <w:bookmarkStart w:id="1918" w:name="_Toc201058953"/>
      <w:r>
        <w:rPr>
          <w:rFonts w:hint="eastAsia" w:ascii="宋体" w:hAnsi="宋体" w:eastAsia="宋体" w:cs="宋体"/>
          <w:color w:val="auto"/>
          <w:kern w:val="0"/>
          <w:szCs w:val="21"/>
          <w:highlight w:val="none"/>
        </w:rPr>
        <w:t>工程的洽谈、变更等书面协议，以及工程保修协议书、安全生产协议书、廉政协议书等）</w:t>
      </w:r>
    </w:p>
    <w:p w14:paraId="12C940D0">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1.5合同协议书</w:t>
      </w:r>
    </w:p>
    <w:p w14:paraId="30592F6E">
      <w:pPr>
        <w:autoSpaceDE w:val="0"/>
        <w:autoSpaceDN w:val="0"/>
        <w:adjustRightInd w:val="0"/>
        <w:spacing w:line="360" w:lineRule="auto"/>
        <w:ind w:firstLine="420" w:firstLineChars="200"/>
        <w:rPr>
          <w:rFonts w:hint="eastAsia" w:ascii="宋体" w:hAnsi="宋体" w:eastAsia="宋体" w:cs="宋体"/>
          <w:color w:val="auto"/>
          <w:szCs w:val="21"/>
          <w:highlight w:val="none"/>
        </w:rPr>
      </w:pPr>
      <w:bookmarkStart w:id="1919" w:name="_Toc384939952"/>
      <w:bookmarkStart w:id="1920" w:name="_Toc388096620"/>
      <w:bookmarkStart w:id="1921" w:name="_Toc371264802"/>
      <w:bookmarkStart w:id="1922" w:name="_Toc379709504"/>
      <w:bookmarkStart w:id="1923" w:name="_Toc383455197"/>
      <w:r>
        <w:rPr>
          <w:rFonts w:hint="eastAsia" w:ascii="宋体" w:hAnsi="宋体" w:eastAsia="宋体" w:cs="宋体"/>
          <w:color w:val="auto"/>
          <w:szCs w:val="21"/>
          <w:highlight w:val="none"/>
        </w:rPr>
        <w:t>承包人按中标通知书规定的时间与发包人签订合同协议书。除法律另有规定或合同另有约定外，发包人和承包人的法定代表人在合同协议书上签字并盖单位章后，合同生效。</w:t>
      </w:r>
    </w:p>
    <w:p w14:paraId="22F4DA99">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1.6 图纸和文件的保密</w:t>
      </w:r>
      <w:bookmarkEnd w:id="1919"/>
      <w:bookmarkEnd w:id="1920"/>
      <w:bookmarkEnd w:id="1921"/>
      <w:bookmarkEnd w:id="1922"/>
      <w:bookmarkEnd w:id="1923"/>
    </w:p>
    <w:p w14:paraId="4803E004">
      <w:pPr>
        <w:autoSpaceDE w:val="0"/>
        <w:autoSpaceDN w:val="0"/>
        <w:adjustRightIn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除第1.12.1款和第1.12.2款规定外，双方还应对本合同内容及双方相互提供标有密级的文件保密，未经许可不得泄漏给与本合同无关的第三人，违者应对泄密造成的后果承担责任。</w:t>
      </w:r>
    </w:p>
    <w:p w14:paraId="6E672516">
      <w:pPr>
        <w:autoSpaceDE w:val="0"/>
        <w:autoSpaceDN w:val="0"/>
        <w:adjustRightInd w:val="0"/>
        <w:spacing w:line="360" w:lineRule="auto"/>
        <w:jc w:val="left"/>
        <w:rPr>
          <w:rFonts w:hint="eastAsia" w:ascii="宋体" w:hAnsi="宋体" w:eastAsia="宋体" w:cs="宋体"/>
          <w:b/>
          <w:bCs/>
          <w:color w:val="auto"/>
          <w:kern w:val="0"/>
          <w:sz w:val="24"/>
          <w:highlight w:val="none"/>
        </w:rPr>
      </w:pPr>
      <w:bookmarkStart w:id="1924" w:name="_Toc244121909"/>
      <w:r>
        <w:rPr>
          <w:rFonts w:hint="eastAsia" w:ascii="宋体" w:hAnsi="宋体" w:eastAsia="宋体" w:cs="宋体"/>
          <w:b/>
          <w:bCs/>
          <w:color w:val="auto"/>
          <w:kern w:val="0"/>
          <w:sz w:val="24"/>
          <w:highlight w:val="none"/>
        </w:rPr>
        <w:t xml:space="preserve">1.7 联络 </w:t>
      </w:r>
      <w:bookmarkEnd w:id="1924"/>
    </w:p>
    <w:bookmarkEnd w:id="1916"/>
    <w:bookmarkEnd w:id="1917"/>
    <w:bookmarkEnd w:id="1918"/>
    <w:p w14:paraId="0AB9BD30">
      <w:pPr>
        <w:autoSpaceDE w:val="0"/>
        <w:autoSpaceDN w:val="0"/>
        <w:adjustRightInd w:val="0"/>
        <w:spacing w:line="360" w:lineRule="auto"/>
        <w:ind w:firstLine="420"/>
        <w:jc w:val="left"/>
        <w:rPr>
          <w:rFonts w:hint="eastAsia" w:ascii="宋体" w:hAnsi="宋体" w:eastAsia="宋体" w:cs="宋体"/>
          <w:color w:val="auto"/>
          <w:kern w:val="0"/>
          <w:szCs w:val="21"/>
          <w:highlight w:val="none"/>
        </w:rPr>
      </w:pPr>
      <w:bookmarkStart w:id="1925" w:name="_Toc244121911"/>
      <w:bookmarkStart w:id="1926" w:name="_Toc491246882"/>
      <w:bookmarkStart w:id="1927" w:name="_Toc200817288"/>
      <w:bookmarkStart w:id="1928" w:name="_Toc209499035"/>
      <w:bookmarkStart w:id="1929" w:name="_Toc201058954"/>
      <w:r>
        <w:rPr>
          <w:rFonts w:hint="eastAsia" w:ascii="宋体" w:hAnsi="宋体" w:eastAsia="宋体" w:cs="宋体"/>
          <w:color w:val="auto"/>
          <w:kern w:val="0"/>
          <w:szCs w:val="21"/>
          <w:highlight w:val="none"/>
        </w:rPr>
        <w:t>1.7.1 联络送达的期限：14日内。</w:t>
      </w:r>
    </w:p>
    <w:p w14:paraId="3D3991F6">
      <w:pPr>
        <w:pStyle w:val="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7.7.2来往函件均应按技术标准和要求(合同技术条款)约定的期限送达招标人。</w:t>
      </w:r>
    </w:p>
    <w:p w14:paraId="5BDCA48C">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1930" w:name="_Toc265653997"/>
      <w:bookmarkStart w:id="1931" w:name="_Toc265954753"/>
      <w:bookmarkStart w:id="1932" w:name="_Toc265955052"/>
      <w:bookmarkStart w:id="1933" w:name="_Toc14080"/>
      <w:r>
        <w:rPr>
          <w:rFonts w:hint="eastAsia" w:ascii="宋体" w:hAnsi="宋体" w:eastAsia="宋体" w:cs="宋体"/>
          <w:b/>
          <w:bCs/>
          <w:color w:val="auto"/>
          <w:kern w:val="0"/>
          <w:sz w:val="24"/>
          <w:highlight w:val="none"/>
        </w:rPr>
        <w:t>2.发包人义务</w:t>
      </w:r>
      <w:bookmarkEnd w:id="1925"/>
      <w:bookmarkEnd w:id="1926"/>
      <w:bookmarkEnd w:id="1927"/>
      <w:bookmarkEnd w:id="1928"/>
      <w:bookmarkEnd w:id="1929"/>
      <w:bookmarkEnd w:id="1930"/>
      <w:bookmarkEnd w:id="1931"/>
      <w:bookmarkEnd w:id="1932"/>
      <w:bookmarkEnd w:id="1933"/>
    </w:p>
    <w:p w14:paraId="22AEEBC6">
      <w:pPr>
        <w:autoSpaceDE w:val="0"/>
        <w:autoSpaceDN w:val="0"/>
        <w:adjustRightInd w:val="0"/>
        <w:spacing w:line="360" w:lineRule="auto"/>
        <w:jc w:val="left"/>
        <w:rPr>
          <w:rFonts w:hint="eastAsia" w:ascii="宋体" w:hAnsi="宋体" w:eastAsia="宋体" w:cs="宋体"/>
          <w:b/>
          <w:bCs/>
          <w:color w:val="auto"/>
          <w:kern w:val="0"/>
          <w:sz w:val="24"/>
          <w:highlight w:val="none"/>
        </w:rPr>
      </w:pPr>
      <w:bookmarkStart w:id="1934" w:name="_Toc201058955"/>
      <w:bookmarkStart w:id="1935" w:name="_Toc491246883"/>
      <w:bookmarkStart w:id="1936" w:name="_Toc244121912"/>
      <w:bookmarkStart w:id="1937" w:name="_Toc209499036"/>
      <w:bookmarkStart w:id="1938" w:name="_Toc98813270"/>
      <w:r>
        <w:rPr>
          <w:rFonts w:hint="eastAsia" w:ascii="宋体" w:hAnsi="宋体" w:eastAsia="宋体" w:cs="宋体"/>
          <w:b/>
          <w:bCs/>
          <w:color w:val="auto"/>
          <w:kern w:val="0"/>
          <w:sz w:val="24"/>
          <w:highlight w:val="none"/>
        </w:rPr>
        <w:t>2.3  提供施工场地</w:t>
      </w:r>
      <w:bookmarkEnd w:id="1934"/>
      <w:bookmarkEnd w:id="1935"/>
      <w:bookmarkEnd w:id="1936"/>
      <w:bookmarkEnd w:id="1937"/>
      <w:bookmarkEnd w:id="1938"/>
    </w:p>
    <w:p w14:paraId="0D33E07E">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删去本款全文，并代之以：</w:t>
      </w:r>
    </w:p>
    <w:p w14:paraId="2043C3FA">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发包人负责办理工地范围内的永久征地和移民，向承包人提供施工用地</w:t>
      </w:r>
      <w:r>
        <w:rPr>
          <w:rFonts w:hint="eastAsia" w:ascii="宋体" w:hAnsi="宋体" w:eastAsia="宋体" w:cs="宋体"/>
          <w:color w:val="auto"/>
          <w:szCs w:val="21"/>
          <w:highlight w:val="none"/>
        </w:rPr>
        <w:t>（不超过初设批复面积）</w:t>
      </w:r>
      <w:r>
        <w:rPr>
          <w:rFonts w:hint="eastAsia" w:ascii="宋体" w:hAnsi="宋体" w:eastAsia="宋体" w:cs="宋体"/>
          <w:color w:val="auto"/>
          <w:kern w:val="0"/>
          <w:szCs w:val="21"/>
          <w:highlight w:val="none"/>
        </w:rPr>
        <w:t>，提供的用地范围根据监理人指示划定，用地期限在本合同工程完工后2个月。承包人只能在商定的用地范围内安排施工，超出商定的用地及临时施工用地的范围外用地由承包人自行解决并承担由此发生的一切费用。</w:t>
      </w:r>
    </w:p>
    <w:p w14:paraId="5E7AF6A5">
      <w:pPr>
        <w:autoSpaceDE w:val="0"/>
        <w:autoSpaceDN w:val="0"/>
        <w:adjustRightInd w:val="0"/>
        <w:spacing w:line="360" w:lineRule="auto"/>
        <w:jc w:val="left"/>
        <w:rPr>
          <w:rFonts w:hint="eastAsia" w:ascii="宋体" w:hAnsi="宋体" w:eastAsia="宋体" w:cs="宋体"/>
          <w:b/>
          <w:bCs/>
          <w:color w:val="auto"/>
          <w:kern w:val="0"/>
          <w:sz w:val="24"/>
          <w:highlight w:val="none"/>
        </w:rPr>
      </w:pPr>
      <w:bookmarkStart w:id="1939" w:name="_Toc244121913"/>
      <w:r>
        <w:rPr>
          <w:rFonts w:hint="eastAsia" w:ascii="宋体" w:hAnsi="宋体" w:eastAsia="宋体" w:cs="宋体"/>
          <w:b/>
          <w:bCs/>
          <w:color w:val="auto"/>
          <w:kern w:val="0"/>
          <w:sz w:val="24"/>
          <w:highlight w:val="none"/>
        </w:rPr>
        <w:t>2.8 其它义务</w:t>
      </w:r>
    </w:p>
    <w:p w14:paraId="688BF0DB">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bookmarkStart w:id="1940" w:name="_Toc224208907"/>
      <w:bookmarkStart w:id="1941" w:name="_Toc224725533"/>
      <w:bookmarkStart w:id="1942" w:name="_Toc224207345"/>
      <w:r>
        <w:rPr>
          <w:rFonts w:hint="eastAsia" w:ascii="宋体" w:hAnsi="宋体" w:eastAsia="宋体" w:cs="宋体"/>
          <w:color w:val="auto"/>
          <w:kern w:val="0"/>
          <w:szCs w:val="21"/>
          <w:highlight w:val="none"/>
        </w:rPr>
        <w:t>(1) 协调勘察、设计、施工承包人、监理人及其他与施工有关人员的关系；</w:t>
      </w:r>
    </w:p>
    <w:p w14:paraId="576B0423">
      <w:pPr>
        <w:autoSpaceDE w:val="0"/>
        <w:autoSpaceDN w:val="0"/>
        <w:adjustRightInd w:val="0"/>
        <w:spacing w:line="360" w:lineRule="auto"/>
        <w:ind w:firstLine="315" w:firstLineChars="1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(2) 向承包人提供已有的与本合同工程有关的水文和地质勘探资料，但只对列入合同文件的水文和地质勘探资料负责，不对承包人使用上述资料所作出的分析结果承担责任。</w:t>
      </w:r>
    </w:p>
    <w:p w14:paraId="08B0FFF3">
      <w:pPr>
        <w:autoSpaceDE w:val="0"/>
        <w:autoSpaceDN w:val="0"/>
        <w:adjustRightInd w:val="0"/>
        <w:spacing w:line="360" w:lineRule="auto"/>
        <w:ind w:firstLine="315" w:firstLineChars="1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（3）发包人应按第8.1款和技术条款的规定，委托监理人向承包人移交现场测量基准点及其有关资料；</w:t>
      </w:r>
    </w:p>
    <w:bookmarkEnd w:id="1940"/>
    <w:bookmarkEnd w:id="1941"/>
    <w:bookmarkEnd w:id="1942"/>
    <w:p w14:paraId="6FC36CB0">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1943" w:name="_Toc265955053"/>
      <w:bookmarkStart w:id="1944" w:name="_Toc6554"/>
      <w:bookmarkStart w:id="1945" w:name="_Toc265653998"/>
      <w:bookmarkStart w:id="1946" w:name="_Toc265954754"/>
      <w:r>
        <w:rPr>
          <w:rFonts w:hint="eastAsia" w:ascii="宋体" w:hAnsi="宋体" w:eastAsia="宋体" w:cs="宋体"/>
          <w:b/>
          <w:bCs/>
          <w:color w:val="auto"/>
          <w:kern w:val="0"/>
          <w:sz w:val="24"/>
          <w:highlight w:val="none"/>
        </w:rPr>
        <w:t>3监理人</w:t>
      </w:r>
      <w:bookmarkEnd w:id="1939"/>
      <w:bookmarkEnd w:id="1943"/>
      <w:bookmarkEnd w:id="1944"/>
      <w:bookmarkEnd w:id="1945"/>
      <w:bookmarkEnd w:id="1946"/>
    </w:p>
    <w:p w14:paraId="3B4617AA">
      <w:pPr>
        <w:autoSpaceDE w:val="0"/>
        <w:autoSpaceDN w:val="0"/>
        <w:adjustRightInd w:val="0"/>
        <w:spacing w:line="360" w:lineRule="auto"/>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3.1监理人的职责和权力</w:t>
      </w:r>
    </w:p>
    <w:p w14:paraId="293241C3">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本款补充如下内容：</w:t>
      </w:r>
    </w:p>
    <w:p w14:paraId="12588507">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监理人在行使下列权利前，必须得到发包人的批准。</w:t>
      </w:r>
    </w:p>
    <w:p w14:paraId="75FCCFB2">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 确定延长完工期限；</w:t>
      </w:r>
    </w:p>
    <w:p w14:paraId="704944CD">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 作出变更决定；</w:t>
      </w:r>
    </w:p>
    <w:p w14:paraId="502BC58E">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尽管有以上规定，但当监理人认为出现了危机生命、工程或毗邻财产等安全的紧急事件时，在不免除合同规定的承包人责任的情况下，监理人可以指示承包人实施为消除或减少这种危险所必须进行的工作，即使没有发包人事先批准，承包人也应立即遵照执行。监理人应按第15条的规定增加相应的费用，并通知承包人。</w:t>
      </w:r>
    </w:p>
    <w:p w14:paraId="3B1794FF">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1947" w:name="_Toc265653999"/>
      <w:bookmarkStart w:id="1948" w:name="_Toc265954755"/>
      <w:bookmarkStart w:id="1949" w:name="_Toc18248"/>
      <w:bookmarkStart w:id="1950" w:name="_Toc265955054"/>
      <w:r>
        <w:rPr>
          <w:rFonts w:hint="eastAsia" w:ascii="宋体" w:hAnsi="宋体" w:eastAsia="宋体" w:cs="宋体"/>
          <w:b/>
          <w:bCs/>
          <w:color w:val="auto"/>
          <w:kern w:val="0"/>
          <w:sz w:val="24"/>
          <w:highlight w:val="none"/>
        </w:rPr>
        <w:t>4 承包人</w:t>
      </w:r>
      <w:bookmarkEnd w:id="1947"/>
      <w:bookmarkEnd w:id="1948"/>
      <w:bookmarkEnd w:id="1949"/>
      <w:bookmarkEnd w:id="1950"/>
    </w:p>
    <w:p w14:paraId="1921C090">
      <w:pPr>
        <w:autoSpaceDE w:val="0"/>
        <w:autoSpaceDN w:val="0"/>
        <w:adjustRightInd w:val="0"/>
        <w:spacing w:line="360" w:lineRule="auto"/>
        <w:jc w:val="left"/>
        <w:rPr>
          <w:rFonts w:hint="eastAsia" w:ascii="宋体" w:hAnsi="宋体" w:eastAsia="宋体" w:cs="宋体"/>
          <w:b/>
          <w:bCs/>
          <w:color w:val="auto"/>
          <w:kern w:val="0"/>
          <w:sz w:val="24"/>
          <w:highlight w:val="none"/>
        </w:rPr>
      </w:pPr>
      <w:bookmarkStart w:id="1951" w:name="_Toc491246885"/>
      <w:bookmarkStart w:id="1952" w:name="_Toc244121914"/>
      <w:bookmarkStart w:id="1953" w:name="_Toc209499038"/>
      <w:r>
        <w:rPr>
          <w:rFonts w:hint="eastAsia" w:ascii="宋体" w:hAnsi="宋体" w:eastAsia="宋体" w:cs="宋体"/>
          <w:b/>
          <w:bCs/>
          <w:color w:val="auto"/>
          <w:kern w:val="0"/>
          <w:sz w:val="24"/>
          <w:highlight w:val="none"/>
        </w:rPr>
        <w:t>4.1 承包人的一般义务</w:t>
      </w:r>
      <w:bookmarkEnd w:id="1951"/>
      <w:bookmarkEnd w:id="1952"/>
      <w:bookmarkEnd w:id="1953"/>
    </w:p>
    <w:p w14:paraId="4D8CBE0C">
      <w:pPr>
        <w:pStyle w:val="38"/>
        <w:spacing w:line="360" w:lineRule="auto"/>
        <w:ind w:left="479"/>
        <w:jc w:val="left"/>
        <w:rPr>
          <w:rFonts w:hint="eastAsia" w:ascii="宋体" w:hAnsi="宋体" w:eastAsia="宋体" w:cs="宋体"/>
          <w:b/>
          <w:bCs/>
          <w:color w:val="auto"/>
          <w:kern w:val="0"/>
          <w:sz w:val="24"/>
          <w:szCs w:val="24"/>
          <w:highlight w:val="none"/>
        </w:rPr>
      </w:pPr>
      <w:bookmarkStart w:id="1954" w:name="_Toc209499039"/>
      <w:r>
        <w:rPr>
          <w:rFonts w:hint="eastAsia" w:ascii="宋体" w:hAnsi="宋体" w:eastAsia="宋体" w:cs="宋体"/>
          <w:b/>
          <w:bCs/>
          <w:color w:val="auto"/>
          <w:kern w:val="0"/>
          <w:sz w:val="24"/>
          <w:szCs w:val="24"/>
          <w:highlight w:val="none"/>
        </w:rPr>
        <w:t>4.1.10 其它义务</w:t>
      </w:r>
      <w:bookmarkEnd w:id="1954"/>
    </w:p>
    <w:p w14:paraId="4820AE8A">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本合同工程施工所需的水、电、交通等临时工程的修建与维护费用全部由承包人自行承担，施工对乡村便道的损坏由承包人负责恢复。若造成当地交通、农田、房屋、植被等损害，承包人应负责对造成的损害进行恢复及赔偿。</w:t>
      </w:r>
    </w:p>
    <w:p w14:paraId="7E242EF4">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(2)在施工队伍进场后，施工技术方案、施工进度计划、资金流计划、设备人员进场报验单经监理方检查、审核、批准，总监理工程师发出开工令后工程方可开工。</w:t>
      </w:r>
    </w:p>
    <w:p w14:paraId="5F863CDD">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(3)承包人必须结清和施工所在地政府、老百姓的所有拖欠款项及今后施工中发生的相应款项，承包人应对由此引起的一切后果负完全责任。</w:t>
      </w:r>
    </w:p>
    <w:p w14:paraId="4F0513CF">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(4)承包人要采取有效措施对施工开挖边坡及时进行支护和做好排水措施（特别是雨季施工排水与防洪措施），避免施工中造成水土流失，否则将承担相应赔偿责任；</w:t>
      </w:r>
    </w:p>
    <w:p w14:paraId="73E32A0E">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(5)承包人在施工过程中采取有效措施注意保护生活用水源免受施工活动造成的污染，否则将承担相应责任；</w:t>
      </w:r>
    </w:p>
    <w:p w14:paraId="3609DBA5">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(6)用于工程建设的工程款承包人必须专款专用，不得挪作它用。发包人有权指定承包人开户银行，并请银行代为监督；</w:t>
      </w:r>
    </w:p>
    <w:p w14:paraId="28D825F3">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(7)发包人提供的施工用地以外的承包人所需用地及其费用，由承包人自行解决；</w:t>
      </w:r>
    </w:p>
    <w:p w14:paraId="56BDA3F7">
      <w:pPr>
        <w:autoSpaceDE w:val="0"/>
        <w:autoSpaceDN w:val="0"/>
        <w:adjustRightInd w:val="0"/>
        <w:spacing w:line="360" w:lineRule="auto"/>
        <w:jc w:val="left"/>
        <w:rPr>
          <w:rFonts w:hint="eastAsia" w:ascii="宋体" w:hAnsi="宋体" w:eastAsia="宋体" w:cs="宋体"/>
          <w:b/>
          <w:bCs/>
          <w:color w:val="auto"/>
          <w:kern w:val="0"/>
          <w:sz w:val="24"/>
          <w:highlight w:val="none"/>
        </w:rPr>
      </w:pPr>
      <w:bookmarkStart w:id="1955" w:name="_Toc491246886"/>
      <w:bookmarkStart w:id="1956" w:name="_Toc223245856"/>
      <w:bookmarkStart w:id="1957" w:name="_Toc229450920"/>
      <w:bookmarkStart w:id="1958" w:name="_Toc209499040"/>
      <w:r>
        <w:rPr>
          <w:rFonts w:hint="eastAsia" w:ascii="宋体" w:hAnsi="宋体" w:eastAsia="宋体" w:cs="宋体"/>
          <w:b/>
          <w:bCs/>
          <w:color w:val="auto"/>
          <w:kern w:val="0"/>
          <w:sz w:val="24"/>
          <w:highlight w:val="none"/>
        </w:rPr>
        <w:t>4.2 履约担保</w:t>
      </w:r>
      <w:bookmarkEnd w:id="1955"/>
      <w:bookmarkEnd w:id="1956"/>
      <w:bookmarkEnd w:id="1957"/>
      <w:bookmarkEnd w:id="1958"/>
    </w:p>
    <w:p w14:paraId="7A5BF005">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删去本款全文，并代之以：</w:t>
      </w:r>
    </w:p>
    <w:p w14:paraId="39559545">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承包人应按合同规定的格式和专用合同条款规定的金额，在正式签订协议前向招标人提交经发包人同意的履约担保，履约担保的形式：</w:t>
      </w:r>
      <w:r>
        <w:rPr>
          <w:rFonts w:hint="eastAsia" w:ascii="宋体" w:hAnsi="宋体" w:eastAsia="宋体" w:cs="宋体"/>
          <w:color w:val="auto"/>
          <w:szCs w:val="21"/>
          <w:highlight w:val="none"/>
        </w:rPr>
        <w:t>现金或银行保函或保证保险</w:t>
      </w:r>
      <w:r>
        <w:rPr>
          <w:rFonts w:hint="eastAsia" w:ascii="宋体" w:hAnsi="宋体" w:eastAsia="宋体" w:cs="宋体"/>
          <w:color w:val="auto"/>
          <w:kern w:val="0"/>
          <w:szCs w:val="21"/>
          <w:highlight w:val="none"/>
        </w:rPr>
        <w:t>。</w:t>
      </w:r>
    </w:p>
    <w:p w14:paraId="6CF7DC44">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bookmarkStart w:id="1959" w:name="_Toc98813272"/>
      <w:r>
        <w:rPr>
          <w:rFonts w:hint="eastAsia" w:ascii="宋体" w:hAnsi="宋体" w:eastAsia="宋体" w:cs="宋体"/>
          <w:color w:val="auto"/>
          <w:kern w:val="0"/>
          <w:szCs w:val="21"/>
          <w:highlight w:val="none"/>
        </w:rPr>
        <w:t>履约担保的金额：中标价的5%。</w:t>
      </w:r>
    </w:p>
    <w:p w14:paraId="01C66DF3">
      <w:pPr>
        <w:autoSpaceDE w:val="0"/>
        <w:autoSpaceDN w:val="0"/>
        <w:adjustRightIn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履约担保的有效期自合同生效日起至工程移交证书颁发后28天内一直有效。</w:t>
      </w:r>
      <w:bookmarkEnd w:id="1959"/>
      <w:r>
        <w:rPr>
          <w:rFonts w:hint="eastAsia" w:ascii="宋体" w:hAnsi="宋体" w:eastAsia="宋体" w:cs="宋体"/>
          <w:color w:val="auto"/>
          <w:szCs w:val="21"/>
          <w:highlight w:val="none"/>
        </w:rPr>
        <w:t>如工期延长，承包人必须在履约担保证件到期日之前办理并提交新的履约担保。</w:t>
      </w:r>
    </w:p>
    <w:p w14:paraId="4781CEED">
      <w:pPr>
        <w:autoSpaceDE w:val="0"/>
        <w:autoSpaceDN w:val="0"/>
        <w:adjustRightInd w:val="0"/>
        <w:spacing w:line="360" w:lineRule="auto"/>
        <w:jc w:val="left"/>
        <w:rPr>
          <w:rFonts w:hint="eastAsia" w:ascii="宋体" w:hAnsi="宋体" w:eastAsia="宋体" w:cs="宋体"/>
          <w:b/>
          <w:bCs/>
          <w:color w:val="auto"/>
          <w:kern w:val="0"/>
          <w:sz w:val="24"/>
          <w:highlight w:val="none"/>
        </w:rPr>
      </w:pPr>
      <w:bookmarkStart w:id="1960" w:name="_Toc244121916"/>
      <w:r>
        <w:rPr>
          <w:rFonts w:hint="eastAsia" w:ascii="宋体" w:hAnsi="宋体" w:eastAsia="宋体" w:cs="宋体"/>
          <w:b/>
          <w:bCs/>
          <w:color w:val="auto"/>
          <w:kern w:val="0"/>
          <w:sz w:val="24"/>
          <w:highlight w:val="none"/>
        </w:rPr>
        <w:t>4.3 分包</w:t>
      </w:r>
      <w:bookmarkEnd w:id="1960"/>
    </w:p>
    <w:p w14:paraId="00E78389">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bookmarkStart w:id="1961" w:name="_Toc491246887"/>
      <w:bookmarkStart w:id="1962" w:name="_Toc244121917"/>
      <w:bookmarkStart w:id="1963" w:name="_Toc209499041"/>
      <w:r>
        <w:rPr>
          <w:rFonts w:hint="eastAsia" w:ascii="宋体" w:hAnsi="宋体" w:eastAsia="宋体" w:cs="宋体"/>
          <w:color w:val="auto"/>
          <w:kern w:val="0"/>
          <w:szCs w:val="21"/>
          <w:highlight w:val="none"/>
        </w:rPr>
        <w:t>删去本款全文，并代之以：本工程不允许分包。</w:t>
      </w:r>
    </w:p>
    <w:p w14:paraId="22E6AB60">
      <w:pPr>
        <w:autoSpaceDE w:val="0"/>
        <w:autoSpaceDN w:val="0"/>
        <w:adjustRightInd w:val="0"/>
        <w:spacing w:line="360" w:lineRule="auto"/>
        <w:jc w:val="left"/>
        <w:rPr>
          <w:rFonts w:hint="eastAsia" w:ascii="宋体" w:hAnsi="宋体" w:eastAsia="宋体" w:cs="宋体"/>
          <w:b/>
          <w:bCs/>
          <w:color w:val="auto"/>
          <w:kern w:val="0"/>
          <w:sz w:val="24"/>
          <w:highlight w:val="none"/>
        </w:rPr>
      </w:pPr>
      <w:bookmarkStart w:id="1964" w:name="_Toc229450921"/>
      <w:bookmarkStart w:id="1965" w:name="_Toc223245857"/>
      <w:r>
        <w:rPr>
          <w:rFonts w:hint="eastAsia" w:ascii="宋体" w:hAnsi="宋体" w:eastAsia="宋体" w:cs="宋体"/>
          <w:b/>
          <w:bCs/>
          <w:color w:val="auto"/>
          <w:kern w:val="0"/>
          <w:sz w:val="24"/>
          <w:highlight w:val="none"/>
        </w:rPr>
        <w:t>4.4 联合体</w:t>
      </w:r>
      <w:bookmarkEnd w:id="1964"/>
      <w:bookmarkEnd w:id="1965"/>
    </w:p>
    <w:p w14:paraId="061FA729">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删去本款全文，并代之以：本工程不允许联合体投标。</w:t>
      </w:r>
    </w:p>
    <w:p w14:paraId="6718FBA4">
      <w:pPr>
        <w:pStyle w:val="3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4.5 承包人项目经理</w:t>
      </w:r>
    </w:p>
    <w:p w14:paraId="11F20CF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4.5.1承包人应按合同约定指派项目经理，并在合同生效后3内到职，且项目经理驻工地的时间不得少于22天/月，不够天数，则承包人向发包人支付2000元/次・天的违约金，发包人有权终止合同 。 </w:t>
      </w:r>
    </w:p>
    <w:p w14:paraId="7691E35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承包人不得擅自更换项目经理，若擅自更换项目经理的，承包人向发包人支付20000元/次的违约金，并按发包人要求立即整改，承包人承担上述违约给发包人造成的一切损失。</w:t>
      </w:r>
    </w:p>
    <w:p w14:paraId="7B164DA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若承包人更换项目经理应事先征得发包人同意，并应在更换14天前通知发包人和监理人。承包人项目经理离开施工场地，应事先征得发包人或监理人的同意，并委派代表代行其职责。</w:t>
      </w:r>
    </w:p>
    <w:p w14:paraId="20CD6719">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4.5.2 </w:t>
      </w:r>
      <w:r>
        <w:rPr>
          <w:rFonts w:hint="eastAsia" w:ascii="宋体" w:hAnsi="宋体" w:eastAsia="宋体" w:cs="宋体"/>
          <w:color w:val="auto"/>
          <w:szCs w:val="21"/>
          <w:highlight w:val="none"/>
        </w:rPr>
        <w:t>承包人应按投标承诺及合同约定指派项目经理，并在合同签订后7天内到职。</w:t>
      </w:r>
      <w:r>
        <w:rPr>
          <w:rFonts w:hint="eastAsia" w:ascii="宋体" w:hAnsi="宋体" w:eastAsia="宋体" w:cs="宋体"/>
          <w:b/>
          <w:bCs/>
          <w:color w:val="auto"/>
          <w:szCs w:val="21"/>
          <w:highlight w:val="none"/>
        </w:rPr>
        <w:t>承包人的投标文件中的项目经理一律不允许更换</w:t>
      </w:r>
      <w:r>
        <w:rPr>
          <w:rFonts w:hint="eastAsia" w:ascii="宋体" w:hAnsi="宋体" w:eastAsia="宋体" w:cs="宋体"/>
          <w:color w:val="auto"/>
          <w:szCs w:val="21"/>
          <w:highlight w:val="none"/>
        </w:rPr>
        <w:t>（如遇死亡、退休、辞职需更换项目经理的情况除外），如确需更换项目经理，须事先征得发包人同意，更换后的项目经理资质条件不得低于招投标时的相关要求。</w:t>
      </w:r>
    </w:p>
    <w:p w14:paraId="395B96E2">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4.5.3 承包人项目经理应按合同约定负责组织合同工程的实施。在情况紧急且无法与监理人取得联系时，可采取保证工程和人员生命财产安全的紧急措施，并在采取措施后24小时内向监理人提交书面报告。</w:t>
      </w:r>
    </w:p>
    <w:p w14:paraId="5FC02FBA">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4.5.4 承包人为履行合同发出的一切函件均应盖有承包人授权的施工场地管理机构章并由承包人项目经理签字。承包人必须在合同签订后、开工令下达前，将授权的施工场地管理机构印章的启用、使用范围、印模等以文件形式通知发包人。</w:t>
      </w:r>
    </w:p>
    <w:p w14:paraId="054C0DC7">
      <w:pPr>
        <w:autoSpaceDE w:val="0"/>
        <w:autoSpaceDN w:val="0"/>
        <w:adjustRightInd w:val="0"/>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4.6 承包人人员的管理</w:t>
      </w:r>
    </w:p>
    <w:p w14:paraId="4AFB23F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4.6.1若主要管理人员无法满足项目施工要求，发包人要求撤换主要管理人员，承包人无正当理由拒绝撤换主要管理人员的，承包人向发包人支付1000元/次的违约金，并按发包人要求立即整改，承包人承担上述违约给发包人造成的一切损失。</w:t>
      </w:r>
    </w:p>
    <w:bookmarkEnd w:id="1961"/>
    <w:bookmarkEnd w:id="1962"/>
    <w:bookmarkEnd w:id="1963"/>
    <w:p w14:paraId="52512186">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1966" w:name="_Toc200817289"/>
      <w:bookmarkStart w:id="1967" w:name="_Toc265955055"/>
      <w:bookmarkStart w:id="1968" w:name="_Toc265954756"/>
      <w:bookmarkStart w:id="1969" w:name="_Toc265654000"/>
      <w:bookmarkStart w:id="1970" w:name="_Toc491246888"/>
      <w:bookmarkStart w:id="1971" w:name="_Toc201058956"/>
      <w:bookmarkStart w:id="1972" w:name="_Toc209499043"/>
      <w:bookmarkStart w:id="1973" w:name="_Toc25728"/>
      <w:bookmarkStart w:id="1974" w:name="_Toc244121919"/>
      <w:r>
        <w:rPr>
          <w:rFonts w:hint="eastAsia" w:ascii="宋体" w:hAnsi="宋体" w:eastAsia="宋体" w:cs="宋体"/>
          <w:b/>
          <w:bCs/>
          <w:color w:val="auto"/>
          <w:kern w:val="0"/>
          <w:sz w:val="24"/>
          <w:highlight w:val="none"/>
        </w:rPr>
        <w:t>5．材料和工程设备</w:t>
      </w:r>
      <w:bookmarkEnd w:id="1966"/>
      <w:bookmarkEnd w:id="1967"/>
      <w:bookmarkEnd w:id="1968"/>
      <w:bookmarkEnd w:id="1969"/>
      <w:bookmarkEnd w:id="1970"/>
      <w:bookmarkEnd w:id="1971"/>
      <w:bookmarkEnd w:id="1972"/>
      <w:bookmarkEnd w:id="1973"/>
      <w:bookmarkEnd w:id="1974"/>
    </w:p>
    <w:p w14:paraId="301297D5">
      <w:pPr>
        <w:autoSpaceDE w:val="0"/>
        <w:autoSpaceDN w:val="0"/>
        <w:adjustRightInd w:val="0"/>
        <w:spacing w:line="360" w:lineRule="auto"/>
        <w:jc w:val="left"/>
        <w:rPr>
          <w:rFonts w:hint="eastAsia" w:ascii="宋体" w:hAnsi="宋体" w:eastAsia="宋体" w:cs="宋体"/>
          <w:b/>
          <w:bCs/>
          <w:color w:val="auto"/>
          <w:kern w:val="0"/>
          <w:sz w:val="24"/>
          <w:highlight w:val="none"/>
        </w:rPr>
      </w:pPr>
      <w:bookmarkStart w:id="1975" w:name="_Toc209499044"/>
      <w:bookmarkStart w:id="1976" w:name="_Toc491246889"/>
      <w:bookmarkStart w:id="1977" w:name="_Toc244121921"/>
      <w:r>
        <w:rPr>
          <w:rFonts w:hint="eastAsia" w:ascii="宋体" w:hAnsi="宋体" w:eastAsia="宋体" w:cs="宋体"/>
          <w:b/>
          <w:bCs/>
          <w:color w:val="auto"/>
          <w:kern w:val="0"/>
          <w:sz w:val="24"/>
          <w:highlight w:val="none"/>
        </w:rPr>
        <w:t>5.2 发包人提供的材料和工程设备</w:t>
      </w:r>
      <w:bookmarkEnd w:id="1975"/>
      <w:bookmarkEnd w:id="1976"/>
      <w:bookmarkEnd w:id="1977"/>
    </w:p>
    <w:p w14:paraId="5FC28B3D">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删去本款全文，并代之以：本工程发包人不提供材料和工程设备。</w:t>
      </w:r>
      <w:bookmarkStart w:id="1978" w:name="_Toc244121922"/>
    </w:p>
    <w:p w14:paraId="0DDB13E3">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1979" w:name="_Toc26111"/>
      <w:bookmarkStart w:id="1980" w:name="_Toc265955056"/>
      <w:bookmarkStart w:id="1981" w:name="_Toc265654001"/>
      <w:bookmarkStart w:id="1982" w:name="_Toc265954757"/>
      <w:r>
        <w:rPr>
          <w:rFonts w:hint="eastAsia" w:ascii="宋体" w:hAnsi="宋体" w:eastAsia="宋体" w:cs="宋体"/>
          <w:b/>
          <w:bCs/>
          <w:color w:val="auto"/>
          <w:kern w:val="0"/>
          <w:sz w:val="24"/>
          <w:highlight w:val="none"/>
        </w:rPr>
        <w:t>6.施工设备和临时设施</w:t>
      </w:r>
      <w:bookmarkEnd w:id="1978"/>
      <w:bookmarkEnd w:id="1979"/>
      <w:bookmarkEnd w:id="1980"/>
      <w:bookmarkEnd w:id="1981"/>
      <w:bookmarkEnd w:id="1982"/>
    </w:p>
    <w:p w14:paraId="247A2746">
      <w:pPr>
        <w:autoSpaceDE w:val="0"/>
        <w:autoSpaceDN w:val="0"/>
        <w:adjustRightInd w:val="0"/>
        <w:spacing w:line="360" w:lineRule="auto"/>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6.2.发包人提供的的施工设备和临时设施</w:t>
      </w:r>
    </w:p>
    <w:p w14:paraId="13F7B420">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删去本款全文，并代之以：发包人不提供施工设备和临时设施</w:t>
      </w:r>
    </w:p>
    <w:p w14:paraId="4144319A">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1983" w:name="_Toc244121923"/>
      <w:bookmarkStart w:id="1984" w:name="_Toc265954758"/>
      <w:bookmarkStart w:id="1985" w:name="_Toc265654002"/>
      <w:bookmarkStart w:id="1986" w:name="_Toc12855"/>
      <w:bookmarkStart w:id="1987" w:name="_Toc265955057"/>
      <w:r>
        <w:rPr>
          <w:rFonts w:hint="eastAsia" w:ascii="宋体" w:hAnsi="宋体" w:eastAsia="宋体" w:cs="宋体"/>
          <w:b/>
          <w:bCs/>
          <w:color w:val="auto"/>
          <w:kern w:val="0"/>
          <w:sz w:val="24"/>
          <w:highlight w:val="none"/>
        </w:rPr>
        <w:t>7.交通运输</w:t>
      </w:r>
      <w:bookmarkEnd w:id="1983"/>
      <w:bookmarkEnd w:id="1984"/>
      <w:bookmarkEnd w:id="1985"/>
      <w:bookmarkEnd w:id="1986"/>
      <w:bookmarkEnd w:id="1987"/>
    </w:p>
    <w:p w14:paraId="25B0A6B1">
      <w:pPr>
        <w:autoSpaceDE w:val="0"/>
        <w:autoSpaceDN w:val="0"/>
        <w:adjustRightInd w:val="0"/>
        <w:spacing w:line="360" w:lineRule="auto"/>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7.1 道路通行权和场外设施</w:t>
      </w:r>
    </w:p>
    <w:p w14:paraId="515F31AD">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bookmarkStart w:id="1988" w:name="_Toc244121925"/>
      <w:r>
        <w:rPr>
          <w:rFonts w:hint="eastAsia" w:ascii="宋体" w:hAnsi="宋体" w:eastAsia="宋体" w:cs="宋体"/>
          <w:color w:val="auto"/>
          <w:kern w:val="0"/>
          <w:szCs w:val="21"/>
          <w:highlight w:val="none"/>
        </w:rPr>
        <w:t>道路通行权和场外设施的约定：道路通行权由承包人办理并承担费用，需要发包人协调时，发包人应协助承包人办理相关手续。</w:t>
      </w:r>
    </w:p>
    <w:p w14:paraId="0E760CD9">
      <w:pPr>
        <w:pStyle w:val="30"/>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 w:val="21"/>
          <w:szCs w:val="21"/>
          <w:highlight w:val="none"/>
        </w:rPr>
        <w:t>除本合同约定由发包人提供的部分道路和交通设施外，承包人应积极参与修建、维修、养护和管理施工所需的全部临时道路和交通设施，费用已包含在临时工程费用中。</w:t>
      </w:r>
    </w:p>
    <w:p w14:paraId="70DC3C2E">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1989" w:name="_Toc1765"/>
      <w:bookmarkStart w:id="1990" w:name="_Toc265954759"/>
      <w:bookmarkStart w:id="1991" w:name="_Toc265654003"/>
      <w:bookmarkStart w:id="1992" w:name="_Toc265955058"/>
      <w:r>
        <w:rPr>
          <w:rFonts w:hint="eastAsia" w:ascii="宋体" w:hAnsi="宋体" w:eastAsia="宋体" w:cs="宋体"/>
          <w:b/>
          <w:bCs/>
          <w:color w:val="auto"/>
          <w:kern w:val="0"/>
          <w:sz w:val="24"/>
          <w:highlight w:val="none"/>
        </w:rPr>
        <w:t>8．测量放线</w:t>
      </w:r>
      <w:bookmarkEnd w:id="1988"/>
      <w:bookmarkEnd w:id="1989"/>
      <w:bookmarkEnd w:id="1990"/>
      <w:bookmarkEnd w:id="1991"/>
      <w:bookmarkEnd w:id="1992"/>
    </w:p>
    <w:p w14:paraId="40B32C89">
      <w:pPr>
        <w:autoSpaceDE w:val="0"/>
        <w:autoSpaceDN w:val="0"/>
        <w:adjustRightInd w:val="0"/>
        <w:spacing w:line="360" w:lineRule="auto"/>
        <w:jc w:val="left"/>
        <w:rPr>
          <w:rFonts w:hint="eastAsia" w:ascii="宋体" w:hAnsi="宋体" w:eastAsia="宋体" w:cs="宋体"/>
          <w:b/>
          <w:bCs/>
          <w:color w:val="auto"/>
          <w:kern w:val="0"/>
          <w:sz w:val="24"/>
          <w:highlight w:val="none"/>
        </w:rPr>
      </w:pPr>
      <w:bookmarkStart w:id="1993" w:name="_Toc224208918"/>
      <w:bookmarkStart w:id="1994" w:name="_Toc232582749"/>
      <w:bookmarkStart w:id="1995" w:name="_Toc256443545"/>
      <w:bookmarkStart w:id="1996" w:name="_Toc232581963"/>
      <w:bookmarkStart w:id="1997" w:name="_Toc224210255"/>
      <w:bookmarkStart w:id="1998" w:name="_Toc232582450"/>
      <w:bookmarkStart w:id="1999" w:name="_Toc233083007"/>
      <w:bookmarkStart w:id="2000" w:name="_Toc224725547"/>
      <w:bookmarkStart w:id="2001" w:name="_Toc224207356"/>
      <w:bookmarkStart w:id="2002" w:name="_Toc232428466"/>
      <w:bookmarkStart w:id="2003" w:name="_Toc233892114"/>
      <w:r>
        <w:rPr>
          <w:rFonts w:hint="eastAsia" w:ascii="宋体" w:hAnsi="宋体" w:eastAsia="宋体" w:cs="宋体"/>
          <w:b/>
          <w:bCs/>
          <w:color w:val="auto"/>
          <w:kern w:val="0"/>
          <w:sz w:val="24"/>
          <w:highlight w:val="none"/>
        </w:rPr>
        <w:t>8.1 施工控制网</w:t>
      </w:r>
      <w:bookmarkEnd w:id="1993"/>
      <w:bookmarkEnd w:id="1994"/>
      <w:bookmarkEnd w:id="1995"/>
      <w:bookmarkEnd w:id="1996"/>
      <w:bookmarkEnd w:id="1997"/>
      <w:bookmarkEnd w:id="1998"/>
      <w:bookmarkEnd w:id="1999"/>
      <w:bookmarkEnd w:id="2000"/>
      <w:bookmarkEnd w:id="2001"/>
      <w:bookmarkEnd w:id="2002"/>
      <w:bookmarkEnd w:id="2003"/>
    </w:p>
    <w:p w14:paraId="48665BD5">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8.1.1 发包人应在发出开工通知后7天内，通过监理人向承包人提供测量基准点、基准线和水准点及其书面资料。承包人应根据国家测绘基准、测绘系统和工程测量技术规范，按上述基准点（线）以及合同工程精度要求，测设施工控制网，并在开工后14天内，将施工控制网资料报送监理人审批。</w:t>
      </w:r>
    </w:p>
    <w:p w14:paraId="3F988912">
      <w:pPr>
        <w:spacing w:line="360" w:lineRule="auto"/>
        <w:rPr>
          <w:rFonts w:hint="eastAsia" w:ascii="宋体" w:hAnsi="宋体" w:eastAsia="宋体" w:cs="宋体"/>
          <w:b/>
          <w:bCs/>
          <w:color w:val="auto"/>
          <w:szCs w:val="21"/>
          <w:highlight w:val="none"/>
        </w:rPr>
      </w:pPr>
      <w:bookmarkStart w:id="2004" w:name="_Toc213646667"/>
      <w:r>
        <w:rPr>
          <w:rFonts w:hint="eastAsia" w:ascii="宋体" w:hAnsi="宋体" w:eastAsia="宋体" w:cs="宋体"/>
          <w:b/>
          <w:bCs/>
          <w:color w:val="auto"/>
          <w:szCs w:val="21"/>
          <w:highlight w:val="none"/>
        </w:rPr>
        <w:t>8.2 施工测量</w:t>
      </w:r>
      <w:bookmarkEnd w:id="2004"/>
    </w:p>
    <w:p w14:paraId="2825574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8.2.1 承包人应负责施工过程中的全部施工测量放线工作，并配置合格的人员、仪器、设备和其他物品，并配合监理人进行抽查。</w:t>
      </w:r>
    </w:p>
    <w:p w14:paraId="019CBD0C">
      <w:pPr>
        <w:spacing w:line="360" w:lineRule="auto"/>
        <w:rPr>
          <w:rFonts w:hint="eastAsia" w:ascii="宋体" w:hAnsi="宋体" w:eastAsia="宋体" w:cs="宋体"/>
          <w:b/>
          <w:bCs/>
          <w:color w:val="auto"/>
          <w:szCs w:val="21"/>
          <w:highlight w:val="none"/>
        </w:rPr>
      </w:pPr>
      <w:bookmarkStart w:id="2005" w:name="_Toc213646668"/>
      <w:r>
        <w:rPr>
          <w:rFonts w:hint="eastAsia" w:ascii="宋体" w:hAnsi="宋体" w:eastAsia="宋体" w:cs="宋体"/>
          <w:b/>
          <w:bCs/>
          <w:color w:val="auto"/>
          <w:szCs w:val="21"/>
          <w:highlight w:val="none"/>
        </w:rPr>
        <w:t>8.3 基准资料错误的责任</w:t>
      </w:r>
      <w:bookmarkEnd w:id="2005"/>
    </w:p>
    <w:p w14:paraId="7DBF15A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发包人应对其提供的测量基准点、基准线和水准点及其书面资料的真实性、准确性和完整性负责。承包人发现发包人提供的上述基准资料存在明显错误或疏忽的，应及时通知监理人，否则应承担相应责任。</w:t>
      </w:r>
    </w:p>
    <w:p w14:paraId="5281D5DF">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2006" w:name="_Toc265654004"/>
      <w:bookmarkStart w:id="2007" w:name="_Toc244121929"/>
      <w:bookmarkStart w:id="2008" w:name="_Toc265955059"/>
      <w:bookmarkStart w:id="2009" w:name="_Toc491246890"/>
      <w:bookmarkStart w:id="2010" w:name="_Toc6798"/>
      <w:bookmarkStart w:id="2011" w:name="_Toc209499045"/>
      <w:bookmarkStart w:id="2012" w:name="_Toc265954760"/>
      <w:bookmarkStart w:id="2013" w:name="_Toc201058957"/>
      <w:r>
        <w:rPr>
          <w:rFonts w:hint="eastAsia" w:ascii="宋体" w:hAnsi="宋体" w:eastAsia="宋体" w:cs="宋体"/>
          <w:b/>
          <w:bCs/>
          <w:color w:val="auto"/>
          <w:kern w:val="0"/>
          <w:sz w:val="24"/>
          <w:highlight w:val="none"/>
        </w:rPr>
        <w:t>9．施工安全、治安保卫和环境保护</w:t>
      </w:r>
      <w:bookmarkEnd w:id="2006"/>
      <w:bookmarkEnd w:id="2007"/>
      <w:bookmarkEnd w:id="2008"/>
      <w:bookmarkEnd w:id="2009"/>
      <w:bookmarkEnd w:id="2010"/>
      <w:bookmarkEnd w:id="2011"/>
      <w:bookmarkEnd w:id="2012"/>
    </w:p>
    <w:bookmarkEnd w:id="2013"/>
    <w:p w14:paraId="3ACF62BB">
      <w:pPr>
        <w:autoSpaceDE w:val="0"/>
        <w:autoSpaceDN w:val="0"/>
        <w:adjustRightInd w:val="0"/>
        <w:spacing w:line="360" w:lineRule="auto"/>
        <w:jc w:val="left"/>
        <w:rPr>
          <w:rFonts w:hint="eastAsia" w:ascii="宋体" w:hAnsi="宋体" w:eastAsia="宋体" w:cs="宋体"/>
          <w:b/>
          <w:bCs/>
          <w:color w:val="auto"/>
          <w:kern w:val="0"/>
          <w:sz w:val="24"/>
          <w:highlight w:val="none"/>
        </w:rPr>
      </w:pPr>
      <w:bookmarkStart w:id="2014" w:name="_Toc224210259"/>
      <w:bookmarkStart w:id="2015" w:name="_Toc233892118"/>
      <w:bookmarkStart w:id="2016" w:name="_Toc256443549"/>
      <w:bookmarkStart w:id="2017" w:name="_Toc232582454"/>
      <w:bookmarkStart w:id="2018" w:name="_Toc224208922"/>
      <w:bookmarkStart w:id="2019" w:name="_Toc233083011"/>
      <w:bookmarkStart w:id="2020" w:name="_Toc224725551"/>
      <w:bookmarkStart w:id="2021" w:name="_Toc224207360"/>
      <w:bookmarkStart w:id="2022" w:name="_Toc232428470"/>
      <w:bookmarkStart w:id="2023" w:name="_Toc232581967"/>
      <w:bookmarkStart w:id="2024" w:name="_Toc232582753"/>
      <w:bookmarkStart w:id="2025" w:name="_Toc491246892"/>
      <w:bookmarkStart w:id="2026" w:name="_Toc209499047"/>
      <w:bookmarkStart w:id="2027" w:name="_Toc200817290"/>
      <w:bookmarkStart w:id="2028" w:name="_Toc201058958"/>
      <w:r>
        <w:rPr>
          <w:rFonts w:hint="eastAsia" w:ascii="宋体" w:hAnsi="宋体" w:eastAsia="宋体" w:cs="宋体"/>
          <w:b/>
          <w:bCs/>
          <w:color w:val="auto"/>
          <w:kern w:val="0"/>
          <w:sz w:val="24"/>
          <w:highlight w:val="none"/>
        </w:rPr>
        <w:t>9.2 承包人的施工安全责任</w:t>
      </w:r>
      <w:bookmarkEnd w:id="2014"/>
      <w:bookmarkEnd w:id="2015"/>
      <w:bookmarkEnd w:id="2016"/>
      <w:bookmarkEnd w:id="2017"/>
      <w:bookmarkEnd w:id="2018"/>
      <w:bookmarkEnd w:id="2019"/>
      <w:bookmarkEnd w:id="2020"/>
      <w:bookmarkEnd w:id="2021"/>
      <w:bookmarkEnd w:id="2022"/>
      <w:bookmarkEnd w:id="2023"/>
      <w:bookmarkEnd w:id="2024"/>
    </w:p>
    <w:p w14:paraId="2C2F1360">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9.2.1 承包人应按合同约定履行安全职责，执行监理人有关安全工作的指示，并在签订合同14日内，编制施工安全措施计划报送监理人审批。</w:t>
      </w:r>
    </w:p>
    <w:p w14:paraId="4B1B9606">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增加以下条款：</w:t>
      </w:r>
    </w:p>
    <w:p w14:paraId="654E8D7C">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负责其自己辖区内的消防工作。承包人应对其辖区内发生的火灾及其造成的人员伤亡和财产损失负责。因本工程地处林区，安全防火问题尤其重要，因此承包人应负责本合同工程工地的消防工作，组建专职消防队伍，在工地配备必要的日常消防设备并配合公安消防部门工作。</w:t>
      </w:r>
    </w:p>
    <w:p w14:paraId="400BD4C9">
      <w:pPr>
        <w:spacing w:line="360" w:lineRule="auto"/>
        <w:outlineLvl w:val="2"/>
        <w:rPr>
          <w:rFonts w:hint="eastAsia" w:ascii="宋体" w:hAnsi="宋体" w:eastAsia="宋体" w:cs="宋体"/>
          <w:b/>
          <w:bCs/>
          <w:color w:val="auto"/>
          <w:szCs w:val="21"/>
          <w:highlight w:val="none"/>
        </w:rPr>
      </w:pPr>
      <w:bookmarkStart w:id="2029" w:name="_Toc12644"/>
      <w:bookmarkStart w:id="2030" w:name="_Toc244121932"/>
      <w:bookmarkStart w:id="2031" w:name="_Toc265955060"/>
      <w:bookmarkStart w:id="2032" w:name="_Toc265654005"/>
      <w:bookmarkStart w:id="2033" w:name="_Toc265954761"/>
      <w:r>
        <w:rPr>
          <w:rFonts w:hint="eastAsia" w:ascii="宋体" w:hAnsi="宋体" w:eastAsia="宋体" w:cs="宋体"/>
          <w:b/>
          <w:bCs/>
          <w:color w:val="auto"/>
          <w:szCs w:val="21"/>
          <w:highlight w:val="none"/>
        </w:rPr>
        <w:t>10. 进度计划</w:t>
      </w:r>
      <w:bookmarkEnd w:id="2029"/>
    </w:p>
    <w:p w14:paraId="2ED71F5C">
      <w:pPr>
        <w:spacing w:line="360" w:lineRule="auto"/>
        <w:rPr>
          <w:rFonts w:hint="eastAsia" w:ascii="宋体" w:hAnsi="宋体" w:eastAsia="宋体" w:cs="宋体"/>
          <w:b/>
          <w:bCs/>
          <w:color w:val="auto"/>
          <w:szCs w:val="21"/>
          <w:highlight w:val="none"/>
        </w:rPr>
      </w:pPr>
      <w:bookmarkStart w:id="2034" w:name="_Toc213646672"/>
      <w:r>
        <w:rPr>
          <w:rFonts w:hint="eastAsia" w:ascii="宋体" w:hAnsi="宋体" w:eastAsia="宋体" w:cs="宋体"/>
          <w:b/>
          <w:bCs/>
          <w:color w:val="auto"/>
          <w:szCs w:val="21"/>
          <w:highlight w:val="none"/>
        </w:rPr>
        <w:t>10.1 合同进度计划</w:t>
      </w:r>
      <w:bookmarkEnd w:id="2034"/>
    </w:p>
    <w:p w14:paraId="0871BCD1">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承包人应在收到进场通知后的</w:t>
      </w:r>
      <w:r>
        <w:rPr>
          <w:rFonts w:hint="eastAsia" w:ascii="宋体" w:hAnsi="宋体" w:eastAsia="宋体" w:cs="宋体"/>
          <w:b/>
          <w:bCs/>
          <w:color w:val="auto"/>
          <w:szCs w:val="21"/>
          <w:highlight w:val="none"/>
          <w:u w:val="single"/>
        </w:rPr>
        <w:t xml:space="preserve"> 21</w:t>
      </w:r>
      <w:r>
        <w:rPr>
          <w:rFonts w:hint="eastAsia" w:ascii="宋体" w:hAnsi="宋体" w:eastAsia="宋体" w:cs="宋体"/>
          <w:color w:val="auto"/>
          <w:szCs w:val="21"/>
          <w:highlight w:val="none"/>
        </w:rPr>
        <w:t>日内，编制详细的施工进度计划和施工方案说明报送监理人。监理人应在</w:t>
      </w:r>
      <w:r>
        <w:rPr>
          <w:rFonts w:hint="eastAsia" w:ascii="宋体" w:hAnsi="宋体" w:eastAsia="宋体" w:cs="宋体"/>
          <w:b/>
          <w:bCs/>
          <w:color w:val="auto"/>
          <w:szCs w:val="21"/>
          <w:highlight w:val="none"/>
          <w:u w:val="single"/>
        </w:rPr>
        <w:t xml:space="preserve"> 21</w:t>
      </w:r>
      <w:r>
        <w:rPr>
          <w:rFonts w:hint="eastAsia" w:ascii="宋体" w:hAnsi="宋体" w:eastAsia="宋体" w:cs="宋体"/>
          <w:color w:val="auto"/>
          <w:szCs w:val="21"/>
          <w:highlight w:val="none"/>
        </w:rPr>
        <w:t>日内批复或提出修改意见，否则该进度计划视为已得到批准。经监理人批准的施工进度计划称合同进度计划，是控制合同工程进度的依据。承包人还应根据合同进度计划，编制更为详细的分阶段或分项进度计划，报监理人审批。</w:t>
      </w:r>
    </w:p>
    <w:p w14:paraId="616D141B">
      <w:pPr>
        <w:spacing w:line="360" w:lineRule="auto"/>
        <w:rPr>
          <w:rFonts w:hint="eastAsia" w:ascii="宋体" w:hAnsi="宋体" w:eastAsia="宋体" w:cs="宋体"/>
          <w:b/>
          <w:bCs/>
          <w:color w:val="auto"/>
          <w:szCs w:val="21"/>
          <w:highlight w:val="none"/>
        </w:rPr>
      </w:pPr>
      <w:bookmarkStart w:id="2035" w:name="_Toc213646673"/>
      <w:r>
        <w:rPr>
          <w:rFonts w:hint="eastAsia" w:ascii="宋体" w:hAnsi="宋体" w:eastAsia="宋体" w:cs="宋体"/>
          <w:b/>
          <w:bCs/>
          <w:color w:val="auto"/>
          <w:szCs w:val="21"/>
          <w:highlight w:val="none"/>
        </w:rPr>
        <w:t>10.2 合同进度计划的修订</w:t>
      </w:r>
      <w:bookmarkEnd w:id="2035"/>
    </w:p>
    <w:p w14:paraId="3DD372C5">
      <w:pPr>
        <w:autoSpaceDE w:val="0"/>
        <w:autoSpaceDN w:val="0"/>
        <w:adjustRightInd w:val="0"/>
        <w:spacing w:line="360" w:lineRule="auto"/>
        <w:ind w:firstLine="420" w:firstLineChars="200"/>
        <w:rPr>
          <w:rFonts w:hint="eastAsia" w:ascii="宋体" w:hAnsi="宋体" w:eastAsia="宋体" w:cs="宋体"/>
          <w:b/>
          <w:bCs/>
          <w:color w:val="auto"/>
          <w:kern w:val="0"/>
          <w:sz w:val="24"/>
          <w:highlight w:val="none"/>
        </w:rPr>
      </w:pPr>
      <w:r>
        <w:rPr>
          <w:rFonts w:hint="eastAsia" w:ascii="宋体" w:hAnsi="宋体" w:eastAsia="宋体" w:cs="宋体"/>
          <w:color w:val="auto"/>
          <w:szCs w:val="21"/>
          <w:highlight w:val="none"/>
        </w:rPr>
        <w:t>不论何种原因造成工程的实际进度与第10.1款的合同进度计划不符时，承包人可以在发现后的</w:t>
      </w:r>
      <w:r>
        <w:rPr>
          <w:rFonts w:hint="eastAsia" w:ascii="宋体" w:hAnsi="宋体" w:eastAsia="宋体" w:cs="宋体"/>
          <w:b/>
          <w:bCs/>
          <w:color w:val="auto"/>
          <w:szCs w:val="21"/>
          <w:highlight w:val="none"/>
          <w:u w:val="single"/>
        </w:rPr>
        <w:t>21</w:t>
      </w:r>
      <w:r>
        <w:rPr>
          <w:rFonts w:hint="eastAsia" w:ascii="宋体" w:hAnsi="宋体" w:eastAsia="宋体" w:cs="宋体"/>
          <w:color w:val="auto"/>
          <w:szCs w:val="21"/>
          <w:highlight w:val="none"/>
        </w:rPr>
        <w:t>天内向监理人提交修订合同进度计划的申请报告，并附有关措施和相关资料，报监理人审批:监理人也可以直接向承包人作出修订合同进度计划的指示，承包人应按该指示修订合同进度计划，报监理人审批。监理人应在</w:t>
      </w:r>
      <w:r>
        <w:rPr>
          <w:rFonts w:hint="eastAsia" w:ascii="宋体" w:hAnsi="宋体" w:eastAsia="宋体" w:cs="宋体"/>
          <w:b/>
          <w:bCs/>
          <w:color w:val="auto"/>
          <w:szCs w:val="21"/>
          <w:highlight w:val="none"/>
          <w:u w:val="single"/>
        </w:rPr>
        <w:t>21</w:t>
      </w:r>
      <w:r>
        <w:rPr>
          <w:rFonts w:hint="eastAsia" w:ascii="宋体" w:hAnsi="宋体" w:eastAsia="宋体" w:cs="宋体"/>
          <w:color w:val="auto"/>
          <w:szCs w:val="21"/>
          <w:highlight w:val="none"/>
        </w:rPr>
        <w:t>天内批复。监理人在批复前应获得发包人同意。</w:t>
      </w:r>
    </w:p>
    <w:p w14:paraId="1912164C">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2036" w:name="_Toc8865"/>
      <w:r>
        <w:rPr>
          <w:rFonts w:hint="eastAsia" w:ascii="宋体" w:hAnsi="宋体" w:eastAsia="宋体" w:cs="宋体"/>
          <w:b/>
          <w:bCs/>
          <w:color w:val="auto"/>
          <w:kern w:val="0"/>
          <w:sz w:val="24"/>
          <w:highlight w:val="none"/>
        </w:rPr>
        <w:t>11.开工和竣工</w:t>
      </w:r>
      <w:bookmarkEnd w:id="2025"/>
      <w:bookmarkEnd w:id="2026"/>
      <w:bookmarkEnd w:id="2027"/>
      <w:bookmarkEnd w:id="2028"/>
      <w:bookmarkEnd w:id="2030"/>
      <w:r>
        <w:rPr>
          <w:rFonts w:hint="eastAsia" w:ascii="宋体" w:hAnsi="宋体" w:eastAsia="宋体" w:cs="宋体"/>
          <w:b/>
          <w:bCs/>
          <w:color w:val="auto"/>
          <w:kern w:val="0"/>
          <w:sz w:val="24"/>
          <w:highlight w:val="none"/>
        </w:rPr>
        <w:t>（完工）</w:t>
      </w:r>
      <w:bookmarkEnd w:id="2031"/>
      <w:bookmarkEnd w:id="2032"/>
      <w:bookmarkEnd w:id="2033"/>
      <w:bookmarkEnd w:id="2036"/>
    </w:p>
    <w:p w14:paraId="2D2F5096">
      <w:pPr>
        <w:autoSpaceDE w:val="0"/>
        <w:autoSpaceDN w:val="0"/>
        <w:adjustRightInd w:val="0"/>
        <w:spacing w:line="360" w:lineRule="auto"/>
        <w:jc w:val="left"/>
        <w:rPr>
          <w:rFonts w:hint="eastAsia" w:ascii="宋体" w:hAnsi="宋体" w:eastAsia="宋体" w:cs="宋体"/>
          <w:b/>
          <w:bCs/>
          <w:color w:val="auto"/>
          <w:kern w:val="0"/>
          <w:sz w:val="24"/>
          <w:highlight w:val="none"/>
        </w:rPr>
      </w:pPr>
      <w:bookmarkStart w:id="2037" w:name="_Toc223245864"/>
      <w:bookmarkStart w:id="2038" w:name="_Toc209499048"/>
      <w:bookmarkStart w:id="2039" w:name="_Toc201058959"/>
      <w:bookmarkStart w:id="2040" w:name="_Toc491246893"/>
      <w:bookmarkStart w:id="2041" w:name="_Toc229450928"/>
      <w:r>
        <w:rPr>
          <w:rFonts w:hint="eastAsia" w:ascii="宋体" w:hAnsi="宋体" w:eastAsia="宋体" w:cs="宋体"/>
          <w:b/>
          <w:bCs/>
          <w:color w:val="auto"/>
          <w:kern w:val="0"/>
          <w:sz w:val="24"/>
          <w:highlight w:val="none"/>
        </w:rPr>
        <w:t>11.2 竣工</w:t>
      </w:r>
      <w:bookmarkEnd w:id="2037"/>
      <w:bookmarkEnd w:id="2038"/>
      <w:bookmarkEnd w:id="2039"/>
      <w:bookmarkEnd w:id="2040"/>
      <w:bookmarkEnd w:id="2041"/>
    </w:p>
    <w:p w14:paraId="193F9736">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增加以下条款：</w:t>
      </w:r>
    </w:p>
    <w:p w14:paraId="0FDD6A14">
      <w:pPr>
        <w:autoSpaceDE w:val="0"/>
        <w:autoSpaceDN w:val="0"/>
        <w:adjustRightIn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本合同全部工程和部分工程的要求完工日期如下表。</w:t>
      </w:r>
    </w:p>
    <w:p w14:paraId="46D13588">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要求完工日期表：</w:t>
      </w:r>
    </w:p>
    <w:tbl>
      <w:tblPr>
        <w:tblStyle w:val="73"/>
        <w:tblW w:w="9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3557"/>
        <w:gridCol w:w="1699"/>
        <w:gridCol w:w="3615"/>
      </w:tblGrid>
      <w:tr w14:paraId="41188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1" w:hRule="atLeast"/>
          <w:jc w:val="center"/>
        </w:trPr>
        <w:tc>
          <w:tcPr>
            <w:tcW w:w="846"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37245DFE">
            <w:pPr>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355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21732587">
            <w:pPr>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项目及其说明</w:t>
            </w:r>
          </w:p>
        </w:tc>
        <w:tc>
          <w:tcPr>
            <w:tcW w:w="1699"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30CC096C">
            <w:pPr>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要求完工日期</w:t>
            </w:r>
          </w:p>
        </w:tc>
        <w:tc>
          <w:tcPr>
            <w:tcW w:w="3615"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4AE16814">
            <w:pPr>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14:paraId="17D9E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atLeast"/>
          <w:jc w:val="center"/>
        </w:trPr>
        <w:tc>
          <w:tcPr>
            <w:tcW w:w="846"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7C66269A">
            <w:pPr>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355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53C5EC04">
            <w:pPr>
              <w:autoSpaceDE w:val="0"/>
              <w:autoSpaceDN w:val="0"/>
              <w:adjustRightInd w:val="0"/>
              <w:spacing w:line="360" w:lineRule="auto"/>
              <w:jc w:val="center"/>
              <w:rPr>
                <w:rFonts w:hint="eastAsia" w:ascii="宋体" w:hAnsi="宋体" w:eastAsia="宋体" w:cs="宋体"/>
                <w:color w:val="auto"/>
                <w:szCs w:val="21"/>
                <w:highlight w:val="none"/>
                <w:lang w:eastAsia="zh-CN"/>
              </w:rPr>
            </w:pPr>
          </w:p>
        </w:tc>
        <w:tc>
          <w:tcPr>
            <w:tcW w:w="1699"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57069F69">
            <w:pPr>
              <w:snapToGrid w:val="0"/>
              <w:spacing w:line="360" w:lineRule="auto"/>
              <w:ind w:right="-149" w:rightChars="-71"/>
              <w:jc w:val="center"/>
              <w:rPr>
                <w:rFonts w:hint="eastAsia" w:ascii="宋体" w:hAnsi="宋体" w:eastAsia="宋体" w:cs="宋体"/>
                <w:color w:val="auto"/>
                <w:kern w:val="0"/>
                <w:szCs w:val="21"/>
                <w:highlight w:val="none"/>
                <w:lang w:eastAsia="zh-CN"/>
              </w:rPr>
            </w:pPr>
          </w:p>
        </w:tc>
        <w:tc>
          <w:tcPr>
            <w:tcW w:w="3615"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3DFA8CB7">
            <w:pPr>
              <w:snapToGrid w:val="0"/>
              <w:spacing w:line="360" w:lineRule="auto"/>
              <w:jc w:val="center"/>
              <w:rPr>
                <w:rFonts w:hint="eastAsia" w:ascii="宋体" w:hAnsi="宋体" w:eastAsia="宋体" w:cs="宋体"/>
                <w:color w:val="auto"/>
                <w:kern w:val="0"/>
                <w:szCs w:val="21"/>
                <w:highlight w:val="none"/>
              </w:rPr>
            </w:pPr>
          </w:p>
        </w:tc>
      </w:tr>
    </w:tbl>
    <w:p w14:paraId="147B1870">
      <w:pPr>
        <w:autoSpaceDE w:val="0"/>
        <w:autoSpaceDN w:val="0"/>
        <w:adjustRightInd w:val="0"/>
        <w:spacing w:line="360" w:lineRule="auto"/>
        <w:jc w:val="left"/>
        <w:rPr>
          <w:rFonts w:hint="eastAsia" w:ascii="宋体" w:hAnsi="宋体" w:eastAsia="宋体" w:cs="宋体"/>
          <w:b/>
          <w:bCs/>
          <w:color w:val="auto"/>
          <w:kern w:val="0"/>
          <w:sz w:val="24"/>
          <w:highlight w:val="none"/>
        </w:rPr>
      </w:pPr>
      <w:bookmarkStart w:id="2042" w:name="_Toc201058960"/>
      <w:bookmarkStart w:id="2043" w:name="_Toc491246894"/>
      <w:bookmarkStart w:id="2044" w:name="_Toc209499049"/>
      <w:bookmarkStart w:id="2045" w:name="_Toc244121935"/>
      <w:r>
        <w:rPr>
          <w:rFonts w:hint="eastAsia" w:ascii="宋体" w:hAnsi="宋体" w:eastAsia="宋体" w:cs="宋体"/>
          <w:b/>
          <w:bCs/>
          <w:color w:val="auto"/>
          <w:kern w:val="0"/>
          <w:sz w:val="24"/>
          <w:highlight w:val="none"/>
        </w:rPr>
        <w:t>11.5 承包人工期延误</w:t>
      </w:r>
    </w:p>
    <w:p w14:paraId="67A56C4F">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本款补充如下：</w:t>
      </w:r>
    </w:p>
    <w:p w14:paraId="5BB39BB0">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bookmarkStart w:id="2046" w:name="_Toc223245866"/>
      <w:r>
        <w:rPr>
          <w:rFonts w:hint="eastAsia" w:ascii="宋体" w:hAnsi="宋体" w:eastAsia="宋体" w:cs="宋体"/>
          <w:color w:val="auto"/>
          <w:kern w:val="0"/>
          <w:szCs w:val="21"/>
          <w:highlight w:val="none"/>
        </w:rPr>
        <w:t>每节点工期及总工期每延长一天，将扣逾期完工违约金2000元/天，</w:t>
      </w:r>
      <w:bookmarkEnd w:id="2046"/>
      <w:r>
        <w:rPr>
          <w:rFonts w:hint="eastAsia" w:ascii="宋体" w:hAnsi="宋体" w:eastAsia="宋体" w:cs="宋体"/>
          <w:color w:val="auto"/>
          <w:kern w:val="0"/>
          <w:szCs w:val="21"/>
          <w:highlight w:val="none"/>
        </w:rPr>
        <w:t>全部逾期完工违约金的总限额为不超过签约合同价的5%，承包人支付逾期竣工违约金，不免除承包人完成工程及修补缺陷的义务。特殊情况由发包人和承包人协商解决。</w:t>
      </w:r>
    </w:p>
    <w:p w14:paraId="27B9CF3F">
      <w:pPr>
        <w:autoSpaceDE w:val="0"/>
        <w:autoSpaceDN w:val="0"/>
        <w:adjustRightInd w:val="0"/>
        <w:spacing w:line="360" w:lineRule="auto"/>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11.6 工期提前</w:t>
      </w:r>
      <w:bookmarkEnd w:id="2042"/>
      <w:bookmarkEnd w:id="2043"/>
      <w:bookmarkEnd w:id="2044"/>
      <w:bookmarkEnd w:id="2045"/>
    </w:p>
    <w:p w14:paraId="35800F25">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bookmarkStart w:id="2047" w:name="_Toc201058961"/>
      <w:bookmarkStart w:id="2048" w:name="_Toc491246895"/>
      <w:bookmarkStart w:id="2049" w:name="_Toc209499050"/>
      <w:r>
        <w:rPr>
          <w:rFonts w:hint="eastAsia" w:ascii="宋体" w:hAnsi="宋体" w:eastAsia="宋体" w:cs="宋体"/>
          <w:color w:val="auto"/>
          <w:kern w:val="0"/>
          <w:szCs w:val="21"/>
          <w:highlight w:val="none"/>
        </w:rPr>
        <w:t>工程提前的奖金约定：本工程要求承包人按质按量按时完成工程内容，提前完工的，不进行任何奖励。</w:t>
      </w:r>
    </w:p>
    <w:p w14:paraId="78D8195A">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2050" w:name="_Toc265654006"/>
      <w:bookmarkStart w:id="2051" w:name="_Toc27682"/>
      <w:bookmarkStart w:id="2052" w:name="_Toc265954762"/>
      <w:bookmarkStart w:id="2053" w:name="_Toc265955061"/>
      <w:bookmarkStart w:id="2054" w:name="_Toc244121936"/>
      <w:r>
        <w:rPr>
          <w:rFonts w:hint="eastAsia" w:ascii="宋体" w:hAnsi="宋体" w:eastAsia="宋体" w:cs="宋体"/>
          <w:b/>
          <w:bCs/>
          <w:color w:val="auto"/>
          <w:kern w:val="0"/>
          <w:sz w:val="24"/>
          <w:highlight w:val="none"/>
        </w:rPr>
        <w:t>12 暂停施工</w:t>
      </w:r>
      <w:bookmarkEnd w:id="2050"/>
      <w:bookmarkEnd w:id="2051"/>
      <w:bookmarkEnd w:id="2052"/>
      <w:bookmarkEnd w:id="2053"/>
    </w:p>
    <w:p w14:paraId="304D1B75">
      <w:pPr>
        <w:autoSpaceDE w:val="0"/>
        <w:autoSpaceDN w:val="0"/>
        <w:adjustRightInd w:val="0"/>
        <w:spacing w:line="360" w:lineRule="auto"/>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12.1 承包人暂停施工的责任</w:t>
      </w:r>
    </w:p>
    <w:p w14:paraId="64B41879">
      <w:pPr>
        <w:autoSpaceDE w:val="0"/>
        <w:autoSpaceDN w:val="0"/>
        <w:adjustRightInd w:val="0"/>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承包人承担暂停施工责任的其他情形：</w:t>
      </w:r>
    </w:p>
    <w:p w14:paraId="6C7896C9">
      <w:pPr>
        <w:autoSpaceDE w:val="0"/>
        <w:autoSpaceDN w:val="0"/>
        <w:adjustRightInd w:val="0"/>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承包人在接到开工通知后14天内未及时进场组织施工，监理人可通知承包人立即采取有效措施赶上进度，承包人应在接到通知后的7天内向监理人提交一份补救措施报告报送监理人审批。补救措施报告应详细说明不能及时进点的原因和补救办法，由此增加的费用和工期延误责任由承包人承担。</w:t>
      </w:r>
    </w:p>
    <w:p w14:paraId="2AEA32A4">
      <w:pPr>
        <w:autoSpaceDE w:val="0"/>
        <w:autoSpaceDN w:val="0"/>
        <w:adjustRightInd w:val="0"/>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2、由于现场非异常恶劣气候条件引起的正常停工。</w:t>
      </w:r>
    </w:p>
    <w:p w14:paraId="0D6C03FB">
      <w:pPr>
        <w:spacing w:line="360" w:lineRule="auto"/>
        <w:rPr>
          <w:rFonts w:hint="eastAsia" w:ascii="宋体" w:hAnsi="宋体" w:eastAsia="宋体" w:cs="宋体"/>
          <w:b/>
          <w:bCs/>
          <w:color w:val="auto"/>
          <w:szCs w:val="21"/>
          <w:highlight w:val="none"/>
        </w:rPr>
      </w:pPr>
      <w:bookmarkStart w:id="2055" w:name="_Toc265954763"/>
      <w:bookmarkStart w:id="2056" w:name="_Toc265955062"/>
      <w:bookmarkStart w:id="2057" w:name="_Toc265654007"/>
      <w:r>
        <w:rPr>
          <w:rFonts w:hint="eastAsia" w:ascii="宋体" w:hAnsi="宋体" w:eastAsia="宋体" w:cs="宋体"/>
          <w:b/>
          <w:bCs/>
          <w:color w:val="auto"/>
          <w:szCs w:val="21"/>
          <w:highlight w:val="none"/>
        </w:rPr>
        <w:t>13.工程质量</w:t>
      </w:r>
    </w:p>
    <w:p w14:paraId="38EB4264">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13.1工程质量要求</w:t>
      </w:r>
    </w:p>
    <w:p w14:paraId="6164824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13.1.1 按水利部现行工程质量验收标准执行。</w:t>
      </w:r>
    </w:p>
    <w:p w14:paraId="4A4D43E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本款增加13.1.4 及13.1.5</w:t>
      </w:r>
    </w:p>
    <w:p w14:paraId="78844BA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13.1.4承包人在施工过程中，承包人应严格按施工规范规程进行施工，确保工程一次性验收合格，力争优良。</w:t>
      </w:r>
    </w:p>
    <w:p w14:paraId="2B94186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13.1.5 合同履行过程中,发生质量事故的,按照事故分级管理制度由事故调查负责单位组织调查处理，依据承包人承担的责任依次分为全部责任、主要责任、重要责任、次要责任和无责任。</w:t>
      </w:r>
    </w:p>
    <w:p w14:paraId="55E12D5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工程质量特别重大事故的调查处理按照国家有关规定处理。</w:t>
      </w:r>
    </w:p>
    <w:p w14:paraId="043C750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13.2承包人的工程质量管理</w:t>
      </w:r>
    </w:p>
    <w:p w14:paraId="569F716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13.2.1承包人必须在现场设置专门的质量检测机构，成立实验室，配备符合国家规范要求的质量检测人员，明确岗位职责，监理质量检查相关制度，并根据施工推进情况分阶段、分工序及时向监理人提交全过程质量检测情况。</w:t>
      </w:r>
    </w:p>
    <w:p w14:paraId="6464F746">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13.3承包人的质量检查</w:t>
      </w:r>
    </w:p>
    <w:p w14:paraId="5B1F84F4">
      <w:pPr>
        <w:spacing w:line="360" w:lineRule="auto"/>
        <w:ind w:firstLine="420" w:firstLineChars="200"/>
        <w:rPr>
          <w:rFonts w:hint="eastAsia" w:ascii="宋体" w:hAnsi="宋体" w:eastAsia="宋体" w:cs="宋体"/>
          <w:b/>
          <w:bCs/>
          <w:color w:val="auto"/>
          <w:kern w:val="0"/>
          <w:sz w:val="24"/>
          <w:highlight w:val="none"/>
        </w:rPr>
      </w:pPr>
      <w:r>
        <w:rPr>
          <w:rFonts w:hint="eastAsia" w:ascii="宋体" w:hAnsi="宋体" w:eastAsia="宋体" w:cs="宋体"/>
          <w:color w:val="auto"/>
          <w:szCs w:val="21"/>
          <w:highlight w:val="none"/>
        </w:rPr>
        <w:t>承包人提交工程质量保证措施文件的期限：承包人应在接到进场通知后14天内提交。</w:t>
      </w:r>
    </w:p>
    <w:p w14:paraId="24279CB1">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2058" w:name="_Toc15521"/>
      <w:r>
        <w:rPr>
          <w:rFonts w:hint="eastAsia" w:ascii="宋体" w:hAnsi="宋体" w:eastAsia="宋体" w:cs="宋体"/>
          <w:b/>
          <w:bCs/>
          <w:color w:val="auto"/>
          <w:kern w:val="0"/>
          <w:sz w:val="24"/>
          <w:highlight w:val="none"/>
        </w:rPr>
        <w:t>14 试验和检验</w:t>
      </w:r>
      <w:bookmarkEnd w:id="2054"/>
      <w:bookmarkEnd w:id="2055"/>
      <w:bookmarkEnd w:id="2056"/>
      <w:bookmarkEnd w:id="2057"/>
      <w:bookmarkEnd w:id="2058"/>
    </w:p>
    <w:p w14:paraId="12F944FE">
      <w:pPr>
        <w:autoSpaceDE w:val="0"/>
        <w:autoSpaceDN w:val="0"/>
        <w:adjustRightInd w:val="0"/>
        <w:spacing w:line="360" w:lineRule="auto"/>
        <w:jc w:val="left"/>
        <w:rPr>
          <w:rFonts w:hint="eastAsia" w:ascii="宋体" w:hAnsi="宋体" w:eastAsia="宋体" w:cs="宋体"/>
          <w:b/>
          <w:bCs/>
          <w:color w:val="auto"/>
          <w:kern w:val="0"/>
          <w:sz w:val="24"/>
          <w:highlight w:val="none"/>
        </w:rPr>
      </w:pPr>
      <w:bookmarkStart w:id="2059" w:name="_Toc229450932"/>
      <w:bookmarkStart w:id="2060" w:name="_Toc223245870"/>
      <w:bookmarkStart w:id="2061" w:name="_Toc244121937"/>
      <w:r>
        <w:rPr>
          <w:rFonts w:hint="eastAsia" w:ascii="宋体" w:hAnsi="宋体" w:eastAsia="宋体" w:cs="宋体"/>
          <w:b/>
          <w:bCs/>
          <w:color w:val="auto"/>
          <w:kern w:val="0"/>
          <w:sz w:val="24"/>
          <w:highlight w:val="none"/>
        </w:rPr>
        <w:t>14.2 现场材料试验</w:t>
      </w:r>
      <w:bookmarkEnd w:id="2059"/>
      <w:bookmarkEnd w:id="2060"/>
    </w:p>
    <w:p w14:paraId="06FFD6BE">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本条增加：</w:t>
      </w:r>
    </w:p>
    <w:p w14:paraId="434FA95E">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监理人认为材料试验需送省、地（或）县级质检部门试验时，承包人应经监理人见证取样后送上述质检部门进行试验，费用由承包人承担。</w:t>
      </w:r>
    </w:p>
    <w:bookmarkEnd w:id="2047"/>
    <w:bookmarkEnd w:id="2048"/>
    <w:bookmarkEnd w:id="2049"/>
    <w:bookmarkEnd w:id="2061"/>
    <w:p w14:paraId="58BAC65A">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2062" w:name="_Toc265955063"/>
      <w:bookmarkStart w:id="2063" w:name="_Toc201058962"/>
      <w:bookmarkStart w:id="2064" w:name="_Toc491246896"/>
      <w:bookmarkStart w:id="2065" w:name="_Toc30217"/>
      <w:bookmarkStart w:id="2066" w:name="_Toc209499051"/>
      <w:bookmarkStart w:id="2067" w:name="_Toc265954764"/>
      <w:bookmarkStart w:id="2068" w:name="_Toc265654008"/>
      <w:bookmarkStart w:id="2069" w:name="_Toc244121938"/>
      <w:r>
        <w:rPr>
          <w:rFonts w:hint="eastAsia" w:ascii="宋体" w:hAnsi="宋体" w:eastAsia="宋体" w:cs="宋体"/>
          <w:b/>
          <w:bCs/>
          <w:color w:val="auto"/>
          <w:kern w:val="0"/>
          <w:sz w:val="24"/>
          <w:highlight w:val="none"/>
        </w:rPr>
        <w:t>15 变更</w:t>
      </w:r>
      <w:bookmarkEnd w:id="2062"/>
      <w:bookmarkEnd w:id="2063"/>
      <w:bookmarkEnd w:id="2064"/>
      <w:bookmarkEnd w:id="2065"/>
      <w:bookmarkEnd w:id="2066"/>
      <w:bookmarkEnd w:id="2067"/>
      <w:bookmarkEnd w:id="2068"/>
      <w:bookmarkEnd w:id="2069"/>
    </w:p>
    <w:p w14:paraId="3C3658A5">
      <w:pPr>
        <w:autoSpaceDE w:val="0"/>
        <w:autoSpaceDN w:val="0"/>
        <w:adjustRightInd w:val="0"/>
        <w:spacing w:line="360" w:lineRule="auto"/>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15.1 变更的范围和内容</w:t>
      </w:r>
    </w:p>
    <w:p w14:paraId="674B8B61">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本条增加：本合同采用固定单价合同形式承包，在合同履行期内无论增加或减少工程量，其《工程量清单》中的单价均不作调整。</w:t>
      </w:r>
      <w:bookmarkStart w:id="2070" w:name="_Toc491246897"/>
      <w:bookmarkStart w:id="2071" w:name="_Toc201058963"/>
      <w:bookmarkStart w:id="2072" w:name="_Toc209499052"/>
    </w:p>
    <w:p w14:paraId="427B9F74">
      <w:pPr>
        <w:pStyle w:val="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出现新增项目时，其新增项目的单价编制应与投标人投标报价中所采用的人工、材料、机械的基价及取费标准保持一致；新增项目的工程量与最终实施的工程量，无论增加或减少的幅度如何，其单价均不作调整。</w:t>
      </w:r>
    </w:p>
    <w:p w14:paraId="63C1D314">
      <w:pPr>
        <w:autoSpaceDE w:val="0"/>
        <w:autoSpaceDN w:val="0"/>
        <w:adjustRightInd w:val="0"/>
        <w:spacing w:line="360" w:lineRule="auto"/>
        <w:jc w:val="left"/>
        <w:rPr>
          <w:rFonts w:hint="eastAsia" w:ascii="宋体" w:hAnsi="宋体" w:eastAsia="宋体" w:cs="宋体"/>
          <w:b/>
          <w:bCs/>
          <w:color w:val="auto"/>
          <w:kern w:val="0"/>
          <w:sz w:val="24"/>
          <w:highlight w:val="none"/>
        </w:rPr>
      </w:pPr>
      <w:bookmarkStart w:id="2073" w:name="_Toc265955064"/>
      <w:bookmarkStart w:id="2074" w:name="_Toc265654009"/>
      <w:bookmarkStart w:id="2075" w:name="_Toc265954765"/>
      <w:r>
        <w:rPr>
          <w:rFonts w:hint="eastAsia" w:ascii="宋体" w:hAnsi="宋体" w:eastAsia="宋体" w:cs="宋体"/>
          <w:b/>
          <w:bCs/>
          <w:color w:val="auto"/>
          <w:kern w:val="0"/>
          <w:sz w:val="24"/>
          <w:highlight w:val="none"/>
        </w:rPr>
        <w:t>15.4 变更的估价原则</w:t>
      </w:r>
      <w:bookmarkEnd w:id="2073"/>
      <w:bookmarkEnd w:id="2074"/>
      <w:bookmarkEnd w:id="2075"/>
    </w:p>
    <w:p w14:paraId="7EA59847">
      <w:pPr>
        <w:autoSpaceDE w:val="0"/>
        <w:autoSpaceDN w:val="0"/>
        <w:adjustRightInd w:val="0"/>
        <w:spacing w:line="360" w:lineRule="auto"/>
        <w:ind w:firstLine="315" w:firstLineChars="1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15.4.1  已标价工程量清单中有适用于变更工作的子目的，采用该子目的单价。</w:t>
      </w:r>
    </w:p>
    <w:p w14:paraId="62C74E35">
      <w:pPr>
        <w:autoSpaceDE w:val="0"/>
        <w:autoSpaceDN w:val="0"/>
        <w:adjustRightInd w:val="0"/>
        <w:spacing w:line="360" w:lineRule="auto"/>
        <w:ind w:firstLine="315" w:firstLineChars="1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15.4.2  已标价工程量清单中无适用于变更工作的子目，但有类似子目的，可在合同范围内参照类似子目的单价，由监理人按第3.5款商定或确定变更工作的单价并报发包人批准。</w:t>
      </w:r>
    </w:p>
    <w:p w14:paraId="5A39C2CD">
      <w:pPr>
        <w:autoSpaceDE w:val="0"/>
        <w:autoSpaceDN w:val="0"/>
        <w:adjustRightInd w:val="0"/>
        <w:spacing w:line="360" w:lineRule="auto"/>
        <w:ind w:firstLine="315" w:firstLineChars="1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15.4.3 已标价工程量清单中无适用或类似子目的单价</w:t>
      </w:r>
      <w:bookmarkStart w:id="2076" w:name="_Toc244121939"/>
      <w:bookmarkStart w:id="2077" w:name="_Toc265654010"/>
      <w:bookmarkStart w:id="2078" w:name="_Toc265954766"/>
      <w:bookmarkStart w:id="2079" w:name="_Toc265955065"/>
      <w:r>
        <w:rPr>
          <w:rFonts w:hint="eastAsia" w:ascii="宋体" w:hAnsi="宋体" w:eastAsia="宋体" w:cs="宋体"/>
          <w:color w:val="auto"/>
          <w:kern w:val="0"/>
          <w:szCs w:val="21"/>
          <w:highlight w:val="none"/>
        </w:rPr>
        <w:t>，由承包人按第3.5款商定或确定变更工作的单价或参照国家相关部门颁发的定额子目按投标报价的编制水平编制补充单价报给监理人审核，并报发包人批准。</w:t>
      </w:r>
    </w:p>
    <w:p w14:paraId="575C40FA">
      <w:pPr>
        <w:autoSpaceDE w:val="0"/>
        <w:autoSpaceDN w:val="0"/>
        <w:adjustRightInd w:val="0"/>
        <w:spacing w:line="360" w:lineRule="auto"/>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15.6 暂列金额</w:t>
      </w:r>
    </w:p>
    <w:p w14:paraId="75240153">
      <w:pPr>
        <w:pStyle w:val="3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w:t>
      </w:r>
      <w:r>
        <w:rPr>
          <w:rFonts w:hint="eastAsia" w:ascii="宋体" w:hAnsi="宋体" w:eastAsia="宋体" w:cs="宋体"/>
          <w:color w:val="auto"/>
          <w:sz w:val="21"/>
          <w:szCs w:val="21"/>
          <w:highlight w:val="none"/>
        </w:rPr>
        <w:t>工程量清单中所列暂列金额必须不加修改的填报，如擅自修改暂列金额的投标文件将不予以评审。此费用必须经业主、监理、设计现场研究分析，认定切实需要实施的工程事项，才能进行计量支付；未经业主、监理、设计现场认定的，承包人自行实施的，不作计量支付，产生的费用由承包人承担。</w:t>
      </w:r>
    </w:p>
    <w:p w14:paraId="6BDCBA2D">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2080" w:name="_Toc29523"/>
      <w:r>
        <w:rPr>
          <w:rFonts w:hint="eastAsia" w:ascii="宋体" w:hAnsi="宋体" w:eastAsia="宋体" w:cs="宋体"/>
          <w:b/>
          <w:bCs/>
          <w:color w:val="auto"/>
          <w:kern w:val="0"/>
          <w:sz w:val="24"/>
          <w:highlight w:val="none"/>
        </w:rPr>
        <w:t>16 价格调整</w:t>
      </w:r>
      <w:bookmarkEnd w:id="2070"/>
      <w:bookmarkEnd w:id="2071"/>
      <w:bookmarkEnd w:id="2072"/>
      <w:bookmarkEnd w:id="2076"/>
      <w:bookmarkEnd w:id="2077"/>
      <w:bookmarkEnd w:id="2078"/>
      <w:bookmarkEnd w:id="2079"/>
      <w:bookmarkEnd w:id="2080"/>
    </w:p>
    <w:p w14:paraId="26D87F12">
      <w:pPr>
        <w:autoSpaceDE w:val="0"/>
        <w:autoSpaceDN w:val="0"/>
        <w:adjustRightInd w:val="0"/>
        <w:spacing w:line="360" w:lineRule="auto"/>
        <w:jc w:val="left"/>
        <w:rPr>
          <w:rFonts w:hint="eastAsia" w:ascii="宋体" w:hAnsi="宋体" w:eastAsia="宋体" w:cs="宋体"/>
          <w:b/>
          <w:bCs/>
          <w:color w:val="auto"/>
          <w:kern w:val="0"/>
          <w:sz w:val="24"/>
          <w:highlight w:val="none"/>
        </w:rPr>
      </w:pPr>
      <w:bookmarkStart w:id="2081" w:name="_Toc244121940"/>
      <w:bookmarkStart w:id="2082" w:name="_Toc491246898"/>
      <w:bookmarkStart w:id="2083" w:name="_Toc201058964"/>
      <w:r>
        <w:rPr>
          <w:rFonts w:hint="eastAsia" w:ascii="宋体" w:hAnsi="宋体" w:eastAsia="宋体" w:cs="宋体"/>
          <w:b/>
          <w:bCs/>
          <w:color w:val="auto"/>
          <w:kern w:val="0"/>
          <w:sz w:val="24"/>
          <w:highlight w:val="none"/>
        </w:rPr>
        <w:t xml:space="preserve">16.1 </w:t>
      </w:r>
      <w:bookmarkEnd w:id="2081"/>
      <w:bookmarkEnd w:id="2082"/>
      <w:bookmarkEnd w:id="2083"/>
      <w:r>
        <w:rPr>
          <w:rFonts w:hint="eastAsia" w:ascii="宋体" w:hAnsi="宋体" w:eastAsia="宋体" w:cs="宋体"/>
          <w:b/>
          <w:bCs/>
          <w:color w:val="auto"/>
          <w:kern w:val="0"/>
          <w:sz w:val="24"/>
          <w:highlight w:val="none"/>
        </w:rPr>
        <w:t>物价波动引起的价格调整</w:t>
      </w:r>
    </w:p>
    <w:p w14:paraId="0EAD0C53">
      <w:pPr>
        <w:autoSpaceDE w:val="0"/>
        <w:autoSpaceDN w:val="0"/>
        <w:adjustRightIn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删去本文，并代之以：</w:t>
      </w:r>
    </w:p>
    <w:p w14:paraId="6BB16F0C">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本合同采用固定单价发包，在合同履行期间，无论何种原因，均不考虑由于物价波动引起的价格调整。</w:t>
      </w:r>
    </w:p>
    <w:p w14:paraId="0C684593">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2084" w:name="_Toc491246899"/>
      <w:bookmarkStart w:id="2085" w:name="_Toc16480"/>
      <w:bookmarkStart w:id="2086" w:name="_Toc201058965"/>
      <w:bookmarkStart w:id="2087" w:name="_Toc265955066"/>
      <w:bookmarkStart w:id="2088" w:name="_Toc265654011"/>
      <w:bookmarkStart w:id="2089" w:name="_Toc200817291"/>
      <w:bookmarkStart w:id="2090" w:name="_Toc265954767"/>
      <w:bookmarkStart w:id="2091" w:name="_Toc209499053"/>
      <w:bookmarkStart w:id="2092" w:name="_Toc244121941"/>
      <w:r>
        <w:rPr>
          <w:rFonts w:hint="eastAsia" w:ascii="宋体" w:hAnsi="宋体" w:eastAsia="宋体" w:cs="宋体"/>
          <w:b/>
          <w:bCs/>
          <w:color w:val="auto"/>
          <w:kern w:val="0"/>
          <w:sz w:val="24"/>
          <w:highlight w:val="none"/>
        </w:rPr>
        <w:t>17 计量与支付</w:t>
      </w:r>
      <w:bookmarkEnd w:id="2084"/>
      <w:bookmarkEnd w:id="2085"/>
      <w:bookmarkEnd w:id="2086"/>
      <w:bookmarkEnd w:id="2087"/>
      <w:bookmarkEnd w:id="2088"/>
      <w:bookmarkEnd w:id="2089"/>
      <w:bookmarkEnd w:id="2090"/>
      <w:bookmarkEnd w:id="2091"/>
      <w:bookmarkEnd w:id="2092"/>
    </w:p>
    <w:p w14:paraId="5F2B6BFA">
      <w:pPr>
        <w:autoSpaceDE w:val="0"/>
        <w:autoSpaceDN w:val="0"/>
        <w:adjustRightInd w:val="0"/>
        <w:spacing w:line="360" w:lineRule="auto"/>
        <w:jc w:val="left"/>
        <w:rPr>
          <w:rFonts w:hint="eastAsia" w:ascii="宋体" w:hAnsi="宋体" w:eastAsia="宋体" w:cs="宋体"/>
          <w:b/>
          <w:bCs/>
          <w:color w:val="auto"/>
          <w:kern w:val="0"/>
          <w:sz w:val="24"/>
          <w:highlight w:val="none"/>
        </w:rPr>
      </w:pPr>
      <w:bookmarkStart w:id="2093" w:name="_Toc491246900"/>
      <w:bookmarkStart w:id="2094" w:name="_Toc201058966"/>
      <w:bookmarkStart w:id="2095" w:name="_Toc229450937"/>
      <w:bookmarkStart w:id="2096" w:name="_Toc209499054"/>
      <w:bookmarkStart w:id="2097" w:name="_Toc223245875"/>
      <w:r>
        <w:rPr>
          <w:rFonts w:hint="eastAsia" w:ascii="宋体" w:hAnsi="宋体" w:eastAsia="宋体" w:cs="宋体"/>
          <w:b/>
          <w:bCs/>
          <w:color w:val="auto"/>
          <w:kern w:val="0"/>
          <w:sz w:val="24"/>
          <w:highlight w:val="none"/>
        </w:rPr>
        <w:t>17.1 计量</w:t>
      </w:r>
      <w:bookmarkEnd w:id="2093"/>
      <w:bookmarkEnd w:id="2094"/>
      <w:bookmarkEnd w:id="2095"/>
      <w:bookmarkEnd w:id="2096"/>
      <w:bookmarkEnd w:id="2097"/>
    </w:p>
    <w:p w14:paraId="1214CA61">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删去本款，并代之以：</w:t>
      </w:r>
    </w:p>
    <w:p w14:paraId="7C3E1724">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按承包方实际完成的工程量，由承包方上报并经监理工程师、建设单位共同确认的工程量计量及按本合同《技术条款》的有关规定执行。</w:t>
      </w:r>
    </w:p>
    <w:p w14:paraId="56628F61">
      <w:pPr>
        <w:pStyle w:val="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经发包人、监理人、设计共同确认的新增项目按投标报价时的人工、材料、费率等组价结算。</w:t>
      </w:r>
    </w:p>
    <w:p w14:paraId="65700175">
      <w:pPr>
        <w:autoSpaceDE w:val="0"/>
        <w:autoSpaceDN w:val="0"/>
        <w:adjustRightInd w:val="0"/>
        <w:spacing w:line="360" w:lineRule="auto"/>
        <w:jc w:val="left"/>
        <w:rPr>
          <w:rFonts w:hint="eastAsia" w:ascii="宋体" w:hAnsi="宋体" w:eastAsia="宋体" w:cs="宋体"/>
          <w:b/>
          <w:bCs/>
          <w:color w:val="auto"/>
          <w:kern w:val="0"/>
          <w:sz w:val="24"/>
          <w:highlight w:val="none"/>
        </w:rPr>
      </w:pPr>
      <w:bookmarkStart w:id="2098" w:name="_Toc209499055"/>
      <w:bookmarkStart w:id="2099" w:name="_Toc244121943"/>
      <w:bookmarkStart w:id="2100" w:name="_Toc491246901"/>
      <w:bookmarkStart w:id="2101" w:name="_Toc201058967"/>
      <w:r>
        <w:rPr>
          <w:rFonts w:hint="eastAsia" w:ascii="宋体" w:hAnsi="宋体" w:eastAsia="宋体" w:cs="宋体"/>
          <w:b/>
          <w:bCs/>
          <w:color w:val="auto"/>
          <w:kern w:val="0"/>
          <w:sz w:val="24"/>
          <w:highlight w:val="none"/>
        </w:rPr>
        <w:t>17.2 预付款</w:t>
      </w:r>
      <w:bookmarkEnd w:id="2098"/>
      <w:bookmarkEnd w:id="2099"/>
      <w:bookmarkEnd w:id="2100"/>
      <w:bookmarkEnd w:id="2101"/>
    </w:p>
    <w:p w14:paraId="14CE45B2">
      <w:pPr>
        <w:pStyle w:val="38"/>
        <w:spacing w:line="360" w:lineRule="auto"/>
        <w:ind w:left="524" w:leftChars="104" w:hanging="306" w:hangingChars="129"/>
        <w:jc w:val="left"/>
        <w:rPr>
          <w:rFonts w:hint="eastAsia" w:ascii="宋体" w:hAnsi="宋体" w:eastAsia="宋体" w:cs="宋体"/>
          <w:b/>
          <w:bCs/>
          <w:color w:val="auto"/>
          <w:spacing w:val="-2"/>
          <w:kern w:val="0"/>
          <w:sz w:val="24"/>
          <w:szCs w:val="24"/>
          <w:highlight w:val="none"/>
        </w:rPr>
      </w:pPr>
      <w:bookmarkStart w:id="2102" w:name="_Toc488678573"/>
      <w:bookmarkStart w:id="2103" w:name="_Toc491246902"/>
      <w:r>
        <w:rPr>
          <w:rFonts w:hint="eastAsia" w:ascii="宋体" w:hAnsi="宋体" w:eastAsia="宋体" w:cs="宋体"/>
          <w:b/>
          <w:bCs/>
          <w:color w:val="auto"/>
          <w:spacing w:val="-2"/>
          <w:kern w:val="0"/>
          <w:sz w:val="24"/>
          <w:szCs w:val="24"/>
          <w:highlight w:val="none"/>
        </w:rPr>
        <w:t>17.2.1预付款</w:t>
      </w:r>
      <w:bookmarkEnd w:id="2102"/>
      <w:bookmarkEnd w:id="2103"/>
      <w:r>
        <w:rPr>
          <w:rFonts w:hint="eastAsia" w:ascii="宋体" w:hAnsi="宋体" w:eastAsia="宋体" w:cs="宋体"/>
          <w:b/>
          <w:bCs/>
          <w:color w:val="auto"/>
          <w:spacing w:val="-2"/>
          <w:kern w:val="0"/>
          <w:sz w:val="24"/>
          <w:szCs w:val="24"/>
          <w:highlight w:val="none"/>
        </w:rPr>
        <w:t>：</w:t>
      </w:r>
    </w:p>
    <w:p w14:paraId="2B130606">
      <w:pPr>
        <w:autoSpaceDE w:val="0"/>
        <w:autoSpaceDN w:val="0"/>
        <w:adjustRightInd w:val="0"/>
        <w:spacing w:line="360" w:lineRule="auto"/>
        <w:ind w:firstLine="4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（1）工程预付款的总金额为签约合同价的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10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%，一次性支付给承包人。</w:t>
      </w:r>
    </w:p>
    <w:p w14:paraId="2E3956FB">
      <w:pPr>
        <w:autoSpaceDE w:val="0"/>
        <w:autoSpaceDN w:val="0"/>
        <w:adjustRightInd w:val="0"/>
        <w:spacing w:line="360" w:lineRule="auto"/>
        <w:ind w:firstLine="4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预付款的付款时间为：在合同协议书签订14天后，承包人主要设备、人员进入工地后，并办理了业主要求的履约保函、预付款担保函、农民工工资保证金及工伤保险等手续，由承包人提出书面申请，经监理人出具付款证书报送发包人批准后14天内予以支付。 </w:t>
      </w:r>
    </w:p>
    <w:p w14:paraId="1D92C5B2">
      <w:pPr>
        <w:pStyle w:val="38"/>
        <w:spacing w:line="360" w:lineRule="auto"/>
        <w:ind w:left="483" w:leftChars="104" w:hanging="265" w:hangingChars="129"/>
        <w:jc w:val="left"/>
        <w:rPr>
          <w:rFonts w:hint="eastAsia" w:ascii="宋体" w:hAnsi="宋体" w:eastAsia="宋体" w:cs="宋体"/>
          <w:color w:val="auto"/>
          <w:spacing w:val="-2"/>
          <w:kern w:val="0"/>
          <w:sz w:val="21"/>
          <w:szCs w:val="21"/>
          <w:highlight w:val="none"/>
        </w:rPr>
      </w:pPr>
      <w:bookmarkStart w:id="2104" w:name="_Toc488678577"/>
      <w:bookmarkStart w:id="2105" w:name="_Toc491246906"/>
      <w:r>
        <w:rPr>
          <w:rFonts w:hint="eastAsia" w:ascii="宋体" w:hAnsi="宋体" w:eastAsia="宋体" w:cs="宋体"/>
          <w:color w:val="auto"/>
          <w:spacing w:val="-2"/>
          <w:kern w:val="0"/>
          <w:sz w:val="21"/>
          <w:szCs w:val="21"/>
          <w:highlight w:val="none"/>
        </w:rPr>
        <w:t>17.2.3</w:t>
      </w:r>
      <w:bookmarkEnd w:id="2104"/>
      <w:bookmarkEnd w:id="2105"/>
      <w:r>
        <w:rPr>
          <w:rFonts w:hint="eastAsia" w:ascii="宋体" w:hAnsi="宋体" w:eastAsia="宋体" w:cs="宋体"/>
          <w:color w:val="auto"/>
          <w:spacing w:val="-2"/>
          <w:kern w:val="0"/>
          <w:sz w:val="21"/>
          <w:szCs w:val="21"/>
          <w:highlight w:val="none"/>
        </w:rPr>
        <w:t>预付款的扣回与还清</w:t>
      </w:r>
    </w:p>
    <w:p w14:paraId="75284DAE">
      <w:pPr>
        <w:pStyle w:val="38"/>
        <w:spacing w:line="360" w:lineRule="auto"/>
        <w:ind w:left="479" w:firstLine="161"/>
        <w:jc w:val="left"/>
        <w:rPr>
          <w:rFonts w:hint="eastAsia" w:ascii="宋体" w:hAnsi="宋体" w:eastAsia="宋体" w:cs="宋体"/>
          <w:color w:val="auto"/>
          <w:kern w:val="0"/>
          <w:sz w:val="21"/>
          <w:szCs w:val="21"/>
          <w:highlight w:val="none"/>
        </w:rPr>
      </w:pPr>
      <w:r>
        <w:rPr>
          <w:rFonts w:hint="eastAsia" w:ascii="宋体" w:hAnsi="宋体" w:eastAsia="宋体" w:cs="宋体"/>
          <w:color w:val="auto"/>
          <w:spacing w:val="-2"/>
          <w:kern w:val="0"/>
          <w:sz w:val="21"/>
          <w:szCs w:val="21"/>
          <w:highlight w:val="none"/>
        </w:rPr>
        <w:t>（1）工程预付款在合同累计完成金额达到签约合同价的</w:t>
      </w:r>
      <w:r>
        <w:rPr>
          <w:rFonts w:hint="eastAsia" w:ascii="宋体" w:hAnsi="宋体" w:eastAsia="宋体" w:cs="宋体"/>
          <w:color w:val="auto"/>
          <w:kern w:val="0"/>
          <w:sz w:val="21"/>
          <w:szCs w:val="21"/>
          <w:highlight w:val="none"/>
          <w:u w:val="single"/>
        </w:rPr>
        <w:t xml:space="preserve"> 30 </w:t>
      </w:r>
      <w:r>
        <w:rPr>
          <w:rFonts w:hint="eastAsia" w:ascii="宋体" w:hAnsi="宋体" w:eastAsia="宋体" w:cs="宋体"/>
          <w:color w:val="auto"/>
          <w:kern w:val="0"/>
          <w:sz w:val="21"/>
          <w:szCs w:val="21"/>
          <w:highlight w:val="none"/>
        </w:rPr>
        <w:t xml:space="preserve"> %时开始扣款，直至合同累计完成金额达到签约合同价的</w:t>
      </w:r>
      <w:r>
        <w:rPr>
          <w:rFonts w:hint="eastAsia" w:ascii="宋体" w:hAnsi="宋体" w:eastAsia="宋体" w:cs="宋体"/>
          <w:color w:val="auto"/>
          <w:kern w:val="0"/>
          <w:sz w:val="21"/>
          <w:szCs w:val="21"/>
          <w:highlight w:val="none"/>
          <w:u w:val="single"/>
        </w:rPr>
        <w:t xml:space="preserve"> 80 </w:t>
      </w:r>
      <w:r>
        <w:rPr>
          <w:rFonts w:hint="eastAsia" w:ascii="宋体" w:hAnsi="宋体" w:eastAsia="宋体" w:cs="宋体"/>
          <w:color w:val="auto"/>
          <w:kern w:val="0"/>
          <w:sz w:val="21"/>
          <w:szCs w:val="21"/>
          <w:highlight w:val="none"/>
        </w:rPr>
        <w:t xml:space="preserve"> %时全部扣清。</w:t>
      </w:r>
    </w:p>
    <w:p w14:paraId="65603F8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position w:val="-30"/>
          <w:sz w:val="21"/>
          <w:szCs w:val="21"/>
          <w:highlight w:val="none"/>
        </w:rPr>
        <w:object>
          <v:shape id="_x0000_i1025" o:spt="75" type="#_x0000_t75" style="height:33.95pt;width:125pt;" o:ole="t" filled="f" o:preferrelative="t" stroked="f" coordsize="21600,21600">
            <v:path/>
            <v:fill on="f" focussize="0,0"/>
            <v:stroke on="f" joinstyle="miter"/>
            <v:imagedata r:id="rId15" o:title=""/>
            <o:lock v:ext="edit" aspectratio="t"/>
            <w10:wrap type="none"/>
            <w10:anchorlock/>
          </v:shape>
          <o:OLEObject Type="Embed" ProgID="Equation.3" ShapeID="_x0000_i1025" DrawAspect="Content" ObjectID="_1468075725" r:id="rId14">
            <o:LockedField>false</o:LockedField>
          </o:OLEObject>
        </w:object>
      </w:r>
    </w:p>
    <w:p w14:paraId="2802470E">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式中  </w:t>
      </w:r>
      <w:r>
        <w:rPr>
          <w:rFonts w:hint="eastAsia" w:ascii="宋体" w:hAnsi="宋体" w:eastAsia="宋体" w:cs="宋体"/>
          <w:color w:val="auto"/>
          <w:position w:val="-4"/>
          <w:sz w:val="21"/>
          <w:szCs w:val="21"/>
          <w:highlight w:val="none"/>
        </w:rPr>
        <w:object>
          <v:shape id="_x0000_i1026" o:spt="75" type="#_x0000_t75" style="height:13pt;width:12pt;" o:ole="t" filled="f" o:preferrelative="t" stroked="f" coordsize="21600,21600">
            <v:path/>
            <v:fill on="f" focussize="0,0"/>
            <v:stroke on="f" joinstyle="miter"/>
            <v:imagedata r:id="rId17" o:title=""/>
            <o:lock v:ext="edit" aspectratio="t"/>
            <w10:wrap type="none"/>
            <w10:anchorlock/>
          </v:shape>
          <o:OLEObject Type="Embed" ProgID="Equation.3" ShapeID="_x0000_i1026" DrawAspect="Content" ObjectID="_1468075726" r:id="rId16">
            <o:LockedField>false</o:LockedField>
          </o:OLEObject>
        </w:object>
      </w:r>
      <w:r>
        <w:rPr>
          <w:rFonts w:hint="eastAsia" w:ascii="宋体" w:hAnsi="宋体" w:eastAsia="宋体" w:cs="宋体"/>
          <w:color w:val="auto"/>
          <w:sz w:val="21"/>
          <w:szCs w:val="21"/>
          <w:highlight w:val="none"/>
        </w:rPr>
        <w:t>——每次进度付款中累计扣回的金额；</w:t>
      </w:r>
    </w:p>
    <w:p w14:paraId="3C5A1FDE">
      <w:pPr>
        <w:spacing w:line="360" w:lineRule="auto"/>
        <w:ind w:firstLine="630" w:firstLineChars="300"/>
        <w:jc w:val="left"/>
        <w:rPr>
          <w:rFonts w:hint="eastAsia" w:ascii="宋体" w:hAnsi="宋体" w:eastAsia="宋体" w:cs="宋体"/>
          <w:color w:val="auto"/>
          <w:sz w:val="21"/>
          <w:szCs w:val="21"/>
          <w:highlight w:val="none"/>
        </w:rPr>
      </w:pPr>
      <w:r>
        <w:rPr>
          <w:rFonts w:hint="eastAsia" w:ascii="宋体" w:hAnsi="宋体" w:eastAsia="宋体" w:cs="宋体"/>
          <w:color w:val="auto"/>
          <w:position w:val="-4"/>
          <w:sz w:val="21"/>
          <w:szCs w:val="21"/>
          <w:highlight w:val="none"/>
        </w:rPr>
        <w:object>
          <v:shape id="_x0000_i1027" o:spt="75" type="#_x0000_t75" style="height:13pt;width:12pt;" o:ole="t" filled="f" o:preferrelative="t" stroked="f" coordsize="21600,21600">
            <v:path/>
            <v:fill on="f" focussize="0,0"/>
            <v:stroke on="f" joinstyle="miter"/>
            <v:imagedata r:id="rId19" o:title=""/>
            <o:lock v:ext="edit" aspectratio="t"/>
            <w10:wrap type="none"/>
            <w10:anchorlock/>
          </v:shape>
          <o:OLEObject Type="Embed" ProgID="Equation.3" ShapeID="_x0000_i1027" DrawAspect="Content" ObjectID="_1468075727" r:id="rId18">
            <o:LockedField>false</o:LockedField>
          </o:OLEObject>
        </w:object>
      </w:r>
      <w:r>
        <w:rPr>
          <w:rFonts w:hint="eastAsia" w:ascii="宋体" w:hAnsi="宋体" w:eastAsia="宋体" w:cs="宋体"/>
          <w:color w:val="auto"/>
          <w:sz w:val="21"/>
          <w:szCs w:val="21"/>
          <w:highlight w:val="none"/>
        </w:rPr>
        <w:t>——工程预付款总金额；</w:t>
      </w:r>
    </w:p>
    <w:p w14:paraId="31ABD209">
      <w:pPr>
        <w:spacing w:line="360" w:lineRule="auto"/>
        <w:ind w:firstLine="630" w:firstLineChars="300"/>
        <w:jc w:val="left"/>
        <w:rPr>
          <w:rFonts w:hint="eastAsia" w:ascii="宋体" w:hAnsi="宋体" w:eastAsia="宋体" w:cs="宋体"/>
          <w:color w:val="auto"/>
          <w:sz w:val="21"/>
          <w:szCs w:val="21"/>
          <w:highlight w:val="none"/>
        </w:rPr>
      </w:pPr>
      <w:r>
        <w:rPr>
          <w:rFonts w:hint="eastAsia" w:ascii="宋体" w:hAnsi="宋体" w:eastAsia="宋体" w:cs="宋体"/>
          <w:color w:val="auto"/>
          <w:position w:val="-6"/>
          <w:sz w:val="21"/>
          <w:szCs w:val="21"/>
          <w:highlight w:val="none"/>
        </w:rPr>
        <w:object>
          <v:shape id="_x0000_i1028" o:spt="75" type="#_x0000_t75" style="height:13.95pt;width:11pt;" o:ole="t" filled="f" o:preferrelative="t" stroked="f" coordsize="21600,21600">
            <v:path/>
            <v:fill on="f" focussize="0,0"/>
            <v:stroke on="f" joinstyle="miter"/>
            <v:imagedata r:id="rId21" o:title=""/>
            <o:lock v:ext="edit" aspectratio="t"/>
            <w10:wrap type="none"/>
            <w10:anchorlock/>
          </v:shape>
          <o:OLEObject Type="Embed" ProgID="Equation.3" ShapeID="_x0000_i1028" DrawAspect="Content" ObjectID="_1468075728" r:id="rId20">
            <o:LockedField>false</o:LockedField>
          </o:OLEObject>
        </w:object>
      </w:r>
      <w:r>
        <w:rPr>
          <w:rFonts w:hint="eastAsia" w:ascii="宋体" w:hAnsi="宋体" w:eastAsia="宋体" w:cs="宋体"/>
          <w:color w:val="auto"/>
          <w:sz w:val="21"/>
          <w:szCs w:val="21"/>
          <w:highlight w:val="none"/>
        </w:rPr>
        <w:t>——签约合同价；</w:t>
      </w:r>
    </w:p>
    <w:p w14:paraId="6ADB9B9A">
      <w:pPr>
        <w:spacing w:line="360" w:lineRule="auto"/>
        <w:ind w:firstLine="630" w:firstLineChars="300"/>
        <w:jc w:val="left"/>
        <w:rPr>
          <w:rFonts w:hint="eastAsia" w:ascii="宋体" w:hAnsi="宋体" w:eastAsia="宋体" w:cs="宋体"/>
          <w:color w:val="auto"/>
          <w:sz w:val="21"/>
          <w:szCs w:val="21"/>
          <w:highlight w:val="none"/>
        </w:rPr>
      </w:pPr>
      <w:r>
        <w:rPr>
          <w:rFonts w:hint="eastAsia" w:ascii="宋体" w:hAnsi="宋体" w:eastAsia="宋体" w:cs="宋体"/>
          <w:color w:val="auto"/>
          <w:position w:val="-6"/>
          <w:sz w:val="21"/>
          <w:szCs w:val="21"/>
          <w:highlight w:val="none"/>
        </w:rPr>
        <w:object>
          <v:shape id="_x0000_i1029" o:spt="75" type="#_x0000_t75" style="height:13.95pt;width:12pt;" o:ole="t" filled="f" o:preferrelative="t" stroked="f" coordsize="21600,21600">
            <v:path/>
            <v:fill on="f" focussize="0,0"/>
            <v:stroke on="f" joinstyle="miter"/>
            <v:imagedata r:id="rId23" o:title=""/>
            <o:lock v:ext="edit" aspectratio="t"/>
            <w10:wrap type="none"/>
            <w10:anchorlock/>
          </v:shape>
          <o:OLEObject Type="Embed" ProgID="Equation.3" ShapeID="_x0000_i1029" DrawAspect="Content" ObjectID="_1468075729" r:id="rId22">
            <o:LockedField>false</o:LockedField>
          </o:OLEObject>
        </w:object>
      </w:r>
      <w:r>
        <w:rPr>
          <w:rFonts w:hint="eastAsia" w:ascii="宋体" w:hAnsi="宋体" w:eastAsia="宋体" w:cs="宋体"/>
          <w:color w:val="auto"/>
          <w:sz w:val="21"/>
          <w:szCs w:val="21"/>
          <w:highlight w:val="none"/>
        </w:rPr>
        <w:t>——合同累计完成金额；</w:t>
      </w:r>
    </w:p>
    <w:p w14:paraId="365052ED">
      <w:pPr>
        <w:spacing w:line="360" w:lineRule="auto"/>
        <w:ind w:firstLine="630" w:firstLineChars="300"/>
        <w:jc w:val="left"/>
        <w:rPr>
          <w:rFonts w:hint="eastAsia" w:ascii="宋体" w:hAnsi="宋体" w:eastAsia="宋体" w:cs="宋体"/>
          <w:color w:val="auto"/>
          <w:sz w:val="21"/>
          <w:szCs w:val="21"/>
          <w:highlight w:val="none"/>
        </w:rPr>
      </w:pPr>
      <w:r>
        <w:rPr>
          <w:rFonts w:hint="eastAsia" w:ascii="宋体" w:hAnsi="宋体" w:eastAsia="宋体" w:cs="宋体"/>
          <w:color w:val="auto"/>
          <w:position w:val="-10"/>
          <w:sz w:val="21"/>
          <w:szCs w:val="21"/>
          <w:highlight w:val="none"/>
        </w:rPr>
        <w:object>
          <v:shape id="_x0000_i1030" o:spt="75" type="#_x0000_t75" style="height:17pt;width:13.95pt;" o:ole="t" filled="f" o:preferrelative="t" stroked="f" coordsize="21600,21600">
            <v:path/>
            <v:fill on="f" focussize="0,0"/>
            <v:stroke on="f" joinstyle="miter"/>
            <v:imagedata r:id="rId25" o:title=""/>
            <o:lock v:ext="edit" aspectratio="t"/>
            <w10:wrap type="none"/>
            <w10:anchorlock/>
          </v:shape>
          <o:OLEObject Type="Embed" ProgID="Equation.3" ShapeID="_x0000_i1030" DrawAspect="Content" ObjectID="_1468075730" r:id="rId24">
            <o:LockedField>false</o:LockedField>
          </o:OLEObject>
        </w:object>
      </w:r>
      <w:r>
        <w:rPr>
          <w:rFonts w:hint="eastAsia" w:ascii="宋体" w:hAnsi="宋体" w:eastAsia="宋体" w:cs="宋体"/>
          <w:color w:val="auto"/>
          <w:sz w:val="21"/>
          <w:szCs w:val="21"/>
          <w:highlight w:val="none"/>
        </w:rPr>
        <w:t>——全部扣款时合同累计完成金额达到签约合同价的比例。</w:t>
      </w:r>
    </w:p>
    <w:p w14:paraId="33876E23">
      <w:pPr>
        <w:spacing w:line="360" w:lineRule="auto"/>
        <w:ind w:firstLine="630" w:firstLineChars="300"/>
        <w:jc w:val="left"/>
        <w:rPr>
          <w:rFonts w:hint="eastAsia" w:ascii="宋体" w:hAnsi="宋体" w:eastAsia="宋体" w:cs="宋体"/>
          <w:color w:val="auto"/>
          <w:sz w:val="21"/>
          <w:szCs w:val="21"/>
          <w:highlight w:val="none"/>
        </w:rPr>
      </w:pPr>
      <w:r>
        <w:rPr>
          <w:rFonts w:hint="eastAsia" w:ascii="宋体" w:hAnsi="宋体" w:eastAsia="宋体" w:cs="宋体"/>
          <w:color w:val="auto"/>
          <w:position w:val="-10"/>
          <w:sz w:val="21"/>
          <w:szCs w:val="21"/>
          <w:highlight w:val="none"/>
        </w:rPr>
        <w:object>
          <v:shape id="_x0000_i1031" o:spt="75" type="#_x0000_t75" style="height:17pt;width:13pt;" o:ole="t" filled="f" o:preferrelative="t" stroked="f" coordsize="21600,21600">
            <v:path/>
            <v:fill on="f" focussize="0,0"/>
            <v:stroke on="f" joinstyle="miter"/>
            <v:imagedata r:id="rId27" o:title=""/>
            <o:lock v:ext="edit" aspectratio="t"/>
            <w10:wrap type="none"/>
            <w10:anchorlock/>
          </v:shape>
          <o:OLEObject Type="Embed" ProgID="Equation.3" ShapeID="_x0000_i1031" DrawAspect="Content" ObjectID="_1468075731" r:id="rId26">
            <o:LockedField>false</o:LockedField>
          </o:OLEObject>
        </w:object>
      </w:r>
      <w:r>
        <w:rPr>
          <w:rFonts w:hint="eastAsia" w:ascii="宋体" w:hAnsi="宋体" w:eastAsia="宋体" w:cs="宋体"/>
          <w:color w:val="auto"/>
          <w:sz w:val="21"/>
          <w:szCs w:val="21"/>
          <w:highlight w:val="none"/>
        </w:rPr>
        <w:t>——开始扣款时合同累计完成金额达到签约合同价的比例。</w:t>
      </w:r>
    </w:p>
    <w:p w14:paraId="4B4B7AD8">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上述合同累计完成金额均指价格调整前未扣质量保证金的金额。</w:t>
      </w:r>
    </w:p>
    <w:p w14:paraId="0A3F0A68">
      <w:pPr>
        <w:autoSpaceDE w:val="0"/>
        <w:autoSpaceDN w:val="0"/>
        <w:adjustRightInd w:val="0"/>
        <w:spacing w:line="360" w:lineRule="auto"/>
        <w:jc w:val="left"/>
        <w:rPr>
          <w:rFonts w:hint="eastAsia" w:ascii="宋体" w:hAnsi="宋体" w:eastAsia="宋体" w:cs="宋体"/>
          <w:b/>
          <w:bCs/>
          <w:color w:val="auto"/>
          <w:kern w:val="0"/>
          <w:sz w:val="24"/>
          <w:szCs w:val="24"/>
          <w:highlight w:val="none"/>
        </w:rPr>
      </w:pPr>
      <w:bookmarkStart w:id="2106" w:name="_Toc223245877"/>
      <w:bookmarkStart w:id="2107" w:name="_Toc491246904"/>
      <w:bookmarkStart w:id="2108" w:name="_Toc229450939"/>
      <w:bookmarkStart w:id="2109" w:name="_Toc209499056"/>
      <w:r>
        <w:rPr>
          <w:rFonts w:hint="eastAsia" w:ascii="宋体" w:hAnsi="宋体" w:eastAsia="宋体" w:cs="宋体"/>
          <w:b/>
          <w:bCs/>
          <w:color w:val="auto"/>
          <w:kern w:val="0"/>
          <w:sz w:val="24"/>
          <w:szCs w:val="24"/>
          <w:highlight w:val="none"/>
        </w:rPr>
        <w:t>17.3 工程进度款</w:t>
      </w:r>
      <w:bookmarkEnd w:id="2106"/>
      <w:bookmarkEnd w:id="2107"/>
      <w:bookmarkEnd w:id="2108"/>
      <w:bookmarkEnd w:id="2109"/>
    </w:p>
    <w:p w14:paraId="671566D7">
      <w:pPr>
        <w:autoSpaceDE w:val="0"/>
        <w:autoSpaceDN w:val="0"/>
        <w:adjustRightInd w:val="0"/>
        <w:spacing w:line="360" w:lineRule="auto"/>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17.3.2进度付款申请单</w:t>
      </w:r>
    </w:p>
    <w:p w14:paraId="6F801285">
      <w:pPr>
        <w:pStyle w:val="38"/>
        <w:spacing w:line="360" w:lineRule="auto"/>
        <w:ind w:left="479"/>
        <w:jc w:val="left"/>
        <w:rPr>
          <w:rFonts w:hint="eastAsia" w:ascii="宋体" w:hAnsi="宋体" w:eastAsia="宋体" w:cs="宋体"/>
          <w:color w:val="auto"/>
          <w:spacing w:val="-2"/>
          <w:kern w:val="0"/>
          <w:sz w:val="24"/>
          <w:szCs w:val="24"/>
          <w:highlight w:val="none"/>
        </w:rPr>
      </w:pPr>
      <w:r>
        <w:rPr>
          <w:rFonts w:hint="eastAsia" w:ascii="宋体" w:hAnsi="宋体" w:eastAsia="宋体" w:cs="宋体"/>
          <w:color w:val="auto"/>
          <w:spacing w:val="-2"/>
          <w:kern w:val="0"/>
          <w:sz w:val="24"/>
          <w:szCs w:val="24"/>
          <w:highlight w:val="none"/>
        </w:rPr>
        <w:t>17.3.3进度付款证书和支付时间</w:t>
      </w:r>
    </w:p>
    <w:p w14:paraId="705E715F">
      <w:pPr>
        <w:pStyle w:val="38"/>
        <w:tabs>
          <w:tab w:val="left" w:pos="1620"/>
        </w:tabs>
        <w:spacing w:line="520" w:lineRule="exact"/>
        <w:ind w:left="0" w:leftChars="0" w:firstLine="412" w:firstLineChars="200"/>
        <w:outlineLvl w:val="0"/>
        <w:rPr>
          <w:rStyle w:val="75"/>
          <w:rFonts w:hint="eastAsia" w:ascii="宋体" w:hAnsi="宋体" w:eastAsia="宋体" w:cs="宋体"/>
          <w:color w:val="auto"/>
          <w:spacing w:val="-2"/>
          <w:kern w:val="0"/>
          <w:sz w:val="21"/>
          <w:szCs w:val="21"/>
          <w:highlight w:val="none"/>
        </w:rPr>
      </w:pPr>
      <w:bookmarkStart w:id="2110" w:name="_Toc1576"/>
      <w:bookmarkStart w:id="2111" w:name="_Toc244121945"/>
      <w:bookmarkStart w:id="2112" w:name="_Toc491246907"/>
      <w:bookmarkStart w:id="2113" w:name="_Toc209499057"/>
      <w:r>
        <w:rPr>
          <w:rStyle w:val="75"/>
          <w:rFonts w:hint="eastAsia" w:ascii="宋体" w:hAnsi="宋体" w:eastAsia="宋体" w:cs="宋体"/>
          <w:color w:val="auto"/>
          <w:spacing w:val="-2"/>
          <w:kern w:val="0"/>
          <w:sz w:val="21"/>
          <w:szCs w:val="21"/>
          <w:highlight w:val="none"/>
        </w:rPr>
        <w:t>双方约定的工程进度款支付的方式和时间：按月支付。监理人在收到承包人项目付款表以及相应的支持性证明文件（包括：工程月支付申请书，增值税发票等材料），7天内完成审查。由监理人向承包人出具经发包人签认的工程进度付款证书，发包人在收到经监理人审核的项目付款申请表以及相应的支持性证明文件后，7天内将工程进度款支付承包方。进度款</w:t>
      </w:r>
      <w:r>
        <w:rPr>
          <w:rStyle w:val="75"/>
          <w:rFonts w:hint="eastAsia" w:ascii="宋体" w:hAnsi="宋体" w:eastAsia="宋体" w:cs="宋体"/>
          <w:bCs/>
          <w:color w:val="auto"/>
          <w:kern w:val="0"/>
          <w:sz w:val="21"/>
          <w:szCs w:val="21"/>
          <w:highlight w:val="none"/>
        </w:rPr>
        <w:t>支付金额按经监理人复核的月进度付款申请单中金额支付90%。</w:t>
      </w:r>
      <w:bookmarkEnd w:id="2110"/>
    </w:p>
    <w:p w14:paraId="4314D35F">
      <w:pPr>
        <w:pStyle w:val="39"/>
        <w:tabs>
          <w:tab w:val="left" w:pos="1620"/>
        </w:tabs>
        <w:autoSpaceDE w:val="0"/>
        <w:autoSpaceDN w:val="0"/>
        <w:adjustRightInd w:val="0"/>
        <w:spacing w:line="520" w:lineRule="exact"/>
        <w:ind w:firstLine="420" w:firstLineChars="200"/>
        <w:jc w:val="left"/>
        <w:rPr>
          <w:rStyle w:val="75"/>
          <w:rFonts w:hint="eastAsia" w:ascii="宋体" w:hAnsi="宋体" w:eastAsia="宋体" w:cs="宋体"/>
          <w:color w:val="auto"/>
          <w:kern w:val="0"/>
          <w:sz w:val="21"/>
          <w:szCs w:val="21"/>
          <w:highlight w:val="none"/>
        </w:rPr>
      </w:pPr>
      <w:r>
        <w:rPr>
          <w:rStyle w:val="75"/>
          <w:rFonts w:hint="eastAsia" w:ascii="宋体" w:hAnsi="宋体" w:eastAsia="宋体" w:cs="宋体"/>
          <w:color w:val="auto"/>
          <w:kern w:val="0"/>
          <w:sz w:val="21"/>
          <w:szCs w:val="21"/>
          <w:highlight w:val="none"/>
        </w:rPr>
        <w:t>工程完工，通过单位工程验收（县级验收）合格后，累计支付到完成工程价款的90%，其所扣留的金额，待通过审计部门审计后按审计核定结论支付到总工程款的97%，其余3%作为质量保证金，待保修期满后，再对质量保证金进行结算支付。</w:t>
      </w:r>
    </w:p>
    <w:p w14:paraId="672226D2">
      <w:pPr>
        <w:autoSpaceDE w:val="0"/>
        <w:autoSpaceDN w:val="0"/>
        <w:adjustRightInd w:val="0"/>
        <w:spacing w:line="360" w:lineRule="auto"/>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17.4 质量保证金</w:t>
      </w:r>
      <w:bookmarkEnd w:id="2111"/>
      <w:bookmarkEnd w:id="2112"/>
      <w:bookmarkEnd w:id="2113"/>
    </w:p>
    <w:p w14:paraId="1499F7FB">
      <w:pPr>
        <w:autoSpaceDE w:val="0"/>
        <w:autoSpaceDN w:val="0"/>
        <w:adjustRightInd w:val="0"/>
        <w:spacing w:line="360" w:lineRule="auto"/>
        <w:ind w:firstLine="525" w:firstLineChars="250"/>
        <w:jc w:val="left"/>
        <w:rPr>
          <w:rFonts w:hint="eastAsia" w:ascii="宋体" w:hAnsi="宋体" w:eastAsia="宋体" w:cs="宋体"/>
          <w:color w:val="auto"/>
          <w:szCs w:val="21"/>
          <w:highlight w:val="none"/>
        </w:rPr>
      </w:pPr>
      <w:bookmarkStart w:id="2114" w:name="_Toc491246908"/>
      <w:bookmarkStart w:id="2115" w:name="_Toc201058968"/>
      <w:bookmarkStart w:id="2116" w:name="_Toc209499058"/>
      <w:r>
        <w:rPr>
          <w:rFonts w:hint="eastAsia" w:ascii="宋体" w:hAnsi="宋体" w:eastAsia="宋体" w:cs="宋体"/>
          <w:color w:val="auto"/>
          <w:kern w:val="0"/>
          <w:szCs w:val="21"/>
          <w:highlight w:val="none"/>
        </w:rPr>
        <w:t>17.4.1质量保证金（保修金）的金额为工程结算价的3%</w:t>
      </w:r>
      <w:r>
        <w:rPr>
          <w:rFonts w:hint="eastAsia" w:ascii="宋体" w:hAnsi="宋体" w:eastAsia="宋体" w:cs="宋体"/>
          <w:color w:val="auto"/>
          <w:kern w:val="0"/>
          <w:szCs w:val="21"/>
          <w:highlight w:val="none"/>
          <w:lang w:eastAsia="zh-CN"/>
        </w:rPr>
        <w:t>，保修期满后根据保修情况一次性付清质量保修金</w:t>
      </w:r>
      <w:r>
        <w:rPr>
          <w:rFonts w:hint="eastAsia" w:ascii="宋体" w:hAnsi="宋体" w:eastAsia="宋体" w:cs="宋体"/>
          <w:color w:val="auto"/>
          <w:kern w:val="0"/>
          <w:szCs w:val="21"/>
          <w:highlight w:val="none"/>
        </w:rPr>
        <w:t>。</w:t>
      </w:r>
    </w:p>
    <w:p w14:paraId="5E62D507">
      <w:pPr>
        <w:autoSpaceDE w:val="0"/>
        <w:autoSpaceDN w:val="0"/>
        <w:adjustRightInd w:val="0"/>
        <w:spacing w:line="360" w:lineRule="auto"/>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17.5 竣工（完工）结算</w:t>
      </w:r>
    </w:p>
    <w:p w14:paraId="392DABFB">
      <w:pPr>
        <w:autoSpaceDE w:val="0"/>
        <w:autoSpaceDN w:val="0"/>
        <w:adjustRightInd w:val="0"/>
        <w:spacing w:line="360" w:lineRule="auto"/>
        <w:ind w:firstLine="117" w:firstLineChars="49"/>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17.5.1竣工（完工）付款申请单</w:t>
      </w:r>
    </w:p>
    <w:p w14:paraId="455C5C2D">
      <w:pPr>
        <w:autoSpaceDE w:val="0"/>
        <w:autoSpaceDN w:val="0"/>
        <w:adjustRightInd w:val="0"/>
        <w:spacing w:line="360" w:lineRule="auto"/>
        <w:ind w:firstLine="420"/>
        <w:jc w:val="left"/>
        <w:rPr>
          <w:rFonts w:hint="eastAsia" w:ascii="宋体" w:hAnsi="宋体" w:eastAsia="宋体" w:cs="宋体"/>
          <w:color w:val="auto"/>
          <w:kern w:val="0"/>
          <w:highlight w:val="none"/>
        </w:rPr>
      </w:pPr>
      <w:r>
        <w:rPr>
          <w:rFonts w:hint="eastAsia" w:ascii="宋体" w:hAnsi="宋体" w:eastAsia="宋体" w:cs="宋体"/>
          <w:color w:val="auto"/>
          <w:kern w:val="0"/>
          <w:szCs w:val="21"/>
          <w:highlight w:val="none"/>
        </w:rPr>
        <w:t>（1）承包人应提交完工付款申请单一式</w:t>
      </w:r>
      <w:r>
        <w:rPr>
          <w:rFonts w:hint="eastAsia" w:ascii="宋体" w:hAnsi="宋体" w:eastAsia="宋体" w:cs="宋体"/>
          <w:color w:val="auto"/>
          <w:kern w:val="0"/>
          <w:highlight w:val="none"/>
          <w:u w:val="single"/>
        </w:rPr>
        <w:t xml:space="preserve">  5  </w:t>
      </w:r>
      <w:r>
        <w:rPr>
          <w:rFonts w:hint="eastAsia" w:ascii="宋体" w:hAnsi="宋体" w:eastAsia="宋体" w:cs="宋体"/>
          <w:color w:val="auto"/>
          <w:kern w:val="0"/>
          <w:highlight w:val="none"/>
        </w:rPr>
        <w:t>份，</w:t>
      </w:r>
      <w:r>
        <w:rPr>
          <w:rFonts w:hint="eastAsia" w:ascii="宋体" w:hAnsi="宋体" w:eastAsia="宋体" w:cs="宋体"/>
          <w:color w:val="auto"/>
          <w:szCs w:val="21"/>
          <w:highlight w:val="none"/>
        </w:rPr>
        <w:t>电子文档一份</w:t>
      </w:r>
      <w:r>
        <w:rPr>
          <w:rFonts w:hint="eastAsia" w:ascii="宋体" w:hAnsi="宋体" w:eastAsia="宋体" w:cs="宋体"/>
          <w:color w:val="auto"/>
          <w:kern w:val="0"/>
          <w:highlight w:val="none"/>
        </w:rPr>
        <w:t>。</w:t>
      </w:r>
    </w:p>
    <w:p w14:paraId="7C2BDD60">
      <w:pPr>
        <w:autoSpaceDE w:val="0"/>
        <w:autoSpaceDN w:val="0"/>
        <w:adjustRightInd w:val="0"/>
        <w:spacing w:line="360" w:lineRule="auto"/>
        <w:jc w:val="left"/>
        <w:outlineLvl w:val="2"/>
        <w:rPr>
          <w:rFonts w:hint="eastAsia" w:ascii="宋体" w:hAnsi="宋体" w:eastAsia="宋体" w:cs="宋体"/>
          <w:b/>
          <w:bCs/>
          <w:color w:val="auto"/>
          <w:kern w:val="0"/>
          <w:sz w:val="28"/>
          <w:szCs w:val="28"/>
          <w:highlight w:val="none"/>
        </w:rPr>
      </w:pPr>
      <w:bookmarkStart w:id="2117" w:name="_Toc264881716"/>
      <w:bookmarkStart w:id="2118" w:name="_Toc31478"/>
      <w:r>
        <w:rPr>
          <w:rFonts w:hint="eastAsia" w:ascii="宋体" w:hAnsi="宋体" w:eastAsia="宋体" w:cs="宋体"/>
          <w:b/>
          <w:bCs/>
          <w:color w:val="auto"/>
          <w:kern w:val="0"/>
          <w:sz w:val="28"/>
          <w:szCs w:val="28"/>
          <w:highlight w:val="none"/>
        </w:rPr>
        <w:t>18 竣工验收</w:t>
      </w:r>
      <w:bookmarkEnd w:id="2117"/>
      <w:bookmarkEnd w:id="2118"/>
    </w:p>
    <w:p w14:paraId="3CEE98C2">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w:t>
      </w:r>
      <w:r>
        <w:rPr>
          <w:rFonts w:hint="eastAsia" w:ascii="宋体" w:hAnsi="宋体" w:eastAsia="宋体" w:cs="宋体"/>
          <w:color w:val="auto"/>
          <w:kern w:val="0"/>
          <w:szCs w:val="21"/>
          <w:highlight w:val="none"/>
          <w:lang w:val="en-US" w:eastAsia="zh-CN"/>
        </w:rPr>
        <w:t>.</w:t>
      </w: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lang w:val="en-US" w:eastAsia="zh-CN"/>
        </w:rPr>
        <w:t>.</w:t>
      </w:r>
      <w:r>
        <w:rPr>
          <w:rFonts w:hint="eastAsia" w:ascii="宋体" w:hAnsi="宋体" w:eastAsia="宋体" w:cs="宋体"/>
          <w:color w:val="auto"/>
          <w:kern w:val="0"/>
          <w:szCs w:val="21"/>
          <w:highlight w:val="none"/>
        </w:rPr>
        <w:t>2本条修改为：发包人主持分部工程验收。</w:t>
      </w:r>
    </w:p>
    <w:bookmarkEnd w:id="2114"/>
    <w:bookmarkEnd w:id="2115"/>
    <w:bookmarkEnd w:id="2116"/>
    <w:p w14:paraId="62583AA1">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2119" w:name="_Toc9037"/>
      <w:bookmarkStart w:id="2120" w:name="_Toc265654012"/>
      <w:bookmarkStart w:id="2121" w:name="_Toc265955067"/>
      <w:bookmarkStart w:id="2122" w:name="_Toc265954768"/>
      <w:bookmarkStart w:id="2123" w:name="_Toc244121947"/>
      <w:r>
        <w:rPr>
          <w:rFonts w:hint="eastAsia" w:ascii="宋体" w:hAnsi="宋体" w:eastAsia="宋体" w:cs="宋体"/>
          <w:b/>
          <w:bCs/>
          <w:color w:val="auto"/>
          <w:kern w:val="0"/>
          <w:sz w:val="24"/>
          <w:highlight w:val="none"/>
        </w:rPr>
        <w:t>19. 缺陷责任与保修责任</w:t>
      </w:r>
      <w:bookmarkEnd w:id="2119"/>
      <w:bookmarkEnd w:id="2120"/>
      <w:bookmarkEnd w:id="2121"/>
      <w:bookmarkEnd w:id="2122"/>
      <w:bookmarkEnd w:id="2123"/>
    </w:p>
    <w:p w14:paraId="51FE41A8">
      <w:pPr>
        <w:autoSpaceDE w:val="0"/>
        <w:autoSpaceDN w:val="0"/>
        <w:adjustRightInd w:val="0"/>
        <w:spacing w:line="360" w:lineRule="auto"/>
        <w:jc w:val="left"/>
        <w:rPr>
          <w:rFonts w:hint="eastAsia" w:ascii="宋体" w:hAnsi="宋体" w:eastAsia="宋体" w:cs="宋体"/>
          <w:b/>
          <w:bCs/>
          <w:color w:val="auto"/>
          <w:kern w:val="0"/>
          <w:sz w:val="24"/>
          <w:highlight w:val="none"/>
        </w:rPr>
      </w:pPr>
      <w:bookmarkStart w:id="2124" w:name="_Toc491246909"/>
      <w:bookmarkStart w:id="2125" w:name="_Toc244121948"/>
      <w:bookmarkStart w:id="2126" w:name="_Toc209499059"/>
      <w:r>
        <w:rPr>
          <w:rFonts w:hint="eastAsia" w:ascii="宋体" w:hAnsi="宋体" w:eastAsia="宋体" w:cs="宋体"/>
          <w:b/>
          <w:bCs/>
          <w:color w:val="auto"/>
          <w:kern w:val="0"/>
          <w:sz w:val="24"/>
          <w:highlight w:val="none"/>
        </w:rPr>
        <w:t>19.1 缺陷责任期（工程质量保修期）</w:t>
      </w:r>
      <w:bookmarkEnd w:id="2124"/>
      <w:bookmarkEnd w:id="2125"/>
      <w:bookmarkEnd w:id="2126"/>
      <w:r>
        <w:rPr>
          <w:rFonts w:hint="eastAsia" w:ascii="宋体" w:hAnsi="宋体" w:eastAsia="宋体" w:cs="宋体"/>
          <w:b/>
          <w:bCs/>
          <w:color w:val="auto"/>
          <w:kern w:val="0"/>
          <w:sz w:val="24"/>
          <w:highlight w:val="none"/>
        </w:rPr>
        <w:t>的起算时间</w:t>
      </w:r>
    </w:p>
    <w:p w14:paraId="258E7C93">
      <w:pPr>
        <w:autoSpaceDE w:val="0"/>
        <w:autoSpaceDN w:val="0"/>
        <w:adjustRightInd w:val="0"/>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本工程</w:t>
      </w:r>
      <w:bookmarkStart w:id="2127" w:name="_Toc209499060"/>
      <w:bookmarkStart w:id="2128" w:name="_Toc491246910"/>
      <w:r>
        <w:rPr>
          <w:rFonts w:hint="eastAsia" w:ascii="宋体" w:hAnsi="宋体" w:eastAsia="宋体" w:cs="宋体"/>
          <w:color w:val="auto"/>
          <w:kern w:val="0"/>
          <w:szCs w:val="21"/>
          <w:highlight w:val="none"/>
        </w:rPr>
        <w:t>缺陷责任期（工程质量保修期）的起算时间：自单位工程竣工验收合格移交之日起算。本工程保修期为一年。</w:t>
      </w:r>
    </w:p>
    <w:p w14:paraId="6D4D72EC">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19.2 缺陷责任</w:t>
      </w:r>
    </w:p>
    <w:p w14:paraId="3E1233CB">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19.2.4承包人不能在合理时间内修复缺陷的，发包人可自行修复或委托其他人修复，所需费用由承包人承担。</w:t>
      </w:r>
    </w:p>
    <w:p w14:paraId="35DE15D4">
      <w:pPr>
        <w:autoSpaceDE w:val="0"/>
        <w:autoSpaceDN w:val="0"/>
        <w:adjustRightInd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19.3 缺陷责任期的延长</w:t>
      </w:r>
    </w:p>
    <w:p w14:paraId="2B8DE569">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由于承包人原因造成某项缺陷或损坏使某项工程设备不能按原定目标使用而需要再次检查、检验和修复的，发包人有权要求承包人延长缺陷责任期壹年。</w:t>
      </w:r>
    </w:p>
    <w:p w14:paraId="43A401B8">
      <w:pPr>
        <w:autoSpaceDE w:val="0"/>
        <w:autoSpaceDN w:val="0"/>
        <w:adjustRightInd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19.7 保修责任</w:t>
      </w:r>
    </w:p>
    <w:p w14:paraId="0E855FE9">
      <w:pPr>
        <w:autoSpaceDE w:val="0"/>
        <w:autoSpaceDN w:val="0"/>
        <w:adjustRightInd w:val="0"/>
        <w:spacing w:line="360" w:lineRule="auto"/>
        <w:ind w:firstLine="420" w:firstLineChars="200"/>
        <w:outlineLvl w:val="2"/>
        <w:rPr>
          <w:rFonts w:hint="eastAsia" w:ascii="宋体" w:hAnsi="宋体" w:eastAsia="宋体" w:cs="宋体"/>
          <w:color w:val="auto"/>
          <w:szCs w:val="21"/>
          <w:highlight w:val="none"/>
        </w:rPr>
      </w:pPr>
      <w:bookmarkStart w:id="2129" w:name="_Toc19059"/>
      <w:r>
        <w:rPr>
          <w:rFonts w:hint="eastAsia" w:ascii="宋体" w:hAnsi="宋体" w:eastAsia="宋体" w:cs="宋体"/>
          <w:color w:val="auto"/>
          <w:szCs w:val="21"/>
          <w:highlight w:val="none"/>
        </w:rPr>
        <w:t>1、工程质量保修范围：保修范围为本合同所有工作内容。</w:t>
      </w:r>
      <w:bookmarkEnd w:id="2129"/>
    </w:p>
    <w:p w14:paraId="2CF4435F">
      <w:pPr>
        <w:autoSpaceDE w:val="0"/>
        <w:autoSpaceDN w:val="0"/>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保修责任：按照国家有关法律法规及省州有关规定执行，缺陷责任期内，由承包人原因造成的缺陷，承包人应负责维修，并承担鉴定及维修费用。如承包人不维修也不承担责任，发包人有权直接从质量保证金中扣除，费用超出保证金额的，发包人可按合同约定向承包人进行索赔。</w:t>
      </w:r>
    </w:p>
    <w:p w14:paraId="790305E9">
      <w:pPr>
        <w:autoSpaceDE w:val="0"/>
        <w:autoSpaceDN w:val="0"/>
        <w:adjustRightIn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承包人维修并承担相应费用后，不免除对工程的损失赔偿责任。</w:t>
      </w:r>
    </w:p>
    <w:p w14:paraId="4D2E9E52">
      <w:pPr>
        <w:autoSpaceDE w:val="0"/>
        <w:autoSpaceDN w:val="0"/>
        <w:adjustRightInd w:val="0"/>
        <w:spacing w:line="360" w:lineRule="auto"/>
        <w:jc w:val="left"/>
        <w:outlineLvl w:val="2"/>
        <w:rPr>
          <w:rFonts w:hint="eastAsia" w:ascii="宋体" w:hAnsi="宋体" w:eastAsia="宋体" w:cs="宋体"/>
          <w:b/>
          <w:bCs/>
          <w:color w:val="auto"/>
          <w:kern w:val="0"/>
          <w:sz w:val="28"/>
          <w:szCs w:val="28"/>
          <w:highlight w:val="none"/>
        </w:rPr>
      </w:pPr>
      <w:bookmarkStart w:id="2130" w:name="_Toc265654013"/>
      <w:bookmarkStart w:id="2131" w:name="_Toc265955068"/>
      <w:bookmarkStart w:id="2132" w:name="_Toc265954769"/>
      <w:bookmarkStart w:id="2133" w:name="_Toc5941"/>
      <w:r>
        <w:rPr>
          <w:rFonts w:hint="eastAsia" w:ascii="宋体" w:hAnsi="宋体" w:eastAsia="宋体" w:cs="宋体"/>
          <w:b/>
          <w:bCs/>
          <w:color w:val="auto"/>
          <w:kern w:val="0"/>
          <w:sz w:val="28"/>
          <w:szCs w:val="28"/>
          <w:highlight w:val="none"/>
        </w:rPr>
        <w:t>20 保险</w:t>
      </w:r>
      <w:bookmarkEnd w:id="2130"/>
      <w:bookmarkEnd w:id="2131"/>
      <w:bookmarkEnd w:id="2132"/>
      <w:bookmarkEnd w:id="2133"/>
    </w:p>
    <w:p w14:paraId="2B211A87">
      <w:pPr>
        <w:autoSpaceDE w:val="0"/>
        <w:autoSpaceDN w:val="0"/>
        <w:adjustRightInd w:val="0"/>
        <w:spacing w:line="360" w:lineRule="auto"/>
        <w:ind w:firstLine="420"/>
        <w:jc w:val="left"/>
        <w:rPr>
          <w:rFonts w:hint="eastAsia" w:ascii="宋体" w:hAnsi="宋体" w:eastAsia="宋体" w:cs="宋体"/>
          <w:color w:val="auto"/>
          <w:kern w:val="0"/>
          <w:highlight w:val="none"/>
        </w:rPr>
      </w:pPr>
      <w:r>
        <w:rPr>
          <w:rFonts w:hint="eastAsia" w:ascii="宋体" w:hAnsi="宋体" w:eastAsia="宋体" w:cs="宋体"/>
          <w:color w:val="auto"/>
          <w:kern w:val="0"/>
          <w:szCs w:val="21"/>
          <w:highlight w:val="none"/>
        </w:rPr>
        <w:t>各方按相关规定购买，费用自理，风险自担。</w:t>
      </w:r>
    </w:p>
    <w:p w14:paraId="6C88E4E8">
      <w:pPr>
        <w:autoSpaceDE w:val="0"/>
        <w:autoSpaceDN w:val="0"/>
        <w:adjustRightInd w:val="0"/>
        <w:spacing w:line="360" w:lineRule="auto"/>
        <w:ind w:firstLine="420"/>
        <w:jc w:val="left"/>
        <w:rPr>
          <w:rFonts w:hint="eastAsia" w:ascii="宋体" w:hAnsi="宋体" w:eastAsia="宋体" w:cs="宋体"/>
          <w:color w:val="auto"/>
          <w:kern w:val="0"/>
          <w:highlight w:val="none"/>
        </w:rPr>
      </w:pPr>
      <w:r>
        <w:rPr>
          <w:rFonts w:hint="eastAsia" w:ascii="宋体" w:hAnsi="宋体" w:eastAsia="宋体" w:cs="宋体"/>
          <w:color w:val="auto"/>
          <w:kern w:val="0"/>
          <w:szCs w:val="21"/>
          <w:highlight w:val="none"/>
        </w:rPr>
        <w:t>需要投保的其它内容：</w:t>
      </w:r>
      <w:r>
        <w:rPr>
          <w:rFonts w:hint="eastAsia" w:ascii="宋体" w:hAnsi="宋体" w:eastAsia="宋体" w:cs="宋体"/>
          <w:color w:val="auto"/>
          <w:kern w:val="0"/>
          <w:highlight w:val="none"/>
          <w:u w:val="single"/>
        </w:rPr>
        <w:t>无</w:t>
      </w:r>
      <w:r>
        <w:rPr>
          <w:rFonts w:hint="eastAsia" w:ascii="宋体" w:hAnsi="宋体" w:eastAsia="宋体" w:cs="宋体"/>
          <w:color w:val="auto"/>
          <w:kern w:val="0"/>
          <w:highlight w:val="none"/>
        </w:rPr>
        <w:t>；</w:t>
      </w:r>
    </w:p>
    <w:p w14:paraId="7C37117D">
      <w:pPr>
        <w:autoSpaceDE w:val="0"/>
        <w:autoSpaceDN w:val="0"/>
        <w:adjustRightInd w:val="0"/>
        <w:spacing w:line="360" w:lineRule="auto"/>
        <w:jc w:val="left"/>
        <w:outlineLvl w:val="2"/>
        <w:rPr>
          <w:rFonts w:hint="eastAsia" w:ascii="宋体" w:hAnsi="宋体" w:eastAsia="宋体" w:cs="宋体"/>
          <w:b/>
          <w:bCs/>
          <w:color w:val="auto"/>
          <w:kern w:val="0"/>
          <w:sz w:val="28"/>
          <w:szCs w:val="28"/>
          <w:highlight w:val="none"/>
        </w:rPr>
      </w:pPr>
      <w:bookmarkStart w:id="2134" w:name="_Toc223245882"/>
      <w:bookmarkStart w:id="2135" w:name="_Toc265954770"/>
      <w:bookmarkStart w:id="2136" w:name="_Toc265654014"/>
      <w:bookmarkStart w:id="2137" w:name="_Toc16958"/>
      <w:bookmarkStart w:id="2138" w:name="_Toc265955069"/>
      <w:bookmarkStart w:id="2139" w:name="_Toc229450944"/>
      <w:r>
        <w:rPr>
          <w:rFonts w:hint="eastAsia" w:ascii="宋体" w:hAnsi="宋体" w:eastAsia="宋体" w:cs="宋体"/>
          <w:b/>
          <w:bCs/>
          <w:color w:val="auto"/>
          <w:kern w:val="0"/>
          <w:sz w:val="28"/>
          <w:szCs w:val="28"/>
          <w:highlight w:val="none"/>
        </w:rPr>
        <w:t>22 违约</w:t>
      </w:r>
      <w:bookmarkEnd w:id="2134"/>
      <w:bookmarkEnd w:id="2135"/>
      <w:bookmarkEnd w:id="2136"/>
      <w:bookmarkEnd w:id="2137"/>
      <w:bookmarkEnd w:id="2138"/>
      <w:bookmarkEnd w:id="2139"/>
    </w:p>
    <w:p w14:paraId="6C53BA97">
      <w:pPr>
        <w:autoSpaceDE w:val="0"/>
        <w:autoSpaceDN w:val="0"/>
        <w:adjustRightInd w:val="0"/>
        <w:spacing w:line="360" w:lineRule="auto"/>
        <w:jc w:val="left"/>
        <w:rPr>
          <w:rFonts w:hint="eastAsia" w:ascii="宋体" w:hAnsi="宋体" w:eastAsia="宋体" w:cs="宋体"/>
          <w:color w:val="auto"/>
          <w:kern w:val="0"/>
          <w:sz w:val="24"/>
          <w:highlight w:val="none"/>
        </w:rPr>
      </w:pPr>
      <w:bookmarkStart w:id="2140" w:name="_Toc223245883"/>
      <w:bookmarkStart w:id="2141" w:name="_Toc229450945"/>
      <w:r>
        <w:rPr>
          <w:rFonts w:hint="eastAsia" w:ascii="宋体" w:hAnsi="宋体" w:eastAsia="宋体" w:cs="宋体"/>
          <w:b/>
          <w:bCs/>
          <w:color w:val="auto"/>
          <w:kern w:val="0"/>
          <w:sz w:val="24"/>
          <w:highlight w:val="none"/>
        </w:rPr>
        <w:t>22.1 承包人违约</w:t>
      </w:r>
      <w:bookmarkEnd w:id="2140"/>
      <w:bookmarkEnd w:id="2141"/>
    </w:p>
    <w:p w14:paraId="1F67E5F5">
      <w:pPr>
        <w:autoSpaceDE w:val="0"/>
        <w:autoSpaceDN w:val="0"/>
        <w:adjustRightInd w:val="0"/>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本款增加以下内容：</w:t>
      </w:r>
    </w:p>
    <w:p w14:paraId="34D99499">
      <w:pPr>
        <w:autoSpaceDE w:val="0"/>
        <w:autoSpaceDN w:val="0"/>
        <w:adjustRightInd w:val="0"/>
        <w:spacing w:line="360" w:lineRule="auto"/>
        <w:ind w:firstLine="420"/>
        <w:jc w:val="left"/>
        <w:rPr>
          <w:rFonts w:hint="eastAsia" w:ascii="宋体" w:hAnsi="宋体" w:eastAsia="宋体" w:cs="宋体"/>
          <w:color w:val="auto"/>
          <w:kern w:val="0"/>
          <w:highlight w:val="none"/>
        </w:rPr>
      </w:pPr>
      <w:r>
        <w:rPr>
          <w:rFonts w:hint="eastAsia" w:ascii="宋体" w:hAnsi="宋体" w:eastAsia="宋体" w:cs="宋体"/>
          <w:color w:val="auto"/>
          <w:kern w:val="0"/>
          <w:szCs w:val="21"/>
          <w:highlight w:val="none"/>
        </w:rPr>
        <w:t>（8）承包人在接到开工通知后14天内，如未能按投标文件及合同条款中承诺的人员、施工设备按时、如数进入工地，致使本标段工程的进度、质量造成严重影响。</w:t>
      </w:r>
    </w:p>
    <w:bookmarkEnd w:id="2127"/>
    <w:bookmarkEnd w:id="2128"/>
    <w:p w14:paraId="6FE82BEF">
      <w:pPr>
        <w:pStyle w:val="25"/>
        <w:spacing w:line="360" w:lineRule="auto"/>
        <w:outlineLvl w:val="2"/>
        <w:rPr>
          <w:rFonts w:hint="eastAsia" w:ascii="宋体" w:hAnsi="宋体" w:eastAsia="宋体" w:cs="宋体"/>
          <w:b/>
          <w:bCs/>
          <w:color w:val="auto"/>
          <w:kern w:val="0"/>
          <w:sz w:val="24"/>
          <w:highlight w:val="none"/>
        </w:rPr>
      </w:pPr>
      <w:bookmarkStart w:id="2142" w:name="_Toc209499061"/>
      <w:bookmarkStart w:id="2143" w:name="_Toc17764"/>
      <w:bookmarkStart w:id="2144" w:name="_Toc491246911"/>
      <w:bookmarkStart w:id="2145" w:name="_Toc265954771"/>
      <w:bookmarkStart w:id="2146" w:name="_Toc265955070"/>
      <w:bookmarkStart w:id="2147" w:name="_Toc265654015"/>
      <w:bookmarkStart w:id="2148" w:name="_Toc244121951"/>
      <w:r>
        <w:rPr>
          <w:rFonts w:hint="eastAsia" w:ascii="宋体" w:hAnsi="宋体" w:eastAsia="宋体" w:cs="宋体"/>
          <w:b/>
          <w:bCs/>
          <w:color w:val="auto"/>
          <w:kern w:val="0"/>
          <w:sz w:val="24"/>
          <w:highlight w:val="none"/>
        </w:rPr>
        <w:t>24 争议的解决</w:t>
      </w:r>
      <w:bookmarkEnd w:id="2142"/>
      <w:bookmarkEnd w:id="2143"/>
      <w:bookmarkEnd w:id="2144"/>
      <w:bookmarkEnd w:id="2145"/>
      <w:bookmarkEnd w:id="2146"/>
      <w:bookmarkEnd w:id="2147"/>
      <w:bookmarkEnd w:id="2148"/>
    </w:p>
    <w:p w14:paraId="1C225208">
      <w:pPr>
        <w:autoSpaceDE w:val="0"/>
        <w:autoSpaceDN w:val="0"/>
        <w:adjustRightInd w:val="0"/>
        <w:spacing w:line="360" w:lineRule="auto"/>
        <w:jc w:val="left"/>
        <w:rPr>
          <w:rFonts w:hint="eastAsia" w:ascii="宋体" w:hAnsi="宋体" w:eastAsia="宋体" w:cs="宋体"/>
          <w:b/>
          <w:bCs/>
          <w:color w:val="auto"/>
          <w:kern w:val="0"/>
          <w:sz w:val="24"/>
          <w:highlight w:val="none"/>
        </w:rPr>
      </w:pPr>
      <w:bookmarkStart w:id="2149" w:name="_Toc491246912"/>
      <w:bookmarkStart w:id="2150" w:name="_Toc209499062"/>
      <w:r>
        <w:rPr>
          <w:rFonts w:hint="eastAsia" w:ascii="宋体" w:hAnsi="宋体" w:eastAsia="宋体" w:cs="宋体"/>
          <w:b/>
          <w:bCs/>
          <w:color w:val="auto"/>
          <w:kern w:val="0"/>
          <w:sz w:val="24"/>
          <w:highlight w:val="none"/>
        </w:rPr>
        <w:t>24.1 争议的解决方式</w:t>
      </w:r>
    </w:p>
    <w:p w14:paraId="65CFB2D4">
      <w:pPr>
        <w:autoSpaceDE w:val="0"/>
        <w:autoSpaceDN w:val="0"/>
        <w:adjustRightInd w:val="0"/>
        <w:spacing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szCs w:val="21"/>
          <w:highlight w:val="none"/>
        </w:rPr>
        <w:t>合同当事人友好协商解决不成、不愿提请争议评审或不接受争议评审组意见的，约定的合同争议解决方式：</w:t>
      </w:r>
      <w:r>
        <w:rPr>
          <w:rFonts w:hint="eastAsia" w:ascii="宋体" w:hAnsi="宋体" w:eastAsia="宋体" w:cs="宋体"/>
          <w:color w:val="auto"/>
          <w:kern w:val="0"/>
          <w:highlight w:val="none"/>
          <w:u w:val="single"/>
        </w:rPr>
        <w:t xml:space="preserve"> 调解、仲裁或诉讼   </w:t>
      </w:r>
      <w:r>
        <w:rPr>
          <w:rFonts w:hint="eastAsia" w:ascii="宋体" w:hAnsi="宋体" w:eastAsia="宋体" w:cs="宋体"/>
          <w:color w:val="auto"/>
          <w:kern w:val="0"/>
          <w:highlight w:val="none"/>
        </w:rPr>
        <w:t>。</w:t>
      </w:r>
    </w:p>
    <w:p w14:paraId="60159B4A">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本合同双方约定的争议调解机构为：上级水行政主管部门，不再设置专门的争议调解机构。</w:t>
      </w:r>
    </w:p>
    <w:p w14:paraId="25D3B579">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仲裁或诉讼：</w:t>
      </w:r>
      <w:r>
        <w:rPr>
          <w:rFonts w:hint="eastAsia" w:ascii="宋体" w:hAnsi="宋体" w:eastAsia="宋体" w:cs="宋体"/>
          <w:color w:val="auto"/>
          <w:kern w:val="0"/>
          <w:szCs w:val="21"/>
          <w:highlight w:val="none"/>
          <w:lang w:val="en-US" w:eastAsia="zh-CN"/>
        </w:rPr>
        <w:t>盐津县</w:t>
      </w:r>
      <w:r>
        <w:rPr>
          <w:rFonts w:hint="eastAsia" w:ascii="宋体" w:hAnsi="宋体" w:eastAsia="宋体" w:cs="宋体"/>
          <w:color w:val="auto"/>
          <w:kern w:val="0"/>
          <w:szCs w:val="21"/>
          <w:highlight w:val="none"/>
        </w:rPr>
        <w:t>劳动争议仲裁委员会或</w:t>
      </w:r>
      <w:r>
        <w:rPr>
          <w:rFonts w:hint="eastAsia" w:ascii="宋体" w:hAnsi="宋体" w:eastAsia="宋体" w:cs="宋体"/>
          <w:color w:val="auto"/>
          <w:kern w:val="0"/>
          <w:szCs w:val="21"/>
          <w:highlight w:val="none"/>
          <w:lang w:val="en-US" w:eastAsia="zh-CN"/>
        </w:rPr>
        <w:t>盐津县</w:t>
      </w:r>
      <w:r>
        <w:rPr>
          <w:rFonts w:hint="eastAsia" w:ascii="宋体" w:hAnsi="宋体" w:eastAsia="宋体" w:cs="宋体"/>
          <w:color w:val="auto"/>
          <w:kern w:val="0"/>
          <w:szCs w:val="21"/>
          <w:highlight w:val="none"/>
        </w:rPr>
        <w:t>人民法院。</w:t>
      </w:r>
    </w:p>
    <w:p w14:paraId="28B2B998">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注：本合同文本只是示范文本，其中部分具体专用条款待双方签订合同时再具体细化协商确定。</w:t>
      </w:r>
    </w:p>
    <w:p w14:paraId="05220B8E">
      <w:pPr>
        <w:rPr>
          <w:rFonts w:hint="eastAsia" w:ascii="宋体" w:hAnsi="宋体" w:eastAsia="宋体" w:cs="宋体"/>
          <w:color w:val="auto"/>
          <w:highlight w:val="none"/>
        </w:rPr>
      </w:pPr>
      <w:bookmarkStart w:id="2151" w:name="_Toc265955072"/>
      <w:bookmarkStart w:id="2152" w:name="_Toc265654017"/>
      <w:bookmarkStart w:id="2153" w:name="_Toc244121952"/>
      <w:bookmarkStart w:id="2154" w:name="_Toc265954773"/>
      <w:r>
        <w:rPr>
          <w:rFonts w:hint="eastAsia" w:ascii="宋体" w:hAnsi="宋体" w:eastAsia="宋体" w:cs="宋体"/>
          <w:color w:val="auto"/>
          <w:highlight w:val="none"/>
        </w:rPr>
        <w:br w:type="page"/>
      </w:r>
    </w:p>
    <w:p w14:paraId="15245397">
      <w:pPr>
        <w:numPr>
          <w:ilvl w:val="0"/>
          <w:numId w:val="4"/>
        </w:numPr>
        <w:autoSpaceDE w:val="0"/>
        <w:autoSpaceDN w:val="0"/>
        <w:adjustRightInd w:val="0"/>
        <w:spacing w:line="360" w:lineRule="auto"/>
        <w:jc w:val="center"/>
        <w:outlineLvl w:val="1"/>
        <w:rPr>
          <w:rFonts w:hint="eastAsia" w:ascii="宋体" w:hAnsi="宋体" w:eastAsia="宋体" w:cs="宋体"/>
          <w:color w:val="auto"/>
          <w:kern w:val="0"/>
          <w:sz w:val="28"/>
          <w:szCs w:val="28"/>
          <w:highlight w:val="none"/>
        </w:rPr>
      </w:pPr>
      <w:bookmarkStart w:id="2155" w:name="_Toc23641"/>
      <w:bookmarkStart w:id="2156" w:name="_Toc13408"/>
      <w:bookmarkStart w:id="2157" w:name="_Toc447703612"/>
      <w:bookmarkStart w:id="2158" w:name="_Toc18099"/>
      <w:bookmarkStart w:id="2159" w:name="_Toc15900877"/>
      <w:bookmarkStart w:id="2160" w:name="_Toc18085"/>
      <w:r>
        <w:rPr>
          <w:rFonts w:hint="eastAsia" w:ascii="宋体" w:hAnsi="宋体" w:eastAsia="宋体" w:cs="宋体"/>
          <w:color w:val="auto"/>
          <w:kern w:val="0"/>
          <w:sz w:val="28"/>
          <w:szCs w:val="28"/>
          <w:highlight w:val="none"/>
        </w:rPr>
        <w:t>合同附件格式</w:t>
      </w:r>
      <w:bookmarkEnd w:id="2149"/>
      <w:bookmarkEnd w:id="2150"/>
      <w:bookmarkEnd w:id="2151"/>
      <w:bookmarkEnd w:id="2152"/>
      <w:bookmarkEnd w:id="2153"/>
      <w:bookmarkEnd w:id="2154"/>
      <w:bookmarkEnd w:id="2155"/>
      <w:bookmarkEnd w:id="2156"/>
      <w:bookmarkEnd w:id="2157"/>
      <w:bookmarkEnd w:id="2158"/>
      <w:bookmarkEnd w:id="2159"/>
      <w:bookmarkEnd w:id="2160"/>
    </w:p>
    <w:p w14:paraId="5F8FC63E">
      <w:pPr>
        <w:pStyle w:val="30"/>
        <w:rPr>
          <w:rFonts w:hint="eastAsia" w:ascii="宋体" w:hAnsi="宋体" w:eastAsia="宋体" w:cs="宋体"/>
          <w:color w:val="auto"/>
          <w:highlight w:val="none"/>
        </w:rPr>
      </w:pPr>
      <w:r>
        <w:rPr>
          <w:rFonts w:hint="eastAsia" w:ascii="宋体" w:hAnsi="宋体" w:eastAsia="宋体" w:cs="宋体"/>
          <w:color w:val="auto"/>
          <w:szCs w:val="28"/>
          <w:highlight w:val="none"/>
        </w:rPr>
        <w:t>附件一：</w:t>
      </w:r>
    </w:p>
    <w:p w14:paraId="464B7F06">
      <w:pPr>
        <w:pStyle w:val="30"/>
        <w:rPr>
          <w:rFonts w:hint="eastAsia" w:ascii="宋体" w:hAnsi="宋体" w:eastAsia="宋体" w:cs="宋体"/>
          <w:color w:val="auto"/>
          <w:highlight w:val="none"/>
        </w:rPr>
      </w:pPr>
    </w:p>
    <w:p w14:paraId="3AFCB444">
      <w:pPr>
        <w:autoSpaceDE w:val="0"/>
        <w:autoSpaceDN w:val="0"/>
        <w:adjustRightInd w:val="0"/>
        <w:spacing w:line="360" w:lineRule="auto"/>
        <w:jc w:val="center"/>
        <w:outlineLvl w:val="2"/>
        <w:rPr>
          <w:rFonts w:hint="eastAsia" w:ascii="宋体" w:hAnsi="宋体" w:eastAsia="宋体" w:cs="宋体"/>
          <w:color w:val="auto"/>
          <w:kern w:val="0"/>
          <w:sz w:val="28"/>
          <w:szCs w:val="28"/>
          <w:highlight w:val="none"/>
        </w:rPr>
      </w:pPr>
      <w:bookmarkStart w:id="2161" w:name="_Toc7289"/>
      <w:r>
        <w:rPr>
          <w:rFonts w:hint="eastAsia" w:ascii="宋体" w:hAnsi="宋体" w:eastAsia="宋体" w:cs="宋体"/>
          <w:color w:val="auto"/>
          <w:kern w:val="0"/>
          <w:sz w:val="28"/>
          <w:szCs w:val="28"/>
          <w:highlight w:val="none"/>
        </w:rPr>
        <w:t>合同协议书</w:t>
      </w:r>
      <w:bookmarkEnd w:id="2161"/>
    </w:p>
    <w:p w14:paraId="408E6B1F">
      <w:pPr>
        <w:autoSpaceDE w:val="0"/>
        <w:autoSpaceDN w:val="0"/>
        <w:adjustRightInd w:val="0"/>
        <w:spacing w:line="360" w:lineRule="auto"/>
        <w:ind w:firstLine="210" w:firstLineChars="1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lang w:eastAsia="zh-CN"/>
        </w:rPr>
        <w:t>盐津县江河治理工程管理局</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(发包人名称，以下简称”发包人”)为实施</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(项目名称)</w:t>
      </w:r>
      <w:r>
        <w:rPr>
          <w:rFonts w:hint="eastAsia" w:ascii="宋体" w:hAnsi="宋体" w:eastAsia="宋体" w:cs="宋体"/>
          <w:color w:val="auto"/>
          <w:kern w:val="0"/>
          <w:szCs w:val="21"/>
          <w:highlight w:val="none"/>
          <w:lang w:val="en-US" w:eastAsia="zh-CN"/>
        </w:rPr>
        <w:t xml:space="preserve">   </w:t>
      </w:r>
      <w:r>
        <w:rPr>
          <w:rFonts w:hint="eastAsia" w:ascii="宋体" w:hAnsi="宋体" w:eastAsia="宋体" w:cs="宋体"/>
          <w:color w:val="auto"/>
          <w:kern w:val="0"/>
          <w:szCs w:val="21"/>
          <w:highlight w:val="none"/>
          <w:u w:val="none"/>
          <w:lang w:val="en-US" w:eastAsia="zh-CN"/>
        </w:rPr>
        <w:t>（标段名称）</w:t>
      </w:r>
      <w:r>
        <w:rPr>
          <w:rFonts w:hint="eastAsia" w:ascii="宋体" w:hAnsi="宋体" w:eastAsia="宋体" w:cs="宋体"/>
          <w:color w:val="auto"/>
          <w:kern w:val="0"/>
          <w:szCs w:val="21"/>
          <w:highlight w:val="none"/>
        </w:rPr>
        <w:t>，已接受</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(承包人名称，以下简称”承包人”)对</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lang w:eastAsia="zh-CN"/>
        </w:rPr>
        <w:t>盐</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项目名称)</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Cs w:val="21"/>
          <w:highlight w:val="none"/>
          <w:u w:val="none"/>
          <w:lang w:val="en-US" w:eastAsia="zh-CN"/>
        </w:rPr>
        <w:t>（标段名称）</w:t>
      </w:r>
      <w:r>
        <w:rPr>
          <w:rFonts w:hint="eastAsia" w:ascii="宋体" w:hAnsi="宋体" w:eastAsia="宋体" w:cs="宋体"/>
          <w:color w:val="auto"/>
          <w:kern w:val="0"/>
          <w:szCs w:val="21"/>
          <w:highlight w:val="none"/>
        </w:rPr>
        <w:t>的投标，并确定其为中标人。发包人和承包人共同达成如下协议。</w:t>
      </w:r>
    </w:p>
    <w:p w14:paraId="0FEF082A">
      <w:pPr>
        <w:autoSpaceDE w:val="0"/>
        <w:autoSpaceDN w:val="0"/>
        <w:adjustRightInd w:val="0"/>
        <w:spacing w:line="360" w:lineRule="auto"/>
        <w:ind w:firstLine="315" w:firstLineChars="150"/>
        <w:jc w:val="left"/>
        <w:outlineLvl w:val="2"/>
        <w:rPr>
          <w:rFonts w:hint="eastAsia" w:ascii="宋体" w:hAnsi="宋体" w:eastAsia="宋体" w:cs="宋体"/>
          <w:color w:val="auto"/>
          <w:kern w:val="0"/>
          <w:szCs w:val="21"/>
          <w:highlight w:val="none"/>
        </w:rPr>
      </w:pPr>
      <w:bookmarkStart w:id="2162" w:name="_Toc24868"/>
      <w:r>
        <w:rPr>
          <w:rFonts w:hint="eastAsia" w:ascii="宋体" w:hAnsi="宋体" w:eastAsia="宋体" w:cs="宋体"/>
          <w:color w:val="auto"/>
          <w:kern w:val="0"/>
          <w:szCs w:val="21"/>
          <w:highlight w:val="none"/>
        </w:rPr>
        <w:t>1.本协议书与下列文件一起构成合同文件：</w:t>
      </w:r>
      <w:bookmarkEnd w:id="2162"/>
    </w:p>
    <w:p w14:paraId="4139C6C4">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 中标通知书；</w:t>
      </w:r>
    </w:p>
    <w:p w14:paraId="7A5775F7">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 投标函及投标函附录；</w:t>
      </w:r>
    </w:p>
    <w:p w14:paraId="3F0D8E8F">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 专用合同条款；</w:t>
      </w:r>
    </w:p>
    <w:p w14:paraId="2A2228F9">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 通用合同条款；</w:t>
      </w:r>
    </w:p>
    <w:p w14:paraId="0855DA70">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 技术标准和要求（合同技术条款）；</w:t>
      </w:r>
    </w:p>
    <w:p w14:paraId="7A0B4D5B">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 图纸；</w:t>
      </w:r>
    </w:p>
    <w:p w14:paraId="48E8B727">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 己标价工程量清单；</w:t>
      </w:r>
    </w:p>
    <w:p w14:paraId="5EED0AA5">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 其它合同文件。</w:t>
      </w:r>
    </w:p>
    <w:p w14:paraId="53157F8D">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bookmarkStart w:id="2163" w:name="_Toc491246914"/>
      <w:bookmarkStart w:id="2164" w:name="_Toc490385526"/>
      <w:bookmarkStart w:id="2165" w:name="_Toc199322143"/>
      <w:bookmarkStart w:id="2166" w:name="_Toc488678585"/>
      <w:r>
        <w:rPr>
          <w:rFonts w:hint="eastAsia" w:ascii="宋体" w:hAnsi="宋体" w:eastAsia="宋体" w:cs="宋体"/>
          <w:color w:val="auto"/>
          <w:kern w:val="0"/>
          <w:szCs w:val="21"/>
          <w:highlight w:val="none"/>
        </w:rPr>
        <w:t>2. 上述文件互相补充和解释，如有不明确或不一致之处，以合同约定次序在先者为准。</w:t>
      </w:r>
      <w:bookmarkEnd w:id="2163"/>
      <w:bookmarkEnd w:id="2164"/>
      <w:bookmarkEnd w:id="2165"/>
      <w:bookmarkEnd w:id="2166"/>
    </w:p>
    <w:p w14:paraId="74D8DA68">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 签约合同价：人民币(大写)</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元（￥</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532C8D33">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 承包人项目经理：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，技术负责人：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7B42C9E1">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 工程质量符合</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标准。</w:t>
      </w:r>
    </w:p>
    <w:p w14:paraId="41A7440D">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bookmarkStart w:id="2167" w:name="_Toc491246915"/>
      <w:bookmarkStart w:id="2168" w:name="_Toc488678586"/>
      <w:bookmarkStart w:id="2169" w:name="_Toc490385527"/>
      <w:r>
        <w:rPr>
          <w:rFonts w:hint="eastAsia" w:ascii="宋体" w:hAnsi="宋体" w:eastAsia="宋体" w:cs="宋体"/>
          <w:color w:val="auto"/>
          <w:kern w:val="0"/>
          <w:szCs w:val="21"/>
          <w:highlight w:val="none"/>
        </w:rPr>
        <w:t>6. 承包人承诺按合同约定承担工程的实施、完成及缺陷修复。</w:t>
      </w:r>
      <w:bookmarkEnd w:id="2167"/>
      <w:bookmarkEnd w:id="2168"/>
      <w:bookmarkEnd w:id="2169"/>
    </w:p>
    <w:p w14:paraId="65F1E561">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 发包人承诺按合同约定的条件、时间和方式向承包人支付合同价款。</w:t>
      </w:r>
    </w:p>
    <w:p w14:paraId="769CF4AC">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 承包人应按照监理人指示开工，工期为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日历天。</w:t>
      </w:r>
    </w:p>
    <w:p w14:paraId="57870433">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 本协议书一式</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份，合同双方各执</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份。</w:t>
      </w:r>
    </w:p>
    <w:p w14:paraId="2BA4D489">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 合同未尽事宜，双方另行签订补充协议。补充协议是合同的组成部分。</w:t>
      </w:r>
    </w:p>
    <w:p w14:paraId="36468622">
      <w:pPr>
        <w:autoSpaceDE w:val="0"/>
        <w:autoSpaceDN w:val="0"/>
        <w:adjustRightIn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br w:type="page"/>
      </w:r>
    </w:p>
    <w:p w14:paraId="447D9ED1">
      <w:pPr>
        <w:autoSpaceDE w:val="0"/>
        <w:autoSpaceDN w:val="0"/>
        <w:adjustRightIn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w:t>
      </w:r>
      <w:r>
        <w:rPr>
          <w:rFonts w:hint="eastAsia" w:ascii="宋体" w:hAnsi="宋体" w:eastAsia="宋体" w:cs="宋体"/>
          <w:color w:val="auto"/>
          <w:kern w:val="0"/>
          <w:szCs w:val="21"/>
          <w:highlight w:val="none"/>
          <w:u w:val="single"/>
          <w:lang w:eastAsia="zh-CN"/>
        </w:rPr>
        <w:t>盐津县江河治理工程管理局</w:t>
      </w:r>
      <w:r>
        <w:rPr>
          <w:rFonts w:hint="eastAsia" w:ascii="宋体" w:hAnsi="宋体" w:eastAsia="宋体" w:cs="宋体"/>
          <w:color w:val="auto"/>
          <w:kern w:val="0"/>
          <w:szCs w:val="21"/>
          <w:highlight w:val="none"/>
        </w:rPr>
        <w:t xml:space="preserve"> (盖单位章)               承包人：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(盖单位章)     </w:t>
      </w:r>
    </w:p>
    <w:p w14:paraId="5E5AAAFE">
      <w:pPr>
        <w:autoSpaceDE w:val="0"/>
        <w:autoSpaceDN w:val="0"/>
        <w:adjustRightIn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                                    法定代表人</w:t>
      </w:r>
    </w:p>
    <w:p w14:paraId="4598B2AD">
      <w:pPr>
        <w:autoSpaceDE w:val="0"/>
        <w:autoSpaceDN w:val="0"/>
        <w:adjustRightIn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或其委托代理人：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(签字)                或其委托代理人：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(签字)</w:t>
      </w:r>
    </w:p>
    <w:p w14:paraId="5AAF87F4">
      <w:pPr>
        <w:pStyle w:val="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                                    单位地址：</w:t>
      </w:r>
    </w:p>
    <w:p w14:paraId="0F496CC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                                        电话：</w:t>
      </w:r>
    </w:p>
    <w:p w14:paraId="6F16466B">
      <w:pPr>
        <w:pStyle w:val="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                                        传真：</w:t>
      </w:r>
    </w:p>
    <w:p w14:paraId="4094FAE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                                    邮政编码：</w:t>
      </w:r>
    </w:p>
    <w:p w14:paraId="71FC642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                                    开户银行：</w:t>
      </w:r>
    </w:p>
    <w:p w14:paraId="03C40A51">
      <w:pPr>
        <w:pStyle w:val="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                                        账号：</w:t>
      </w:r>
    </w:p>
    <w:p w14:paraId="1EA65438">
      <w:pPr>
        <w:autoSpaceDE w:val="0"/>
        <w:autoSpaceDN w:val="0"/>
        <w:adjustRightIn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日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w:t>
      </w:r>
    </w:p>
    <w:p w14:paraId="779419F4">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p>
    <w:p w14:paraId="5BE77092">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p>
    <w:p w14:paraId="3FECAAC2">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p>
    <w:p w14:paraId="66A2F676">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p>
    <w:p w14:paraId="633B0E54">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p>
    <w:p w14:paraId="1E935AF4">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p>
    <w:p w14:paraId="394F78FF">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p>
    <w:p w14:paraId="53BD4885">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p>
    <w:p w14:paraId="21AE669E">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p>
    <w:p w14:paraId="0709A647">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p>
    <w:p w14:paraId="02784679">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p>
    <w:p w14:paraId="0E37173B">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p>
    <w:p w14:paraId="37867E47">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p>
    <w:p w14:paraId="310B2675">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p>
    <w:p w14:paraId="1BD6CAE6">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p>
    <w:p w14:paraId="5AF2AAB1">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p>
    <w:p w14:paraId="2A3683D1">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p>
    <w:p w14:paraId="4EEFD11B">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p>
    <w:p w14:paraId="54DA97C9">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p>
    <w:p w14:paraId="1B04F6A8">
      <w:pPr>
        <w:rPr>
          <w:rFonts w:hint="eastAsia" w:ascii="宋体" w:hAnsi="宋体" w:eastAsia="宋体" w:cs="宋体"/>
          <w:color w:val="auto"/>
          <w:kern w:val="0"/>
          <w:sz w:val="24"/>
          <w:highlight w:val="none"/>
        </w:rPr>
      </w:pPr>
      <w:bookmarkStart w:id="2170" w:name="_Toc491246916"/>
      <w:bookmarkStart w:id="2171" w:name="_Toc209499064"/>
      <w:bookmarkStart w:id="2172" w:name="_Toc244121954"/>
      <w:r>
        <w:rPr>
          <w:rFonts w:hint="eastAsia" w:ascii="宋体" w:hAnsi="宋体" w:eastAsia="宋体" w:cs="宋体"/>
          <w:color w:val="auto"/>
          <w:kern w:val="0"/>
          <w:sz w:val="24"/>
          <w:highlight w:val="none"/>
        </w:rPr>
        <w:br w:type="page"/>
      </w:r>
    </w:p>
    <w:p w14:paraId="1D5A74BE">
      <w:pPr>
        <w:autoSpaceDE w:val="0"/>
        <w:autoSpaceDN w:val="0"/>
        <w:adjustRightInd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附件二:</w:t>
      </w:r>
    </w:p>
    <w:p w14:paraId="6939B5F3">
      <w:pPr>
        <w:autoSpaceDE w:val="0"/>
        <w:autoSpaceDN w:val="0"/>
        <w:adjustRightInd w:val="0"/>
        <w:spacing w:line="360" w:lineRule="auto"/>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履约</w:t>
      </w:r>
      <w:bookmarkEnd w:id="2170"/>
      <w:bookmarkEnd w:id="2171"/>
      <w:r>
        <w:rPr>
          <w:rFonts w:hint="eastAsia" w:ascii="宋体" w:hAnsi="宋体" w:eastAsia="宋体" w:cs="宋体"/>
          <w:color w:val="auto"/>
          <w:kern w:val="0"/>
          <w:sz w:val="28"/>
          <w:szCs w:val="28"/>
          <w:highlight w:val="none"/>
        </w:rPr>
        <w:t>保函</w:t>
      </w:r>
      <w:bookmarkEnd w:id="2172"/>
    </w:p>
    <w:p w14:paraId="0D4272D2">
      <w:pPr>
        <w:spacing w:line="400" w:lineRule="atLeast"/>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(发包人全称)   :</w:t>
      </w:r>
    </w:p>
    <w:p w14:paraId="79AD4916">
      <w:pPr>
        <w:tabs>
          <w:tab w:val="left" w:pos="4605"/>
        </w:tabs>
        <w:spacing w:line="400" w:lineRule="atLeas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鉴于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（发包人名称，以下简称“发包人”）已接受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承包人名称,以下简称“承包人”）于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日递交的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标段名称）的投标文件。我方愿意无条件地、不可撤销地就承包人履行与你方订立的合同，向你方提供担保。</w:t>
      </w:r>
    </w:p>
    <w:p w14:paraId="68BDDFD2">
      <w:pPr>
        <w:tabs>
          <w:tab w:val="left" w:pos="4605"/>
        </w:tabs>
        <w:spacing w:line="400" w:lineRule="atLeas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投保金额人民币（大写）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元（￥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元）。</w:t>
      </w:r>
    </w:p>
    <w:p w14:paraId="13B6CD35">
      <w:pPr>
        <w:tabs>
          <w:tab w:val="left" w:pos="4605"/>
        </w:tabs>
        <w:spacing w:line="400" w:lineRule="atLeas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2.担保有效期自发包人与承包人签订的合同生效之日起至发包人签发合同工程完工证书之日止。</w:t>
      </w:r>
    </w:p>
    <w:p w14:paraId="0172A026">
      <w:pPr>
        <w:tabs>
          <w:tab w:val="left" w:pos="4605"/>
        </w:tabs>
        <w:spacing w:line="400" w:lineRule="atLeas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 在本保函有效期内，因承包人违反合同约定的义务给你方造成经济损失时，我方在收到你方以书面形式提出的再担保金额内的赔偿要求后，无条件地在7天内予以支付。</w:t>
      </w:r>
    </w:p>
    <w:p w14:paraId="58D0F4C3">
      <w:pPr>
        <w:tabs>
          <w:tab w:val="left" w:pos="4605"/>
        </w:tabs>
        <w:spacing w:line="400" w:lineRule="atLeas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 发包人和承包人按《通用合同条款》第15条变更合同时，我方承担本担保规定的义务不变。</w:t>
      </w:r>
    </w:p>
    <w:p w14:paraId="740E03CC">
      <w:pPr>
        <w:tabs>
          <w:tab w:val="left" w:pos="4605"/>
        </w:tabs>
        <w:spacing w:before="600" w:line="360" w:lineRule="auto"/>
        <w:ind w:firstLine="615"/>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担保人：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（盖单位章） </w:t>
      </w:r>
    </w:p>
    <w:p w14:paraId="49407F31">
      <w:pPr>
        <w:tabs>
          <w:tab w:val="left" w:pos="4605"/>
        </w:tabs>
        <w:spacing w:before="240" w:line="360" w:lineRule="auto"/>
        <w:ind w:firstLine="612"/>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4FD2D5CA">
      <w:pPr>
        <w:tabs>
          <w:tab w:val="left" w:pos="4605"/>
        </w:tabs>
        <w:spacing w:line="360" w:lineRule="auto"/>
        <w:ind w:firstLine="612"/>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xml:space="preserve">                              </w:t>
      </w:r>
    </w:p>
    <w:p w14:paraId="5CF08CAC">
      <w:pPr>
        <w:tabs>
          <w:tab w:val="left" w:pos="4605"/>
        </w:tabs>
        <w:spacing w:line="360" w:lineRule="auto"/>
        <w:ind w:firstLine="4095" w:firstLineChars="195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w:t>
      </w:r>
    </w:p>
    <w:p w14:paraId="20D1F020">
      <w:pPr>
        <w:tabs>
          <w:tab w:val="left" w:pos="4605"/>
        </w:tabs>
        <w:spacing w:line="360" w:lineRule="auto"/>
        <w:ind w:firstLine="4095" w:firstLineChars="19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56C0C959">
      <w:pPr>
        <w:tabs>
          <w:tab w:val="left" w:pos="4605"/>
        </w:tabs>
        <w:spacing w:line="360" w:lineRule="auto"/>
        <w:ind w:firstLine="4095" w:firstLineChars="19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5A03661A">
      <w:pPr>
        <w:tabs>
          <w:tab w:val="left" w:pos="4605"/>
        </w:tabs>
        <w:spacing w:line="360" w:lineRule="auto"/>
        <w:ind w:firstLine="5145" w:firstLineChars="24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3906D000">
      <w:pPr>
        <w:autoSpaceDE w:val="0"/>
        <w:autoSpaceDN w:val="0"/>
        <w:adjustRightInd w:val="0"/>
        <w:spacing w:line="360" w:lineRule="auto"/>
        <w:jc w:val="left"/>
        <w:rPr>
          <w:rFonts w:hint="eastAsia" w:ascii="宋体" w:hAnsi="宋体" w:eastAsia="宋体" w:cs="宋体"/>
          <w:color w:val="auto"/>
          <w:kern w:val="0"/>
          <w:szCs w:val="21"/>
          <w:highlight w:val="none"/>
        </w:rPr>
      </w:pPr>
    </w:p>
    <w:p w14:paraId="3BA5D917">
      <w:pPr>
        <w:autoSpaceDE w:val="0"/>
        <w:autoSpaceDN w:val="0"/>
        <w:adjustRightInd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br w:type="page"/>
      </w:r>
      <w:bookmarkStart w:id="2173" w:name="_Toc491246920"/>
      <w:bookmarkStart w:id="2174" w:name="_Toc209499065"/>
      <w:bookmarkStart w:id="2175" w:name="_Toc244121955"/>
      <w:r>
        <w:rPr>
          <w:rFonts w:hint="eastAsia" w:ascii="宋体" w:hAnsi="宋体" w:eastAsia="宋体" w:cs="宋体"/>
          <w:color w:val="auto"/>
          <w:kern w:val="0"/>
          <w:sz w:val="24"/>
          <w:highlight w:val="none"/>
        </w:rPr>
        <w:t>附件三：</w:t>
      </w:r>
      <w:bookmarkEnd w:id="2173"/>
      <w:bookmarkEnd w:id="2174"/>
      <w:bookmarkEnd w:id="2175"/>
      <w:r>
        <w:rPr>
          <w:rFonts w:hint="eastAsia" w:ascii="宋体" w:hAnsi="宋体" w:eastAsia="宋体" w:cs="宋体"/>
          <w:color w:val="auto"/>
          <w:kern w:val="0"/>
          <w:sz w:val="24"/>
          <w:highlight w:val="none"/>
        </w:rPr>
        <w:t xml:space="preserve"> </w:t>
      </w:r>
    </w:p>
    <w:p w14:paraId="7D99BA86">
      <w:pPr>
        <w:autoSpaceDE w:val="0"/>
        <w:autoSpaceDN w:val="0"/>
        <w:adjustRightInd w:val="0"/>
        <w:spacing w:line="360" w:lineRule="auto"/>
        <w:jc w:val="left"/>
        <w:rPr>
          <w:rFonts w:hint="eastAsia" w:ascii="宋体" w:hAnsi="宋体" w:eastAsia="宋体" w:cs="宋体"/>
          <w:color w:val="auto"/>
          <w:kern w:val="0"/>
          <w:sz w:val="24"/>
          <w:highlight w:val="none"/>
        </w:rPr>
      </w:pPr>
    </w:p>
    <w:p w14:paraId="5173AD81">
      <w:pPr>
        <w:autoSpaceDE w:val="0"/>
        <w:autoSpaceDN w:val="0"/>
        <w:adjustRightInd w:val="0"/>
        <w:spacing w:line="360" w:lineRule="auto"/>
        <w:jc w:val="center"/>
        <w:outlineLvl w:val="0"/>
        <w:rPr>
          <w:rFonts w:hint="eastAsia" w:ascii="宋体" w:hAnsi="宋体" w:eastAsia="宋体" w:cs="宋体"/>
          <w:color w:val="auto"/>
          <w:kern w:val="0"/>
          <w:sz w:val="28"/>
          <w:szCs w:val="28"/>
          <w:highlight w:val="none"/>
        </w:rPr>
      </w:pPr>
      <w:bookmarkStart w:id="2176" w:name="_Toc2012"/>
      <w:r>
        <w:rPr>
          <w:rFonts w:hint="eastAsia" w:ascii="宋体" w:hAnsi="宋体" w:eastAsia="宋体" w:cs="宋体"/>
          <w:color w:val="auto"/>
          <w:kern w:val="0"/>
          <w:sz w:val="28"/>
          <w:szCs w:val="28"/>
          <w:highlight w:val="none"/>
        </w:rPr>
        <w:t>预付款担保</w:t>
      </w:r>
      <w:bookmarkEnd w:id="2176"/>
    </w:p>
    <w:p w14:paraId="31A5A47C">
      <w:pPr>
        <w:autoSpaceDE w:val="0"/>
        <w:autoSpaceDN w:val="0"/>
        <w:adjustRightInd w:val="0"/>
        <w:spacing w:line="360" w:lineRule="auto"/>
        <w:jc w:val="left"/>
        <w:rPr>
          <w:rFonts w:hint="eastAsia" w:ascii="宋体" w:hAnsi="宋体" w:eastAsia="宋体" w:cs="宋体"/>
          <w:color w:val="auto"/>
          <w:kern w:val="0"/>
          <w:sz w:val="24"/>
          <w:highlight w:val="none"/>
        </w:rPr>
      </w:pPr>
    </w:p>
    <w:p w14:paraId="1F5C5EC0">
      <w:pPr>
        <w:autoSpaceDE w:val="0"/>
        <w:autoSpaceDN w:val="0"/>
        <w:adjustRightInd w:val="0"/>
        <w:spacing w:line="360" w:lineRule="auto"/>
        <w:ind w:firstLine="105" w:firstLineChars="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(发包人名称):</w:t>
      </w:r>
    </w:p>
    <w:p w14:paraId="7F2C4C90">
      <w:pPr>
        <w:autoSpaceDE w:val="0"/>
        <w:autoSpaceDN w:val="0"/>
        <w:adjustRightInd w:val="0"/>
        <w:spacing w:line="360" w:lineRule="auto"/>
        <w:ind w:firstLine="105" w:firstLineChars="50"/>
        <w:jc w:val="left"/>
        <w:rPr>
          <w:rFonts w:hint="eastAsia" w:ascii="宋体" w:hAnsi="宋体" w:eastAsia="宋体" w:cs="宋体"/>
          <w:color w:val="auto"/>
          <w:kern w:val="0"/>
          <w:szCs w:val="21"/>
          <w:highlight w:val="none"/>
        </w:rPr>
      </w:pPr>
    </w:p>
    <w:p w14:paraId="29D5E9B4">
      <w:pPr>
        <w:autoSpaceDE w:val="0"/>
        <w:autoSpaceDN w:val="0"/>
        <w:adjustRightInd w:val="0"/>
        <w:spacing w:line="360" w:lineRule="auto"/>
        <w:ind w:firstLine="315" w:firstLineChars="1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根据</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(承包人名称) (以下称”承包人”)与</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(发包人名称)(以下简称”发包人”)于</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日签订的(项目名称)施工承包合同，承包人按约定的金额向发包人提交一份预付款担保，即有权得到发包人支付相等金额的预付款。我方愿意就你方提供给承包人的预付款提供担保。</w:t>
      </w:r>
    </w:p>
    <w:p w14:paraId="108F1296">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 担保金额人民币(大写)________元（￥___________)。</w:t>
      </w:r>
    </w:p>
    <w:p w14:paraId="34F745E2">
      <w:pPr>
        <w:autoSpaceDE w:val="0"/>
        <w:autoSpaceDN w:val="0"/>
        <w:adjustRightInd w:val="0"/>
        <w:spacing w:line="360" w:lineRule="auto"/>
        <w:ind w:firstLine="428" w:firstLineChars="200"/>
        <w:jc w:val="left"/>
        <w:rPr>
          <w:rFonts w:hint="eastAsia" w:ascii="宋体" w:hAnsi="宋体" w:eastAsia="宋体" w:cs="宋体"/>
          <w:color w:val="auto"/>
          <w:spacing w:val="2"/>
          <w:kern w:val="0"/>
          <w:szCs w:val="21"/>
          <w:highlight w:val="none"/>
        </w:rPr>
      </w:pPr>
      <w:r>
        <w:rPr>
          <w:rFonts w:hint="eastAsia" w:ascii="宋体" w:hAnsi="宋体" w:eastAsia="宋体" w:cs="宋体"/>
          <w:color w:val="auto"/>
          <w:spacing w:val="2"/>
          <w:kern w:val="0"/>
          <w:szCs w:val="21"/>
          <w:highlight w:val="none"/>
        </w:rPr>
        <w:t>2. 担保有效期自预付款支付给承包人起生效，至发包人签发的进度付款证书说明已完全扣清止</w:t>
      </w:r>
      <w:r>
        <w:rPr>
          <w:rFonts w:hint="eastAsia" w:ascii="宋体" w:hAnsi="宋体" w:eastAsia="宋体" w:cs="宋体"/>
          <w:color w:val="auto"/>
          <w:kern w:val="0"/>
          <w:szCs w:val="21"/>
          <w:highlight w:val="none"/>
        </w:rPr>
        <w:t>。</w:t>
      </w:r>
    </w:p>
    <w:p w14:paraId="2CF03CF1">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 在本保函有效期内，因承包人违反合同约定的义务而要求收回预付款时，我方在收到你方的书面通知后，在7天内无条件支付。但本保函的担保金额，在任何时候不应超过预付款金额减去发包人按合用约定在向承包人签发的进度付款证书中扣除的金额。</w:t>
      </w:r>
    </w:p>
    <w:p w14:paraId="03476EA5">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 发包人和承包人按《通用合同条款》第15条变更合同时，我方承担本保函规定的义务不变。</w:t>
      </w:r>
    </w:p>
    <w:p w14:paraId="1EE2980D">
      <w:pPr>
        <w:autoSpaceDE w:val="0"/>
        <w:autoSpaceDN w:val="0"/>
        <w:adjustRightInd w:val="0"/>
        <w:spacing w:line="360" w:lineRule="auto"/>
        <w:jc w:val="left"/>
        <w:rPr>
          <w:rFonts w:hint="eastAsia" w:ascii="宋体" w:hAnsi="宋体" w:eastAsia="宋体" w:cs="宋体"/>
          <w:color w:val="auto"/>
          <w:kern w:val="0"/>
          <w:szCs w:val="21"/>
          <w:highlight w:val="none"/>
        </w:rPr>
      </w:pPr>
    </w:p>
    <w:p w14:paraId="0C4B625E">
      <w:pPr>
        <w:autoSpaceDE w:val="0"/>
        <w:autoSpaceDN w:val="0"/>
        <w:adjustRightInd w:val="0"/>
        <w:spacing w:line="360" w:lineRule="auto"/>
        <w:jc w:val="left"/>
        <w:rPr>
          <w:rFonts w:hint="eastAsia" w:ascii="宋体" w:hAnsi="宋体" w:eastAsia="宋体" w:cs="宋体"/>
          <w:color w:val="auto"/>
          <w:kern w:val="0"/>
          <w:szCs w:val="21"/>
          <w:highlight w:val="none"/>
        </w:rPr>
      </w:pPr>
    </w:p>
    <w:p w14:paraId="5DDE57A9">
      <w:pPr>
        <w:autoSpaceDE w:val="0"/>
        <w:autoSpaceDN w:val="0"/>
        <w:adjustRightInd w:val="0"/>
        <w:spacing w:line="360" w:lineRule="auto"/>
        <w:ind w:firstLine="3360" w:firstLineChars="16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担保人：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(盖单位章)</w:t>
      </w:r>
    </w:p>
    <w:p w14:paraId="2356879D">
      <w:pPr>
        <w:autoSpaceDE w:val="0"/>
        <w:autoSpaceDN w:val="0"/>
        <w:adjustRightInd w:val="0"/>
        <w:spacing w:line="360" w:lineRule="auto"/>
        <w:ind w:firstLine="3360" w:firstLineChars="16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法定代表人或其委托代理人：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(签字)</w:t>
      </w:r>
    </w:p>
    <w:p w14:paraId="218E1383">
      <w:pPr>
        <w:autoSpaceDE w:val="0"/>
        <w:autoSpaceDN w:val="0"/>
        <w:adjustRightInd w:val="0"/>
        <w:spacing w:line="360" w:lineRule="auto"/>
        <w:ind w:firstLine="3360" w:firstLineChars="16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地址：</w:t>
      </w:r>
      <w:r>
        <w:rPr>
          <w:rFonts w:hint="eastAsia" w:ascii="宋体" w:hAnsi="宋体" w:eastAsia="宋体" w:cs="宋体"/>
          <w:color w:val="auto"/>
          <w:kern w:val="0"/>
          <w:szCs w:val="21"/>
          <w:highlight w:val="none"/>
          <w:u w:val="single"/>
        </w:rPr>
        <w:t xml:space="preserve">                                       </w:t>
      </w:r>
    </w:p>
    <w:p w14:paraId="6B6B9453">
      <w:pPr>
        <w:autoSpaceDE w:val="0"/>
        <w:autoSpaceDN w:val="0"/>
        <w:adjustRightInd w:val="0"/>
        <w:spacing w:line="360" w:lineRule="auto"/>
        <w:ind w:firstLine="3360" w:firstLineChars="16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邮政编码：</w:t>
      </w:r>
      <w:r>
        <w:rPr>
          <w:rFonts w:hint="eastAsia" w:ascii="宋体" w:hAnsi="宋体" w:eastAsia="宋体" w:cs="宋体"/>
          <w:color w:val="auto"/>
          <w:kern w:val="0"/>
          <w:szCs w:val="21"/>
          <w:highlight w:val="none"/>
          <w:u w:val="single"/>
        </w:rPr>
        <w:t xml:space="preserve">                                   </w:t>
      </w:r>
    </w:p>
    <w:p w14:paraId="3D2B6007">
      <w:pPr>
        <w:autoSpaceDE w:val="0"/>
        <w:autoSpaceDN w:val="0"/>
        <w:adjustRightInd w:val="0"/>
        <w:spacing w:line="360" w:lineRule="auto"/>
        <w:ind w:firstLine="3360" w:firstLineChars="16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电话:</w:t>
      </w:r>
      <w:r>
        <w:rPr>
          <w:rFonts w:hint="eastAsia" w:ascii="宋体" w:hAnsi="宋体" w:eastAsia="宋体" w:cs="宋体"/>
          <w:color w:val="auto"/>
          <w:kern w:val="0"/>
          <w:szCs w:val="21"/>
          <w:highlight w:val="none"/>
          <w:u w:val="single"/>
        </w:rPr>
        <w:t xml:space="preserve">                                        </w:t>
      </w:r>
    </w:p>
    <w:p w14:paraId="010886D1">
      <w:pPr>
        <w:autoSpaceDE w:val="0"/>
        <w:autoSpaceDN w:val="0"/>
        <w:adjustRightInd w:val="0"/>
        <w:spacing w:line="360" w:lineRule="auto"/>
        <w:ind w:firstLine="3360" w:firstLineChars="16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传真：</w:t>
      </w:r>
      <w:r>
        <w:rPr>
          <w:rFonts w:hint="eastAsia" w:ascii="宋体" w:hAnsi="宋体" w:eastAsia="宋体" w:cs="宋体"/>
          <w:color w:val="auto"/>
          <w:kern w:val="0"/>
          <w:szCs w:val="21"/>
          <w:highlight w:val="none"/>
          <w:u w:val="single"/>
        </w:rPr>
        <w:t xml:space="preserve">                                       </w:t>
      </w:r>
    </w:p>
    <w:p w14:paraId="3ED0BC21">
      <w:pPr>
        <w:autoSpaceDE w:val="0"/>
        <w:autoSpaceDN w:val="0"/>
        <w:adjustRightInd w:val="0"/>
        <w:spacing w:line="360" w:lineRule="auto"/>
        <w:ind w:firstLine="5250" w:firstLineChars="25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w:t>
      </w:r>
    </w:p>
    <w:p w14:paraId="27C29658">
      <w:r>
        <w:rPr>
          <w:rFonts w:hAnsi="宋体"/>
          <w:sz w:val="48"/>
        </w:rPr>
        <w:br w:type="page"/>
      </w:r>
    </w:p>
    <w:p w14:paraId="090EFF6C">
      <w:pPr>
        <w:pStyle w:val="4"/>
        <w:spacing w:beforeLines="0" w:afterLines="0"/>
        <w:rPr>
          <w:rFonts w:hint="eastAsia" w:hAnsi="宋体"/>
          <w:bCs w:val="0"/>
          <w:sz w:val="48"/>
        </w:rPr>
      </w:pPr>
    </w:p>
    <w:p w14:paraId="5AAF0F9A">
      <w:pPr>
        <w:pStyle w:val="4"/>
        <w:spacing w:beforeLines="0" w:afterLines="0"/>
        <w:rPr>
          <w:rFonts w:hAnsi="宋体"/>
          <w:bCs w:val="0"/>
          <w:sz w:val="48"/>
        </w:rPr>
      </w:pPr>
      <w:r>
        <w:rPr>
          <w:rFonts w:hint="eastAsia" w:hAnsi="宋体"/>
          <w:bCs w:val="0"/>
          <w:sz w:val="48"/>
        </w:rPr>
        <w:t>第五章 投标文件</w:t>
      </w:r>
      <w:r>
        <w:rPr>
          <w:rFonts w:hAnsi="宋体"/>
          <w:bCs w:val="0"/>
          <w:sz w:val="48"/>
        </w:rPr>
        <w:t>格式</w:t>
      </w:r>
      <w:bookmarkEnd w:id="176"/>
    </w:p>
    <w:p w14:paraId="52037BFE">
      <w:pPr>
        <w:jc w:val="center"/>
        <w:rPr>
          <w:rFonts w:ascii="宋体" w:hAnsi="宋体"/>
          <w:sz w:val="28"/>
          <w:szCs w:val="28"/>
        </w:rPr>
      </w:pPr>
    </w:p>
    <w:p w14:paraId="358970F3">
      <w:pPr>
        <w:jc w:val="center"/>
        <w:rPr>
          <w:rFonts w:ascii="宋体" w:hAnsi="宋体"/>
          <w:b w:val="0"/>
          <w:bCs w:val="0"/>
          <w:sz w:val="36"/>
          <w:szCs w:val="36"/>
        </w:rPr>
      </w:pPr>
      <w:r>
        <w:rPr>
          <w:rFonts w:hint="eastAsia" w:ascii="宋体" w:hAnsi="宋体"/>
          <w:b w:val="0"/>
          <w:bCs w:val="0"/>
          <w:sz w:val="36"/>
          <w:szCs w:val="36"/>
          <w:u w:val="single"/>
        </w:rPr>
        <w:t xml:space="preserve">                 </w:t>
      </w:r>
      <w:r>
        <w:rPr>
          <w:rFonts w:ascii="宋体" w:hAnsi="宋体"/>
          <w:b w:val="0"/>
          <w:bCs w:val="0"/>
          <w:sz w:val="36"/>
          <w:szCs w:val="36"/>
        </w:rPr>
        <w:t>（项目名称）</w:t>
      </w:r>
    </w:p>
    <w:p w14:paraId="557E6C6C">
      <w:pPr>
        <w:rPr>
          <w:rFonts w:ascii="宋体" w:hAnsi="宋体"/>
          <w:sz w:val="20"/>
        </w:rPr>
      </w:pPr>
    </w:p>
    <w:p w14:paraId="492C3B4D">
      <w:pPr>
        <w:rPr>
          <w:rFonts w:ascii="宋体" w:hAnsi="宋体"/>
          <w:sz w:val="20"/>
        </w:rPr>
      </w:pPr>
    </w:p>
    <w:p w14:paraId="491C6B70">
      <w:pPr>
        <w:rPr>
          <w:rFonts w:ascii="宋体" w:hAnsi="宋体"/>
          <w:sz w:val="20"/>
        </w:rPr>
      </w:pPr>
    </w:p>
    <w:p w14:paraId="0FA3A9F8">
      <w:pPr>
        <w:jc w:val="center"/>
        <w:rPr>
          <w:rFonts w:ascii="宋体" w:hAnsi="宋体"/>
          <w:sz w:val="44"/>
          <w:szCs w:val="44"/>
        </w:rPr>
      </w:pPr>
      <w:r>
        <w:rPr>
          <w:rFonts w:ascii="宋体" w:hAnsi="宋体"/>
          <w:sz w:val="44"/>
          <w:szCs w:val="44"/>
        </w:rPr>
        <w:t>投  标  文  件</w:t>
      </w:r>
    </w:p>
    <w:p w14:paraId="47B6A106">
      <w:pPr>
        <w:rPr>
          <w:rFonts w:ascii="宋体" w:hAnsi="宋体"/>
          <w:sz w:val="28"/>
          <w:szCs w:val="28"/>
        </w:rPr>
      </w:pPr>
    </w:p>
    <w:p w14:paraId="769BBE5F">
      <w:pPr>
        <w:rPr>
          <w:rFonts w:ascii="宋体" w:hAnsi="宋体"/>
          <w:sz w:val="28"/>
          <w:szCs w:val="28"/>
        </w:rPr>
      </w:pPr>
    </w:p>
    <w:p w14:paraId="693B74D6">
      <w:pPr>
        <w:rPr>
          <w:rFonts w:ascii="宋体" w:hAnsi="宋体"/>
          <w:sz w:val="28"/>
          <w:szCs w:val="28"/>
        </w:rPr>
      </w:pPr>
    </w:p>
    <w:p w14:paraId="73A08770">
      <w:pPr>
        <w:rPr>
          <w:rFonts w:ascii="宋体" w:hAnsi="宋体"/>
          <w:sz w:val="28"/>
          <w:szCs w:val="28"/>
        </w:rPr>
      </w:pPr>
    </w:p>
    <w:p w14:paraId="56A13D83">
      <w:pPr>
        <w:rPr>
          <w:rFonts w:ascii="宋体" w:hAnsi="宋体"/>
          <w:sz w:val="28"/>
          <w:szCs w:val="28"/>
        </w:rPr>
      </w:pPr>
    </w:p>
    <w:p w14:paraId="0E7869EB">
      <w:pPr>
        <w:rPr>
          <w:rFonts w:ascii="宋体" w:hAnsi="宋体"/>
          <w:sz w:val="28"/>
          <w:szCs w:val="28"/>
        </w:rPr>
      </w:pPr>
    </w:p>
    <w:p w14:paraId="004A1AA4">
      <w:pPr>
        <w:rPr>
          <w:rFonts w:ascii="宋体" w:hAnsi="宋体"/>
          <w:sz w:val="28"/>
          <w:szCs w:val="28"/>
        </w:rPr>
      </w:pPr>
    </w:p>
    <w:p w14:paraId="137995D3">
      <w:pPr>
        <w:rPr>
          <w:rFonts w:ascii="宋体" w:hAnsi="宋体"/>
          <w:sz w:val="28"/>
          <w:szCs w:val="28"/>
        </w:rPr>
      </w:pPr>
    </w:p>
    <w:p w14:paraId="548284A2">
      <w:pPr>
        <w:rPr>
          <w:rFonts w:ascii="宋体" w:hAnsi="宋体"/>
          <w:sz w:val="28"/>
          <w:szCs w:val="28"/>
        </w:rPr>
      </w:pPr>
    </w:p>
    <w:p w14:paraId="5EC8BB18">
      <w:pPr>
        <w:jc w:val="center"/>
        <w:rPr>
          <w:rFonts w:ascii="宋体" w:hAnsi="宋体"/>
          <w:sz w:val="28"/>
          <w:szCs w:val="28"/>
          <w:u w:val="single"/>
        </w:rPr>
      </w:pPr>
      <w:r>
        <w:rPr>
          <w:rFonts w:ascii="宋体" w:hAnsi="宋体"/>
          <w:sz w:val="28"/>
          <w:szCs w:val="28"/>
        </w:rPr>
        <w:t>投标人：</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ascii="宋体" w:hAnsi="宋体"/>
          <w:sz w:val="28"/>
          <w:szCs w:val="28"/>
        </w:rPr>
        <w:t>（</w:t>
      </w:r>
      <w:r>
        <w:rPr>
          <w:rFonts w:hint="eastAsia" w:ascii="宋体" w:hAnsi="宋体"/>
          <w:sz w:val="28"/>
          <w:szCs w:val="28"/>
          <w:lang w:val="en-US" w:eastAsia="zh-CN"/>
        </w:rPr>
        <w:t>盖</w:t>
      </w:r>
      <w:r>
        <w:rPr>
          <w:rFonts w:hint="eastAsia" w:ascii="宋体" w:hAnsi="宋体"/>
          <w:sz w:val="28"/>
          <w:szCs w:val="28"/>
        </w:rPr>
        <w:t>章</w:t>
      </w:r>
      <w:r>
        <w:rPr>
          <w:rFonts w:ascii="宋体" w:hAnsi="宋体"/>
          <w:sz w:val="28"/>
          <w:szCs w:val="28"/>
        </w:rPr>
        <w:t>）</w:t>
      </w:r>
    </w:p>
    <w:p w14:paraId="4E1633D3">
      <w:pPr>
        <w:jc w:val="center"/>
        <w:rPr>
          <w:rFonts w:ascii="宋体" w:hAnsi="宋体"/>
          <w:sz w:val="28"/>
          <w:szCs w:val="28"/>
        </w:rPr>
      </w:pPr>
      <w:r>
        <w:rPr>
          <w:rFonts w:ascii="宋体" w:hAnsi="宋体"/>
          <w:sz w:val="28"/>
          <w:szCs w:val="28"/>
        </w:rPr>
        <w:t>法定代表人或其委托代理人：</w:t>
      </w:r>
      <w:r>
        <w:rPr>
          <w:rFonts w:ascii="宋体" w:hAnsi="宋体"/>
          <w:sz w:val="28"/>
          <w:szCs w:val="28"/>
          <w:u w:val="single"/>
        </w:rPr>
        <w:t xml:space="preserve">                </w:t>
      </w:r>
      <w:r>
        <w:rPr>
          <w:rFonts w:ascii="宋体" w:hAnsi="宋体"/>
          <w:sz w:val="28"/>
          <w:szCs w:val="28"/>
        </w:rPr>
        <w:t>（</w:t>
      </w:r>
      <w:r>
        <w:rPr>
          <w:rFonts w:hint="eastAsia" w:ascii="宋体" w:hAnsi="宋体"/>
          <w:sz w:val="28"/>
          <w:szCs w:val="28"/>
        </w:rPr>
        <w:t>签</w:t>
      </w:r>
      <w:r>
        <w:rPr>
          <w:rFonts w:hint="eastAsia" w:ascii="宋体" w:hAnsi="宋体"/>
          <w:sz w:val="28"/>
          <w:szCs w:val="28"/>
          <w:lang w:val="en-US" w:eastAsia="zh-CN"/>
        </w:rPr>
        <w:t>字</w:t>
      </w:r>
      <w:r>
        <w:rPr>
          <w:rFonts w:ascii="宋体" w:hAnsi="宋体"/>
          <w:sz w:val="28"/>
          <w:szCs w:val="28"/>
        </w:rPr>
        <w:t>）</w:t>
      </w:r>
    </w:p>
    <w:p w14:paraId="089A3082">
      <w:pPr>
        <w:jc w:val="center"/>
        <w:rPr>
          <w:rFonts w:ascii="宋体" w:hAnsi="宋体"/>
          <w:sz w:val="28"/>
          <w:szCs w:val="28"/>
        </w:rPr>
      </w:pPr>
      <w:r>
        <w:rPr>
          <w:rFonts w:ascii="宋体" w:hAnsi="宋体"/>
          <w:sz w:val="28"/>
          <w:szCs w:val="28"/>
          <w:u w:val="single"/>
        </w:rPr>
        <w:t xml:space="preserve">        </w:t>
      </w:r>
      <w:r>
        <w:rPr>
          <w:rFonts w:ascii="宋体" w:hAnsi="宋体"/>
          <w:sz w:val="28"/>
          <w:szCs w:val="28"/>
        </w:rPr>
        <w:t>年</w:t>
      </w:r>
      <w:r>
        <w:rPr>
          <w:rFonts w:ascii="宋体" w:hAnsi="宋体"/>
          <w:sz w:val="28"/>
          <w:szCs w:val="28"/>
          <w:u w:val="single"/>
        </w:rPr>
        <w:t xml:space="preserve">        </w:t>
      </w:r>
      <w:r>
        <w:rPr>
          <w:rFonts w:ascii="宋体" w:hAnsi="宋体"/>
          <w:sz w:val="28"/>
          <w:szCs w:val="28"/>
        </w:rPr>
        <w:t>月</w:t>
      </w:r>
      <w:r>
        <w:rPr>
          <w:rFonts w:ascii="宋体" w:hAnsi="宋体"/>
          <w:sz w:val="28"/>
          <w:szCs w:val="28"/>
          <w:u w:val="single"/>
        </w:rPr>
        <w:t xml:space="preserve">         </w:t>
      </w:r>
      <w:r>
        <w:rPr>
          <w:rFonts w:ascii="宋体" w:hAnsi="宋体"/>
          <w:sz w:val="28"/>
          <w:szCs w:val="28"/>
        </w:rPr>
        <w:t>日</w:t>
      </w:r>
    </w:p>
    <w:p w14:paraId="67A3D4F3">
      <w:pPr>
        <w:spacing w:line="440" w:lineRule="exact"/>
        <w:rPr>
          <w:rFonts w:ascii="宋体" w:hAnsi="宋体"/>
          <w:sz w:val="20"/>
        </w:rPr>
      </w:pPr>
    </w:p>
    <w:p w14:paraId="0BE235C3">
      <w:pPr>
        <w:jc w:val="center"/>
        <w:rPr>
          <w:rFonts w:hint="eastAsia"/>
          <w:b/>
          <w:bCs/>
          <w:sz w:val="32"/>
          <w:szCs w:val="40"/>
        </w:rPr>
      </w:pPr>
      <w:bookmarkStart w:id="2177" w:name="_Toc247527827"/>
      <w:bookmarkStart w:id="2178" w:name="_Toc85443498"/>
      <w:bookmarkStart w:id="2179" w:name="_Toc300835209"/>
      <w:bookmarkStart w:id="2180" w:name="_Toc474178986"/>
      <w:bookmarkStart w:id="2181" w:name="_Toc474179222"/>
      <w:bookmarkStart w:id="2182" w:name="_Toc144974856"/>
      <w:bookmarkStart w:id="2183" w:name="_Toc97752034"/>
      <w:bookmarkStart w:id="2184" w:name="_Toc152042576"/>
      <w:bookmarkStart w:id="2185" w:name="_Toc247514246"/>
      <w:bookmarkStart w:id="2186" w:name="_Toc85368307"/>
      <w:bookmarkStart w:id="2187" w:name="_Toc152045787"/>
      <w:bookmarkStart w:id="2188" w:name="_Toc30884"/>
      <w:bookmarkStart w:id="2189" w:name="_Toc480918948"/>
      <w:bookmarkStart w:id="2190" w:name="_Toc451244234"/>
    </w:p>
    <w:p w14:paraId="10997C5F">
      <w:pPr>
        <w:jc w:val="center"/>
        <w:rPr>
          <w:rFonts w:hint="eastAsia"/>
          <w:b/>
          <w:bCs/>
          <w:sz w:val="32"/>
          <w:szCs w:val="40"/>
        </w:rPr>
      </w:pPr>
    </w:p>
    <w:p w14:paraId="5B4FC1F9">
      <w:pPr>
        <w:jc w:val="center"/>
        <w:rPr>
          <w:rFonts w:hint="eastAsia"/>
          <w:b/>
          <w:bCs/>
          <w:sz w:val="32"/>
          <w:szCs w:val="40"/>
        </w:rPr>
      </w:pPr>
    </w:p>
    <w:p w14:paraId="0116D23B">
      <w:pPr>
        <w:jc w:val="center"/>
        <w:rPr>
          <w:b/>
          <w:bCs/>
          <w:sz w:val="32"/>
          <w:szCs w:val="40"/>
        </w:rPr>
      </w:pPr>
      <w:r>
        <w:rPr>
          <w:rFonts w:hint="eastAsia"/>
          <w:b/>
          <w:bCs/>
          <w:sz w:val="32"/>
          <w:szCs w:val="40"/>
        </w:rPr>
        <w:t>目    录</w:t>
      </w:r>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p>
    <w:p w14:paraId="3D8D71B6">
      <w:pPr>
        <w:spacing w:line="360" w:lineRule="auto"/>
        <w:ind w:firstLine="420" w:firstLineChars="200"/>
        <w:rPr>
          <w:rFonts w:ascii="宋体" w:hAnsi="宋体"/>
          <w:szCs w:val="21"/>
          <w:highlight w:val="none"/>
        </w:rPr>
      </w:pPr>
      <w:r>
        <w:rPr>
          <w:rFonts w:hint="eastAsia" w:ascii="宋体" w:hAnsi="宋体"/>
          <w:szCs w:val="21"/>
          <w:highlight w:val="none"/>
        </w:rPr>
        <w:t>一、投标函及投标函附录</w:t>
      </w:r>
    </w:p>
    <w:p w14:paraId="72565F8D">
      <w:pPr>
        <w:spacing w:line="360" w:lineRule="auto"/>
        <w:ind w:firstLine="420" w:firstLineChars="200"/>
        <w:rPr>
          <w:rFonts w:ascii="宋体" w:hAnsi="宋体"/>
          <w:szCs w:val="21"/>
          <w:highlight w:val="none"/>
        </w:rPr>
      </w:pPr>
      <w:r>
        <w:rPr>
          <w:rFonts w:hint="eastAsia" w:ascii="宋体" w:hAnsi="宋体"/>
          <w:szCs w:val="21"/>
          <w:highlight w:val="none"/>
        </w:rPr>
        <w:t>二、法定代表人身份证明</w:t>
      </w:r>
    </w:p>
    <w:p w14:paraId="6B7B0801">
      <w:pPr>
        <w:spacing w:line="360" w:lineRule="auto"/>
        <w:ind w:firstLine="420" w:firstLineChars="200"/>
        <w:rPr>
          <w:rFonts w:ascii="宋体" w:hAnsi="宋体"/>
          <w:szCs w:val="21"/>
          <w:highlight w:val="none"/>
        </w:rPr>
      </w:pPr>
      <w:r>
        <w:rPr>
          <w:rFonts w:hint="eastAsia" w:ascii="宋体" w:hAnsi="宋体"/>
          <w:szCs w:val="21"/>
          <w:highlight w:val="none"/>
        </w:rPr>
        <w:t>三、法定代表人授权委托书</w:t>
      </w:r>
    </w:p>
    <w:p w14:paraId="4B614A7E">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四</w:t>
      </w:r>
      <w:r>
        <w:rPr>
          <w:rFonts w:hint="eastAsia" w:ascii="宋体" w:hAnsi="宋体"/>
          <w:szCs w:val="21"/>
          <w:highlight w:val="none"/>
        </w:rPr>
        <w:t>、投标单位资质证书</w:t>
      </w:r>
    </w:p>
    <w:p w14:paraId="6305A9CD">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五</w:t>
      </w:r>
      <w:r>
        <w:rPr>
          <w:rFonts w:hint="eastAsia" w:ascii="宋体" w:hAnsi="宋体"/>
          <w:szCs w:val="21"/>
          <w:highlight w:val="none"/>
        </w:rPr>
        <w:t>、施工组织设计</w:t>
      </w:r>
    </w:p>
    <w:p w14:paraId="4757A90A">
      <w:pPr>
        <w:spacing w:line="360" w:lineRule="auto"/>
        <w:ind w:firstLine="420" w:firstLineChars="200"/>
        <w:rPr>
          <w:rFonts w:ascii="宋体" w:hAnsi="宋体"/>
          <w:szCs w:val="21"/>
          <w:highlight w:val="none"/>
        </w:rPr>
      </w:pPr>
      <w:r>
        <w:rPr>
          <w:rFonts w:hint="eastAsia" w:ascii="宋体" w:hAnsi="宋体"/>
          <w:szCs w:val="21"/>
          <w:highlight w:val="none"/>
          <w:lang w:val="en-US" w:eastAsia="zh-CN"/>
        </w:rPr>
        <w:t>六</w:t>
      </w:r>
      <w:r>
        <w:rPr>
          <w:rFonts w:hint="eastAsia" w:ascii="宋体" w:hAnsi="宋体"/>
          <w:szCs w:val="21"/>
          <w:highlight w:val="none"/>
        </w:rPr>
        <w:t>、项目管理机构</w:t>
      </w:r>
    </w:p>
    <w:p w14:paraId="78187021">
      <w:pPr>
        <w:spacing w:line="360" w:lineRule="auto"/>
        <w:ind w:firstLine="420" w:firstLineChars="200"/>
        <w:rPr>
          <w:rFonts w:hint="default" w:ascii="宋体" w:hAnsi="宋体" w:eastAsia="宋体"/>
          <w:szCs w:val="21"/>
          <w:highlight w:val="none"/>
          <w:lang w:val="en-US" w:eastAsia="zh-CN"/>
        </w:rPr>
      </w:pPr>
      <w:r>
        <w:rPr>
          <w:rFonts w:hint="eastAsia" w:ascii="宋体" w:hAnsi="宋体"/>
          <w:szCs w:val="21"/>
          <w:highlight w:val="none"/>
          <w:lang w:val="en-US" w:eastAsia="zh-CN"/>
        </w:rPr>
        <w:t>七</w:t>
      </w:r>
      <w:r>
        <w:rPr>
          <w:rFonts w:hint="eastAsia" w:ascii="宋体" w:hAnsi="宋体"/>
          <w:szCs w:val="21"/>
          <w:highlight w:val="none"/>
        </w:rPr>
        <w:t>、其他</w:t>
      </w:r>
      <w:r>
        <w:rPr>
          <w:rFonts w:hint="eastAsia" w:ascii="宋体" w:hAnsi="宋体"/>
          <w:szCs w:val="21"/>
          <w:highlight w:val="none"/>
          <w:lang w:val="en-US" w:eastAsia="zh-CN"/>
        </w:rPr>
        <w:t>评审因素</w:t>
      </w:r>
    </w:p>
    <w:p w14:paraId="45F1D626">
      <w:pPr>
        <w:pStyle w:val="72"/>
        <w:ind w:left="0" w:leftChars="0" w:firstLine="420" w:firstLineChars="200"/>
        <w:rPr>
          <w:rFonts w:hint="eastAsia" w:ascii="宋体" w:hAnsi="宋体"/>
          <w:szCs w:val="21"/>
          <w:highlight w:val="none"/>
          <w:lang w:val="en-US" w:eastAsia="zh-CN"/>
        </w:rPr>
      </w:pPr>
      <w:r>
        <w:rPr>
          <w:rFonts w:hint="eastAsia" w:ascii="宋体" w:hAnsi="宋体"/>
          <w:szCs w:val="21"/>
          <w:highlight w:val="none"/>
          <w:lang w:val="en-US" w:eastAsia="zh-CN"/>
        </w:rPr>
        <w:t>八、已标价的工程量清单</w:t>
      </w:r>
    </w:p>
    <w:p w14:paraId="77DE7BC7">
      <w:pPr>
        <w:ind w:firstLine="420" w:firstLineChars="200"/>
        <w:jc w:val="left"/>
        <w:rPr>
          <w:rFonts w:hint="default"/>
          <w:lang w:val="en-US" w:eastAsia="zh-CN"/>
        </w:rPr>
      </w:pPr>
      <w:r>
        <w:rPr>
          <w:rFonts w:hint="eastAsia" w:ascii="宋体" w:hAnsi="宋体"/>
          <w:szCs w:val="21"/>
          <w:highlight w:val="none"/>
          <w:lang w:val="en-US" w:eastAsia="zh-CN"/>
        </w:rPr>
        <w:t>九、资格审查资料</w:t>
      </w:r>
    </w:p>
    <w:p w14:paraId="087A048A">
      <w:pPr>
        <w:pStyle w:val="4"/>
        <w:tabs>
          <w:tab w:val="left" w:pos="420"/>
        </w:tabs>
        <w:spacing w:before="314" w:after="314"/>
        <w:rPr>
          <w:rFonts w:hAnsi="宋体"/>
          <w:bCs w:val="0"/>
          <w:sz w:val="44"/>
        </w:rPr>
      </w:pPr>
      <w:r>
        <w:rPr>
          <w:rFonts w:hAnsi="宋体"/>
        </w:rPr>
        <w:br w:type="page"/>
      </w:r>
      <w:bookmarkStart w:id="2191" w:name="_Toc476051554"/>
      <w:bookmarkStart w:id="2192" w:name="_Toc97752035"/>
      <w:bookmarkStart w:id="2193" w:name="_Toc436734886"/>
      <w:bookmarkStart w:id="2194" w:name="_Toc467761402"/>
      <w:bookmarkStart w:id="2195" w:name="_Toc318387187"/>
      <w:bookmarkStart w:id="2196" w:name="_Toc14796"/>
      <w:bookmarkStart w:id="2197" w:name="_Toc85443499"/>
      <w:bookmarkStart w:id="2198" w:name="_Toc480918949"/>
      <w:r>
        <w:rPr>
          <w:rFonts w:hAnsi="宋体"/>
          <w:sz w:val="44"/>
        </w:rPr>
        <w:t>投标（唱标）一览表</w:t>
      </w:r>
      <w:bookmarkEnd w:id="2191"/>
      <w:bookmarkEnd w:id="2192"/>
      <w:bookmarkEnd w:id="2193"/>
      <w:bookmarkEnd w:id="2194"/>
      <w:bookmarkEnd w:id="2195"/>
      <w:bookmarkEnd w:id="2196"/>
      <w:bookmarkEnd w:id="2197"/>
      <w:bookmarkEnd w:id="2198"/>
    </w:p>
    <w:p w14:paraId="39E4D3E0">
      <w:pPr>
        <w:rPr>
          <w:rFonts w:ascii="宋体" w:hAnsi="宋体"/>
        </w:rPr>
      </w:pPr>
    </w:p>
    <w:p w14:paraId="23D87280">
      <w:pPr>
        <w:spacing w:line="360" w:lineRule="auto"/>
        <w:rPr>
          <w:rFonts w:ascii="宋体" w:hAnsi="宋体"/>
          <w:bCs/>
          <w:sz w:val="24"/>
        </w:rPr>
      </w:pPr>
      <w:r>
        <w:rPr>
          <w:rFonts w:hint="eastAsia" w:ascii="宋体" w:hAnsi="宋体"/>
          <w:bCs/>
          <w:sz w:val="24"/>
        </w:rPr>
        <w:t>项目</w:t>
      </w:r>
      <w:r>
        <w:rPr>
          <w:rFonts w:ascii="宋体" w:hAnsi="宋体"/>
          <w:bCs/>
          <w:sz w:val="24"/>
        </w:rPr>
        <w:t xml:space="preserve">名称： </w:t>
      </w:r>
    </w:p>
    <w:p w14:paraId="476A2BB7">
      <w:pPr>
        <w:spacing w:after="78" w:afterLines="25" w:line="360" w:lineRule="auto"/>
        <w:rPr>
          <w:rFonts w:ascii="宋体" w:hAnsi="宋体"/>
          <w:bCs/>
          <w:sz w:val="24"/>
        </w:rPr>
      </w:pPr>
      <w:r>
        <w:rPr>
          <w:rFonts w:ascii="宋体" w:hAnsi="宋体"/>
          <w:bCs/>
          <w:sz w:val="24"/>
        </w:rPr>
        <w:t>招标编号：</w:t>
      </w:r>
    </w:p>
    <w:p w14:paraId="051F3F85">
      <w:pPr>
        <w:spacing w:after="78" w:afterLines="25" w:line="360" w:lineRule="auto"/>
        <w:rPr>
          <w:rFonts w:ascii="宋体" w:hAnsi="宋体"/>
          <w:bCs/>
          <w:sz w:val="24"/>
        </w:rPr>
      </w:pPr>
      <w:r>
        <w:rPr>
          <w:rFonts w:hint="eastAsia" w:ascii="宋体" w:hAnsi="宋体"/>
          <w:bCs/>
          <w:sz w:val="24"/>
        </w:rPr>
        <w:t>投标人名称：</w:t>
      </w:r>
    </w:p>
    <w:tbl>
      <w:tblPr>
        <w:tblStyle w:val="73"/>
        <w:tblW w:w="931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04"/>
        <w:gridCol w:w="3195"/>
        <w:gridCol w:w="1373"/>
        <w:gridCol w:w="1097"/>
        <w:gridCol w:w="1237"/>
        <w:gridCol w:w="1112"/>
      </w:tblGrid>
      <w:tr w14:paraId="0F621E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9" w:hRule="atLeast"/>
          <w:jc w:val="center"/>
        </w:trPr>
        <w:tc>
          <w:tcPr>
            <w:tcW w:w="1304" w:type="dxa"/>
            <w:vMerge w:val="restart"/>
            <w:vAlign w:val="center"/>
          </w:tcPr>
          <w:p w14:paraId="44F382E2">
            <w:pPr>
              <w:autoSpaceDE w:val="0"/>
              <w:autoSpaceDN w:val="0"/>
              <w:adjustRightInd w:val="0"/>
              <w:spacing w:line="360" w:lineRule="auto"/>
              <w:ind w:right="178" w:rightChars="85"/>
              <w:jc w:val="center"/>
              <w:rPr>
                <w:rFonts w:ascii="宋体" w:hAnsi="宋体" w:cs="TimesNewRomanPSMT"/>
                <w:b/>
                <w:bCs/>
                <w:kern w:val="0"/>
                <w:sz w:val="24"/>
              </w:rPr>
            </w:pPr>
            <w:r>
              <w:rPr>
                <w:rFonts w:hint="eastAsia" w:ascii="宋体" w:hAnsi="宋体" w:cs="TimesNewRomanPSMT"/>
                <w:b/>
                <w:bCs/>
                <w:kern w:val="0"/>
                <w:sz w:val="24"/>
              </w:rPr>
              <w:t>投标单位名称</w:t>
            </w:r>
          </w:p>
        </w:tc>
        <w:tc>
          <w:tcPr>
            <w:tcW w:w="3195" w:type="dxa"/>
            <w:vMerge w:val="restart"/>
            <w:vAlign w:val="center"/>
          </w:tcPr>
          <w:p w14:paraId="45455A5A">
            <w:pPr>
              <w:autoSpaceDE w:val="0"/>
              <w:autoSpaceDN w:val="0"/>
              <w:adjustRightInd w:val="0"/>
              <w:spacing w:line="360" w:lineRule="auto"/>
              <w:ind w:right="178" w:rightChars="85"/>
              <w:jc w:val="center"/>
              <w:rPr>
                <w:rFonts w:ascii="宋体" w:hAnsi="宋体" w:cs="TimesNewRomanPSMT"/>
                <w:b/>
                <w:bCs/>
                <w:kern w:val="0"/>
                <w:sz w:val="24"/>
              </w:rPr>
            </w:pPr>
            <w:r>
              <w:rPr>
                <w:rFonts w:hint="eastAsia" w:ascii="宋体" w:hAnsi="宋体" w:cs="TimesNewRomanPSMT"/>
                <w:b/>
                <w:bCs/>
                <w:kern w:val="0"/>
                <w:sz w:val="24"/>
              </w:rPr>
              <w:t>投标报价</w:t>
            </w:r>
          </w:p>
        </w:tc>
        <w:tc>
          <w:tcPr>
            <w:tcW w:w="1373" w:type="dxa"/>
            <w:vMerge w:val="restart"/>
            <w:vAlign w:val="center"/>
          </w:tcPr>
          <w:p w14:paraId="0CAEEEE5">
            <w:pPr>
              <w:autoSpaceDE w:val="0"/>
              <w:autoSpaceDN w:val="0"/>
              <w:adjustRightInd w:val="0"/>
              <w:spacing w:line="360" w:lineRule="auto"/>
              <w:ind w:right="178" w:rightChars="85"/>
              <w:jc w:val="center"/>
              <w:rPr>
                <w:rFonts w:ascii="宋体" w:hAnsi="宋体" w:cs="TimesNewRomanPSMT"/>
                <w:b/>
                <w:bCs/>
                <w:kern w:val="0"/>
                <w:sz w:val="24"/>
              </w:rPr>
            </w:pPr>
            <w:r>
              <w:rPr>
                <w:rFonts w:hint="eastAsia" w:ascii="宋体" w:hAnsi="宋体" w:cs="TimesNewRomanPSMT"/>
                <w:b/>
                <w:bCs/>
                <w:kern w:val="0"/>
                <w:sz w:val="24"/>
              </w:rPr>
              <w:t>质量</w:t>
            </w:r>
          </w:p>
          <w:p w14:paraId="00EC3B31">
            <w:pPr>
              <w:autoSpaceDE w:val="0"/>
              <w:autoSpaceDN w:val="0"/>
              <w:adjustRightInd w:val="0"/>
              <w:spacing w:line="360" w:lineRule="auto"/>
              <w:ind w:right="178" w:rightChars="85"/>
              <w:jc w:val="center"/>
              <w:rPr>
                <w:rFonts w:ascii="宋体" w:hAnsi="宋体" w:cs="TimesNewRomanPSMT"/>
                <w:b/>
                <w:bCs/>
                <w:kern w:val="0"/>
                <w:sz w:val="24"/>
              </w:rPr>
            </w:pPr>
            <w:r>
              <w:rPr>
                <w:rFonts w:hint="eastAsia" w:ascii="宋体" w:hAnsi="宋体" w:cs="TimesNewRomanPSMT"/>
                <w:b/>
                <w:bCs/>
                <w:kern w:val="0"/>
                <w:sz w:val="24"/>
              </w:rPr>
              <w:t>承诺</w:t>
            </w:r>
          </w:p>
        </w:tc>
        <w:tc>
          <w:tcPr>
            <w:tcW w:w="1097" w:type="dxa"/>
            <w:vMerge w:val="restart"/>
            <w:vAlign w:val="center"/>
          </w:tcPr>
          <w:p w14:paraId="11C4FC1F">
            <w:pPr>
              <w:autoSpaceDE w:val="0"/>
              <w:autoSpaceDN w:val="0"/>
              <w:adjustRightInd w:val="0"/>
              <w:spacing w:line="360" w:lineRule="auto"/>
              <w:ind w:right="178" w:rightChars="85"/>
              <w:jc w:val="center"/>
              <w:rPr>
                <w:rFonts w:ascii="宋体" w:hAnsi="宋体" w:cs="TimesNewRomanPSMT"/>
                <w:b/>
                <w:bCs/>
                <w:kern w:val="0"/>
                <w:sz w:val="24"/>
              </w:rPr>
            </w:pPr>
            <w:r>
              <w:rPr>
                <w:rFonts w:hint="eastAsia" w:ascii="宋体" w:hAnsi="宋体" w:cs="TimesNewRomanPSMT"/>
                <w:b/>
                <w:bCs/>
                <w:kern w:val="0"/>
                <w:sz w:val="24"/>
              </w:rPr>
              <w:t>工期</w:t>
            </w:r>
          </w:p>
          <w:p w14:paraId="15284F2B">
            <w:pPr>
              <w:autoSpaceDE w:val="0"/>
              <w:autoSpaceDN w:val="0"/>
              <w:adjustRightInd w:val="0"/>
              <w:spacing w:line="360" w:lineRule="auto"/>
              <w:ind w:right="178" w:rightChars="85"/>
              <w:jc w:val="center"/>
              <w:rPr>
                <w:rFonts w:ascii="宋体" w:hAnsi="宋体" w:cs="TimesNewRomanPSMT"/>
                <w:b/>
                <w:bCs/>
                <w:kern w:val="0"/>
                <w:sz w:val="24"/>
              </w:rPr>
            </w:pPr>
          </w:p>
        </w:tc>
        <w:tc>
          <w:tcPr>
            <w:tcW w:w="1237" w:type="dxa"/>
            <w:vMerge w:val="restart"/>
            <w:vAlign w:val="center"/>
          </w:tcPr>
          <w:p w14:paraId="3CCDC59D">
            <w:pPr>
              <w:autoSpaceDE w:val="0"/>
              <w:autoSpaceDN w:val="0"/>
              <w:adjustRightInd w:val="0"/>
              <w:spacing w:line="360" w:lineRule="auto"/>
              <w:ind w:right="178" w:rightChars="85"/>
              <w:jc w:val="center"/>
              <w:rPr>
                <w:rFonts w:ascii="宋体" w:hAnsi="宋体" w:cs="TimesNewRomanPSMT"/>
                <w:b/>
                <w:bCs/>
                <w:kern w:val="0"/>
                <w:sz w:val="24"/>
              </w:rPr>
            </w:pPr>
            <w:r>
              <w:rPr>
                <w:rFonts w:hint="eastAsia" w:ascii="宋体" w:hAnsi="宋体" w:cs="TimesNewRomanPSMT"/>
                <w:b/>
                <w:bCs/>
                <w:kern w:val="0"/>
                <w:sz w:val="24"/>
              </w:rPr>
              <w:t>项目经理姓名及证书编号</w:t>
            </w:r>
          </w:p>
        </w:tc>
        <w:tc>
          <w:tcPr>
            <w:tcW w:w="1112" w:type="dxa"/>
            <w:vMerge w:val="restart"/>
            <w:vAlign w:val="center"/>
          </w:tcPr>
          <w:p w14:paraId="1FD6C8D0">
            <w:pPr>
              <w:autoSpaceDE w:val="0"/>
              <w:autoSpaceDN w:val="0"/>
              <w:adjustRightInd w:val="0"/>
              <w:spacing w:line="360" w:lineRule="auto"/>
              <w:ind w:right="178" w:rightChars="85"/>
              <w:jc w:val="center"/>
              <w:rPr>
                <w:rFonts w:ascii="宋体" w:hAnsi="宋体" w:cs="TimesNewRomanPSMT"/>
                <w:b/>
                <w:bCs/>
                <w:kern w:val="0"/>
                <w:sz w:val="24"/>
              </w:rPr>
            </w:pPr>
            <w:r>
              <w:rPr>
                <w:rFonts w:hint="eastAsia" w:ascii="宋体" w:hAnsi="宋体" w:cs="TimesNewRomanPSMT"/>
                <w:b/>
                <w:bCs/>
                <w:kern w:val="0"/>
                <w:sz w:val="24"/>
              </w:rPr>
              <w:t>备注</w:t>
            </w:r>
          </w:p>
        </w:tc>
      </w:tr>
      <w:tr w14:paraId="4EC1DD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9" w:hRule="atLeast"/>
          <w:jc w:val="center"/>
        </w:trPr>
        <w:tc>
          <w:tcPr>
            <w:tcW w:w="1304" w:type="dxa"/>
            <w:vMerge w:val="continue"/>
            <w:vAlign w:val="center"/>
          </w:tcPr>
          <w:p w14:paraId="59518B89">
            <w:pPr>
              <w:autoSpaceDE w:val="0"/>
              <w:autoSpaceDN w:val="0"/>
              <w:adjustRightInd w:val="0"/>
              <w:spacing w:line="360" w:lineRule="auto"/>
              <w:ind w:right="178" w:rightChars="85"/>
              <w:jc w:val="center"/>
              <w:rPr>
                <w:rFonts w:ascii="宋体" w:hAnsi="宋体" w:cs="TimesNewRomanPSMT"/>
                <w:b/>
                <w:bCs/>
                <w:kern w:val="0"/>
                <w:sz w:val="24"/>
              </w:rPr>
            </w:pPr>
          </w:p>
        </w:tc>
        <w:tc>
          <w:tcPr>
            <w:tcW w:w="3195" w:type="dxa"/>
            <w:vMerge w:val="continue"/>
            <w:vAlign w:val="center"/>
          </w:tcPr>
          <w:p w14:paraId="7544B7DC">
            <w:pPr>
              <w:autoSpaceDE w:val="0"/>
              <w:autoSpaceDN w:val="0"/>
              <w:adjustRightInd w:val="0"/>
              <w:spacing w:line="360" w:lineRule="auto"/>
              <w:ind w:right="178" w:rightChars="85"/>
              <w:jc w:val="center"/>
              <w:rPr>
                <w:rFonts w:ascii="宋体" w:hAnsi="宋体" w:cs="TimesNewRomanPSMT"/>
                <w:b/>
                <w:bCs/>
                <w:kern w:val="0"/>
                <w:sz w:val="24"/>
              </w:rPr>
            </w:pPr>
          </w:p>
        </w:tc>
        <w:tc>
          <w:tcPr>
            <w:tcW w:w="1373" w:type="dxa"/>
            <w:vMerge w:val="continue"/>
            <w:vAlign w:val="center"/>
          </w:tcPr>
          <w:p w14:paraId="7F20BE0C">
            <w:pPr>
              <w:autoSpaceDE w:val="0"/>
              <w:autoSpaceDN w:val="0"/>
              <w:adjustRightInd w:val="0"/>
              <w:spacing w:line="360" w:lineRule="auto"/>
              <w:ind w:right="178" w:rightChars="85"/>
              <w:jc w:val="center"/>
              <w:rPr>
                <w:rFonts w:ascii="宋体" w:hAnsi="宋体" w:cs="TimesNewRomanPSMT"/>
                <w:b/>
                <w:bCs/>
                <w:kern w:val="0"/>
                <w:sz w:val="24"/>
              </w:rPr>
            </w:pPr>
          </w:p>
        </w:tc>
        <w:tc>
          <w:tcPr>
            <w:tcW w:w="1097" w:type="dxa"/>
            <w:vMerge w:val="continue"/>
            <w:vAlign w:val="center"/>
          </w:tcPr>
          <w:p w14:paraId="59C6CD8E">
            <w:pPr>
              <w:autoSpaceDE w:val="0"/>
              <w:autoSpaceDN w:val="0"/>
              <w:adjustRightInd w:val="0"/>
              <w:spacing w:line="360" w:lineRule="auto"/>
              <w:ind w:right="178" w:rightChars="85"/>
              <w:jc w:val="center"/>
              <w:rPr>
                <w:rFonts w:ascii="宋体" w:hAnsi="宋体" w:cs="TimesNewRomanPSMT"/>
                <w:b/>
                <w:bCs/>
                <w:kern w:val="0"/>
                <w:sz w:val="24"/>
              </w:rPr>
            </w:pPr>
          </w:p>
        </w:tc>
        <w:tc>
          <w:tcPr>
            <w:tcW w:w="1237" w:type="dxa"/>
            <w:vMerge w:val="continue"/>
            <w:vAlign w:val="center"/>
          </w:tcPr>
          <w:p w14:paraId="0C44755F">
            <w:pPr>
              <w:autoSpaceDE w:val="0"/>
              <w:autoSpaceDN w:val="0"/>
              <w:adjustRightInd w:val="0"/>
              <w:spacing w:line="360" w:lineRule="auto"/>
              <w:ind w:right="178" w:rightChars="85"/>
              <w:jc w:val="center"/>
              <w:rPr>
                <w:rFonts w:ascii="宋体" w:hAnsi="宋体" w:cs="TimesNewRomanPSMT"/>
                <w:b/>
                <w:bCs/>
                <w:kern w:val="0"/>
                <w:sz w:val="24"/>
              </w:rPr>
            </w:pPr>
          </w:p>
        </w:tc>
        <w:tc>
          <w:tcPr>
            <w:tcW w:w="1112" w:type="dxa"/>
            <w:vMerge w:val="continue"/>
            <w:vAlign w:val="center"/>
          </w:tcPr>
          <w:p w14:paraId="511B609C">
            <w:pPr>
              <w:autoSpaceDE w:val="0"/>
              <w:autoSpaceDN w:val="0"/>
              <w:adjustRightInd w:val="0"/>
              <w:spacing w:line="360" w:lineRule="auto"/>
              <w:ind w:right="178" w:rightChars="85"/>
              <w:jc w:val="center"/>
              <w:rPr>
                <w:rFonts w:ascii="宋体" w:hAnsi="宋体" w:cs="TimesNewRomanPSMT"/>
                <w:b/>
                <w:bCs/>
                <w:kern w:val="0"/>
                <w:sz w:val="24"/>
              </w:rPr>
            </w:pPr>
          </w:p>
        </w:tc>
      </w:tr>
      <w:tr w14:paraId="5D8560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66" w:hRule="atLeast"/>
          <w:jc w:val="center"/>
        </w:trPr>
        <w:tc>
          <w:tcPr>
            <w:tcW w:w="1304" w:type="dxa"/>
            <w:vAlign w:val="center"/>
          </w:tcPr>
          <w:p w14:paraId="3977C043">
            <w:pPr>
              <w:autoSpaceDE w:val="0"/>
              <w:autoSpaceDN w:val="0"/>
              <w:adjustRightInd w:val="0"/>
              <w:spacing w:line="360" w:lineRule="auto"/>
              <w:ind w:right="178" w:rightChars="85"/>
              <w:jc w:val="left"/>
            </w:pPr>
          </w:p>
          <w:p w14:paraId="008C39D6">
            <w:pPr>
              <w:pStyle w:val="5"/>
              <w:spacing w:before="157"/>
              <w:rPr>
                <w:rFonts w:ascii="Times New Roman" w:hAnsi="Times New Roman"/>
                <w:b w:val="0"/>
                <w:bCs w:val="0"/>
                <w:sz w:val="21"/>
              </w:rPr>
            </w:pPr>
          </w:p>
        </w:tc>
        <w:tc>
          <w:tcPr>
            <w:tcW w:w="3195" w:type="dxa"/>
            <w:vAlign w:val="center"/>
          </w:tcPr>
          <w:p w14:paraId="4DEEE669">
            <w:pPr>
              <w:autoSpaceDE w:val="0"/>
              <w:autoSpaceDN w:val="0"/>
              <w:adjustRightInd w:val="0"/>
              <w:spacing w:line="360" w:lineRule="auto"/>
              <w:ind w:right="178" w:rightChars="85"/>
              <w:jc w:val="left"/>
              <w:rPr>
                <w:rFonts w:hint="eastAsia"/>
                <w:lang w:val="en-US" w:eastAsia="zh-CN"/>
              </w:rPr>
            </w:pPr>
            <w:r>
              <w:rPr>
                <w:rFonts w:hint="eastAsia"/>
                <w:lang w:val="en-US" w:eastAsia="zh-CN"/>
              </w:rPr>
              <w:t>小写：</w:t>
            </w:r>
          </w:p>
          <w:p w14:paraId="4DF9B295">
            <w:pPr>
              <w:pStyle w:val="72"/>
              <w:ind w:left="0" w:leftChars="0" w:firstLine="0" w:firstLineChars="0"/>
              <w:rPr>
                <w:rFonts w:hint="default"/>
                <w:lang w:val="en-US" w:eastAsia="zh-CN"/>
              </w:rPr>
            </w:pPr>
            <w:r>
              <w:rPr>
                <w:rFonts w:hint="eastAsia"/>
                <w:lang w:val="en-US" w:eastAsia="zh-CN"/>
              </w:rPr>
              <w:t>大写：</w:t>
            </w:r>
          </w:p>
        </w:tc>
        <w:tc>
          <w:tcPr>
            <w:tcW w:w="1373" w:type="dxa"/>
            <w:vAlign w:val="center"/>
          </w:tcPr>
          <w:p w14:paraId="65489008">
            <w:pPr>
              <w:autoSpaceDE w:val="0"/>
              <w:autoSpaceDN w:val="0"/>
              <w:adjustRightInd w:val="0"/>
              <w:spacing w:line="360" w:lineRule="auto"/>
              <w:ind w:right="178" w:rightChars="85"/>
              <w:jc w:val="center"/>
              <w:rPr>
                <w:rFonts w:ascii="宋体" w:hAnsi="宋体" w:cs="TimesNewRomanPSMT"/>
                <w:kern w:val="0"/>
                <w:sz w:val="24"/>
              </w:rPr>
            </w:pPr>
          </w:p>
        </w:tc>
        <w:tc>
          <w:tcPr>
            <w:tcW w:w="1097" w:type="dxa"/>
            <w:vAlign w:val="center"/>
          </w:tcPr>
          <w:p w14:paraId="7C301552">
            <w:pPr>
              <w:autoSpaceDE w:val="0"/>
              <w:autoSpaceDN w:val="0"/>
              <w:adjustRightInd w:val="0"/>
              <w:spacing w:line="360" w:lineRule="auto"/>
              <w:ind w:right="178" w:rightChars="85"/>
              <w:jc w:val="left"/>
              <w:rPr>
                <w:rFonts w:ascii="宋体" w:hAnsi="宋体" w:cs="TimesNewRomanPSMT"/>
                <w:kern w:val="0"/>
                <w:sz w:val="24"/>
              </w:rPr>
            </w:pPr>
          </w:p>
        </w:tc>
        <w:tc>
          <w:tcPr>
            <w:tcW w:w="1237" w:type="dxa"/>
            <w:vAlign w:val="center"/>
          </w:tcPr>
          <w:p w14:paraId="4A081A6E">
            <w:pPr>
              <w:autoSpaceDE w:val="0"/>
              <w:autoSpaceDN w:val="0"/>
              <w:adjustRightInd w:val="0"/>
              <w:spacing w:line="360" w:lineRule="auto"/>
              <w:ind w:right="178" w:rightChars="85"/>
              <w:jc w:val="left"/>
              <w:rPr>
                <w:rFonts w:ascii="宋体" w:hAnsi="宋体" w:cs="TimesNewRomanPSMT"/>
                <w:kern w:val="0"/>
                <w:sz w:val="24"/>
              </w:rPr>
            </w:pPr>
          </w:p>
        </w:tc>
        <w:tc>
          <w:tcPr>
            <w:tcW w:w="1112" w:type="dxa"/>
            <w:vAlign w:val="center"/>
          </w:tcPr>
          <w:p w14:paraId="2E701497">
            <w:pPr>
              <w:autoSpaceDE w:val="0"/>
              <w:autoSpaceDN w:val="0"/>
              <w:adjustRightInd w:val="0"/>
              <w:spacing w:line="360" w:lineRule="auto"/>
              <w:ind w:right="178" w:rightChars="85"/>
              <w:jc w:val="left"/>
              <w:rPr>
                <w:rFonts w:ascii="宋体" w:hAnsi="宋体" w:cs="TimesNewRomanPSMT"/>
                <w:kern w:val="0"/>
                <w:sz w:val="24"/>
              </w:rPr>
            </w:pPr>
          </w:p>
        </w:tc>
      </w:tr>
    </w:tbl>
    <w:p w14:paraId="6D8EF9DA">
      <w:pPr>
        <w:rPr>
          <w:rFonts w:hint="eastAsia"/>
        </w:rPr>
      </w:pPr>
      <w:bookmarkStart w:id="2199" w:name="_Toc247527828"/>
      <w:bookmarkStart w:id="2200" w:name="_Toc152045788"/>
      <w:bookmarkStart w:id="2201" w:name="_Toc6556"/>
      <w:bookmarkStart w:id="2202" w:name="_Toc451244237"/>
      <w:bookmarkStart w:id="2203" w:name="_Toc144974857"/>
      <w:bookmarkStart w:id="2204" w:name="_Toc247514247"/>
      <w:bookmarkStart w:id="2205" w:name="_Toc300835210"/>
      <w:bookmarkStart w:id="2206" w:name="_Toc152042577"/>
      <w:r>
        <w:rPr>
          <w:rFonts w:hint="eastAsia"/>
        </w:rPr>
        <w:br w:type="page"/>
      </w:r>
    </w:p>
    <w:p w14:paraId="509180A4">
      <w:pPr>
        <w:pStyle w:val="5"/>
        <w:spacing w:before="157"/>
        <w:ind w:left="0" w:firstLine="0"/>
        <w:jc w:val="center"/>
      </w:pPr>
      <w:r>
        <w:rPr>
          <w:rFonts w:hint="eastAsia"/>
        </w:rPr>
        <w:t>一、</w:t>
      </w:r>
      <w:r>
        <w:t>投标函及投标函附录</w:t>
      </w:r>
      <w:bookmarkEnd w:id="2199"/>
      <w:bookmarkEnd w:id="2200"/>
      <w:bookmarkEnd w:id="2201"/>
      <w:bookmarkEnd w:id="2202"/>
      <w:bookmarkEnd w:id="2203"/>
      <w:bookmarkEnd w:id="2204"/>
      <w:bookmarkEnd w:id="2205"/>
      <w:bookmarkEnd w:id="2206"/>
      <w:bookmarkStart w:id="2207" w:name="_Toc333858647"/>
      <w:bookmarkStart w:id="2208" w:name="_Toc496860858"/>
      <w:bookmarkStart w:id="2209" w:name="_Toc390177825"/>
      <w:bookmarkStart w:id="2210" w:name="_Toc388544443"/>
      <w:bookmarkStart w:id="2211" w:name="_Toc307409951"/>
      <w:bookmarkStart w:id="2212" w:name="_Toc477346469"/>
      <w:bookmarkStart w:id="2213" w:name="_Toc470281857"/>
      <w:bookmarkStart w:id="2214" w:name="_Toc363073455"/>
    </w:p>
    <w:p w14:paraId="0070979A">
      <w:pPr>
        <w:pStyle w:val="5"/>
        <w:spacing w:before="157"/>
        <w:ind w:left="-168" w:firstLine="3614" w:firstLineChars="1500"/>
        <w:rPr>
          <w:rFonts w:hAnsi="宋体"/>
          <w:szCs w:val="28"/>
        </w:rPr>
      </w:pPr>
      <w:bookmarkStart w:id="2215" w:name="_Toc97752037"/>
      <w:bookmarkStart w:id="2216" w:name="_Toc14029"/>
      <w:bookmarkStart w:id="2217" w:name="_Toc85368310"/>
      <w:bookmarkStart w:id="2218" w:name="_Toc85443501"/>
      <w:r>
        <w:rPr>
          <w:rFonts w:hint="eastAsia" w:hAnsi="宋体"/>
          <w:szCs w:val="28"/>
        </w:rPr>
        <w:t>1、投标函及投标函附录</w:t>
      </w:r>
      <w:bookmarkEnd w:id="2207"/>
      <w:bookmarkEnd w:id="2208"/>
      <w:bookmarkEnd w:id="2209"/>
      <w:bookmarkEnd w:id="2210"/>
      <w:bookmarkEnd w:id="2211"/>
      <w:bookmarkEnd w:id="2212"/>
      <w:bookmarkEnd w:id="2213"/>
      <w:bookmarkEnd w:id="2214"/>
      <w:bookmarkEnd w:id="2215"/>
      <w:bookmarkEnd w:id="2216"/>
      <w:bookmarkEnd w:id="2217"/>
      <w:bookmarkEnd w:id="2218"/>
      <w:bookmarkStart w:id="2219" w:name="_Toc477346470"/>
      <w:bookmarkStart w:id="2220" w:name="_Toc85368311"/>
      <w:bookmarkStart w:id="2221" w:name="_Toc361767939"/>
      <w:bookmarkStart w:id="2222" w:name="_Toc470281858"/>
      <w:bookmarkStart w:id="2223" w:name="_Toc85443502"/>
      <w:bookmarkStart w:id="2224" w:name="_Toc363073456"/>
      <w:bookmarkStart w:id="2225" w:name="_Toc496860859"/>
      <w:bookmarkStart w:id="2226" w:name="_Toc390177826"/>
      <w:bookmarkStart w:id="2227" w:name="_Toc363119522"/>
      <w:bookmarkStart w:id="2228" w:name="_Toc97752038"/>
      <w:bookmarkStart w:id="2229" w:name="_Toc388544444"/>
      <w:bookmarkStart w:id="2230" w:name="_Toc21812"/>
    </w:p>
    <w:p w14:paraId="16EAB6CC">
      <w:pPr>
        <w:pStyle w:val="5"/>
        <w:spacing w:before="157"/>
        <w:ind w:left="-168" w:firstLine="3614" w:firstLineChars="1500"/>
      </w:pPr>
      <w:r>
        <w:rPr>
          <w:rFonts w:hint="eastAsia"/>
        </w:rPr>
        <w:t>（1）投 标 函</w:t>
      </w:r>
      <w:bookmarkEnd w:id="2219"/>
      <w:bookmarkEnd w:id="2220"/>
      <w:bookmarkEnd w:id="2221"/>
      <w:bookmarkEnd w:id="2222"/>
      <w:bookmarkEnd w:id="2223"/>
      <w:bookmarkEnd w:id="2224"/>
      <w:bookmarkEnd w:id="2225"/>
      <w:bookmarkEnd w:id="2226"/>
      <w:bookmarkEnd w:id="2227"/>
      <w:bookmarkEnd w:id="2228"/>
      <w:bookmarkEnd w:id="2229"/>
      <w:bookmarkEnd w:id="2230"/>
    </w:p>
    <w:p w14:paraId="77B166A6">
      <w:bookmarkStart w:id="2231" w:name="_Toc363073457"/>
      <w:bookmarkStart w:id="2232" w:name="_Toc390177827"/>
      <w:bookmarkStart w:id="2233" w:name="_Toc97752039"/>
      <w:bookmarkStart w:id="2234" w:name="_Toc11392"/>
      <w:bookmarkStart w:id="2235" w:name="_Toc85368312"/>
      <w:bookmarkStart w:id="2236" w:name="_Toc388544445"/>
      <w:bookmarkStart w:id="2237" w:name="_Toc470281859"/>
      <w:bookmarkStart w:id="2238" w:name="_Toc85443503"/>
      <w:bookmarkStart w:id="2239" w:name="_Toc363119523"/>
      <w:bookmarkStart w:id="2240" w:name="_Toc477346471"/>
      <w:bookmarkStart w:id="2241" w:name="_Toc496860860"/>
      <w:bookmarkStart w:id="2242" w:name="_Toc361767940"/>
      <w:r>
        <w:rPr>
          <w:rFonts w:hint="eastAsia"/>
        </w:rPr>
        <w:t>（招标人名称）     ：</w:t>
      </w:r>
      <w:bookmarkEnd w:id="2231"/>
      <w:bookmarkEnd w:id="2232"/>
      <w:bookmarkEnd w:id="2233"/>
      <w:bookmarkEnd w:id="2234"/>
      <w:bookmarkEnd w:id="2235"/>
      <w:bookmarkEnd w:id="2236"/>
      <w:bookmarkEnd w:id="2237"/>
      <w:bookmarkEnd w:id="2238"/>
      <w:bookmarkEnd w:id="2239"/>
      <w:bookmarkEnd w:id="2240"/>
      <w:bookmarkEnd w:id="2241"/>
      <w:bookmarkEnd w:id="2242"/>
    </w:p>
    <w:p w14:paraId="356FFC41">
      <w:pPr>
        <w:spacing w:line="400" w:lineRule="exact"/>
        <w:ind w:firstLine="480" w:firstLineChars="200"/>
        <w:jc w:val="left"/>
        <w:rPr>
          <w:rFonts w:ascii="宋体" w:hAnsi="宋体"/>
          <w:sz w:val="24"/>
        </w:rPr>
      </w:pPr>
      <w:r>
        <w:rPr>
          <w:rFonts w:hint="eastAsia" w:ascii="宋体" w:hAnsi="宋体"/>
          <w:sz w:val="24"/>
        </w:rPr>
        <w:t>1．根据已收到的</w:t>
      </w:r>
      <w:r>
        <w:rPr>
          <w:rFonts w:hint="eastAsia" w:ascii="宋体" w:hAnsi="宋体"/>
          <w:sz w:val="24"/>
          <w:u w:val="single"/>
        </w:rPr>
        <w:t xml:space="preserve">                        （项目名称）</w:t>
      </w:r>
      <w:r>
        <w:rPr>
          <w:rFonts w:hint="eastAsia" w:ascii="宋体" w:hAnsi="宋体"/>
          <w:sz w:val="24"/>
        </w:rPr>
        <w:t>招标文件，遵照《中华人民共和国招标标法实施条例》、等有关法律、法规和规章，经踏勘项目现场和研究了招标文件的全部内容，</w:t>
      </w:r>
      <w:r>
        <w:rPr>
          <w:rFonts w:hint="eastAsia" w:ascii="宋体" w:hAnsi="宋体"/>
          <w:b/>
          <w:sz w:val="24"/>
        </w:rPr>
        <w:t>针对</w:t>
      </w:r>
      <w:r>
        <w:rPr>
          <w:rFonts w:hint="eastAsia" w:ascii="宋体" w:hAnsi="宋体"/>
          <w:b/>
          <w:sz w:val="24"/>
          <w:lang w:val="en-US" w:eastAsia="zh-CN"/>
        </w:rPr>
        <w:t>该项目</w:t>
      </w:r>
      <w:r>
        <w:rPr>
          <w:rFonts w:hint="eastAsia" w:ascii="宋体" w:hAnsi="宋体"/>
          <w:sz w:val="24"/>
        </w:rPr>
        <w:t>我方愿以</w:t>
      </w:r>
      <w:r>
        <w:rPr>
          <w:rFonts w:hint="eastAsia" w:ascii="宋体" w:hAnsi="宋体"/>
          <w:sz w:val="24"/>
          <w:u w:val="single"/>
        </w:rPr>
        <w:t xml:space="preserve">         （保留小数点后两位）</w:t>
      </w:r>
      <w:r>
        <w:rPr>
          <w:rFonts w:hint="eastAsia" w:ascii="宋体" w:hAnsi="宋体"/>
          <w:sz w:val="24"/>
        </w:rPr>
        <w:t>的</w:t>
      </w:r>
      <w:r>
        <w:rPr>
          <w:rFonts w:hint="eastAsia" w:ascii="宋体" w:hAnsi="宋体"/>
          <w:sz w:val="24"/>
          <w:lang w:val="en-US" w:eastAsia="zh-CN"/>
        </w:rPr>
        <w:t>投标报价</w:t>
      </w:r>
      <w:r>
        <w:rPr>
          <w:rFonts w:hint="eastAsia" w:ascii="宋体" w:hAnsi="宋体"/>
          <w:sz w:val="24"/>
        </w:rPr>
        <w:t>投标，工期：</w:t>
      </w:r>
      <w:r>
        <w:rPr>
          <w:rFonts w:hint="eastAsia" w:ascii="宋体" w:hAnsi="宋体"/>
          <w:sz w:val="24"/>
          <w:u w:val="single"/>
        </w:rPr>
        <w:t xml:space="preserve">           </w:t>
      </w:r>
      <w:r>
        <w:rPr>
          <w:rFonts w:hint="eastAsia" w:ascii="宋体" w:hAnsi="宋体"/>
          <w:sz w:val="24"/>
        </w:rPr>
        <w:t xml:space="preserve"> 。我方愿按合同约定实施和完成承包工程，修补工程中的任何缺陷，质量：</w:t>
      </w:r>
      <w:r>
        <w:rPr>
          <w:rFonts w:hint="eastAsia" w:ascii="宋体" w:hAnsi="宋体"/>
          <w:sz w:val="24"/>
          <w:u w:val="single"/>
        </w:rPr>
        <w:t xml:space="preserve">             </w:t>
      </w:r>
      <w:r>
        <w:rPr>
          <w:rFonts w:hint="eastAsia" w:ascii="宋体" w:hAnsi="宋体"/>
          <w:sz w:val="24"/>
        </w:rPr>
        <w:t>。</w:t>
      </w:r>
    </w:p>
    <w:p w14:paraId="3B5EB0CB">
      <w:pPr>
        <w:spacing w:line="400" w:lineRule="exact"/>
        <w:ind w:firstLine="480" w:firstLineChars="200"/>
        <w:jc w:val="left"/>
        <w:rPr>
          <w:rFonts w:ascii="宋体" w:hAnsi="宋体"/>
          <w:sz w:val="24"/>
        </w:rPr>
      </w:pPr>
      <w:r>
        <w:rPr>
          <w:rFonts w:hint="eastAsia" w:ascii="宋体" w:hAnsi="宋体"/>
          <w:sz w:val="24"/>
        </w:rPr>
        <w:t>2．我方承诺在投标有效期内不修改、撤销投标文件。</w:t>
      </w:r>
    </w:p>
    <w:p w14:paraId="610F8276">
      <w:pPr>
        <w:spacing w:line="400" w:lineRule="exact"/>
        <w:ind w:firstLine="480" w:firstLineChars="200"/>
        <w:jc w:val="left"/>
        <w:rPr>
          <w:rFonts w:ascii="宋体" w:hAnsi="宋体"/>
          <w:sz w:val="24"/>
        </w:rPr>
      </w:pPr>
      <w:r>
        <w:rPr>
          <w:rFonts w:hint="eastAsia" w:ascii="宋体" w:hAnsi="宋体"/>
          <w:sz w:val="24"/>
          <w:lang w:val="en-US" w:eastAsia="zh-CN"/>
        </w:rPr>
        <w:t>3</w:t>
      </w:r>
      <w:r>
        <w:rPr>
          <w:rFonts w:hint="eastAsia" w:ascii="宋体" w:hAnsi="宋体"/>
          <w:sz w:val="24"/>
        </w:rPr>
        <w:t>．如我方中标：</w:t>
      </w:r>
    </w:p>
    <w:p w14:paraId="54406BC1">
      <w:pPr>
        <w:spacing w:line="400" w:lineRule="exact"/>
        <w:ind w:firstLine="480" w:firstLineChars="200"/>
        <w:jc w:val="left"/>
        <w:rPr>
          <w:rFonts w:ascii="宋体" w:hAnsi="宋体"/>
          <w:sz w:val="24"/>
        </w:rPr>
      </w:pPr>
      <w:r>
        <w:rPr>
          <w:rFonts w:hint="eastAsia" w:ascii="宋体" w:hAnsi="宋体"/>
          <w:sz w:val="24"/>
        </w:rPr>
        <w:t>（1）我方承诺在收到中标通知书后，在中标通知书规定的期限内与你方签订合同。</w:t>
      </w:r>
    </w:p>
    <w:p w14:paraId="7C21E9BE">
      <w:pPr>
        <w:spacing w:line="400" w:lineRule="exact"/>
        <w:ind w:firstLine="480" w:firstLineChars="200"/>
        <w:jc w:val="left"/>
        <w:rPr>
          <w:rFonts w:ascii="宋体" w:hAnsi="宋体"/>
          <w:sz w:val="24"/>
        </w:rPr>
      </w:pPr>
      <w:r>
        <w:rPr>
          <w:rFonts w:hint="eastAsia" w:ascii="宋体" w:hAnsi="宋体"/>
          <w:sz w:val="24"/>
        </w:rPr>
        <w:t>（2）随同本投标函递交的投标函附录属于合同文件的组成部分。</w:t>
      </w:r>
    </w:p>
    <w:p w14:paraId="28AC6352">
      <w:pPr>
        <w:spacing w:line="400" w:lineRule="exact"/>
        <w:ind w:firstLine="480" w:firstLineChars="200"/>
        <w:jc w:val="left"/>
        <w:rPr>
          <w:rFonts w:ascii="宋体" w:hAnsi="宋体"/>
          <w:sz w:val="24"/>
        </w:rPr>
      </w:pPr>
      <w:r>
        <w:rPr>
          <w:rFonts w:hint="eastAsia" w:ascii="宋体" w:hAnsi="宋体"/>
          <w:sz w:val="24"/>
        </w:rPr>
        <w:t>（3）我方承诺按照招标文件规定向你方递交</w:t>
      </w:r>
      <w:r>
        <w:rPr>
          <w:rFonts w:hint="eastAsia" w:ascii="宋体" w:hAnsi="宋体"/>
          <w:sz w:val="24"/>
          <w:lang w:val="en-US" w:eastAsia="zh-CN"/>
        </w:rPr>
        <w:t>履约</w:t>
      </w:r>
      <w:r>
        <w:rPr>
          <w:rFonts w:hint="eastAsia" w:ascii="宋体" w:hAnsi="宋体"/>
          <w:sz w:val="24"/>
        </w:rPr>
        <w:t>保证金。</w:t>
      </w:r>
    </w:p>
    <w:p w14:paraId="319FC4B0">
      <w:pPr>
        <w:spacing w:line="400" w:lineRule="exact"/>
        <w:ind w:firstLine="480" w:firstLineChars="200"/>
        <w:jc w:val="left"/>
        <w:rPr>
          <w:rFonts w:ascii="宋体" w:hAnsi="宋体"/>
          <w:sz w:val="24"/>
        </w:rPr>
      </w:pPr>
      <w:r>
        <w:rPr>
          <w:rFonts w:hint="eastAsia" w:ascii="宋体" w:hAnsi="宋体"/>
          <w:sz w:val="24"/>
        </w:rPr>
        <w:t>（4）我方承诺在合同约定的期限内完成并移交全部合同工程。</w:t>
      </w:r>
    </w:p>
    <w:p w14:paraId="429E61C7">
      <w:pPr>
        <w:spacing w:line="400" w:lineRule="exact"/>
        <w:ind w:firstLine="480" w:firstLineChars="200"/>
        <w:jc w:val="left"/>
        <w:rPr>
          <w:rFonts w:ascii="宋体" w:hAnsi="宋体"/>
          <w:sz w:val="24"/>
        </w:rPr>
      </w:pPr>
      <w:r>
        <w:rPr>
          <w:rFonts w:hint="eastAsia" w:ascii="宋体" w:hAnsi="宋体"/>
          <w:sz w:val="24"/>
        </w:rPr>
        <w:t>（5）我方承诺，若我方中标，在施工时该项目经理必须保证80%以上时间（按日历日计）在施工现场，否则无条件接受施工合同约定的处罚。</w:t>
      </w:r>
    </w:p>
    <w:p w14:paraId="1D2A6F27">
      <w:pPr>
        <w:spacing w:line="400" w:lineRule="exact"/>
        <w:ind w:firstLine="480" w:firstLineChars="200"/>
        <w:jc w:val="left"/>
        <w:rPr>
          <w:rFonts w:ascii="宋体" w:hAnsi="宋体"/>
          <w:sz w:val="24"/>
        </w:rPr>
      </w:pPr>
      <w:r>
        <w:rPr>
          <w:rFonts w:hint="eastAsia" w:ascii="宋体" w:hAnsi="宋体"/>
          <w:sz w:val="24"/>
        </w:rPr>
        <w:t>5．我方承诺本项目的招标代理服务费按招标人与招标代理机构签订的招标代理合同执行。</w:t>
      </w:r>
    </w:p>
    <w:p w14:paraId="6C5C12AB">
      <w:pPr>
        <w:spacing w:line="400" w:lineRule="exact"/>
        <w:ind w:firstLine="480" w:firstLineChars="200"/>
        <w:jc w:val="left"/>
        <w:rPr>
          <w:rFonts w:ascii="宋体" w:hAnsi="宋体"/>
          <w:sz w:val="24"/>
        </w:rPr>
      </w:pPr>
      <w:r>
        <w:rPr>
          <w:rFonts w:hint="eastAsia" w:ascii="宋体" w:hAnsi="宋体"/>
          <w:sz w:val="24"/>
        </w:rPr>
        <w:t>6．我方在此声明，所递交的投标文件及有关资料内容完整、真实和准确，且不存在第二章“投标人须知”规定的任何一种情形</w:t>
      </w:r>
      <w:r>
        <w:rPr>
          <w:rFonts w:hint="eastAsia" w:ascii="宋体" w:hAnsi="宋体"/>
          <w:sz w:val="24"/>
          <w:lang w:eastAsia="zh-CN"/>
        </w:rPr>
        <w:t>，</w:t>
      </w:r>
      <w:r>
        <w:rPr>
          <w:rFonts w:hint="eastAsia" w:ascii="宋体" w:hAnsi="宋体"/>
          <w:sz w:val="24"/>
          <w:lang w:val="en-US" w:eastAsia="zh-CN"/>
        </w:rPr>
        <w:t>并愿意接受本招标文件中的所有条款</w:t>
      </w:r>
      <w:r>
        <w:rPr>
          <w:rFonts w:hint="eastAsia" w:ascii="宋体" w:hAnsi="宋体"/>
          <w:sz w:val="24"/>
        </w:rPr>
        <w:t>。</w:t>
      </w:r>
    </w:p>
    <w:p w14:paraId="79FEE598">
      <w:pPr>
        <w:spacing w:line="400" w:lineRule="exact"/>
        <w:ind w:firstLine="480" w:firstLineChars="200"/>
        <w:jc w:val="left"/>
        <w:rPr>
          <w:rFonts w:ascii="宋体" w:hAnsi="宋体"/>
          <w:sz w:val="24"/>
        </w:rPr>
      </w:pPr>
      <w:r>
        <w:rPr>
          <w:rFonts w:hint="eastAsia" w:ascii="宋体" w:hAnsi="宋体"/>
          <w:sz w:val="24"/>
        </w:rPr>
        <w:t>7．</w:t>
      </w:r>
      <w:r>
        <w:rPr>
          <w:rFonts w:hint="eastAsia" w:ascii="宋体" w:hAnsi="宋体"/>
          <w:sz w:val="24"/>
          <w:u w:val="single"/>
        </w:rPr>
        <w:t xml:space="preserve">                                          （其他补充说明）。</w:t>
      </w:r>
    </w:p>
    <w:p w14:paraId="511949BA">
      <w:pPr>
        <w:spacing w:line="380" w:lineRule="exact"/>
        <w:ind w:firstLine="4320" w:firstLineChars="1800"/>
        <w:rPr>
          <w:rFonts w:ascii="宋体" w:hAnsi="宋体"/>
          <w:sz w:val="24"/>
          <w:u w:val="single"/>
        </w:rPr>
      </w:pPr>
      <w:r>
        <w:rPr>
          <w:rFonts w:hint="eastAsia" w:ascii="宋体" w:hAnsi="宋体"/>
          <w:sz w:val="24"/>
        </w:rPr>
        <w:t>投 标 人：</w:t>
      </w:r>
      <w:r>
        <w:rPr>
          <w:rFonts w:hint="eastAsia" w:ascii="宋体" w:hAnsi="宋体"/>
          <w:sz w:val="24"/>
          <w:u w:val="single"/>
        </w:rPr>
        <w:t xml:space="preserve">             （盖章）</w:t>
      </w:r>
    </w:p>
    <w:p w14:paraId="3E2E8993">
      <w:pPr>
        <w:spacing w:line="380" w:lineRule="exact"/>
        <w:ind w:firstLine="4320" w:firstLineChars="1800"/>
        <w:rPr>
          <w:rFonts w:ascii="宋体" w:hAnsi="宋体"/>
          <w:sz w:val="24"/>
        </w:rPr>
      </w:pPr>
      <w:r>
        <w:rPr>
          <w:rFonts w:hint="eastAsia" w:ascii="宋体" w:hAnsi="宋体"/>
          <w:sz w:val="24"/>
        </w:rPr>
        <w:t>法定代表人：</w:t>
      </w:r>
      <w:r>
        <w:rPr>
          <w:rFonts w:hint="eastAsia" w:ascii="宋体" w:hAnsi="宋体"/>
          <w:sz w:val="24"/>
          <w:u w:val="single"/>
        </w:rPr>
        <w:t xml:space="preserve">           （签字）</w:t>
      </w:r>
    </w:p>
    <w:p w14:paraId="7011FEF7">
      <w:pPr>
        <w:spacing w:line="380" w:lineRule="exact"/>
        <w:rPr>
          <w:rFonts w:ascii="宋体" w:hAnsi="宋体"/>
          <w:sz w:val="24"/>
        </w:rPr>
      </w:pPr>
      <w:r>
        <w:rPr>
          <w:rFonts w:hint="eastAsia" w:ascii="宋体" w:hAnsi="宋体"/>
          <w:sz w:val="24"/>
        </w:rPr>
        <w:t xml:space="preserve">                                    地    址： </w:t>
      </w:r>
      <w:r>
        <w:rPr>
          <w:rFonts w:hint="eastAsia" w:ascii="宋体" w:hAnsi="宋体"/>
          <w:sz w:val="24"/>
          <w:u w:val="single"/>
        </w:rPr>
        <w:t xml:space="preserve">                         </w:t>
      </w:r>
    </w:p>
    <w:p w14:paraId="02EB77DF">
      <w:pPr>
        <w:spacing w:line="380" w:lineRule="exact"/>
        <w:rPr>
          <w:rFonts w:ascii="宋体" w:hAnsi="宋体"/>
          <w:sz w:val="24"/>
          <w:u w:val="single"/>
        </w:rPr>
      </w:pPr>
      <w:r>
        <w:rPr>
          <w:rFonts w:hint="eastAsia" w:ascii="宋体" w:hAnsi="宋体"/>
          <w:sz w:val="24"/>
        </w:rPr>
        <w:t xml:space="preserve">                                    邮政编码： </w:t>
      </w:r>
      <w:r>
        <w:rPr>
          <w:rFonts w:hint="eastAsia" w:ascii="宋体" w:hAnsi="宋体"/>
          <w:sz w:val="24"/>
          <w:u w:val="single"/>
        </w:rPr>
        <w:t xml:space="preserve">                        </w:t>
      </w:r>
    </w:p>
    <w:p w14:paraId="4E8AB5F2">
      <w:pPr>
        <w:spacing w:line="380" w:lineRule="exact"/>
        <w:rPr>
          <w:rFonts w:hint="eastAsia" w:ascii="宋体" w:hAnsi="宋体"/>
          <w:sz w:val="24"/>
          <w:u w:val="single"/>
        </w:rPr>
      </w:pPr>
      <w:r>
        <w:rPr>
          <w:rFonts w:hint="eastAsia" w:ascii="宋体" w:hAnsi="宋体"/>
          <w:sz w:val="24"/>
        </w:rPr>
        <w:t xml:space="preserve">                                    </w:t>
      </w:r>
      <w:r>
        <w:rPr>
          <w:rFonts w:hint="eastAsia" w:ascii="宋体" w:hAnsi="宋体" w:eastAsia="宋体" w:cs="Times New Roman"/>
          <w:sz w:val="24"/>
        </w:rPr>
        <w:t>电    话</w:t>
      </w:r>
      <w:r>
        <w:rPr>
          <w:rFonts w:hint="eastAsia" w:ascii="宋体" w:hAnsi="宋体"/>
          <w:sz w:val="24"/>
        </w:rPr>
        <w:t xml:space="preserve">： </w:t>
      </w:r>
      <w:r>
        <w:rPr>
          <w:rFonts w:hint="eastAsia" w:ascii="宋体" w:hAnsi="宋体"/>
          <w:sz w:val="24"/>
          <w:u w:val="single"/>
        </w:rPr>
        <w:t xml:space="preserve">                         </w:t>
      </w:r>
    </w:p>
    <w:p w14:paraId="5B1F4408">
      <w:pPr>
        <w:rPr>
          <w:rFonts w:hint="eastAsia" w:ascii="宋体" w:hAnsi="宋体"/>
          <w:sz w:val="24"/>
          <w:u w:val="single"/>
        </w:rPr>
      </w:pPr>
      <w:r>
        <w:rPr>
          <w:rFonts w:hint="eastAsia" w:ascii="宋体" w:hAnsi="宋体"/>
          <w:sz w:val="24"/>
          <w:u w:val="single"/>
        </w:rPr>
        <w:br w:type="page"/>
      </w:r>
    </w:p>
    <w:p w14:paraId="60A7B0EA">
      <w:pPr>
        <w:pStyle w:val="72"/>
      </w:pPr>
    </w:p>
    <w:p w14:paraId="3107B0CD">
      <w:pPr>
        <w:pStyle w:val="5"/>
        <w:spacing w:before="157"/>
        <w:ind w:left="0" w:firstLine="0"/>
      </w:pPr>
      <w:bookmarkStart w:id="2243" w:name="_Toc144974859"/>
      <w:bookmarkStart w:id="2244" w:name="_Toc152045790"/>
      <w:bookmarkStart w:id="2245" w:name="_Toc480918952"/>
      <w:bookmarkStart w:id="2246" w:name="_Toc4553"/>
      <w:bookmarkStart w:id="2247" w:name="_Toc152042579"/>
      <w:bookmarkStart w:id="2248" w:name="_Toc480918576"/>
      <w:bookmarkStart w:id="2249" w:name="_Toc451244239"/>
      <w:bookmarkStart w:id="2250" w:name="_Toc97752040"/>
      <w:bookmarkStart w:id="2251" w:name="_Toc499310078"/>
      <w:bookmarkStart w:id="2252" w:name="_Toc474179226"/>
      <w:bookmarkStart w:id="2253" w:name="_Toc85443504"/>
      <w:bookmarkStart w:id="2254" w:name="_Toc247514249"/>
      <w:bookmarkStart w:id="2255" w:name="_Toc247527830"/>
      <w:bookmarkStart w:id="2256" w:name="_Toc300835212"/>
      <w:bookmarkStart w:id="2257" w:name="_Toc499310648"/>
      <w:bookmarkStart w:id="2258" w:name="_Toc85368313"/>
      <w:bookmarkStart w:id="2259" w:name="_Toc474178990"/>
      <w:r>
        <w:t>（</w:t>
      </w:r>
      <w:r>
        <w:rPr>
          <w:rFonts w:hint="eastAsia"/>
        </w:rPr>
        <w:t>2</w:t>
      </w:r>
      <w:r>
        <w:t>）投标函附录</w:t>
      </w:r>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p>
    <w:tbl>
      <w:tblPr>
        <w:tblStyle w:val="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3298"/>
        <w:gridCol w:w="2808"/>
        <w:gridCol w:w="1530"/>
      </w:tblGrid>
      <w:tr w14:paraId="20F62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1" w:type="dxa"/>
            <w:vAlign w:val="center"/>
          </w:tcPr>
          <w:p w14:paraId="4FC449F7">
            <w:pPr>
              <w:adjustRightInd w:val="0"/>
              <w:snapToGrid w:val="0"/>
              <w:spacing w:line="360" w:lineRule="auto"/>
              <w:jc w:val="center"/>
              <w:rPr>
                <w:rFonts w:ascii="宋体" w:hAnsi="宋体" w:cs="宋体"/>
                <w:szCs w:val="21"/>
              </w:rPr>
            </w:pPr>
            <w:r>
              <w:rPr>
                <w:rFonts w:hint="eastAsia" w:ascii="宋体" w:hAnsi="宋体" w:cs="宋体"/>
                <w:szCs w:val="21"/>
              </w:rPr>
              <w:t>序 号</w:t>
            </w:r>
          </w:p>
        </w:tc>
        <w:tc>
          <w:tcPr>
            <w:tcW w:w="3298" w:type="dxa"/>
            <w:vAlign w:val="center"/>
          </w:tcPr>
          <w:p w14:paraId="39D0372B">
            <w:pPr>
              <w:adjustRightInd w:val="0"/>
              <w:snapToGrid w:val="0"/>
              <w:spacing w:line="360" w:lineRule="auto"/>
              <w:jc w:val="center"/>
              <w:rPr>
                <w:rFonts w:ascii="宋体" w:hAnsi="宋体" w:cs="宋体"/>
                <w:szCs w:val="21"/>
              </w:rPr>
            </w:pPr>
            <w:r>
              <w:rPr>
                <w:rFonts w:hint="eastAsia" w:ascii="宋体" w:hAnsi="宋体" w:cs="宋体"/>
                <w:szCs w:val="21"/>
              </w:rPr>
              <w:t>条款内容</w:t>
            </w:r>
          </w:p>
        </w:tc>
        <w:tc>
          <w:tcPr>
            <w:tcW w:w="2808" w:type="dxa"/>
            <w:vAlign w:val="center"/>
          </w:tcPr>
          <w:p w14:paraId="090A736C">
            <w:pPr>
              <w:adjustRightInd w:val="0"/>
              <w:snapToGrid w:val="0"/>
              <w:spacing w:line="360" w:lineRule="auto"/>
              <w:jc w:val="center"/>
              <w:rPr>
                <w:rFonts w:ascii="宋体" w:hAnsi="宋体" w:cs="宋体"/>
                <w:szCs w:val="21"/>
              </w:rPr>
            </w:pPr>
            <w:r>
              <w:rPr>
                <w:rFonts w:hint="eastAsia" w:ascii="宋体" w:hAnsi="宋体" w:cs="宋体"/>
                <w:szCs w:val="21"/>
              </w:rPr>
              <w:t>约定内容</w:t>
            </w:r>
          </w:p>
        </w:tc>
        <w:tc>
          <w:tcPr>
            <w:tcW w:w="1530" w:type="dxa"/>
            <w:vAlign w:val="center"/>
          </w:tcPr>
          <w:p w14:paraId="23A025BB">
            <w:pPr>
              <w:adjustRightInd w:val="0"/>
              <w:snapToGrid w:val="0"/>
              <w:spacing w:line="360" w:lineRule="auto"/>
              <w:jc w:val="center"/>
              <w:rPr>
                <w:rFonts w:ascii="宋体" w:hAnsi="宋体" w:cs="宋体"/>
                <w:szCs w:val="21"/>
              </w:rPr>
            </w:pPr>
            <w:r>
              <w:rPr>
                <w:rFonts w:hint="eastAsia" w:ascii="宋体" w:hAnsi="宋体" w:cs="宋体"/>
                <w:szCs w:val="21"/>
              </w:rPr>
              <w:t>备注</w:t>
            </w:r>
          </w:p>
        </w:tc>
      </w:tr>
      <w:tr w14:paraId="2B40C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1" w:type="dxa"/>
            <w:vAlign w:val="center"/>
          </w:tcPr>
          <w:p w14:paraId="1B7889DD">
            <w:pPr>
              <w:adjustRightInd w:val="0"/>
              <w:snapToGrid w:val="0"/>
              <w:spacing w:line="360" w:lineRule="auto"/>
              <w:jc w:val="center"/>
              <w:rPr>
                <w:rFonts w:ascii="宋体" w:hAnsi="宋体" w:cs="宋体"/>
                <w:szCs w:val="21"/>
              </w:rPr>
            </w:pPr>
            <w:r>
              <w:rPr>
                <w:rFonts w:hint="eastAsia" w:ascii="宋体" w:hAnsi="宋体" w:cs="宋体"/>
                <w:szCs w:val="21"/>
              </w:rPr>
              <w:t>1</w:t>
            </w:r>
          </w:p>
        </w:tc>
        <w:tc>
          <w:tcPr>
            <w:tcW w:w="3298" w:type="dxa"/>
            <w:vAlign w:val="center"/>
          </w:tcPr>
          <w:p w14:paraId="4C232039">
            <w:pPr>
              <w:spacing w:line="440" w:lineRule="exact"/>
              <w:jc w:val="center"/>
              <w:rPr>
                <w:rFonts w:hint="eastAsia" w:ascii="宋体" w:hAnsi="宋体" w:eastAsia="宋体" w:cs="宋体"/>
                <w:szCs w:val="21"/>
                <w:lang w:eastAsia="zh-CN"/>
              </w:rPr>
            </w:pPr>
            <w:r>
              <w:rPr>
                <w:rFonts w:hint="eastAsia" w:ascii="宋体" w:hAnsi="宋体" w:cs="宋体"/>
                <w:szCs w:val="21"/>
              </w:rPr>
              <w:t>项目</w:t>
            </w:r>
            <w:r>
              <w:rPr>
                <w:rFonts w:hint="eastAsia" w:ascii="宋体" w:hAnsi="宋体" w:cs="宋体"/>
                <w:szCs w:val="21"/>
                <w:lang w:val="en-US" w:eastAsia="zh-CN"/>
              </w:rPr>
              <w:t>负责人</w:t>
            </w:r>
          </w:p>
        </w:tc>
        <w:tc>
          <w:tcPr>
            <w:tcW w:w="2808" w:type="dxa"/>
            <w:vAlign w:val="center"/>
          </w:tcPr>
          <w:p w14:paraId="7A1F2421">
            <w:pPr>
              <w:spacing w:line="440" w:lineRule="exact"/>
              <w:rPr>
                <w:rFonts w:ascii="宋体" w:hAnsi="宋体" w:cs="宋体"/>
                <w:szCs w:val="21"/>
                <w:u w:val="single"/>
              </w:rPr>
            </w:pPr>
          </w:p>
        </w:tc>
        <w:tc>
          <w:tcPr>
            <w:tcW w:w="1530" w:type="dxa"/>
            <w:vAlign w:val="center"/>
          </w:tcPr>
          <w:p w14:paraId="1A7D55C4">
            <w:pPr>
              <w:adjustRightInd w:val="0"/>
              <w:snapToGrid w:val="0"/>
              <w:spacing w:line="360" w:lineRule="auto"/>
              <w:jc w:val="center"/>
              <w:rPr>
                <w:rFonts w:ascii="宋体" w:hAnsi="宋体" w:cs="宋体"/>
                <w:szCs w:val="21"/>
              </w:rPr>
            </w:pPr>
          </w:p>
        </w:tc>
      </w:tr>
      <w:tr w14:paraId="6FCB6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1" w:type="dxa"/>
            <w:vAlign w:val="center"/>
          </w:tcPr>
          <w:p w14:paraId="2CDA82F5">
            <w:pPr>
              <w:adjustRightInd w:val="0"/>
              <w:snapToGrid w:val="0"/>
              <w:spacing w:line="360" w:lineRule="auto"/>
              <w:jc w:val="center"/>
              <w:rPr>
                <w:rFonts w:hint="default" w:ascii="宋体" w:hAnsi="宋体" w:cs="宋体"/>
                <w:szCs w:val="21"/>
                <w:lang w:val="en-US" w:eastAsia="zh-CN"/>
              </w:rPr>
            </w:pPr>
            <w:r>
              <w:rPr>
                <w:rFonts w:hint="eastAsia" w:ascii="宋体" w:hAnsi="宋体" w:cs="宋体"/>
                <w:szCs w:val="21"/>
                <w:lang w:val="en-US" w:eastAsia="zh-CN"/>
              </w:rPr>
              <w:t>2</w:t>
            </w:r>
          </w:p>
        </w:tc>
        <w:tc>
          <w:tcPr>
            <w:tcW w:w="3298" w:type="dxa"/>
            <w:vAlign w:val="center"/>
          </w:tcPr>
          <w:p w14:paraId="4D834220">
            <w:pPr>
              <w:spacing w:line="440" w:lineRule="exact"/>
              <w:jc w:val="center"/>
              <w:rPr>
                <w:rFonts w:hint="default" w:ascii="宋体" w:hAnsi="宋体" w:eastAsia="宋体" w:cs="宋体"/>
                <w:szCs w:val="21"/>
                <w:lang w:val="en-US" w:eastAsia="zh-CN"/>
              </w:rPr>
            </w:pPr>
            <w:r>
              <w:rPr>
                <w:rFonts w:hint="eastAsia" w:ascii="宋体" w:hAnsi="宋体" w:cs="宋体"/>
                <w:szCs w:val="21"/>
                <w:lang w:val="en-US" w:eastAsia="zh-CN"/>
              </w:rPr>
              <w:t>技术负责人</w:t>
            </w:r>
          </w:p>
        </w:tc>
        <w:tc>
          <w:tcPr>
            <w:tcW w:w="2808" w:type="dxa"/>
            <w:vAlign w:val="center"/>
          </w:tcPr>
          <w:p w14:paraId="710FB9EF">
            <w:pPr>
              <w:adjustRightInd w:val="0"/>
              <w:snapToGrid w:val="0"/>
              <w:spacing w:line="360" w:lineRule="auto"/>
              <w:jc w:val="center"/>
              <w:rPr>
                <w:rFonts w:ascii="宋体" w:hAnsi="宋体" w:cs="宋体"/>
                <w:szCs w:val="21"/>
              </w:rPr>
            </w:pPr>
          </w:p>
        </w:tc>
        <w:tc>
          <w:tcPr>
            <w:tcW w:w="1530" w:type="dxa"/>
            <w:vAlign w:val="center"/>
          </w:tcPr>
          <w:p w14:paraId="7CC89B55">
            <w:pPr>
              <w:adjustRightInd w:val="0"/>
              <w:snapToGrid w:val="0"/>
              <w:spacing w:line="360" w:lineRule="auto"/>
              <w:jc w:val="center"/>
              <w:rPr>
                <w:rFonts w:ascii="宋体" w:hAnsi="宋体" w:cs="宋体"/>
                <w:szCs w:val="21"/>
              </w:rPr>
            </w:pPr>
          </w:p>
        </w:tc>
      </w:tr>
      <w:tr w14:paraId="10AC5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1" w:type="dxa"/>
            <w:vAlign w:val="center"/>
          </w:tcPr>
          <w:p w14:paraId="0F49BF87">
            <w:pPr>
              <w:adjustRightInd w:val="0"/>
              <w:snapToGrid w:val="0"/>
              <w:spacing w:line="360" w:lineRule="auto"/>
              <w:jc w:val="center"/>
              <w:rPr>
                <w:rFonts w:hint="eastAsia" w:ascii="宋体" w:hAnsi="宋体" w:eastAsia="宋体" w:cs="宋体"/>
                <w:szCs w:val="21"/>
                <w:lang w:eastAsia="zh-CN"/>
              </w:rPr>
            </w:pPr>
            <w:r>
              <w:rPr>
                <w:rFonts w:hint="eastAsia" w:ascii="宋体" w:hAnsi="宋体" w:cs="宋体"/>
                <w:szCs w:val="21"/>
                <w:lang w:val="en-US" w:eastAsia="zh-CN"/>
              </w:rPr>
              <w:t>3</w:t>
            </w:r>
          </w:p>
        </w:tc>
        <w:tc>
          <w:tcPr>
            <w:tcW w:w="3298" w:type="dxa"/>
            <w:vAlign w:val="center"/>
          </w:tcPr>
          <w:p w14:paraId="265EDA50">
            <w:pPr>
              <w:spacing w:line="440" w:lineRule="exact"/>
              <w:jc w:val="center"/>
              <w:rPr>
                <w:rFonts w:ascii="宋体" w:hAnsi="宋体" w:cs="宋体"/>
                <w:szCs w:val="21"/>
              </w:rPr>
            </w:pPr>
            <w:r>
              <w:rPr>
                <w:rFonts w:hint="eastAsia" w:ascii="宋体" w:hAnsi="宋体" w:cs="宋体"/>
                <w:szCs w:val="21"/>
              </w:rPr>
              <w:t>工期</w:t>
            </w:r>
          </w:p>
        </w:tc>
        <w:tc>
          <w:tcPr>
            <w:tcW w:w="2808" w:type="dxa"/>
            <w:vAlign w:val="center"/>
          </w:tcPr>
          <w:p w14:paraId="6ADD985E">
            <w:pPr>
              <w:adjustRightInd w:val="0"/>
              <w:snapToGrid w:val="0"/>
              <w:spacing w:line="360" w:lineRule="auto"/>
              <w:jc w:val="center"/>
              <w:rPr>
                <w:rFonts w:ascii="宋体" w:hAnsi="宋体" w:cs="宋体"/>
                <w:szCs w:val="21"/>
              </w:rPr>
            </w:pPr>
          </w:p>
        </w:tc>
        <w:tc>
          <w:tcPr>
            <w:tcW w:w="1530" w:type="dxa"/>
            <w:vAlign w:val="center"/>
          </w:tcPr>
          <w:p w14:paraId="08E5EA4D">
            <w:pPr>
              <w:adjustRightInd w:val="0"/>
              <w:snapToGrid w:val="0"/>
              <w:spacing w:line="360" w:lineRule="auto"/>
              <w:jc w:val="center"/>
              <w:rPr>
                <w:rFonts w:ascii="宋体" w:hAnsi="宋体" w:cs="宋体"/>
                <w:szCs w:val="21"/>
              </w:rPr>
            </w:pPr>
          </w:p>
        </w:tc>
      </w:tr>
      <w:tr w14:paraId="2E09C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1" w:type="dxa"/>
            <w:vAlign w:val="center"/>
          </w:tcPr>
          <w:p w14:paraId="3F676B6C">
            <w:pPr>
              <w:adjustRightInd w:val="0"/>
              <w:snapToGrid w:val="0"/>
              <w:spacing w:line="360" w:lineRule="auto"/>
              <w:jc w:val="center"/>
              <w:rPr>
                <w:rFonts w:hint="eastAsia" w:ascii="宋体" w:hAnsi="宋体" w:eastAsia="宋体" w:cs="宋体"/>
                <w:szCs w:val="21"/>
                <w:lang w:eastAsia="zh-CN"/>
              </w:rPr>
            </w:pPr>
            <w:r>
              <w:rPr>
                <w:rFonts w:hint="eastAsia" w:ascii="宋体" w:hAnsi="宋体" w:cs="宋体"/>
                <w:szCs w:val="21"/>
                <w:lang w:val="en-US" w:eastAsia="zh-CN"/>
              </w:rPr>
              <w:t>4</w:t>
            </w:r>
          </w:p>
        </w:tc>
        <w:tc>
          <w:tcPr>
            <w:tcW w:w="3298" w:type="dxa"/>
            <w:vAlign w:val="center"/>
          </w:tcPr>
          <w:p w14:paraId="6F3984C2">
            <w:pPr>
              <w:spacing w:line="440" w:lineRule="exact"/>
              <w:jc w:val="center"/>
              <w:rPr>
                <w:rFonts w:ascii="宋体" w:hAnsi="宋体" w:cs="宋体"/>
                <w:szCs w:val="21"/>
              </w:rPr>
            </w:pPr>
            <w:r>
              <w:rPr>
                <w:rFonts w:hint="eastAsia" w:ascii="宋体" w:hAnsi="宋体" w:cs="宋体"/>
                <w:szCs w:val="21"/>
              </w:rPr>
              <w:t>质量标准</w:t>
            </w:r>
          </w:p>
        </w:tc>
        <w:tc>
          <w:tcPr>
            <w:tcW w:w="2808" w:type="dxa"/>
            <w:vAlign w:val="center"/>
          </w:tcPr>
          <w:p w14:paraId="3D565878">
            <w:pPr>
              <w:adjustRightInd w:val="0"/>
              <w:snapToGrid w:val="0"/>
              <w:spacing w:line="360" w:lineRule="auto"/>
              <w:jc w:val="center"/>
              <w:rPr>
                <w:rFonts w:ascii="宋体" w:hAnsi="宋体" w:cs="宋体"/>
                <w:szCs w:val="21"/>
              </w:rPr>
            </w:pPr>
          </w:p>
        </w:tc>
        <w:tc>
          <w:tcPr>
            <w:tcW w:w="1530" w:type="dxa"/>
            <w:vAlign w:val="center"/>
          </w:tcPr>
          <w:p w14:paraId="1756EC07">
            <w:pPr>
              <w:adjustRightInd w:val="0"/>
              <w:snapToGrid w:val="0"/>
              <w:spacing w:line="360" w:lineRule="auto"/>
              <w:jc w:val="center"/>
              <w:rPr>
                <w:rFonts w:ascii="宋体" w:hAnsi="宋体" w:cs="宋体"/>
                <w:szCs w:val="21"/>
              </w:rPr>
            </w:pPr>
          </w:p>
        </w:tc>
      </w:tr>
      <w:tr w14:paraId="5EA1A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1" w:type="dxa"/>
            <w:vAlign w:val="center"/>
          </w:tcPr>
          <w:p w14:paraId="59D53A9E">
            <w:pPr>
              <w:adjustRightInd w:val="0"/>
              <w:snapToGrid w:val="0"/>
              <w:spacing w:line="360" w:lineRule="auto"/>
              <w:jc w:val="center"/>
              <w:rPr>
                <w:rFonts w:ascii="宋体" w:hAnsi="宋体" w:cs="宋体"/>
                <w:szCs w:val="21"/>
              </w:rPr>
            </w:pPr>
            <w:r>
              <w:rPr>
                <w:rFonts w:hint="eastAsia" w:ascii="宋体" w:hAnsi="宋体" w:cs="宋体"/>
                <w:szCs w:val="21"/>
              </w:rPr>
              <w:t>……</w:t>
            </w:r>
          </w:p>
        </w:tc>
        <w:tc>
          <w:tcPr>
            <w:tcW w:w="3298" w:type="dxa"/>
            <w:vAlign w:val="center"/>
          </w:tcPr>
          <w:p w14:paraId="13DF9129">
            <w:pPr>
              <w:adjustRightInd w:val="0"/>
              <w:snapToGrid w:val="0"/>
              <w:spacing w:line="360" w:lineRule="auto"/>
              <w:jc w:val="center"/>
              <w:rPr>
                <w:rFonts w:ascii="宋体" w:hAnsi="宋体" w:cs="宋体"/>
                <w:szCs w:val="21"/>
              </w:rPr>
            </w:pPr>
            <w:r>
              <w:rPr>
                <w:rFonts w:hint="eastAsia" w:ascii="宋体" w:hAnsi="宋体" w:cs="宋体"/>
                <w:szCs w:val="21"/>
              </w:rPr>
              <w:t>……</w:t>
            </w:r>
          </w:p>
        </w:tc>
        <w:tc>
          <w:tcPr>
            <w:tcW w:w="2808" w:type="dxa"/>
            <w:vAlign w:val="center"/>
          </w:tcPr>
          <w:p w14:paraId="0C015EF8">
            <w:pPr>
              <w:adjustRightInd w:val="0"/>
              <w:snapToGrid w:val="0"/>
              <w:spacing w:line="360" w:lineRule="auto"/>
              <w:jc w:val="center"/>
              <w:rPr>
                <w:rFonts w:ascii="宋体" w:hAnsi="宋体" w:cs="宋体"/>
                <w:szCs w:val="21"/>
              </w:rPr>
            </w:pPr>
            <w:r>
              <w:rPr>
                <w:rFonts w:hint="eastAsia" w:ascii="宋体" w:hAnsi="宋体" w:cs="宋体"/>
                <w:szCs w:val="21"/>
              </w:rPr>
              <w:t>......</w:t>
            </w:r>
          </w:p>
        </w:tc>
        <w:tc>
          <w:tcPr>
            <w:tcW w:w="1530" w:type="dxa"/>
            <w:vAlign w:val="center"/>
          </w:tcPr>
          <w:p w14:paraId="184DF2AD">
            <w:pPr>
              <w:adjustRightInd w:val="0"/>
              <w:snapToGrid w:val="0"/>
              <w:spacing w:line="360" w:lineRule="auto"/>
              <w:jc w:val="center"/>
              <w:rPr>
                <w:rFonts w:ascii="宋体" w:hAnsi="宋体" w:cs="宋体"/>
                <w:szCs w:val="21"/>
              </w:rPr>
            </w:pPr>
          </w:p>
        </w:tc>
      </w:tr>
    </w:tbl>
    <w:p w14:paraId="3D8B990B">
      <w:pPr>
        <w:spacing w:line="440" w:lineRule="exact"/>
        <w:ind w:left="3040"/>
        <w:rPr>
          <w:rFonts w:ascii="宋体" w:hAnsi="宋体"/>
          <w:sz w:val="20"/>
        </w:rPr>
      </w:pPr>
    </w:p>
    <w:p w14:paraId="55E9235D">
      <w:pPr>
        <w:spacing w:line="440" w:lineRule="exact"/>
        <w:rPr>
          <w:rFonts w:ascii="宋体" w:hAnsi="宋体"/>
          <w:sz w:val="20"/>
        </w:rPr>
      </w:pPr>
    </w:p>
    <w:p w14:paraId="327556D9">
      <w:pPr>
        <w:spacing w:line="440" w:lineRule="exact"/>
        <w:rPr>
          <w:rFonts w:ascii="宋体" w:hAnsi="宋体"/>
          <w:sz w:val="20"/>
        </w:rPr>
      </w:pPr>
    </w:p>
    <w:p w14:paraId="0BA58867">
      <w:pPr>
        <w:jc w:val="center"/>
        <w:rPr>
          <w:rFonts w:ascii="宋体" w:hAnsi="宋体"/>
          <w:szCs w:val="21"/>
        </w:rPr>
      </w:pPr>
    </w:p>
    <w:p w14:paraId="1F8E1B7B">
      <w:pPr>
        <w:spacing w:line="440" w:lineRule="exact"/>
        <w:rPr>
          <w:rFonts w:ascii="宋体" w:hAnsi="宋体"/>
          <w:szCs w:val="21"/>
        </w:rPr>
      </w:pPr>
    </w:p>
    <w:p w14:paraId="07F71145">
      <w:pPr>
        <w:spacing w:line="440" w:lineRule="exact"/>
        <w:rPr>
          <w:rFonts w:ascii="宋体" w:hAnsi="宋体"/>
          <w:szCs w:val="21"/>
        </w:rPr>
      </w:pPr>
    </w:p>
    <w:p w14:paraId="037F302C">
      <w:pPr>
        <w:spacing w:line="440" w:lineRule="exact"/>
        <w:rPr>
          <w:rFonts w:ascii="宋体" w:hAnsi="宋体"/>
          <w:szCs w:val="21"/>
        </w:rPr>
      </w:pPr>
    </w:p>
    <w:p w14:paraId="08492E9D">
      <w:pPr>
        <w:spacing w:line="440" w:lineRule="exact"/>
        <w:rPr>
          <w:rFonts w:ascii="宋体" w:hAnsi="宋体"/>
          <w:szCs w:val="21"/>
        </w:rPr>
      </w:pPr>
    </w:p>
    <w:p w14:paraId="072341F6">
      <w:pPr>
        <w:spacing w:line="440" w:lineRule="exact"/>
        <w:rPr>
          <w:rFonts w:ascii="宋体" w:hAnsi="宋体"/>
          <w:szCs w:val="21"/>
        </w:rPr>
      </w:pPr>
    </w:p>
    <w:p w14:paraId="3085D213">
      <w:pPr>
        <w:spacing w:line="440" w:lineRule="exact"/>
        <w:rPr>
          <w:rFonts w:ascii="宋体" w:hAnsi="宋体"/>
          <w:szCs w:val="21"/>
        </w:rPr>
      </w:pPr>
    </w:p>
    <w:p w14:paraId="5A25566E">
      <w:pPr>
        <w:spacing w:line="440" w:lineRule="exact"/>
        <w:rPr>
          <w:rFonts w:ascii="宋体" w:hAnsi="宋体"/>
          <w:szCs w:val="21"/>
        </w:rPr>
      </w:pPr>
    </w:p>
    <w:p w14:paraId="40F83E0B">
      <w:pPr>
        <w:spacing w:line="440" w:lineRule="exact"/>
        <w:rPr>
          <w:rFonts w:ascii="宋体" w:hAnsi="宋体"/>
          <w:szCs w:val="21"/>
        </w:rPr>
      </w:pPr>
    </w:p>
    <w:p w14:paraId="3A0D9550">
      <w:pPr>
        <w:spacing w:line="440" w:lineRule="exact"/>
        <w:rPr>
          <w:rFonts w:ascii="宋体" w:hAnsi="宋体"/>
          <w:szCs w:val="21"/>
        </w:rPr>
      </w:pPr>
    </w:p>
    <w:p w14:paraId="619FD111">
      <w:pPr>
        <w:spacing w:line="440" w:lineRule="exact"/>
        <w:rPr>
          <w:rFonts w:ascii="宋体" w:hAnsi="宋体"/>
          <w:szCs w:val="21"/>
        </w:rPr>
      </w:pPr>
    </w:p>
    <w:p w14:paraId="174775C5">
      <w:pPr>
        <w:spacing w:line="440" w:lineRule="exact"/>
        <w:rPr>
          <w:rFonts w:ascii="宋体" w:hAnsi="宋体"/>
          <w:szCs w:val="21"/>
        </w:rPr>
      </w:pPr>
    </w:p>
    <w:p w14:paraId="7B1E34C0">
      <w:pPr>
        <w:spacing w:line="440" w:lineRule="exact"/>
        <w:rPr>
          <w:rFonts w:ascii="宋体" w:hAnsi="宋体"/>
          <w:szCs w:val="21"/>
        </w:rPr>
      </w:pPr>
    </w:p>
    <w:p w14:paraId="3EDCB93D">
      <w:pPr>
        <w:spacing w:line="440" w:lineRule="exact"/>
        <w:rPr>
          <w:rFonts w:ascii="宋体" w:hAnsi="宋体"/>
          <w:szCs w:val="21"/>
        </w:rPr>
      </w:pPr>
    </w:p>
    <w:p w14:paraId="0B642F38">
      <w:pPr>
        <w:spacing w:line="440" w:lineRule="exact"/>
        <w:rPr>
          <w:rFonts w:ascii="宋体" w:hAnsi="宋体"/>
          <w:szCs w:val="21"/>
        </w:rPr>
      </w:pPr>
    </w:p>
    <w:p w14:paraId="22696D31">
      <w:pPr>
        <w:spacing w:line="440" w:lineRule="exact"/>
        <w:rPr>
          <w:rFonts w:ascii="宋体" w:hAnsi="宋体"/>
          <w:szCs w:val="21"/>
        </w:rPr>
      </w:pPr>
    </w:p>
    <w:p w14:paraId="7FD56770">
      <w:pPr>
        <w:spacing w:line="440" w:lineRule="exact"/>
        <w:rPr>
          <w:rFonts w:ascii="宋体" w:hAnsi="宋体"/>
          <w:szCs w:val="21"/>
        </w:rPr>
      </w:pPr>
    </w:p>
    <w:p w14:paraId="18B38BD1">
      <w:pPr>
        <w:pStyle w:val="62"/>
      </w:pPr>
    </w:p>
    <w:p w14:paraId="609B31A8">
      <w:pPr>
        <w:spacing w:line="440" w:lineRule="exact"/>
        <w:rPr>
          <w:rFonts w:ascii="宋体" w:hAnsi="宋体"/>
          <w:szCs w:val="21"/>
        </w:rPr>
      </w:pPr>
    </w:p>
    <w:p w14:paraId="7DB213E1">
      <w:pPr>
        <w:spacing w:line="440" w:lineRule="exact"/>
        <w:rPr>
          <w:rFonts w:ascii="宋体" w:hAnsi="宋体"/>
          <w:sz w:val="20"/>
        </w:rPr>
      </w:pPr>
    </w:p>
    <w:p w14:paraId="66EB0620">
      <w:pPr>
        <w:pStyle w:val="5"/>
        <w:spacing w:before="157"/>
        <w:ind w:left="0" w:firstLine="0"/>
        <w:jc w:val="center"/>
        <w:rPr>
          <w:rFonts w:hAnsi="宋体"/>
        </w:rPr>
      </w:pPr>
      <w:bookmarkStart w:id="2260" w:name="_Toc300835213"/>
      <w:bookmarkStart w:id="2261" w:name="_Toc152045791"/>
      <w:bookmarkStart w:id="2262" w:name="_Toc144974860"/>
      <w:bookmarkStart w:id="2263" w:name="_Toc247527831"/>
      <w:bookmarkStart w:id="2264" w:name="_Toc152042580"/>
      <w:bookmarkStart w:id="2265" w:name="_Toc22614"/>
      <w:bookmarkStart w:id="2266" w:name="_Toc247514283"/>
      <w:bookmarkStart w:id="2267" w:name="_Toc451244240"/>
    </w:p>
    <w:p w14:paraId="7E1E8EC1">
      <w:pPr>
        <w:pStyle w:val="5"/>
        <w:spacing w:before="157"/>
        <w:ind w:left="0" w:firstLine="0"/>
        <w:jc w:val="center"/>
        <w:rPr>
          <w:rFonts w:hAnsi="宋体"/>
        </w:rPr>
      </w:pPr>
      <w:r>
        <w:rPr>
          <w:rFonts w:hAnsi="宋体"/>
        </w:rPr>
        <w:t>二、法定代表人身份证明</w:t>
      </w:r>
      <w:bookmarkEnd w:id="2260"/>
      <w:bookmarkEnd w:id="2261"/>
      <w:bookmarkEnd w:id="2262"/>
      <w:bookmarkEnd w:id="2263"/>
      <w:bookmarkEnd w:id="2264"/>
      <w:bookmarkEnd w:id="2265"/>
      <w:bookmarkEnd w:id="2266"/>
      <w:bookmarkEnd w:id="2267"/>
    </w:p>
    <w:p w14:paraId="2AD4D1B3">
      <w:pPr>
        <w:spacing w:line="440" w:lineRule="exact"/>
        <w:rPr>
          <w:rFonts w:ascii="宋体" w:hAnsi="宋体"/>
          <w:sz w:val="20"/>
        </w:rPr>
      </w:pPr>
    </w:p>
    <w:p w14:paraId="62744B37">
      <w:pPr>
        <w:spacing w:line="440" w:lineRule="exact"/>
        <w:rPr>
          <w:rFonts w:ascii="宋体" w:hAnsi="宋体"/>
          <w:szCs w:val="21"/>
        </w:rPr>
      </w:pPr>
    </w:p>
    <w:p w14:paraId="707F5CD2">
      <w:pPr>
        <w:spacing w:line="440" w:lineRule="exact"/>
        <w:rPr>
          <w:rFonts w:ascii="宋体" w:hAnsi="宋体"/>
          <w:szCs w:val="21"/>
        </w:rPr>
      </w:pPr>
      <w:r>
        <w:rPr>
          <w:rFonts w:ascii="宋体" w:hAnsi="宋体"/>
          <w:szCs w:val="21"/>
        </w:rPr>
        <w:t>投标人名称：</w:t>
      </w:r>
      <w:r>
        <w:rPr>
          <w:rFonts w:ascii="宋体" w:hAnsi="宋体"/>
          <w:szCs w:val="21"/>
          <w:u w:val="single"/>
        </w:rPr>
        <w:t xml:space="preserve">                             </w:t>
      </w:r>
      <w:r>
        <w:rPr>
          <w:rFonts w:ascii="宋体" w:hAnsi="宋体"/>
          <w:szCs w:val="21"/>
        </w:rPr>
        <w:t xml:space="preserve"> </w:t>
      </w:r>
    </w:p>
    <w:p w14:paraId="6AB75E20">
      <w:pPr>
        <w:spacing w:line="440" w:lineRule="exact"/>
        <w:rPr>
          <w:rFonts w:ascii="宋体" w:hAnsi="宋体"/>
          <w:szCs w:val="21"/>
        </w:rPr>
      </w:pPr>
      <w:r>
        <w:rPr>
          <w:rFonts w:ascii="宋体" w:hAnsi="宋体"/>
          <w:szCs w:val="21"/>
        </w:rPr>
        <w:t>单位性质：</w:t>
      </w:r>
      <w:r>
        <w:rPr>
          <w:rFonts w:ascii="宋体" w:hAnsi="宋体"/>
          <w:szCs w:val="21"/>
          <w:u w:val="single"/>
        </w:rPr>
        <w:t xml:space="preserve">                               </w:t>
      </w:r>
      <w:r>
        <w:rPr>
          <w:rFonts w:ascii="宋体" w:hAnsi="宋体"/>
          <w:szCs w:val="21"/>
        </w:rPr>
        <w:t xml:space="preserve"> </w:t>
      </w:r>
    </w:p>
    <w:p w14:paraId="55C78FB5">
      <w:pPr>
        <w:spacing w:line="440" w:lineRule="exact"/>
        <w:rPr>
          <w:rFonts w:ascii="宋体" w:hAnsi="宋体"/>
          <w:szCs w:val="21"/>
        </w:rPr>
      </w:pPr>
      <w:r>
        <w:rPr>
          <w:rFonts w:ascii="宋体" w:hAnsi="宋体"/>
          <w:szCs w:val="21"/>
        </w:rPr>
        <w:t>地址：</w:t>
      </w:r>
      <w:r>
        <w:rPr>
          <w:rFonts w:ascii="宋体" w:hAnsi="宋体"/>
          <w:szCs w:val="21"/>
          <w:u w:val="single"/>
        </w:rPr>
        <w:t xml:space="preserve">                                   </w:t>
      </w:r>
    </w:p>
    <w:p w14:paraId="06E35E31">
      <w:pPr>
        <w:spacing w:line="440" w:lineRule="exact"/>
        <w:rPr>
          <w:rFonts w:ascii="宋体" w:hAnsi="宋体"/>
          <w:szCs w:val="21"/>
        </w:rPr>
      </w:pPr>
      <w:r>
        <w:rPr>
          <w:rFonts w:ascii="宋体" w:hAnsi="宋体"/>
          <w:szCs w:val="21"/>
        </w:rPr>
        <w:t>成立时间：</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14:paraId="3322C101">
      <w:pPr>
        <w:spacing w:line="440" w:lineRule="exact"/>
        <w:rPr>
          <w:rFonts w:ascii="宋体" w:hAnsi="宋体"/>
          <w:szCs w:val="21"/>
        </w:rPr>
      </w:pPr>
      <w:r>
        <w:rPr>
          <w:rFonts w:ascii="宋体" w:hAnsi="宋体"/>
          <w:szCs w:val="21"/>
        </w:rPr>
        <w:t>经营期限：</w:t>
      </w:r>
      <w:r>
        <w:rPr>
          <w:rFonts w:ascii="宋体" w:hAnsi="宋体"/>
          <w:szCs w:val="21"/>
          <w:u w:val="single"/>
        </w:rPr>
        <w:t xml:space="preserve">                               </w:t>
      </w:r>
    </w:p>
    <w:p w14:paraId="215F53D9">
      <w:pPr>
        <w:spacing w:line="440" w:lineRule="exact"/>
        <w:rPr>
          <w:rFonts w:ascii="宋体" w:hAnsi="宋体"/>
          <w:szCs w:val="21"/>
        </w:rPr>
      </w:pPr>
      <w:r>
        <w:rPr>
          <w:rFonts w:ascii="宋体" w:hAnsi="宋体"/>
          <w:szCs w:val="21"/>
        </w:rPr>
        <w:t>姓名：</w:t>
      </w:r>
      <w:r>
        <w:rPr>
          <w:rFonts w:ascii="宋体" w:hAnsi="宋体"/>
          <w:szCs w:val="21"/>
          <w:u w:val="single"/>
        </w:rPr>
        <w:t xml:space="preserve">        </w:t>
      </w:r>
      <w:r>
        <w:rPr>
          <w:rFonts w:ascii="宋体" w:hAnsi="宋体"/>
          <w:szCs w:val="21"/>
        </w:rPr>
        <w:t xml:space="preserve"> 性别：</w:t>
      </w:r>
      <w:r>
        <w:rPr>
          <w:rFonts w:ascii="宋体" w:hAnsi="宋体"/>
          <w:szCs w:val="21"/>
          <w:u w:val="single"/>
        </w:rPr>
        <w:t xml:space="preserve">         </w:t>
      </w:r>
      <w:r>
        <w:rPr>
          <w:rFonts w:ascii="宋体" w:hAnsi="宋体"/>
          <w:szCs w:val="21"/>
        </w:rPr>
        <w:t xml:space="preserve"> 年龄：</w:t>
      </w:r>
      <w:r>
        <w:rPr>
          <w:rFonts w:ascii="宋体" w:hAnsi="宋体"/>
          <w:szCs w:val="21"/>
          <w:u w:val="single"/>
        </w:rPr>
        <w:t xml:space="preserve">        </w:t>
      </w:r>
      <w:r>
        <w:rPr>
          <w:rFonts w:ascii="宋体" w:hAnsi="宋体"/>
          <w:szCs w:val="21"/>
        </w:rPr>
        <w:t>职务：</w:t>
      </w:r>
      <w:r>
        <w:rPr>
          <w:rFonts w:ascii="宋体" w:hAnsi="宋体"/>
          <w:szCs w:val="21"/>
          <w:u w:val="single"/>
        </w:rPr>
        <w:t xml:space="preserve">        </w:t>
      </w:r>
    </w:p>
    <w:p w14:paraId="245EF6FE">
      <w:pPr>
        <w:spacing w:line="440" w:lineRule="exact"/>
        <w:rPr>
          <w:rFonts w:ascii="宋体" w:hAnsi="宋体"/>
          <w:szCs w:val="21"/>
        </w:rPr>
      </w:pPr>
      <w:r>
        <w:rPr>
          <w:rFonts w:ascii="宋体" w:hAnsi="宋体"/>
          <w:szCs w:val="21"/>
        </w:rPr>
        <w:t>系</w:t>
      </w:r>
      <w:r>
        <w:rPr>
          <w:rFonts w:ascii="宋体" w:hAnsi="宋体"/>
          <w:szCs w:val="21"/>
          <w:u w:val="single"/>
        </w:rPr>
        <w:t xml:space="preserve">                             </w:t>
      </w:r>
      <w:r>
        <w:rPr>
          <w:rFonts w:ascii="宋体" w:hAnsi="宋体"/>
          <w:szCs w:val="21"/>
        </w:rPr>
        <w:t xml:space="preserve"> </w:t>
      </w:r>
      <w:r>
        <w:rPr>
          <w:rFonts w:hint="eastAsia" w:ascii="宋体" w:hAnsi="宋体"/>
          <w:szCs w:val="21"/>
        </w:rPr>
        <w:t>（</w:t>
      </w:r>
      <w:r>
        <w:rPr>
          <w:rFonts w:ascii="宋体" w:hAnsi="宋体"/>
          <w:szCs w:val="21"/>
        </w:rPr>
        <w:t>投标人名称</w:t>
      </w:r>
      <w:r>
        <w:rPr>
          <w:rFonts w:hint="eastAsia" w:ascii="宋体" w:hAnsi="宋体"/>
          <w:szCs w:val="21"/>
        </w:rPr>
        <w:t>）</w:t>
      </w:r>
      <w:r>
        <w:rPr>
          <w:rFonts w:ascii="宋体" w:hAnsi="宋体"/>
          <w:szCs w:val="21"/>
        </w:rPr>
        <w:t>的法定代表人。</w:t>
      </w:r>
    </w:p>
    <w:p w14:paraId="3716857D">
      <w:pPr>
        <w:spacing w:line="440" w:lineRule="exact"/>
        <w:ind w:left="420"/>
        <w:rPr>
          <w:rFonts w:ascii="宋体" w:hAnsi="宋体"/>
          <w:szCs w:val="21"/>
        </w:rPr>
      </w:pPr>
      <w:r>
        <w:rPr>
          <w:rFonts w:ascii="宋体" w:hAnsi="宋体"/>
          <w:szCs w:val="21"/>
        </w:rPr>
        <w:t>特此证明。</w:t>
      </w:r>
    </w:p>
    <w:p w14:paraId="7BA19419">
      <w:pPr>
        <w:spacing w:line="440" w:lineRule="exact"/>
        <w:rPr>
          <w:rFonts w:ascii="宋体" w:hAnsi="宋体"/>
          <w:szCs w:val="21"/>
        </w:rPr>
      </w:pPr>
    </w:p>
    <w:p w14:paraId="510976E6">
      <w:pPr>
        <w:spacing w:line="440" w:lineRule="exact"/>
        <w:rPr>
          <w:rFonts w:ascii="宋体" w:hAnsi="宋体"/>
          <w:szCs w:val="21"/>
        </w:rPr>
      </w:pPr>
      <w:r>
        <w:rPr>
          <w:rFonts w:hint="eastAsia" w:ascii="宋体" w:hAnsi="宋体"/>
          <w:szCs w:val="21"/>
        </w:rPr>
        <w:t>附：法定代表人身份证复印件。</w:t>
      </w:r>
    </w:p>
    <w:p w14:paraId="43F3FAB3">
      <w:pPr>
        <w:spacing w:line="440" w:lineRule="exact"/>
        <w:rPr>
          <w:rFonts w:ascii="宋体" w:hAnsi="宋体"/>
          <w:szCs w:val="21"/>
        </w:rPr>
      </w:pPr>
    </w:p>
    <w:p w14:paraId="207F53D2">
      <w:pPr>
        <w:spacing w:line="440" w:lineRule="exact"/>
        <w:rPr>
          <w:rFonts w:ascii="宋体" w:hAnsi="宋体"/>
          <w:szCs w:val="21"/>
        </w:rPr>
      </w:pPr>
      <w:r>
        <w:rPr>
          <w:rFonts w:ascii="宋体" w:hAnsi="宋体"/>
          <w:szCs w:val="21"/>
        </w:rPr>
        <w:t xml:space="preserve">                          投标人：</w:t>
      </w:r>
      <w:r>
        <w:rPr>
          <w:rFonts w:ascii="宋体" w:hAnsi="宋体"/>
          <w:szCs w:val="21"/>
          <w:u w:val="single"/>
        </w:rPr>
        <w:t xml:space="preserve">                 </w:t>
      </w:r>
      <w:r>
        <w:rPr>
          <w:rFonts w:ascii="宋体" w:hAnsi="宋体"/>
          <w:szCs w:val="21"/>
        </w:rPr>
        <w:t>（</w:t>
      </w:r>
      <w:r>
        <w:rPr>
          <w:rFonts w:hint="eastAsia" w:ascii="宋体" w:hAnsi="宋体"/>
          <w:szCs w:val="21"/>
        </w:rPr>
        <w:t>盖章</w:t>
      </w:r>
      <w:r>
        <w:rPr>
          <w:rFonts w:ascii="宋体" w:hAnsi="宋体"/>
          <w:szCs w:val="21"/>
        </w:rPr>
        <w:t>）</w:t>
      </w:r>
    </w:p>
    <w:p w14:paraId="5323A4B5">
      <w:pPr>
        <w:spacing w:line="440" w:lineRule="exact"/>
        <w:rPr>
          <w:rFonts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 xml:space="preserve"> 日           </w:t>
      </w:r>
    </w:p>
    <w:p w14:paraId="7C6283B7">
      <w:pPr>
        <w:spacing w:line="360" w:lineRule="auto"/>
        <w:ind w:firstLine="3720" w:firstLineChars="1550"/>
        <w:rPr>
          <w:rFonts w:ascii="宋体" w:hAnsi="宋体"/>
          <w:sz w:val="24"/>
        </w:rPr>
      </w:pPr>
      <w:r>
        <w:rPr>
          <w:rFonts w:hint="eastAsia" w:ascii="宋体" w:hAnsi="宋体"/>
          <w:sz w:val="24"/>
        </w:rPr>
        <w:t>身份证</w:t>
      </w:r>
    </w:p>
    <w:tbl>
      <w:tblPr>
        <w:tblStyle w:val="73"/>
        <w:tblW w:w="8430" w:type="dxa"/>
        <w:jc w:val="center"/>
        <w:tblBorders>
          <w:top w:val="dotDotDash" w:color="auto" w:sz="4" w:space="0"/>
          <w:left w:val="dotDotDash" w:color="auto" w:sz="4" w:space="0"/>
          <w:bottom w:val="dotDotDash" w:color="auto" w:sz="4" w:space="0"/>
          <w:right w:val="dotDotDash"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430"/>
      </w:tblGrid>
      <w:tr w14:paraId="62B09605">
        <w:tblPrEx>
          <w:tblBorders>
            <w:top w:val="dotDotDash" w:color="auto" w:sz="4" w:space="0"/>
            <w:left w:val="dotDotDash" w:color="auto" w:sz="4" w:space="0"/>
            <w:bottom w:val="dotDotDash" w:color="auto" w:sz="4" w:space="0"/>
            <w:right w:val="dotDotDash" w:color="auto" w:sz="4" w:space="0"/>
            <w:insideH w:val="single" w:color="auto" w:sz="6" w:space="0"/>
            <w:insideV w:val="single" w:color="auto" w:sz="6" w:space="0"/>
          </w:tblBorders>
          <w:tblCellMar>
            <w:top w:w="0" w:type="dxa"/>
            <w:left w:w="108" w:type="dxa"/>
            <w:bottom w:w="0" w:type="dxa"/>
            <w:right w:w="108" w:type="dxa"/>
          </w:tblCellMar>
        </w:tblPrEx>
        <w:trPr>
          <w:trHeight w:val="4080" w:hRule="atLeast"/>
          <w:jc w:val="center"/>
        </w:trPr>
        <w:tc>
          <w:tcPr>
            <w:tcW w:w="8430" w:type="dxa"/>
            <w:vAlign w:val="center"/>
          </w:tcPr>
          <w:p w14:paraId="29B28A56">
            <w:pPr>
              <w:tabs>
                <w:tab w:val="left" w:pos="-840"/>
                <w:tab w:val="left" w:pos="3444"/>
              </w:tabs>
              <w:ind w:right="399"/>
              <w:jc w:val="center"/>
              <w:rPr>
                <w:rFonts w:ascii="宋体" w:hAnsi="宋体"/>
                <w:sz w:val="18"/>
                <w:szCs w:val="18"/>
              </w:rPr>
            </w:pPr>
            <w:r>
              <w:rPr>
                <w:rFonts w:hint="eastAsia" w:ascii="宋体" w:hAnsi="宋体"/>
                <w:sz w:val="18"/>
                <w:szCs w:val="18"/>
              </w:rPr>
              <w:t>法定代表人身份证双面复印件</w:t>
            </w:r>
          </w:p>
        </w:tc>
      </w:tr>
    </w:tbl>
    <w:p w14:paraId="47881055">
      <w:pPr>
        <w:rPr>
          <w:rFonts w:ascii="宋体" w:hAnsi="宋体"/>
          <w:sz w:val="20"/>
        </w:rPr>
      </w:pPr>
      <w:r>
        <w:rPr>
          <w:rFonts w:ascii="宋体" w:hAnsi="宋体"/>
          <w:sz w:val="20"/>
        </w:rPr>
        <w:br w:type="page"/>
      </w:r>
    </w:p>
    <w:p w14:paraId="36A18A4C">
      <w:pPr>
        <w:pStyle w:val="5"/>
        <w:spacing w:before="157"/>
        <w:ind w:left="0" w:firstLine="0"/>
        <w:jc w:val="center"/>
        <w:rPr>
          <w:rFonts w:hAnsi="宋体"/>
        </w:rPr>
      </w:pPr>
      <w:bookmarkStart w:id="2268" w:name="_Toc247527832"/>
      <w:bookmarkStart w:id="2269" w:name="_Toc300835214"/>
      <w:bookmarkStart w:id="2270" w:name="_Toc451244241"/>
      <w:bookmarkStart w:id="2271" w:name="_Toc14757"/>
      <w:bookmarkStart w:id="2272" w:name="_Toc152045792"/>
      <w:bookmarkStart w:id="2273" w:name="_Toc152042581"/>
      <w:bookmarkStart w:id="2274" w:name="_Toc144974861"/>
      <w:bookmarkStart w:id="2275" w:name="_Toc247514284"/>
      <w:r>
        <w:rPr>
          <w:rFonts w:hint="eastAsia" w:hAnsi="宋体"/>
        </w:rPr>
        <w:t>三</w:t>
      </w:r>
      <w:r>
        <w:rPr>
          <w:rFonts w:hAnsi="宋体"/>
        </w:rPr>
        <w:t>、法定代表人授权委托书</w:t>
      </w:r>
      <w:bookmarkEnd w:id="2268"/>
      <w:bookmarkEnd w:id="2269"/>
      <w:bookmarkEnd w:id="2270"/>
      <w:bookmarkEnd w:id="2271"/>
      <w:bookmarkEnd w:id="2272"/>
      <w:bookmarkEnd w:id="2273"/>
      <w:bookmarkEnd w:id="2274"/>
      <w:bookmarkEnd w:id="2275"/>
    </w:p>
    <w:p w14:paraId="6E825D39">
      <w:pPr>
        <w:spacing w:line="440" w:lineRule="exact"/>
        <w:rPr>
          <w:rFonts w:ascii="宋体" w:hAnsi="宋体"/>
          <w:szCs w:val="21"/>
        </w:rPr>
      </w:pPr>
    </w:p>
    <w:p w14:paraId="26F1BDAB">
      <w:pPr>
        <w:topLinePunct/>
        <w:spacing w:line="440" w:lineRule="exact"/>
        <w:ind w:firstLine="420" w:firstLineChars="200"/>
        <w:rPr>
          <w:rFonts w:ascii="宋体" w:hAnsi="宋体"/>
          <w:szCs w:val="21"/>
        </w:rPr>
      </w:pPr>
      <w:r>
        <w:rPr>
          <w:rFonts w:ascii="宋体" w:hAnsi="宋体"/>
          <w:szCs w:val="21"/>
        </w:rPr>
        <w:t>本人</w:t>
      </w:r>
      <w:r>
        <w:rPr>
          <w:rFonts w:ascii="宋体" w:hAnsi="宋体"/>
          <w:szCs w:val="21"/>
          <w:u w:val="single"/>
        </w:rPr>
        <w:t xml:space="preserve">       </w:t>
      </w:r>
      <w:r>
        <w:rPr>
          <w:rFonts w:ascii="宋体" w:hAnsi="宋体"/>
          <w:szCs w:val="21"/>
        </w:rPr>
        <w:t>（姓名）系</w:t>
      </w:r>
      <w:r>
        <w:rPr>
          <w:rFonts w:ascii="宋体" w:hAnsi="宋体"/>
          <w:szCs w:val="21"/>
          <w:u w:val="single"/>
        </w:rPr>
        <w:t xml:space="preserve">        </w:t>
      </w:r>
      <w:r>
        <w:rPr>
          <w:rFonts w:ascii="宋体" w:hAnsi="宋体"/>
          <w:szCs w:val="21"/>
        </w:rPr>
        <w:t>（投标人名称）的法定代表人，现委托</w:t>
      </w:r>
      <w:r>
        <w:rPr>
          <w:rFonts w:ascii="宋体" w:hAnsi="宋体"/>
          <w:szCs w:val="21"/>
          <w:u w:val="single"/>
        </w:rPr>
        <w:t xml:space="preserve">        </w:t>
      </w:r>
      <w:r>
        <w:rPr>
          <w:rFonts w:ascii="宋体" w:hAnsi="宋体"/>
          <w:szCs w:val="21"/>
        </w:rPr>
        <w:t>（姓名）为我方代理人。代理人根据授权，以我方名义签署、澄清</w:t>
      </w:r>
      <w:r>
        <w:rPr>
          <w:rFonts w:hint="eastAsia" w:ascii="宋体" w:hAnsi="宋体"/>
          <w:szCs w:val="21"/>
        </w:rPr>
        <w:t>、说明、补正</w:t>
      </w:r>
      <w:r>
        <w:rPr>
          <w:rFonts w:ascii="宋体" w:hAnsi="宋体"/>
          <w:szCs w:val="21"/>
        </w:rPr>
        <w:t>、递交、撤回、修改</w:t>
      </w:r>
      <w:r>
        <w:rPr>
          <w:rFonts w:ascii="宋体" w:hAnsi="宋体"/>
          <w:szCs w:val="21"/>
          <w:u w:val="single"/>
        </w:rPr>
        <w:t xml:space="preserve">           </w:t>
      </w:r>
      <w:r>
        <w:rPr>
          <w:rFonts w:ascii="宋体" w:hAnsi="宋体"/>
          <w:szCs w:val="21"/>
        </w:rPr>
        <w:t>（项目名称）投标文件、签订合同和处理有关事宜，其法律后果由我方承担。</w:t>
      </w:r>
    </w:p>
    <w:p w14:paraId="51BCB3BA">
      <w:pPr>
        <w:spacing w:line="440" w:lineRule="exact"/>
        <w:rPr>
          <w:rFonts w:ascii="宋体" w:hAnsi="宋体"/>
          <w:szCs w:val="21"/>
        </w:rPr>
      </w:pPr>
      <w:r>
        <w:rPr>
          <w:rFonts w:ascii="宋体" w:hAnsi="宋体"/>
          <w:szCs w:val="21"/>
        </w:rPr>
        <w:t xml:space="preserve">    委托期限：</w:t>
      </w:r>
      <w:r>
        <w:rPr>
          <w:rFonts w:ascii="宋体" w:hAnsi="宋体"/>
          <w:szCs w:val="21"/>
          <w:u w:val="single"/>
        </w:rPr>
        <w:t xml:space="preserve">             </w:t>
      </w:r>
      <w:r>
        <w:rPr>
          <w:rFonts w:hint="eastAsia" w:ascii="宋体" w:hAnsi="宋体"/>
          <w:szCs w:val="21"/>
        </w:rPr>
        <w:t>。</w:t>
      </w:r>
    </w:p>
    <w:p w14:paraId="0BEBC086">
      <w:pPr>
        <w:spacing w:line="440" w:lineRule="exact"/>
        <w:ind w:left="420"/>
        <w:rPr>
          <w:rFonts w:ascii="宋体" w:hAnsi="宋体"/>
          <w:szCs w:val="21"/>
        </w:rPr>
      </w:pPr>
      <w:r>
        <w:rPr>
          <w:rFonts w:ascii="宋体" w:hAnsi="宋体"/>
          <w:szCs w:val="21"/>
        </w:rPr>
        <w:t>代理人无转委托权。</w:t>
      </w:r>
    </w:p>
    <w:p w14:paraId="396C805C">
      <w:pPr>
        <w:spacing w:line="440" w:lineRule="exact"/>
        <w:ind w:left="420"/>
        <w:rPr>
          <w:rFonts w:ascii="宋体" w:hAnsi="宋体"/>
          <w:szCs w:val="21"/>
        </w:rPr>
      </w:pPr>
    </w:p>
    <w:p w14:paraId="38BA004E">
      <w:pPr>
        <w:spacing w:line="440" w:lineRule="exact"/>
        <w:rPr>
          <w:rFonts w:ascii="宋体" w:hAnsi="宋体"/>
          <w:szCs w:val="21"/>
        </w:rPr>
      </w:pPr>
    </w:p>
    <w:p w14:paraId="0E1480D1">
      <w:pPr>
        <w:spacing w:line="440" w:lineRule="exact"/>
        <w:rPr>
          <w:rFonts w:ascii="宋体" w:hAnsi="宋体"/>
          <w:szCs w:val="21"/>
        </w:rPr>
      </w:pPr>
    </w:p>
    <w:p w14:paraId="715ED786">
      <w:pPr>
        <w:spacing w:line="440" w:lineRule="exact"/>
        <w:rPr>
          <w:rFonts w:ascii="宋体" w:hAnsi="宋体"/>
          <w:szCs w:val="21"/>
        </w:rPr>
      </w:pPr>
      <w:r>
        <w:rPr>
          <w:rFonts w:ascii="宋体" w:hAnsi="宋体"/>
          <w:szCs w:val="21"/>
        </w:rPr>
        <w:t>投标人：</w:t>
      </w:r>
      <w:r>
        <w:rPr>
          <w:rFonts w:ascii="宋体" w:hAnsi="宋体"/>
          <w:szCs w:val="21"/>
          <w:u w:val="single"/>
        </w:rPr>
        <w:t xml:space="preserve">                               </w:t>
      </w:r>
      <w:r>
        <w:rPr>
          <w:rFonts w:ascii="宋体" w:hAnsi="宋体"/>
          <w:szCs w:val="21"/>
        </w:rPr>
        <w:t>（</w:t>
      </w:r>
      <w:r>
        <w:rPr>
          <w:rFonts w:hint="eastAsia" w:ascii="宋体" w:hAnsi="宋体"/>
          <w:szCs w:val="21"/>
        </w:rPr>
        <w:t>盖章</w:t>
      </w:r>
      <w:r>
        <w:rPr>
          <w:rFonts w:ascii="宋体" w:hAnsi="宋体"/>
          <w:szCs w:val="21"/>
        </w:rPr>
        <w:t>）</w:t>
      </w:r>
    </w:p>
    <w:p w14:paraId="07B331B2">
      <w:pPr>
        <w:spacing w:line="440" w:lineRule="exact"/>
        <w:rPr>
          <w:rFonts w:ascii="宋体" w:hAnsi="宋体"/>
          <w:szCs w:val="21"/>
        </w:rPr>
      </w:pPr>
    </w:p>
    <w:p w14:paraId="3B85B425">
      <w:pPr>
        <w:spacing w:line="440" w:lineRule="exact"/>
        <w:rPr>
          <w:rFonts w:ascii="宋体" w:hAnsi="宋体"/>
          <w:szCs w:val="21"/>
        </w:rPr>
      </w:pPr>
      <w:r>
        <w:rPr>
          <w:rFonts w:ascii="宋体" w:hAnsi="宋体"/>
          <w:szCs w:val="21"/>
        </w:rPr>
        <w:t>法定代表人：</w:t>
      </w:r>
      <w:r>
        <w:rPr>
          <w:rFonts w:ascii="宋体" w:hAnsi="宋体"/>
          <w:szCs w:val="21"/>
          <w:u w:val="single"/>
        </w:rPr>
        <w:t xml:space="preserve">                               </w:t>
      </w:r>
      <w:r>
        <w:rPr>
          <w:rFonts w:ascii="宋体" w:hAnsi="宋体"/>
          <w:szCs w:val="21"/>
        </w:rPr>
        <w:t>（</w:t>
      </w:r>
      <w:r>
        <w:rPr>
          <w:rFonts w:hint="eastAsia" w:ascii="宋体" w:hAnsi="宋体"/>
          <w:szCs w:val="21"/>
        </w:rPr>
        <w:t>签字</w:t>
      </w:r>
      <w:r>
        <w:rPr>
          <w:rFonts w:ascii="宋体" w:hAnsi="宋体"/>
          <w:szCs w:val="21"/>
        </w:rPr>
        <w:t>）</w:t>
      </w:r>
    </w:p>
    <w:p w14:paraId="7FF21C63">
      <w:pPr>
        <w:spacing w:line="440" w:lineRule="exact"/>
        <w:rPr>
          <w:rFonts w:ascii="宋体" w:hAnsi="宋体"/>
          <w:szCs w:val="21"/>
        </w:rPr>
      </w:pPr>
    </w:p>
    <w:p w14:paraId="6A0974B9">
      <w:pPr>
        <w:spacing w:line="440" w:lineRule="exact"/>
        <w:rPr>
          <w:rFonts w:ascii="宋体" w:hAnsi="宋体"/>
          <w:szCs w:val="21"/>
        </w:rPr>
      </w:pPr>
      <w:r>
        <w:rPr>
          <w:rFonts w:ascii="宋体" w:hAnsi="宋体"/>
          <w:szCs w:val="21"/>
        </w:rPr>
        <w:t>身份证号码：</w:t>
      </w:r>
      <w:r>
        <w:rPr>
          <w:rFonts w:ascii="宋体" w:hAnsi="宋体"/>
          <w:szCs w:val="21"/>
          <w:u w:val="single"/>
        </w:rPr>
        <w:t xml:space="preserve">                                     </w:t>
      </w:r>
    </w:p>
    <w:p w14:paraId="074B03B7">
      <w:pPr>
        <w:spacing w:line="440" w:lineRule="exact"/>
        <w:rPr>
          <w:rFonts w:ascii="宋体" w:hAnsi="宋体"/>
          <w:szCs w:val="21"/>
        </w:rPr>
      </w:pPr>
    </w:p>
    <w:p w14:paraId="6F769A8B">
      <w:pPr>
        <w:spacing w:line="440" w:lineRule="exact"/>
        <w:rPr>
          <w:rFonts w:ascii="宋体" w:hAnsi="宋体"/>
          <w:b/>
          <w:bCs/>
          <w:szCs w:val="21"/>
        </w:rPr>
      </w:pPr>
      <w:r>
        <w:rPr>
          <w:rFonts w:ascii="宋体" w:hAnsi="宋体"/>
          <w:b/>
          <w:bCs/>
          <w:szCs w:val="21"/>
        </w:rPr>
        <w:t>委托代理人：</w:t>
      </w:r>
      <w:r>
        <w:rPr>
          <w:rFonts w:ascii="宋体" w:hAnsi="宋体"/>
          <w:b/>
          <w:bCs/>
          <w:szCs w:val="21"/>
          <w:u w:val="single"/>
        </w:rPr>
        <w:t xml:space="preserve">                                   </w:t>
      </w:r>
      <w:r>
        <w:rPr>
          <w:rFonts w:ascii="宋体" w:hAnsi="宋体"/>
          <w:b/>
          <w:bCs/>
          <w:szCs w:val="21"/>
        </w:rPr>
        <w:t xml:space="preserve">（签字） </w:t>
      </w:r>
    </w:p>
    <w:p w14:paraId="2360BCE4">
      <w:pPr>
        <w:spacing w:line="440" w:lineRule="exact"/>
        <w:rPr>
          <w:rFonts w:ascii="宋体" w:hAnsi="宋体"/>
          <w:szCs w:val="21"/>
        </w:rPr>
      </w:pPr>
    </w:p>
    <w:p w14:paraId="6F5B3F15">
      <w:pPr>
        <w:spacing w:line="440" w:lineRule="exact"/>
        <w:rPr>
          <w:rFonts w:ascii="宋体" w:hAnsi="宋体"/>
          <w:szCs w:val="21"/>
          <w:u w:val="single"/>
        </w:rPr>
      </w:pPr>
      <w:r>
        <w:rPr>
          <w:rFonts w:ascii="宋体" w:hAnsi="宋体"/>
          <w:szCs w:val="21"/>
        </w:rPr>
        <w:t>身份证号码：</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784501C7">
      <w:pPr>
        <w:spacing w:line="440" w:lineRule="exact"/>
        <w:rPr>
          <w:rFonts w:ascii="宋体" w:hAnsi="宋体"/>
          <w:szCs w:val="21"/>
        </w:rPr>
      </w:pPr>
      <w:r>
        <w:rPr>
          <w:rFonts w:hint="eastAsia" w:ascii="宋体" w:hAnsi="宋体"/>
          <w:szCs w:val="21"/>
        </w:rPr>
        <w:t>附身份证复印件</w:t>
      </w:r>
    </w:p>
    <w:p w14:paraId="350060ED">
      <w:pPr>
        <w:spacing w:line="440" w:lineRule="exact"/>
        <w:rPr>
          <w:rFonts w:ascii="宋体" w:hAnsi="宋体"/>
          <w:szCs w:val="21"/>
        </w:rPr>
      </w:pPr>
    </w:p>
    <w:p w14:paraId="3D318E06">
      <w:pPr>
        <w:spacing w:line="440" w:lineRule="exact"/>
        <w:rPr>
          <w:rFonts w:ascii="宋体" w:hAnsi="宋体"/>
          <w:szCs w:val="21"/>
        </w:rPr>
      </w:pPr>
    </w:p>
    <w:p w14:paraId="406F156C">
      <w:pPr>
        <w:spacing w:line="440" w:lineRule="exact"/>
        <w:ind w:left="1575"/>
        <w:rPr>
          <w:rFonts w:ascii="宋体" w:hAnsi="宋体"/>
          <w:szCs w:val="21"/>
        </w:rPr>
      </w:pP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14:paraId="3C33EDDF">
      <w:pPr>
        <w:spacing w:line="360" w:lineRule="auto"/>
        <w:jc w:val="center"/>
        <w:rPr>
          <w:rFonts w:ascii="宋体" w:hAnsi="宋体"/>
          <w:sz w:val="24"/>
        </w:rPr>
      </w:pPr>
      <w:r>
        <w:rPr>
          <w:rFonts w:hint="eastAsia" w:ascii="宋体" w:hAnsi="宋体"/>
          <w:sz w:val="24"/>
        </w:rPr>
        <w:t>身份证</w:t>
      </w:r>
    </w:p>
    <w:tbl>
      <w:tblPr>
        <w:tblStyle w:val="73"/>
        <w:tblW w:w="8430" w:type="dxa"/>
        <w:jc w:val="center"/>
        <w:tblBorders>
          <w:top w:val="dotDotDash" w:color="auto" w:sz="4" w:space="0"/>
          <w:left w:val="dotDotDash" w:color="auto" w:sz="4" w:space="0"/>
          <w:bottom w:val="dotDotDash" w:color="auto" w:sz="4" w:space="0"/>
          <w:right w:val="dotDotDash"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430"/>
      </w:tblGrid>
      <w:tr w14:paraId="5EB164DD">
        <w:tblPrEx>
          <w:tblBorders>
            <w:top w:val="dotDotDash" w:color="auto" w:sz="4" w:space="0"/>
            <w:left w:val="dotDotDash" w:color="auto" w:sz="4" w:space="0"/>
            <w:bottom w:val="dotDotDash" w:color="auto" w:sz="4" w:space="0"/>
            <w:right w:val="dotDotDash" w:color="auto" w:sz="4" w:space="0"/>
            <w:insideH w:val="single" w:color="auto" w:sz="6" w:space="0"/>
            <w:insideV w:val="single" w:color="auto" w:sz="6" w:space="0"/>
          </w:tblBorders>
          <w:tblCellMar>
            <w:top w:w="0" w:type="dxa"/>
            <w:left w:w="108" w:type="dxa"/>
            <w:bottom w:w="0" w:type="dxa"/>
            <w:right w:w="108" w:type="dxa"/>
          </w:tblCellMar>
        </w:tblPrEx>
        <w:trPr>
          <w:trHeight w:val="2808" w:hRule="atLeast"/>
          <w:jc w:val="center"/>
        </w:trPr>
        <w:tc>
          <w:tcPr>
            <w:tcW w:w="8430" w:type="dxa"/>
            <w:vAlign w:val="center"/>
          </w:tcPr>
          <w:p w14:paraId="31F3D643">
            <w:pPr>
              <w:tabs>
                <w:tab w:val="left" w:pos="-840"/>
                <w:tab w:val="left" w:pos="3444"/>
              </w:tabs>
              <w:ind w:right="399"/>
              <w:jc w:val="center"/>
              <w:rPr>
                <w:rFonts w:ascii="宋体" w:hAnsi="宋体"/>
                <w:sz w:val="18"/>
                <w:szCs w:val="18"/>
              </w:rPr>
            </w:pPr>
            <w:r>
              <w:rPr>
                <w:rFonts w:hint="eastAsia" w:ascii="宋体" w:hAnsi="宋体"/>
                <w:sz w:val="18"/>
                <w:szCs w:val="18"/>
              </w:rPr>
              <w:t>授权代理人身份证双面复印件</w:t>
            </w:r>
          </w:p>
        </w:tc>
      </w:tr>
    </w:tbl>
    <w:p w14:paraId="35BD006E">
      <w:pPr>
        <w:rPr>
          <w:rFonts w:ascii="宋体" w:hAnsi="宋体"/>
          <w:sz w:val="20"/>
        </w:rPr>
      </w:pPr>
      <w:r>
        <w:rPr>
          <w:rFonts w:ascii="宋体" w:hAnsi="宋体"/>
          <w:sz w:val="20"/>
        </w:rPr>
        <w:br w:type="page"/>
      </w:r>
    </w:p>
    <w:p w14:paraId="6A7EC20B">
      <w:pPr>
        <w:pStyle w:val="5"/>
        <w:spacing w:before="157"/>
        <w:ind w:left="0" w:firstLine="0"/>
        <w:jc w:val="center"/>
        <w:rPr>
          <w:rFonts w:hAnsi="宋体"/>
          <w:szCs w:val="21"/>
        </w:rPr>
      </w:pPr>
      <w:bookmarkStart w:id="2276" w:name="_Toc247527833"/>
      <w:bookmarkStart w:id="2277" w:name="_Toc152042582"/>
      <w:bookmarkStart w:id="2278" w:name="_Toc300835215"/>
      <w:bookmarkStart w:id="2279" w:name="_Toc247514285"/>
      <w:bookmarkStart w:id="2280" w:name="_Toc152045793"/>
      <w:bookmarkStart w:id="2281" w:name="_Toc8316"/>
      <w:bookmarkStart w:id="2282" w:name="_Toc451244242"/>
      <w:r>
        <w:rPr>
          <w:rFonts w:hint="eastAsia" w:hAnsi="宋体"/>
          <w:lang w:val="en-US" w:eastAsia="zh-CN"/>
        </w:rPr>
        <w:t>四</w:t>
      </w:r>
      <w:r>
        <w:rPr>
          <w:rFonts w:hint="eastAsia" w:hAnsi="宋体"/>
        </w:rPr>
        <w:t>、</w:t>
      </w:r>
      <w:bookmarkEnd w:id="2276"/>
      <w:bookmarkEnd w:id="2277"/>
      <w:bookmarkEnd w:id="2278"/>
      <w:bookmarkEnd w:id="2279"/>
      <w:bookmarkEnd w:id="2280"/>
      <w:r>
        <w:rPr>
          <w:rFonts w:hint="eastAsia" w:hAnsi="宋体"/>
        </w:rPr>
        <w:t>投标单位资质证书</w:t>
      </w:r>
      <w:bookmarkEnd w:id="2281"/>
      <w:bookmarkEnd w:id="2282"/>
    </w:p>
    <w:p w14:paraId="36090903">
      <w:pPr>
        <w:ind w:left="2879"/>
        <w:rPr>
          <w:rFonts w:ascii="宋体" w:hAnsi="宋体"/>
        </w:rPr>
      </w:pPr>
    </w:p>
    <w:p w14:paraId="161F8193">
      <w:pPr>
        <w:ind w:left="2879"/>
        <w:rPr>
          <w:rFonts w:ascii="宋体" w:hAnsi="宋体"/>
          <w:b/>
          <w:bCs/>
        </w:rPr>
      </w:pPr>
      <w:r>
        <w:rPr>
          <w:rFonts w:hint="eastAsia" w:ascii="宋体" w:hAnsi="宋体"/>
          <w:szCs w:val="21"/>
        </w:rPr>
        <w:t xml:space="preserve">         附相关证明材料</w:t>
      </w:r>
      <w:bookmarkStart w:id="2283" w:name="_Toc474178528"/>
      <w:bookmarkStart w:id="2284" w:name="_Toc474178996"/>
      <w:bookmarkStart w:id="2285" w:name="_Toc300835219"/>
      <w:bookmarkStart w:id="2286" w:name="_Toc451244244"/>
      <w:bookmarkStart w:id="2287" w:name="_Toc474179232"/>
    </w:p>
    <w:p w14:paraId="39FAD9E2">
      <w:pPr>
        <w:pStyle w:val="5"/>
        <w:spacing w:before="157"/>
        <w:ind w:left="0" w:firstLine="0"/>
        <w:jc w:val="center"/>
        <w:rPr>
          <w:rFonts w:hint="default" w:hAnsi="宋体" w:eastAsia="宋体"/>
          <w:lang w:val="en-US" w:eastAsia="zh-CN"/>
        </w:rPr>
      </w:pPr>
      <w:bookmarkStart w:id="2288" w:name="_Toc10061"/>
      <w:r>
        <w:rPr>
          <w:rFonts w:hint="eastAsia" w:hAnsi="宋体"/>
          <w:lang w:val="en-US" w:eastAsia="zh-CN"/>
        </w:rPr>
        <w:t>五</w:t>
      </w:r>
      <w:r>
        <w:rPr>
          <w:rFonts w:hint="eastAsia" w:hAnsi="宋体"/>
        </w:rPr>
        <w:t>、</w:t>
      </w:r>
      <w:bookmarkEnd w:id="2283"/>
      <w:bookmarkEnd w:id="2284"/>
      <w:bookmarkEnd w:id="2285"/>
      <w:bookmarkEnd w:id="2286"/>
      <w:bookmarkEnd w:id="2287"/>
      <w:bookmarkEnd w:id="2288"/>
      <w:r>
        <w:rPr>
          <w:rFonts w:hint="eastAsia" w:hAnsi="宋体"/>
          <w:lang w:val="en-US" w:eastAsia="zh-CN"/>
        </w:rPr>
        <w:t>施工组织设计</w:t>
      </w:r>
    </w:p>
    <w:p w14:paraId="2D4F33DB">
      <w:pPr>
        <w:pStyle w:val="5"/>
        <w:spacing w:before="157"/>
        <w:ind w:left="0" w:firstLine="0"/>
        <w:jc w:val="center"/>
        <w:rPr>
          <w:rFonts w:hint="default" w:hAnsi="宋体" w:eastAsia="宋体"/>
          <w:lang w:val="en-US" w:eastAsia="zh-CN"/>
        </w:rPr>
      </w:pPr>
      <w:bookmarkStart w:id="2289" w:name="_Toc17580"/>
      <w:r>
        <w:rPr>
          <w:rFonts w:hint="eastAsia" w:hAnsi="宋体"/>
          <w:lang w:val="en-US" w:eastAsia="zh-CN"/>
        </w:rPr>
        <w:t>六</w:t>
      </w:r>
      <w:r>
        <w:rPr>
          <w:rFonts w:hint="eastAsia" w:hAnsi="宋体"/>
        </w:rPr>
        <w:t>、</w:t>
      </w:r>
      <w:bookmarkEnd w:id="2289"/>
      <w:r>
        <w:rPr>
          <w:rFonts w:hint="eastAsia" w:hAnsi="宋体"/>
          <w:lang w:val="en-US" w:eastAsia="zh-CN"/>
        </w:rPr>
        <w:t>项目管理机构</w:t>
      </w:r>
    </w:p>
    <w:p w14:paraId="713E784C">
      <w:pPr>
        <w:pStyle w:val="5"/>
        <w:spacing w:before="157"/>
        <w:ind w:left="0" w:firstLine="0"/>
        <w:jc w:val="center"/>
        <w:rPr>
          <w:rFonts w:hint="default" w:hAnsi="宋体" w:eastAsia="宋体"/>
          <w:lang w:val="en-US" w:eastAsia="zh-CN"/>
        </w:rPr>
      </w:pPr>
      <w:bookmarkStart w:id="2290" w:name="_Toc17500"/>
      <w:r>
        <w:rPr>
          <w:rFonts w:hint="eastAsia" w:hAnsi="宋体"/>
          <w:lang w:val="en-US" w:eastAsia="zh-CN"/>
        </w:rPr>
        <w:t>七</w:t>
      </w:r>
      <w:r>
        <w:rPr>
          <w:rFonts w:hint="eastAsia" w:hAnsi="宋体"/>
        </w:rPr>
        <w:t>、</w:t>
      </w:r>
      <w:bookmarkEnd w:id="2290"/>
      <w:bookmarkStart w:id="2291" w:name="_Toc23506"/>
      <w:r>
        <w:rPr>
          <w:rFonts w:hint="eastAsia" w:hAnsi="宋体"/>
          <w:lang w:val="en-US" w:eastAsia="zh-CN"/>
        </w:rPr>
        <w:t>其他评审因素</w:t>
      </w:r>
    </w:p>
    <w:bookmarkEnd w:id="2291"/>
    <w:p w14:paraId="0F3CE570">
      <w:pPr>
        <w:jc w:val="center"/>
        <w:rPr>
          <w:rFonts w:hint="eastAsia" w:ascii="宋体" w:hAnsi="宋体" w:eastAsia="宋体" w:cs="Times New Roman"/>
          <w:b/>
          <w:bCs/>
          <w:kern w:val="2"/>
          <w:sz w:val="24"/>
          <w:szCs w:val="24"/>
          <w:lang w:val="en-US" w:eastAsia="zh-CN" w:bidi="ar-SA"/>
        </w:rPr>
      </w:pPr>
      <w:bookmarkStart w:id="2292" w:name="_Toc300835223"/>
      <w:bookmarkStart w:id="2293" w:name="_Toc451244248"/>
      <w:bookmarkStart w:id="2294" w:name="_Toc152042596"/>
      <w:bookmarkStart w:id="2295" w:name="_Toc152045807"/>
      <w:bookmarkStart w:id="2296" w:name="_Toc144974875"/>
      <w:bookmarkStart w:id="2297" w:name="_Toc247527847"/>
      <w:bookmarkStart w:id="2298" w:name="_Toc247514299"/>
    </w:p>
    <w:p w14:paraId="4C5B409A">
      <w:pPr>
        <w:pStyle w:val="5"/>
        <w:spacing w:before="157"/>
        <w:ind w:left="0" w:firstLine="0"/>
        <w:jc w:val="center"/>
        <w:rPr>
          <w:rFonts w:hint="eastAsia" w:ascii="宋体" w:hAnsi="宋体" w:eastAsia="宋体" w:cs="Times New Roman"/>
          <w:lang w:val="en-US" w:eastAsia="zh-CN"/>
        </w:rPr>
      </w:pPr>
      <w:r>
        <w:rPr>
          <w:rFonts w:hint="eastAsia" w:ascii="宋体" w:hAnsi="宋体" w:eastAsia="宋体" w:cs="Times New Roman"/>
          <w:lang w:val="en-US" w:eastAsia="zh-CN"/>
        </w:rPr>
        <w:t>八</w:t>
      </w:r>
      <w:r>
        <w:rPr>
          <w:rFonts w:hint="eastAsia" w:ascii="宋体" w:hAnsi="宋体" w:eastAsia="宋体" w:cs="Times New Roman"/>
        </w:rPr>
        <w:t>、</w:t>
      </w:r>
      <w:r>
        <w:rPr>
          <w:rFonts w:hint="eastAsia" w:ascii="宋体" w:hAnsi="宋体" w:eastAsia="宋体" w:cs="Times New Roman"/>
          <w:lang w:val="en-US" w:eastAsia="zh-CN"/>
        </w:rPr>
        <w:t>已标价的工程量清单</w:t>
      </w:r>
    </w:p>
    <w:p w14:paraId="270A7BEE"/>
    <w:p w14:paraId="401852EA"/>
    <w:p w14:paraId="0B6D9D57">
      <w:pPr>
        <w:rPr>
          <w:rFonts w:ascii="宋体" w:hAnsi="宋体"/>
        </w:rPr>
      </w:pPr>
    </w:p>
    <w:p w14:paraId="29D9F203">
      <w:pPr>
        <w:pStyle w:val="62"/>
        <w:rPr>
          <w:rFonts w:ascii="宋体" w:hAnsi="宋体"/>
        </w:rPr>
      </w:pPr>
    </w:p>
    <w:p w14:paraId="5EA1EAAB">
      <w:pPr>
        <w:rPr>
          <w:rFonts w:ascii="宋体" w:hAnsi="宋体"/>
        </w:rPr>
      </w:pPr>
    </w:p>
    <w:p w14:paraId="2BF56E51">
      <w:pPr>
        <w:pStyle w:val="62"/>
        <w:rPr>
          <w:rFonts w:ascii="宋体" w:hAnsi="宋体"/>
        </w:rPr>
      </w:pPr>
    </w:p>
    <w:p w14:paraId="5D7F3FE6">
      <w:pPr>
        <w:rPr>
          <w:rFonts w:ascii="宋体" w:hAnsi="宋体"/>
        </w:rPr>
      </w:pPr>
    </w:p>
    <w:p w14:paraId="6DACC662">
      <w:pPr>
        <w:pStyle w:val="62"/>
        <w:rPr>
          <w:rFonts w:ascii="宋体" w:hAnsi="宋体"/>
        </w:rPr>
      </w:pPr>
    </w:p>
    <w:p w14:paraId="48FCBDC5">
      <w:pPr>
        <w:rPr>
          <w:rFonts w:ascii="宋体" w:hAnsi="宋体"/>
        </w:rPr>
      </w:pPr>
    </w:p>
    <w:p w14:paraId="7EB18276">
      <w:pPr>
        <w:pStyle w:val="62"/>
        <w:rPr>
          <w:rFonts w:ascii="宋体" w:hAnsi="宋体"/>
        </w:rPr>
      </w:pPr>
    </w:p>
    <w:p w14:paraId="25191F5B">
      <w:pPr>
        <w:rPr>
          <w:rFonts w:ascii="宋体" w:hAnsi="宋体"/>
        </w:rPr>
      </w:pPr>
    </w:p>
    <w:p w14:paraId="2C11A519">
      <w:pPr>
        <w:pStyle w:val="62"/>
        <w:rPr>
          <w:rFonts w:ascii="宋体" w:hAnsi="宋体"/>
        </w:rPr>
      </w:pPr>
    </w:p>
    <w:p w14:paraId="0A0B15CE">
      <w:pPr>
        <w:rPr>
          <w:rFonts w:ascii="宋体" w:hAnsi="宋体"/>
        </w:rPr>
      </w:pPr>
    </w:p>
    <w:p w14:paraId="3598BF75">
      <w:pPr>
        <w:pStyle w:val="62"/>
        <w:rPr>
          <w:rFonts w:ascii="宋体" w:hAnsi="宋体"/>
        </w:rPr>
      </w:pPr>
    </w:p>
    <w:p w14:paraId="5CCFA8A4">
      <w:pPr>
        <w:rPr>
          <w:rFonts w:ascii="宋体" w:hAnsi="宋体"/>
        </w:rPr>
      </w:pPr>
    </w:p>
    <w:p w14:paraId="518DF90C">
      <w:pPr>
        <w:pStyle w:val="62"/>
        <w:rPr>
          <w:rFonts w:ascii="宋体" w:hAnsi="宋体"/>
        </w:rPr>
      </w:pPr>
    </w:p>
    <w:p w14:paraId="6CA50BC1">
      <w:pPr>
        <w:rPr>
          <w:rFonts w:ascii="宋体" w:hAnsi="宋体"/>
        </w:rPr>
      </w:pPr>
    </w:p>
    <w:p w14:paraId="54DBE146">
      <w:pPr>
        <w:pStyle w:val="62"/>
        <w:rPr>
          <w:rFonts w:ascii="宋体" w:hAnsi="宋体"/>
        </w:rPr>
      </w:pPr>
    </w:p>
    <w:p w14:paraId="54FCBD1C">
      <w:pPr>
        <w:rPr>
          <w:rFonts w:ascii="宋体" w:hAnsi="宋体"/>
        </w:rPr>
      </w:pPr>
    </w:p>
    <w:p w14:paraId="3B9C147D">
      <w:pPr>
        <w:pStyle w:val="62"/>
        <w:rPr>
          <w:rFonts w:ascii="宋体" w:hAnsi="宋体"/>
        </w:rPr>
      </w:pPr>
    </w:p>
    <w:p w14:paraId="574F25BE">
      <w:pPr>
        <w:rPr>
          <w:rFonts w:ascii="宋体" w:hAnsi="宋体"/>
        </w:rPr>
      </w:pPr>
    </w:p>
    <w:p w14:paraId="04605A18">
      <w:pPr>
        <w:rPr>
          <w:rFonts w:hAnsi="宋体"/>
        </w:rPr>
      </w:pPr>
      <w:bookmarkStart w:id="2299" w:name="_Toc25152"/>
      <w:r>
        <w:rPr>
          <w:rFonts w:hint="eastAsia" w:hAnsi="宋体"/>
        </w:rPr>
        <w:br w:type="page"/>
      </w:r>
    </w:p>
    <w:p w14:paraId="167480D6">
      <w:pPr>
        <w:pStyle w:val="5"/>
        <w:spacing w:before="157"/>
        <w:ind w:left="0" w:firstLine="3855" w:firstLineChars="1600"/>
        <w:rPr>
          <w:rFonts w:hAnsi="宋体"/>
        </w:rPr>
      </w:pPr>
      <w:r>
        <w:rPr>
          <w:rFonts w:hint="eastAsia" w:hAnsi="宋体"/>
          <w:lang w:val="en-US" w:eastAsia="zh-CN"/>
        </w:rPr>
        <w:t>九</w:t>
      </w:r>
      <w:r>
        <w:rPr>
          <w:rFonts w:hint="eastAsia" w:hAnsi="宋体"/>
        </w:rPr>
        <w:t>、</w:t>
      </w:r>
      <w:r>
        <w:rPr>
          <w:rFonts w:hAnsi="宋体"/>
        </w:rPr>
        <w:t>资格审查资料</w:t>
      </w:r>
      <w:bookmarkEnd w:id="2292"/>
      <w:bookmarkEnd w:id="2293"/>
      <w:bookmarkEnd w:id="2294"/>
      <w:bookmarkEnd w:id="2295"/>
      <w:bookmarkEnd w:id="2296"/>
      <w:bookmarkEnd w:id="2297"/>
      <w:bookmarkEnd w:id="2298"/>
      <w:bookmarkEnd w:id="2299"/>
    </w:p>
    <w:p w14:paraId="63B9DC7D">
      <w:pPr>
        <w:pStyle w:val="6"/>
        <w:spacing w:before="157"/>
      </w:pPr>
      <w:bookmarkStart w:id="2300" w:name="_Toc474179001"/>
      <w:bookmarkStart w:id="2301" w:name="_Toc85443518"/>
      <w:bookmarkStart w:id="2302" w:name="_Toc480918815"/>
      <w:bookmarkStart w:id="2303" w:name="_Toc474179237"/>
      <w:bookmarkStart w:id="2304" w:name="_Toc144974876"/>
      <w:bookmarkStart w:id="2305" w:name="_Toc480918583"/>
      <w:bookmarkStart w:id="2306" w:name="_Toc97752053"/>
      <w:bookmarkStart w:id="2307" w:name="_Toc300835224"/>
      <w:bookmarkStart w:id="2308" w:name="_Toc474178533"/>
      <w:bookmarkStart w:id="2309" w:name="_Toc152042597"/>
      <w:bookmarkStart w:id="2310" w:name="_Toc247514300"/>
      <w:bookmarkStart w:id="2311" w:name="_Toc16318"/>
      <w:bookmarkStart w:id="2312" w:name="_Toc527485327"/>
      <w:bookmarkStart w:id="2313" w:name="_Toc499310087"/>
      <w:bookmarkStart w:id="2314" w:name="_Toc152045808"/>
      <w:bookmarkStart w:id="2315" w:name="_Toc480918960"/>
      <w:bookmarkStart w:id="2316" w:name="_Toc499310657"/>
      <w:bookmarkStart w:id="2317" w:name="_Toc247527848"/>
      <w:bookmarkStart w:id="2318" w:name="_Toc451244249"/>
      <w:r>
        <w:t>（一）投标人基本情况表</w:t>
      </w:r>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p>
    <w:p w14:paraId="61117A9C">
      <w:pPr>
        <w:topLinePunct/>
        <w:spacing w:line="440" w:lineRule="exact"/>
        <w:rPr>
          <w:rFonts w:ascii="宋体" w:hAnsi="宋体"/>
          <w:sz w:val="23"/>
          <w:szCs w:val="23"/>
        </w:rPr>
      </w:pPr>
    </w:p>
    <w:tbl>
      <w:tblPr>
        <w:tblStyle w:val="73"/>
        <w:tblW w:w="856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951"/>
        <w:gridCol w:w="840"/>
        <w:gridCol w:w="420"/>
        <w:gridCol w:w="311"/>
        <w:gridCol w:w="1078"/>
        <w:gridCol w:w="490"/>
        <w:gridCol w:w="860"/>
        <w:gridCol w:w="992"/>
      </w:tblGrid>
      <w:tr w14:paraId="366D05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611944C9">
            <w:pPr>
              <w:topLinePunct/>
              <w:spacing w:line="440" w:lineRule="exact"/>
              <w:jc w:val="center"/>
              <w:rPr>
                <w:rFonts w:ascii="宋体" w:hAnsi="宋体"/>
                <w:szCs w:val="21"/>
              </w:rPr>
            </w:pPr>
            <w:r>
              <w:rPr>
                <w:rFonts w:ascii="宋体" w:hAnsi="宋体"/>
                <w:szCs w:val="21"/>
              </w:rPr>
              <w:t>投标人名称</w:t>
            </w:r>
          </w:p>
        </w:tc>
        <w:tc>
          <w:tcPr>
            <w:tcW w:w="6840" w:type="dxa"/>
            <w:gridSpan w:val="9"/>
            <w:tcBorders>
              <w:top w:val="single" w:color="auto" w:sz="4" w:space="0"/>
              <w:left w:val="single" w:color="auto" w:sz="4" w:space="0"/>
              <w:bottom w:val="single" w:color="auto" w:sz="4" w:space="0"/>
              <w:right w:val="single" w:color="auto" w:sz="4" w:space="0"/>
            </w:tcBorders>
            <w:vAlign w:val="center"/>
          </w:tcPr>
          <w:p w14:paraId="46F8510A">
            <w:pPr>
              <w:topLinePunct/>
              <w:spacing w:line="440" w:lineRule="exact"/>
              <w:jc w:val="center"/>
              <w:rPr>
                <w:rFonts w:ascii="宋体" w:hAnsi="宋体"/>
                <w:szCs w:val="21"/>
              </w:rPr>
            </w:pPr>
          </w:p>
        </w:tc>
      </w:tr>
      <w:tr w14:paraId="7A9D4D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11781272">
            <w:pPr>
              <w:topLinePunct/>
              <w:spacing w:line="440" w:lineRule="exact"/>
              <w:jc w:val="center"/>
              <w:rPr>
                <w:rFonts w:ascii="宋体" w:hAnsi="宋体"/>
                <w:szCs w:val="21"/>
              </w:rPr>
            </w:pPr>
            <w:r>
              <w:rPr>
                <w:rFonts w:ascii="宋体" w:hAnsi="宋体"/>
                <w:szCs w:val="21"/>
              </w:rPr>
              <w:t>注册地址</w:t>
            </w:r>
          </w:p>
        </w:tc>
        <w:tc>
          <w:tcPr>
            <w:tcW w:w="3420" w:type="dxa"/>
            <w:gridSpan w:val="5"/>
            <w:tcBorders>
              <w:top w:val="single" w:color="auto" w:sz="4" w:space="0"/>
              <w:left w:val="single" w:color="auto" w:sz="4" w:space="0"/>
              <w:bottom w:val="single" w:color="auto" w:sz="4" w:space="0"/>
              <w:right w:val="single" w:color="auto" w:sz="4" w:space="0"/>
            </w:tcBorders>
            <w:vAlign w:val="center"/>
          </w:tcPr>
          <w:p w14:paraId="595D455D">
            <w:pPr>
              <w:topLinePunct/>
              <w:spacing w:line="440" w:lineRule="exact"/>
              <w:jc w:val="center"/>
              <w:rPr>
                <w:rFonts w:ascii="宋体" w:hAnsi="宋体"/>
                <w:szCs w:val="21"/>
              </w:rPr>
            </w:pPr>
          </w:p>
        </w:tc>
        <w:tc>
          <w:tcPr>
            <w:tcW w:w="1078" w:type="dxa"/>
            <w:tcBorders>
              <w:top w:val="single" w:color="auto" w:sz="4" w:space="0"/>
              <w:left w:val="single" w:color="auto" w:sz="4" w:space="0"/>
              <w:bottom w:val="single" w:color="auto" w:sz="4" w:space="0"/>
              <w:right w:val="single" w:color="auto" w:sz="4" w:space="0"/>
            </w:tcBorders>
            <w:vAlign w:val="center"/>
          </w:tcPr>
          <w:p w14:paraId="089065D2">
            <w:pPr>
              <w:topLinePunct/>
              <w:spacing w:line="440" w:lineRule="exact"/>
              <w:jc w:val="center"/>
              <w:rPr>
                <w:rFonts w:ascii="宋体" w:hAnsi="宋体"/>
                <w:szCs w:val="21"/>
              </w:rPr>
            </w:pPr>
            <w:r>
              <w:rPr>
                <w:rFonts w:ascii="宋体" w:hAnsi="宋体"/>
                <w:szCs w:val="21"/>
              </w:rPr>
              <w:t>邮政编码</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39441FE3">
            <w:pPr>
              <w:topLinePunct/>
              <w:spacing w:line="440" w:lineRule="exact"/>
              <w:jc w:val="center"/>
              <w:rPr>
                <w:rFonts w:ascii="宋体" w:hAnsi="宋体"/>
                <w:szCs w:val="21"/>
              </w:rPr>
            </w:pPr>
          </w:p>
        </w:tc>
      </w:tr>
      <w:tr w14:paraId="0A2C6D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jc w:val="center"/>
        </w:trPr>
        <w:tc>
          <w:tcPr>
            <w:tcW w:w="1728" w:type="dxa"/>
            <w:vMerge w:val="restart"/>
            <w:tcBorders>
              <w:top w:val="single" w:color="auto" w:sz="4" w:space="0"/>
              <w:left w:val="single" w:color="auto" w:sz="4" w:space="0"/>
              <w:bottom w:val="single" w:color="auto" w:sz="4" w:space="0"/>
              <w:right w:val="single" w:color="auto" w:sz="4" w:space="0"/>
            </w:tcBorders>
            <w:vAlign w:val="center"/>
          </w:tcPr>
          <w:p w14:paraId="7F341DF4">
            <w:pPr>
              <w:topLinePunct/>
              <w:spacing w:line="440" w:lineRule="exact"/>
              <w:jc w:val="center"/>
              <w:rPr>
                <w:rFonts w:ascii="宋体" w:hAnsi="宋体"/>
                <w:szCs w:val="21"/>
              </w:rPr>
            </w:pPr>
            <w:r>
              <w:rPr>
                <w:rFonts w:ascii="宋体" w:hAnsi="宋体"/>
                <w:szCs w:val="21"/>
              </w:rPr>
              <w:t>联系方式</w:t>
            </w:r>
          </w:p>
        </w:tc>
        <w:tc>
          <w:tcPr>
            <w:tcW w:w="898" w:type="dxa"/>
            <w:tcBorders>
              <w:top w:val="single" w:color="auto" w:sz="4" w:space="0"/>
              <w:left w:val="single" w:color="auto" w:sz="4" w:space="0"/>
              <w:bottom w:val="single" w:color="auto" w:sz="4" w:space="0"/>
              <w:right w:val="single" w:color="auto" w:sz="4" w:space="0"/>
            </w:tcBorders>
            <w:vAlign w:val="center"/>
          </w:tcPr>
          <w:p w14:paraId="51167F1E">
            <w:pPr>
              <w:topLinePunct/>
              <w:spacing w:line="440" w:lineRule="exact"/>
              <w:jc w:val="center"/>
              <w:rPr>
                <w:rFonts w:ascii="宋体" w:hAnsi="宋体"/>
                <w:szCs w:val="21"/>
              </w:rPr>
            </w:pPr>
            <w:r>
              <w:rPr>
                <w:rFonts w:ascii="宋体" w:hAnsi="宋体"/>
                <w:szCs w:val="21"/>
              </w:rPr>
              <w:t>联系人</w:t>
            </w:r>
          </w:p>
        </w:tc>
        <w:tc>
          <w:tcPr>
            <w:tcW w:w="2522" w:type="dxa"/>
            <w:gridSpan w:val="4"/>
            <w:tcBorders>
              <w:top w:val="single" w:color="auto" w:sz="4" w:space="0"/>
              <w:left w:val="single" w:color="auto" w:sz="4" w:space="0"/>
              <w:bottom w:val="single" w:color="auto" w:sz="4" w:space="0"/>
              <w:right w:val="single" w:color="auto" w:sz="4" w:space="0"/>
            </w:tcBorders>
            <w:vAlign w:val="center"/>
          </w:tcPr>
          <w:p w14:paraId="15CD13EF">
            <w:pPr>
              <w:topLinePunct/>
              <w:spacing w:line="440" w:lineRule="exact"/>
              <w:jc w:val="center"/>
              <w:rPr>
                <w:rFonts w:ascii="宋体" w:hAnsi="宋体"/>
                <w:szCs w:val="21"/>
              </w:rPr>
            </w:pPr>
          </w:p>
        </w:tc>
        <w:tc>
          <w:tcPr>
            <w:tcW w:w="1078" w:type="dxa"/>
            <w:tcBorders>
              <w:top w:val="single" w:color="auto" w:sz="4" w:space="0"/>
              <w:left w:val="single" w:color="auto" w:sz="4" w:space="0"/>
              <w:bottom w:val="single" w:color="auto" w:sz="4" w:space="0"/>
              <w:right w:val="single" w:color="auto" w:sz="4" w:space="0"/>
            </w:tcBorders>
            <w:vAlign w:val="center"/>
          </w:tcPr>
          <w:p w14:paraId="55552B08">
            <w:pPr>
              <w:topLinePunct/>
              <w:spacing w:line="440" w:lineRule="exact"/>
              <w:jc w:val="center"/>
              <w:rPr>
                <w:rFonts w:ascii="宋体" w:hAnsi="宋体"/>
                <w:szCs w:val="21"/>
              </w:rPr>
            </w:pPr>
            <w:r>
              <w:rPr>
                <w:rFonts w:ascii="宋体" w:hAnsi="宋体"/>
                <w:szCs w:val="21"/>
              </w:rPr>
              <w:t>电 话</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5B461B44">
            <w:pPr>
              <w:topLinePunct/>
              <w:spacing w:line="440" w:lineRule="exact"/>
              <w:jc w:val="center"/>
              <w:rPr>
                <w:rFonts w:ascii="宋体" w:hAnsi="宋体"/>
                <w:szCs w:val="21"/>
              </w:rPr>
            </w:pPr>
          </w:p>
        </w:tc>
      </w:tr>
      <w:tr w14:paraId="031869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jc w:val="center"/>
        </w:trPr>
        <w:tc>
          <w:tcPr>
            <w:tcW w:w="1728" w:type="dxa"/>
            <w:vMerge w:val="continue"/>
            <w:tcBorders>
              <w:top w:val="single" w:color="auto" w:sz="4" w:space="0"/>
              <w:left w:val="single" w:color="auto" w:sz="4" w:space="0"/>
              <w:bottom w:val="single" w:color="auto" w:sz="4" w:space="0"/>
              <w:right w:val="single" w:color="auto" w:sz="4" w:space="0"/>
            </w:tcBorders>
            <w:vAlign w:val="center"/>
          </w:tcPr>
          <w:p w14:paraId="483D56AD">
            <w:pPr>
              <w:topLinePunct/>
              <w:spacing w:line="440" w:lineRule="exact"/>
              <w:jc w:val="center"/>
              <w:rPr>
                <w:rFonts w:ascii="宋体" w:hAnsi="宋体"/>
                <w:szCs w:val="21"/>
              </w:rPr>
            </w:pPr>
          </w:p>
        </w:tc>
        <w:tc>
          <w:tcPr>
            <w:tcW w:w="898" w:type="dxa"/>
            <w:tcBorders>
              <w:top w:val="single" w:color="auto" w:sz="4" w:space="0"/>
              <w:left w:val="single" w:color="auto" w:sz="4" w:space="0"/>
              <w:bottom w:val="single" w:color="auto" w:sz="4" w:space="0"/>
              <w:right w:val="single" w:color="auto" w:sz="4" w:space="0"/>
            </w:tcBorders>
            <w:vAlign w:val="center"/>
          </w:tcPr>
          <w:p w14:paraId="15D7A690">
            <w:pPr>
              <w:topLinePunct/>
              <w:spacing w:line="440" w:lineRule="exact"/>
              <w:jc w:val="center"/>
              <w:rPr>
                <w:rFonts w:ascii="宋体" w:hAnsi="宋体"/>
                <w:szCs w:val="21"/>
              </w:rPr>
            </w:pPr>
            <w:r>
              <w:rPr>
                <w:rFonts w:ascii="宋体" w:hAnsi="宋体"/>
                <w:szCs w:val="21"/>
              </w:rPr>
              <w:t>传  真</w:t>
            </w:r>
          </w:p>
        </w:tc>
        <w:tc>
          <w:tcPr>
            <w:tcW w:w="2522" w:type="dxa"/>
            <w:gridSpan w:val="4"/>
            <w:tcBorders>
              <w:top w:val="single" w:color="auto" w:sz="4" w:space="0"/>
              <w:left w:val="single" w:color="auto" w:sz="4" w:space="0"/>
              <w:bottom w:val="single" w:color="auto" w:sz="4" w:space="0"/>
              <w:right w:val="single" w:color="auto" w:sz="4" w:space="0"/>
            </w:tcBorders>
            <w:vAlign w:val="center"/>
          </w:tcPr>
          <w:p w14:paraId="3A616E2B">
            <w:pPr>
              <w:topLinePunct/>
              <w:spacing w:line="440" w:lineRule="exact"/>
              <w:jc w:val="center"/>
              <w:rPr>
                <w:rFonts w:ascii="宋体" w:hAnsi="宋体"/>
                <w:szCs w:val="21"/>
              </w:rPr>
            </w:pPr>
          </w:p>
        </w:tc>
        <w:tc>
          <w:tcPr>
            <w:tcW w:w="1078" w:type="dxa"/>
            <w:tcBorders>
              <w:top w:val="single" w:color="auto" w:sz="4" w:space="0"/>
              <w:left w:val="single" w:color="auto" w:sz="4" w:space="0"/>
              <w:bottom w:val="single" w:color="auto" w:sz="4" w:space="0"/>
              <w:right w:val="single" w:color="auto" w:sz="4" w:space="0"/>
            </w:tcBorders>
            <w:vAlign w:val="center"/>
          </w:tcPr>
          <w:p w14:paraId="1A1A4060">
            <w:pPr>
              <w:topLinePunct/>
              <w:spacing w:line="440" w:lineRule="exact"/>
              <w:jc w:val="center"/>
              <w:rPr>
                <w:rFonts w:ascii="宋体" w:hAnsi="宋体"/>
                <w:szCs w:val="21"/>
              </w:rPr>
            </w:pPr>
            <w:r>
              <w:rPr>
                <w:rFonts w:ascii="宋体" w:hAnsi="宋体"/>
                <w:szCs w:val="21"/>
              </w:rPr>
              <w:t>网 址</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2FCBEE78">
            <w:pPr>
              <w:topLinePunct/>
              <w:spacing w:line="440" w:lineRule="exact"/>
              <w:jc w:val="center"/>
              <w:rPr>
                <w:rFonts w:ascii="宋体" w:hAnsi="宋体"/>
                <w:szCs w:val="21"/>
              </w:rPr>
            </w:pPr>
          </w:p>
        </w:tc>
      </w:tr>
      <w:tr w14:paraId="4A5F7B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432A8D8F">
            <w:pPr>
              <w:topLinePunct/>
              <w:spacing w:line="440" w:lineRule="exact"/>
              <w:jc w:val="center"/>
              <w:rPr>
                <w:rFonts w:ascii="宋体" w:hAnsi="宋体"/>
                <w:szCs w:val="21"/>
              </w:rPr>
            </w:pPr>
            <w:r>
              <w:rPr>
                <w:rFonts w:hint="eastAsia" w:ascii="宋体" w:hAnsi="宋体"/>
                <w:szCs w:val="21"/>
              </w:rPr>
              <w:t>类型</w:t>
            </w:r>
          </w:p>
        </w:tc>
        <w:tc>
          <w:tcPr>
            <w:tcW w:w="6840" w:type="dxa"/>
            <w:gridSpan w:val="9"/>
            <w:tcBorders>
              <w:top w:val="single" w:color="auto" w:sz="4" w:space="0"/>
              <w:left w:val="single" w:color="auto" w:sz="4" w:space="0"/>
              <w:bottom w:val="single" w:color="auto" w:sz="4" w:space="0"/>
              <w:right w:val="single" w:color="auto" w:sz="4" w:space="0"/>
            </w:tcBorders>
            <w:vAlign w:val="center"/>
          </w:tcPr>
          <w:p w14:paraId="529B9C9A">
            <w:pPr>
              <w:topLinePunct/>
              <w:spacing w:line="440" w:lineRule="exact"/>
              <w:jc w:val="center"/>
              <w:rPr>
                <w:rFonts w:ascii="宋体" w:hAnsi="宋体"/>
                <w:szCs w:val="21"/>
              </w:rPr>
            </w:pPr>
          </w:p>
        </w:tc>
      </w:tr>
      <w:tr w14:paraId="25857E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2BBE4263">
            <w:pPr>
              <w:topLinePunct/>
              <w:spacing w:line="440" w:lineRule="exact"/>
              <w:jc w:val="center"/>
              <w:rPr>
                <w:rFonts w:ascii="宋体" w:hAnsi="宋体"/>
                <w:szCs w:val="21"/>
              </w:rPr>
            </w:pPr>
            <w:r>
              <w:rPr>
                <w:rFonts w:ascii="宋体" w:hAnsi="宋体"/>
                <w:szCs w:val="21"/>
              </w:rPr>
              <w:t>法定代表人</w:t>
            </w:r>
          </w:p>
        </w:tc>
        <w:tc>
          <w:tcPr>
            <w:tcW w:w="898" w:type="dxa"/>
            <w:tcBorders>
              <w:top w:val="single" w:color="auto" w:sz="4" w:space="0"/>
              <w:left w:val="single" w:color="auto" w:sz="4" w:space="0"/>
              <w:bottom w:val="single" w:color="auto" w:sz="4" w:space="0"/>
              <w:right w:val="single" w:color="auto" w:sz="4" w:space="0"/>
            </w:tcBorders>
            <w:vAlign w:val="center"/>
          </w:tcPr>
          <w:p w14:paraId="206CD983">
            <w:pPr>
              <w:topLinePunct/>
              <w:spacing w:line="440" w:lineRule="exact"/>
              <w:jc w:val="center"/>
              <w:rPr>
                <w:rFonts w:ascii="宋体" w:hAnsi="宋体"/>
                <w:szCs w:val="21"/>
              </w:rPr>
            </w:pPr>
            <w:r>
              <w:rPr>
                <w:rFonts w:ascii="宋体" w:hAnsi="宋体"/>
                <w:szCs w:val="21"/>
              </w:rPr>
              <w:t>姓名</w:t>
            </w:r>
          </w:p>
        </w:tc>
        <w:tc>
          <w:tcPr>
            <w:tcW w:w="951" w:type="dxa"/>
            <w:tcBorders>
              <w:top w:val="single" w:color="auto" w:sz="4" w:space="0"/>
              <w:left w:val="single" w:color="auto" w:sz="4" w:space="0"/>
              <w:bottom w:val="single" w:color="auto" w:sz="4" w:space="0"/>
              <w:right w:val="single" w:color="auto" w:sz="4" w:space="0"/>
            </w:tcBorders>
            <w:vAlign w:val="center"/>
          </w:tcPr>
          <w:p w14:paraId="481154DC">
            <w:pPr>
              <w:topLinePunct/>
              <w:spacing w:line="440" w:lineRule="exact"/>
              <w:jc w:val="center"/>
              <w:rPr>
                <w:rFonts w:ascii="宋体" w:hAnsi="宋体"/>
                <w:szCs w:val="21"/>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14:paraId="47018478">
            <w:pPr>
              <w:topLinePunct/>
              <w:spacing w:line="440" w:lineRule="exact"/>
              <w:jc w:val="center"/>
              <w:rPr>
                <w:rFonts w:ascii="宋体" w:hAnsi="宋体"/>
                <w:szCs w:val="21"/>
              </w:rPr>
            </w:pPr>
            <w:r>
              <w:rPr>
                <w:rFonts w:ascii="宋体" w:hAnsi="宋体"/>
                <w:szCs w:val="21"/>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14:paraId="58AFCAA8">
            <w:pPr>
              <w:topLinePunct/>
              <w:spacing w:line="440" w:lineRule="exact"/>
              <w:jc w:val="center"/>
              <w:rPr>
                <w:rFonts w:ascii="宋体" w:hAnsi="宋体"/>
                <w:szCs w:val="21"/>
              </w:rPr>
            </w:pPr>
          </w:p>
        </w:tc>
        <w:tc>
          <w:tcPr>
            <w:tcW w:w="860" w:type="dxa"/>
            <w:tcBorders>
              <w:top w:val="single" w:color="auto" w:sz="4" w:space="0"/>
              <w:left w:val="single" w:color="auto" w:sz="4" w:space="0"/>
              <w:bottom w:val="single" w:color="auto" w:sz="4" w:space="0"/>
              <w:right w:val="single" w:color="auto" w:sz="4" w:space="0"/>
            </w:tcBorders>
            <w:vAlign w:val="center"/>
          </w:tcPr>
          <w:p w14:paraId="051648E8">
            <w:pPr>
              <w:topLinePunct/>
              <w:spacing w:line="440" w:lineRule="exact"/>
              <w:jc w:val="center"/>
              <w:rPr>
                <w:rFonts w:ascii="宋体" w:hAnsi="宋体"/>
                <w:szCs w:val="21"/>
              </w:rPr>
            </w:pPr>
            <w:r>
              <w:rPr>
                <w:rFonts w:ascii="宋体" w:hAnsi="宋体"/>
                <w:szCs w:val="21"/>
              </w:rPr>
              <w:t>电话</w:t>
            </w:r>
          </w:p>
        </w:tc>
        <w:tc>
          <w:tcPr>
            <w:tcW w:w="992" w:type="dxa"/>
            <w:tcBorders>
              <w:top w:val="single" w:color="auto" w:sz="4" w:space="0"/>
              <w:left w:val="single" w:color="auto" w:sz="4" w:space="0"/>
              <w:bottom w:val="single" w:color="auto" w:sz="4" w:space="0"/>
              <w:right w:val="single" w:color="auto" w:sz="4" w:space="0"/>
            </w:tcBorders>
            <w:vAlign w:val="center"/>
          </w:tcPr>
          <w:p w14:paraId="1AFE7EEC">
            <w:pPr>
              <w:topLinePunct/>
              <w:spacing w:line="440" w:lineRule="exact"/>
              <w:jc w:val="center"/>
              <w:rPr>
                <w:rFonts w:ascii="宋体" w:hAnsi="宋体"/>
                <w:szCs w:val="21"/>
              </w:rPr>
            </w:pPr>
          </w:p>
        </w:tc>
      </w:tr>
      <w:tr w14:paraId="638E67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61B3855F">
            <w:pPr>
              <w:topLinePunct/>
              <w:spacing w:line="440" w:lineRule="exact"/>
              <w:jc w:val="center"/>
              <w:rPr>
                <w:rFonts w:ascii="宋体" w:hAnsi="宋体"/>
                <w:szCs w:val="21"/>
              </w:rPr>
            </w:pPr>
            <w:r>
              <w:rPr>
                <w:rFonts w:ascii="宋体" w:hAnsi="宋体"/>
                <w:szCs w:val="21"/>
              </w:rPr>
              <w:t>技术负责人</w:t>
            </w:r>
          </w:p>
        </w:tc>
        <w:tc>
          <w:tcPr>
            <w:tcW w:w="898" w:type="dxa"/>
            <w:tcBorders>
              <w:top w:val="single" w:color="auto" w:sz="4" w:space="0"/>
              <w:left w:val="single" w:color="auto" w:sz="4" w:space="0"/>
              <w:bottom w:val="single" w:color="auto" w:sz="4" w:space="0"/>
              <w:right w:val="single" w:color="auto" w:sz="4" w:space="0"/>
            </w:tcBorders>
            <w:vAlign w:val="center"/>
          </w:tcPr>
          <w:p w14:paraId="3AE8AC5E">
            <w:pPr>
              <w:topLinePunct/>
              <w:spacing w:line="440" w:lineRule="exact"/>
              <w:jc w:val="center"/>
              <w:rPr>
                <w:rFonts w:ascii="宋体" w:hAnsi="宋体"/>
                <w:szCs w:val="21"/>
              </w:rPr>
            </w:pPr>
            <w:r>
              <w:rPr>
                <w:rFonts w:ascii="宋体" w:hAnsi="宋体"/>
                <w:szCs w:val="21"/>
              </w:rPr>
              <w:t>姓名</w:t>
            </w:r>
          </w:p>
        </w:tc>
        <w:tc>
          <w:tcPr>
            <w:tcW w:w="951" w:type="dxa"/>
            <w:tcBorders>
              <w:top w:val="single" w:color="auto" w:sz="4" w:space="0"/>
              <w:left w:val="single" w:color="auto" w:sz="4" w:space="0"/>
              <w:bottom w:val="single" w:color="auto" w:sz="4" w:space="0"/>
              <w:right w:val="single" w:color="auto" w:sz="4" w:space="0"/>
            </w:tcBorders>
            <w:vAlign w:val="center"/>
          </w:tcPr>
          <w:p w14:paraId="126319BD">
            <w:pPr>
              <w:topLinePunct/>
              <w:spacing w:line="440" w:lineRule="exact"/>
              <w:jc w:val="center"/>
              <w:rPr>
                <w:rFonts w:ascii="宋体" w:hAnsi="宋体"/>
                <w:szCs w:val="21"/>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14:paraId="771796B8">
            <w:pPr>
              <w:topLinePunct/>
              <w:spacing w:line="440" w:lineRule="exact"/>
              <w:jc w:val="center"/>
              <w:rPr>
                <w:rFonts w:ascii="宋体" w:hAnsi="宋体"/>
                <w:szCs w:val="21"/>
              </w:rPr>
            </w:pPr>
            <w:r>
              <w:rPr>
                <w:rFonts w:ascii="宋体" w:hAnsi="宋体"/>
                <w:szCs w:val="21"/>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14:paraId="41FAB372">
            <w:pPr>
              <w:topLinePunct/>
              <w:spacing w:line="440" w:lineRule="exact"/>
              <w:jc w:val="center"/>
              <w:rPr>
                <w:rFonts w:ascii="宋体" w:hAnsi="宋体"/>
                <w:szCs w:val="21"/>
              </w:rPr>
            </w:pPr>
          </w:p>
        </w:tc>
        <w:tc>
          <w:tcPr>
            <w:tcW w:w="860" w:type="dxa"/>
            <w:tcBorders>
              <w:top w:val="single" w:color="auto" w:sz="4" w:space="0"/>
              <w:left w:val="single" w:color="auto" w:sz="4" w:space="0"/>
              <w:bottom w:val="single" w:color="auto" w:sz="4" w:space="0"/>
              <w:right w:val="single" w:color="auto" w:sz="4" w:space="0"/>
            </w:tcBorders>
            <w:vAlign w:val="center"/>
          </w:tcPr>
          <w:p w14:paraId="3FEC8B64">
            <w:pPr>
              <w:topLinePunct/>
              <w:spacing w:line="440" w:lineRule="exact"/>
              <w:jc w:val="center"/>
              <w:rPr>
                <w:rFonts w:ascii="宋体" w:hAnsi="宋体"/>
                <w:szCs w:val="21"/>
              </w:rPr>
            </w:pPr>
            <w:r>
              <w:rPr>
                <w:rFonts w:ascii="宋体" w:hAnsi="宋体"/>
                <w:szCs w:val="21"/>
              </w:rPr>
              <w:t>电话</w:t>
            </w:r>
          </w:p>
        </w:tc>
        <w:tc>
          <w:tcPr>
            <w:tcW w:w="992" w:type="dxa"/>
            <w:tcBorders>
              <w:top w:val="single" w:color="auto" w:sz="4" w:space="0"/>
              <w:left w:val="single" w:color="auto" w:sz="4" w:space="0"/>
              <w:bottom w:val="single" w:color="auto" w:sz="4" w:space="0"/>
              <w:right w:val="single" w:color="auto" w:sz="4" w:space="0"/>
            </w:tcBorders>
            <w:vAlign w:val="center"/>
          </w:tcPr>
          <w:p w14:paraId="71BC879B">
            <w:pPr>
              <w:topLinePunct/>
              <w:spacing w:line="440" w:lineRule="exact"/>
              <w:jc w:val="center"/>
              <w:rPr>
                <w:rFonts w:ascii="宋体" w:hAnsi="宋体"/>
                <w:szCs w:val="21"/>
              </w:rPr>
            </w:pPr>
          </w:p>
        </w:tc>
      </w:tr>
      <w:tr w14:paraId="79055E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3082B837">
            <w:pPr>
              <w:topLinePunct/>
              <w:spacing w:line="440" w:lineRule="exact"/>
              <w:jc w:val="center"/>
              <w:rPr>
                <w:rFonts w:ascii="宋体" w:hAnsi="宋体"/>
                <w:szCs w:val="21"/>
              </w:rPr>
            </w:pPr>
            <w:r>
              <w:rPr>
                <w:rFonts w:ascii="宋体" w:hAnsi="宋体"/>
                <w:szCs w:val="21"/>
              </w:rPr>
              <w:t>成立时间</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32837EF5">
            <w:pPr>
              <w:topLinePunct/>
              <w:spacing w:line="440" w:lineRule="exact"/>
              <w:jc w:val="center"/>
              <w:rPr>
                <w:rFonts w:ascii="宋体" w:hAnsi="宋体"/>
                <w:szCs w:val="21"/>
              </w:rPr>
            </w:pPr>
          </w:p>
        </w:tc>
        <w:tc>
          <w:tcPr>
            <w:tcW w:w="4991" w:type="dxa"/>
            <w:gridSpan w:val="7"/>
            <w:tcBorders>
              <w:top w:val="single" w:color="auto" w:sz="4" w:space="0"/>
              <w:left w:val="single" w:color="auto" w:sz="4" w:space="0"/>
              <w:bottom w:val="single" w:color="auto" w:sz="4" w:space="0"/>
              <w:right w:val="single" w:color="auto" w:sz="4" w:space="0"/>
            </w:tcBorders>
            <w:vAlign w:val="center"/>
          </w:tcPr>
          <w:p w14:paraId="4657BD79">
            <w:pPr>
              <w:topLinePunct/>
              <w:spacing w:line="440" w:lineRule="exact"/>
              <w:ind w:left="105"/>
              <w:jc w:val="center"/>
              <w:rPr>
                <w:rFonts w:ascii="宋体" w:hAnsi="宋体"/>
                <w:szCs w:val="21"/>
              </w:rPr>
            </w:pPr>
            <w:r>
              <w:rPr>
                <w:rFonts w:ascii="宋体" w:hAnsi="宋体"/>
                <w:szCs w:val="21"/>
              </w:rPr>
              <w:t>员工总人数：</w:t>
            </w:r>
          </w:p>
        </w:tc>
      </w:tr>
      <w:tr w14:paraId="73C9F0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58E04395">
            <w:pPr>
              <w:topLinePunct/>
              <w:spacing w:line="440" w:lineRule="exact"/>
              <w:jc w:val="center"/>
              <w:rPr>
                <w:rFonts w:ascii="宋体" w:hAnsi="宋体"/>
                <w:szCs w:val="21"/>
              </w:rPr>
            </w:pPr>
            <w:r>
              <w:rPr>
                <w:rFonts w:ascii="宋体" w:hAnsi="宋体"/>
                <w:szCs w:val="21"/>
              </w:rPr>
              <w:t>企业资质等级</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0B90D75C">
            <w:pPr>
              <w:topLinePunct/>
              <w:spacing w:line="440" w:lineRule="exact"/>
              <w:jc w:val="center"/>
              <w:rPr>
                <w:rFonts w:ascii="宋体" w:hAnsi="宋体"/>
                <w:szCs w:val="21"/>
              </w:rPr>
            </w:pPr>
          </w:p>
        </w:tc>
        <w:tc>
          <w:tcPr>
            <w:tcW w:w="840" w:type="dxa"/>
            <w:vMerge w:val="restart"/>
            <w:tcBorders>
              <w:top w:val="single" w:color="auto" w:sz="4" w:space="0"/>
              <w:left w:val="single" w:color="auto" w:sz="4" w:space="0"/>
              <w:bottom w:val="single" w:color="auto" w:sz="4" w:space="0"/>
              <w:right w:val="single" w:color="auto" w:sz="4" w:space="0"/>
            </w:tcBorders>
            <w:vAlign w:val="center"/>
          </w:tcPr>
          <w:p w14:paraId="4B97B09E">
            <w:pPr>
              <w:topLinePunct/>
              <w:spacing w:line="440" w:lineRule="exact"/>
              <w:jc w:val="center"/>
              <w:rPr>
                <w:rFonts w:ascii="宋体" w:hAnsi="宋体"/>
                <w:szCs w:val="21"/>
              </w:rPr>
            </w:pPr>
            <w:r>
              <w:rPr>
                <w:rFonts w:ascii="宋体" w:hAnsi="宋体"/>
                <w:szCs w:val="21"/>
              </w:rPr>
              <w:t>其中</w:t>
            </w: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2FB9C0F2">
            <w:pPr>
              <w:topLinePunct/>
              <w:spacing w:line="440" w:lineRule="exact"/>
              <w:jc w:val="center"/>
              <w:rPr>
                <w:rFonts w:ascii="宋体" w:hAnsi="宋体"/>
                <w:szCs w:val="21"/>
              </w:rPr>
            </w:pPr>
            <w:r>
              <w:rPr>
                <w:rFonts w:ascii="宋体" w:hAnsi="宋体"/>
                <w:szCs w:val="21"/>
              </w:rPr>
              <w:t>项目经理</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74BFA72C">
            <w:pPr>
              <w:topLinePunct/>
              <w:spacing w:line="440" w:lineRule="exact"/>
              <w:jc w:val="center"/>
              <w:rPr>
                <w:rFonts w:ascii="宋体" w:hAnsi="宋体"/>
                <w:szCs w:val="21"/>
              </w:rPr>
            </w:pPr>
          </w:p>
        </w:tc>
      </w:tr>
      <w:tr w14:paraId="795A20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55E8492C">
            <w:pPr>
              <w:topLinePunct/>
              <w:spacing w:line="440" w:lineRule="exact"/>
              <w:jc w:val="center"/>
              <w:rPr>
                <w:rFonts w:ascii="宋体" w:hAnsi="宋体"/>
                <w:szCs w:val="21"/>
              </w:rPr>
            </w:pPr>
            <w:r>
              <w:rPr>
                <w:rFonts w:ascii="宋体" w:hAnsi="宋体"/>
                <w:szCs w:val="21"/>
              </w:rPr>
              <w:t>营业执照号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3B365966">
            <w:pPr>
              <w:topLinePunct/>
              <w:spacing w:line="440" w:lineRule="exact"/>
              <w:jc w:val="center"/>
              <w:rPr>
                <w:rFonts w:ascii="宋体" w:hAnsi="宋体"/>
                <w:szCs w:val="21"/>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4359EA8C">
            <w:pPr>
              <w:topLinePunct/>
              <w:spacing w:line="440" w:lineRule="exact"/>
              <w:jc w:val="center"/>
              <w:rPr>
                <w:rFonts w:ascii="宋体" w:hAnsi="宋体"/>
                <w:szCs w:val="21"/>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2DB615D0">
            <w:pPr>
              <w:topLinePunct/>
              <w:spacing w:line="440" w:lineRule="exact"/>
              <w:jc w:val="center"/>
              <w:rPr>
                <w:rFonts w:ascii="宋体" w:hAnsi="宋体"/>
                <w:szCs w:val="21"/>
              </w:rPr>
            </w:pPr>
            <w:r>
              <w:rPr>
                <w:rFonts w:ascii="宋体" w:hAnsi="宋体"/>
                <w:szCs w:val="21"/>
              </w:rPr>
              <w:t>高级职称人员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5BB28F81">
            <w:pPr>
              <w:topLinePunct/>
              <w:spacing w:line="440" w:lineRule="exact"/>
              <w:jc w:val="center"/>
              <w:rPr>
                <w:rFonts w:ascii="宋体" w:hAnsi="宋体"/>
                <w:szCs w:val="21"/>
              </w:rPr>
            </w:pPr>
          </w:p>
        </w:tc>
      </w:tr>
      <w:tr w14:paraId="0AD01B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55B4330D">
            <w:pPr>
              <w:topLinePunct/>
              <w:spacing w:line="440" w:lineRule="exact"/>
              <w:jc w:val="center"/>
              <w:rPr>
                <w:rFonts w:ascii="宋体" w:hAnsi="宋体"/>
                <w:szCs w:val="21"/>
              </w:rPr>
            </w:pPr>
            <w:r>
              <w:rPr>
                <w:rFonts w:ascii="宋体" w:hAnsi="宋体"/>
                <w:szCs w:val="21"/>
              </w:rPr>
              <w:t>注册资金</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605595A9">
            <w:pPr>
              <w:topLinePunct/>
              <w:spacing w:line="440" w:lineRule="exact"/>
              <w:jc w:val="center"/>
              <w:rPr>
                <w:rFonts w:ascii="宋体" w:hAnsi="宋体"/>
                <w:szCs w:val="21"/>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0DE8621C">
            <w:pPr>
              <w:topLinePunct/>
              <w:spacing w:line="440" w:lineRule="exact"/>
              <w:jc w:val="center"/>
              <w:rPr>
                <w:rFonts w:ascii="宋体" w:hAnsi="宋体"/>
                <w:szCs w:val="21"/>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2018D6A7">
            <w:pPr>
              <w:topLinePunct/>
              <w:spacing w:line="440" w:lineRule="exact"/>
              <w:jc w:val="center"/>
              <w:rPr>
                <w:rFonts w:ascii="宋体" w:hAnsi="宋体"/>
                <w:szCs w:val="21"/>
              </w:rPr>
            </w:pPr>
            <w:r>
              <w:rPr>
                <w:rFonts w:ascii="宋体" w:hAnsi="宋体"/>
                <w:szCs w:val="21"/>
              </w:rPr>
              <w:t>中级职称人员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5E13FFA7">
            <w:pPr>
              <w:topLinePunct/>
              <w:spacing w:line="440" w:lineRule="exact"/>
              <w:jc w:val="center"/>
              <w:rPr>
                <w:rFonts w:ascii="宋体" w:hAnsi="宋体"/>
                <w:szCs w:val="21"/>
              </w:rPr>
            </w:pPr>
          </w:p>
        </w:tc>
      </w:tr>
      <w:tr w14:paraId="01D807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54324291">
            <w:pPr>
              <w:topLinePunct/>
              <w:spacing w:line="440" w:lineRule="exact"/>
              <w:jc w:val="center"/>
              <w:rPr>
                <w:rFonts w:ascii="宋体" w:hAnsi="宋体"/>
                <w:szCs w:val="21"/>
              </w:rPr>
            </w:pPr>
            <w:r>
              <w:rPr>
                <w:rFonts w:ascii="宋体" w:hAnsi="宋体"/>
                <w:szCs w:val="21"/>
              </w:rPr>
              <w:t>开户银行</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20D26885">
            <w:pPr>
              <w:topLinePunct/>
              <w:spacing w:line="440" w:lineRule="exact"/>
              <w:jc w:val="center"/>
              <w:rPr>
                <w:rFonts w:ascii="宋体" w:hAnsi="宋体"/>
                <w:szCs w:val="21"/>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61FCBD97">
            <w:pPr>
              <w:topLinePunct/>
              <w:spacing w:line="440" w:lineRule="exact"/>
              <w:jc w:val="center"/>
              <w:rPr>
                <w:rFonts w:ascii="宋体" w:hAnsi="宋体"/>
                <w:szCs w:val="21"/>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60ABB8A9">
            <w:pPr>
              <w:topLinePunct/>
              <w:spacing w:line="440" w:lineRule="exact"/>
              <w:jc w:val="center"/>
              <w:rPr>
                <w:rFonts w:ascii="宋体" w:hAnsi="宋体"/>
                <w:szCs w:val="21"/>
              </w:rPr>
            </w:pPr>
            <w:r>
              <w:rPr>
                <w:rFonts w:ascii="宋体" w:hAnsi="宋体"/>
                <w:szCs w:val="21"/>
              </w:rPr>
              <w:t>初级职称人员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42C32B47">
            <w:pPr>
              <w:topLinePunct/>
              <w:spacing w:line="440" w:lineRule="exact"/>
              <w:jc w:val="center"/>
              <w:rPr>
                <w:rFonts w:ascii="宋体" w:hAnsi="宋体"/>
                <w:szCs w:val="21"/>
              </w:rPr>
            </w:pPr>
          </w:p>
        </w:tc>
      </w:tr>
      <w:tr w14:paraId="2C5AB4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14AC9904">
            <w:pPr>
              <w:topLinePunct/>
              <w:spacing w:line="440" w:lineRule="exact"/>
              <w:jc w:val="center"/>
              <w:rPr>
                <w:rFonts w:ascii="宋体" w:hAnsi="宋体"/>
                <w:szCs w:val="21"/>
              </w:rPr>
            </w:pPr>
            <w:r>
              <w:rPr>
                <w:rFonts w:ascii="宋体" w:hAnsi="宋体"/>
                <w:szCs w:val="21"/>
              </w:rPr>
              <w:t>账号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2EB52209">
            <w:pPr>
              <w:topLinePunct/>
              <w:spacing w:line="440" w:lineRule="exact"/>
              <w:jc w:val="center"/>
              <w:rPr>
                <w:rFonts w:ascii="宋体" w:hAnsi="宋体"/>
                <w:szCs w:val="21"/>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6A7FD46D">
            <w:pPr>
              <w:topLinePunct/>
              <w:spacing w:line="440" w:lineRule="exact"/>
              <w:jc w:val="center"/>
              <w:rPr>
                <w:rFonts w:ascii="宋体" w:hAnsi="宋体"/>
                <w:szCs w:val="21"/>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67A1C304">
            <w:pPr>
              <w:topLinePunct/>
              <w:spacing w:line="440" w:lineRule="exact"/>
              <w:jc w:val="center"/>
              <w:rPr>
                <w:rFonts w:ascii="宋体" w:hAnsi="宋体"/>
              </w:rPr>
            </w:pPr>
            <w:r>
              <w:rPr>
                <w:rFonts w:ascii="宋体" w:hAnsi="宋体"/>
                <w:szCs w:val="21"/>
              </w:rPr>
              <w:t>技工</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29A8B535">
            <w:pPr>
              <w:topLinePunct/>
              <w:spacing w:line="440" w:lineRule="exact"/>
              <w:jc w:val="center"/>
              <w:rPr>
                <w:rFonts w:ascii="宋体" w:hAnsi="宋体"/>
                <w:szCs w:val="21"/>
              </w:rPr>
            </w:pPr>
          </w:p>
        </w:tc>
      </w:tr>
      <w:tr w14:paraId="639344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43" w:hRule="atLeast"/>
          <w:jc w:val="center"/>
        </w:trPr>
        <w:tc>
          <w:tcPr>
            <w:tcW w:w="1728" w:type="dxa"/>
            <w:tcBorders>
              <w:top w:val="single" w:color="auto" w:sz="4" w:space="0"/>
              <w:left w:val="single" w:color="auto" w:sz="4" w:space="0"/>
              <w:right w:val="single" w:color="auto" w:sz="4" w:space="0"/>
            </w:tcBorders>
            <w:vAlign w:val="center"/>
          </w:tcPr>
          <w:p w14:paraId="4E4A72A2">
            <w:pPr>
              <w:topLinePunct/>
              <w:spacing w:line="440" w:lineRule="exact"/>
              <w:ind w:left="210"/>
              <w:jc w:val="center"/>
              <w:rPr>
                <w:rFonts w:ascii="宋体" w:hAnsi="宋体"/>
                <w:szCs w:val="21"/>
              </w:rPr>
            </w:pPr>
            <w:r>
              <w:rPr>
                <w:rFonts w:ascii="宋体" w:hAnsi="宋体"/>
                <w:szCs w:val="21"/>
              </w:rPr>
              <w:t>经营范围</w:t>
            </w:r>
          </w:p>
        </w:tc>
        <w:tc>
          <w:tcPr>
            <w:tcW w:w="6840" w:type="dxa"/>
            <w:gridSpan w:val="9"/>
            <w:tcBorders>
              <w:top w:val="single" w:color="auto" w:sz="4" w:space="0"/>
              <w:left w:val="single" w:color="auto" w:sz="4" w:space="0"/>
              <w:right w:val="single" w:color="auto" w:sz="4" w:space="0"/>
            </w:tcBorders>
            <w:vAlign w:val="center"/>
          </w:tcPr>
          <w:p w14:paraId="45FC18B4">
            <w:pPr>
              <w:topLinePunct/>
              <w:spacing w:line="440" w:lineRule="exact"/>
              <w:rPr>
                <w:rFonts w:ascii="宋体" w:hAnsi="宋体"/>
                <w:szCs w:val="21"/>
              </w:rPr>
            </w:pPr>
          </w:p>
        </w:tc>
      </w:tr>
      <w:tr w14:paraId="37D4E5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3D34134A">
            <w:pPr>
              <w:topLinePunct/>
              <w:spacing w:line="440" w:lineRule="exact"/>
              <w:jc w:val="center"/>
              <w:rPr>
                <w:rFonts w:ascii="宋体" w:hAnsi="宋体"/>
                <w:szCs w:val="21"/>
              </w:rPr>
            </w:pPr>
            <w:r>
              <w:rPr>
                <w:rFonts w:ascii="宋体" w:hAnsi="宋体"/>
                <w:szCs w:val="21"/>
              </w:rPr>
              <w:t>备注</w:t>
            </w:r>
          </w:p>
        </w:tc>
        <w:tc>
          <w:tcPr>
            <w:tcW w:w="6840" w:type="dxa"/>
            <w:gridSpan w:val="9"/>
            <w:tcBorders>
              <w:top w:val="single" w:color="auto" w:sz="4" w:space="0"/>
              <w:left w:val="single" w:color="auto" w:sz="4" w:space="0"/>
              <w:bottom w:val="single" w:color="auto" w:sz="4" w:space="0"/>
              <w:right w:val="single" w:color="auto" w:sz="4" w:space="0"/>
            </w:tcBorders>
            <w:vAlign w:val="center"/>
          </w:tcPr>
          <w:p w14:paraId="5B442AE3">
            <w:pPr>
              <w:topLinePunct/>
              <w:spacing w:line="440" w:lineRule="exact"/>
              <w:jc w:val="center"/>
              <w:rPr>
                <w:rFonts w:ascii="宋体" w:hAnsi="宋体"/>
                <w:szCs w:val="21"/>
              </w:rPr>
            </w:pPr>
          </w:p>
        </w:tc>
      </w:tr>
    </w:tbl>
    <w:p w14:paraId="2B4C577E">
      <w:pPr>
        <w:topLinePunct/>
        <w:spacing w:line="440" w:lineRule="exact"/>
        <w:rPr>
          <w:rFonts w:ascii="宋体" w:hAnsi="宋体"/>
          <w:sz w:val="20"/>
        </w:rPr>
      </w:pPr>
    </w:p>
    <w:p w14:paraId="0DE01083">
      <w:pPr>
        <w:spacing w:line="360" w:lineRule="auto"/>
        <w:rPr>
          <w:rFonts w:ascii="宋体" w:hAnsi="宋体"/>
          <w:kern w:val="0"/>
        </w:rPr>
      </w:pPr>
      <w:r>
        <w:rPr>
          <w:rFonts w:hint="eastAsia" w:ascii="宋体" w:hAnsi="宋体" w:cs="宋体"/>
        </w:rPr>
        <w:t>1、本表内容如需扩展，投标人可自行扩展填写，但不得减少本表要求，表后应附投标人营业执照副本、资质证书副本和安全生产许可证副本等。2、如为联合体投标时，联合体各方均须填写此表</w:t>
      </w:r>
      <w:r>
        <w:rPr>
          <w:rFonts w:hint="eastAsia" w:ascii="宋体" w:hAnsi="宋体" w:cs="宋体"/>
          <w:kern w:val="0"/>
        </w:rPr>
        <w:t>。</w:t>
      </w:r>
    </w:p>
    <w:p w14:paraId="51C7A1A6">
      <w:pPr>
        <w:topLinePunct/>
        <w:spacing w:line="440" w:lineRule="exact"/>
        <w:rPr>
          <w:rFonts w:ascii="宋体" w:hAnsi="宋体"/>
          <w:sz w:val="20"/>
        </w:rPr>
      </w:pPr>
    </w:p>
    <w:p w14:paraId="0939BD41">
      <w:pPr>
        <w:topLinePunct/>
        <w:spacing w:line="440" w:lineRule="exact"/>
        <w:rPr>
          <w:rFonts w:ascii="宋体" w:hAnsi="宋体"/>
          <w:sz w:val="20"/>
        </w:rPr>
      </w:pPr>
    </w:p>
    <w:p w14:paraId="20059E56">
      <w:pPr>
        <w:pStyle w:val="6"/>
        <w:spacing w:before="157"/>
      </w:pPr>
      <w:bookmarkStart w:id="2319" w:name="_Toc480918816"/>
      <w:bookmarkStart w:id="2320" w:name="_Toc527485328"/>
      <w:bookmarkStart w:id="2321" w:name="_Toc1845"/>
      <w:bookmarkStart w:id="2322" w:name="_Toc480918584"/>
      <w:bookmarkStart w:id="2323" w:name="_Toc499310658"/>
      <w:bookmarkStart w:id="2324" w:name="_Toc85443519"/>
      <w:bookmarkStart w:id="2325" w:name="_Toc474179238"/>
      <w:bookmarkStart w:id="2326" w:name="_Toc97752054"/>
      <w:bookmarkStart w:id="2327" w:name="_Toc480918961"/>
      <w:bookmarkStart w:id="2328" w:name="_Toc474179002"/>
      <w:bookmarkStart w:id="2329" w:name="_Toc499310088"/>
      <w:r>
        <w:rPr>
          <w:rFonts w:hint="eastAsia"/>
        </w:rPr>
        <w:t>（二）近年财务状况表</w:t>
      </w:r>
      <w:bookmarkEnd w:id="2319"/>
      <w:bookmarkEnd w:id="2320"/>
      <w:bookmarkEnd w:id="2321"/>
      <w:bookmarkEnd w:id="2322"/>
      <w:bookmarkEnd w:id="2323"/>
      <w:bookmarkEnd w:id="2324"/>
      <w:bookmarkEnd w:id="2325"/>
      <w:bookmarkEnd w:id="2326"/>
      <w:bookmarkEnd w:id="2327"/>
      <w:bookmarkEnd w:id="2328"/>
      <w:bookmarkEnd w:id="2329"/>
    </w:p>
    <w:p w14:paraId="2A9A4D71">
      <w:pPr>
        <w:spacing w:line="440" w:lineRule="exact"/>
        <w:rPr>
          <w:rFonts w:ascii="宋体" w:hAnsi="宋体"/>
          <w:szCs w:val="21"/>
        </w:rPr>
      </w:pPr>
      <w:r>
        <w:rPr>
          <w:rFonts w:hint="eastAsia" w:ascii="宋体" w:hAnsi="宋体"/>
          <w:szCs w:val="21"/>
        </w:rPr>
        <w:t>备注：在此附经会计师事务所或审计机构审计的财务会计报表，包括资产负债表、现金流量表、利润表的复印件，具体要求见第二章“投标人须知”的规定。</w:t>
      </w:r>
    </w:p>
    <w:p w14:paraId="5D30BA9F">
      <w:pPr>
        <w:pStyle w:val="62"/>
        <w:ind w:left="0"/>
        <w:rPr>
          <w:rFonts w:ascii="宋体" w:hAnsi="宋体"/>
        </w:rPr>
      </w:pPr>
    </w:p>
    <w:p w14:paraId="2760D8A7">
      <w:pPr>
        <w:pStyle w:val="6"/>
        <w:spacing w:before="157"/>
        <w:rPr>
          <w:szCs w:val="21"/>
        </w:rPr>
      </w:pPr>
      <w:bookmarkStart w:id="2330" w:name="_Toc300835228"/>
      <w:bookmarkStart w:id="2331" w:name="_Toc97752055"/>
      <w:bookmarkStart w:id="2332" w:name="_Toc480918819"/>
      <w:bookmarkStart w:id="2333" w:name="_Toc499310091"/>
      <w:bookmarkStart w:id="2334" w:name="_Toc4015"/>
      <w:bookmarkStart w:id="2335" w:name="_Toc499310661"/>
      <w:bookmarkStart w:id="2336" w:name="_Toc480918964"/>
      <w:bookmarkStart w:id="2337" w:name="_Toc474179241"/>
      <w:bookmarkStart w:id="2338" w:name="_Toc527485329"/>
      <w:bookmarkStart w:id="2339" w:name="_Toc451244252"/>
      <w:bookmarkStart w:id="2340" w:name="_Toc85443520"/>
      <w:bookmarkStart w:id="2341" w:name="_Toc480918587"/>
      <w:bookmarkStart w:id="2342" w:name="_Toc474178536"/>
      <w:bookmarkStart w:id="2343" w:name="_Toc474179005"/>
      <w:r>
        <w:rPr>
          <w:rFonts w:hint="eastAsia"/>
        </w:rPr>
        <w:t>（三）</w:t>
      </w:r>
      <w:bookmarkEnd w:id="2330"/>
      <w:r>
        <w:rPr>
          <w:rFonts w:hint="eastAsia"/>
        </w:rPr>
        <w:t>信誉</w:t>
      </w:r>
      <w:bookmarkEnd w:id="2331"/>
      <w:bookmarkEnd w:id="2332"/>
      <w:bookmarkEnd w:id="2333"/>
      <w:bookmarkEnd w:id="2334"/>
      <w:bookmarkEnd w:id="2335"/>
      <w:bookmarkEnd w:id="2336"/>
      <w:bookmarkEnd w:id="2337"/>
      <w:bookmarkEnd w:id="2338"/>
      <w:bookmarkEnd w:id="2339"/>
      <w:bookmarkEnd w:id="2340"/>
      <w:bookmarkEnd w:id="2341"/>
      <w:bookmarkEnd w:id="2342"/>
      <w:bookmarkEnd w:id="2343"/>
      <w:r>
        <w:rPr>
          <w:rFonts w:hint="eastAsia"/>
        </w:rPr>
        <w:t>要求：</w:t>
      </w:r>
      <w:r>
        <w:rPr>
          <w:rFonts w:hint="eastAsia"/>
          <w:sz w:val="21"/>
          <w:szCs w:val="21"/>
        </w:rPr>
        <w:t>具体要求见第二章“投标人须知”的规定。</w:t>
      </w:r>
    </w:p>
    <w:p w14:paraId="58A8944F"/>
    <w:p w14:paraId="3DE97271">
      <w:pPr>
        <w:rPr>
          <w:rFonts w:ascii="宋体" w:hAnsi="宋体"/>
        </w:rPr>
      </w:pPr>
    </w:p>
    <w:p w14:paraId="4F157EEA">
      <w:pPr>
        <w:spacing w:line="440" w:lineRule="exact"/>
        <w:rPr>
          <w:rFonts w:ascii="宋体" w:hAnsi="宋体"/>
        </w:rPr>
      </w:pPr>
      <w:bookmarkStart w:id="2344" w:name="_Toc152045813"/>
      <w:bookmarkStart w:id="2345" w:name="_Toc247530162"/>
      <w:bookmarkStart w:id="2346" w:name="_Toc247514305"/>
      <w:bookmarkStart w:id="2347" w:name="_Toc247527853"/>
      <w:bookmarkStart w:id="2348" w:name="_Toc144974881"/>
      <w:bookmarkStart w:id="2349" w:name="_Toc152042602"/>
    </w:p>
    <w:p w14:paraId="59BF67B9">
      <w:pPr>
        <w:spacing w:line="440" w:lineRule="exact"/>
        <w:rPr>
          <w:rFonts w:ascii="宋体" w:hAnsi="宋体"/>
        </w:rPr>
      </w:pPr>
    </w:p>
    <w:p w14:paraId="4C48A59A">
      <w:pPr>
        <w:spacing w:line="440" w:lineRule="exact"/>
        <w:rPr>
          <w:rFonts w:ascii="宋体" w:hAnsi="宋体"/>
        </w:rPr>
      </w:pPr>
    </w:p>
    <w:p w14:paraId="2190FE07">
      <w:pPr>
        <w:spacing w:line="440" w:lineRule="exact"/>
        <w:rPr>
          <w:rFonts w:ascii="宋体" w:hAnsi="宋体"/>
        </w:rPr>
      </w:pPr>
    </w:p>
    <w:p w14:paraId="0F00048B">
      <w:pPr>
        <w:spacing w:line="440" w:lineRule="exact"/>
        <w:rPr>
          <w:rFonts w:ascii="宋体" w:hAnsi="宋体"/>
        </w:rPr>
      </w:pPr>
    </w:p>
    <w:p w14:paraId="2E17404D">
      <w:pPr>
        <w:spacing w:line="440" w:lineRule="exact"/>
        <w:rPr>
          <w:rFonts w:ascii="宋体" w:hAnsi="宋体"/>
        </w:rPr>
      </w:pPr>
    </w:p>
    <w:p w14:paraId="3760F270">
      <w:pPr>
        <w:spacing w:line="440" w:lineRule="exact"/>
        <w:rPr>
          <w:rFonts w:ascii="宋体" w:hAnsi="宋体"/>
        </w:rPr>
      </w:pPr>
    </w:p>
    <w:p w14:paraId="6285E3D0">
      <w:pPr>
        <w:spacing w:line="440" w:lineRule="exact"/>
        <w:rPr>
          <w:rFonts w:ascii="宋体" w:hAnsi="宋体"/>
        </w:rPr>
      </w:pPr>
    </w:p>
    <w:p w14:paraId="4FDEC733">
      <w:pPr>
        <w:spacing w:line="440" w:lineRule="exact"/>
        <w:rPr>
          <w:rFonts w:ascii="宋体" w:hAnsi="宋体"/>
        </w:rPr>
      </w:pPr>
    </w:p>
    <w:p w14:paraId="69CA59D8">
      <w:pPr>
        <w:spacing w:line="440" w:lineRule="exact"/>
        <w:rPr>
          <w:rFonts w:ascii="宋体" w:hAnsi="宋体"/>
        </w:rPr>
      </w:pPr>
    </w:p>
    <w:p w14:paraId="09580768">
      <w:pPr>
        <w:spacing w:line="440" w:lineRule="exact"/>
        <w:rPr>
          <w:rFonts w:ascii="宋体" w:hAnsi="宋体"/>
        </w:rPr>
      </w:pPr>
    </w:p>
    <w:p w14:paraId="383920BE">
      <w:pPr>
        <w:spacing w:line="440" w:lineRule="exact"/>
        <w:rPr>
          <w:rFonts w:ascii="宋体" w:hAnsi="宋体"/>
        </w:rPr>
      </w:pPr>
    </w:p>
    <w:p w14:paraId="19CF3234">
      <w:pPr>
        <w:spacing w:line="440" w:lineRule="exact"/>
        <w:rPr>
          <w:rFonts w:ascii="宋体" w:hAnsi="宋体"/>
        </w:rPr>
      </w:pPr>
    </w:p>
    <w:p w14:paraId="7C70B2D7">
      <w:pPr>
        <w:spacing w:line="440" w:lineRule="exact"/>
        <w:rPr>
          <w:rFonts w:ascii="宋体" w:hAnsi="宋体"/>
        </w:rPr>
      </w:pPr>
    </w:p>
    <w:p w14:paraId="47548DA3">
      <w:pPr>
        <w:spacing w:line="440" w:lineRule="exact"/>
        <w:rPr>
          <w:rFonts w:ascii="宋体" w:hAnsi="宋体"/>
        </w:rPr>
      </w:pPr>
    </w:p>
    <w:p w14:paraId="5E6D9FBE">
      <w:pPr>
        <w:spacing w:line="440" w:lineRule="exact"/>
        <w:rPr>
          <w:rFonts w:ascii="宋体" w:hAnsi="宋体"/>
        </w:rPr>
      </w:pPr>
    </w:p>
    <w:p w14:paraId="645D74AC">
      <w:pPr>
        <w:spacing w:line="440" w:lineRule="exact"/>
        <w:rPr>
          <w:rFonts w:ascii="宋体" w:hAnsi="宋体"/>
        </w:rPr>
      </w:pPr>
    </w:p>
    <w:p w14:paraId="13FF1EA2">
      <w:pPr>
        <w:spacing w:line="440" w:lineRule="exact"/>
        <w:rPr>
          <w:rFonts w:ascii="宋体" w:hAnsi="宋体"/>
        </w:rPr>
      </w:pPr>
    </w:p>
    <w:p w14:paraId="22E0FA2D">
      <w:pPr>
        <w:spacing w:line="440" w:lineRule="exact"/>
        <w:rPr>
          <w:rFonts w:ascii="宋体" w:hAnsi="宋体"/>
        </w:rPr>
      </w:pPr>
    </w:p>
    <w:p w14:paraId="4276DD7C">
      <w:pPr>
        <w:spacing w:line="440" w:lineRule="exact"/>
        <w:rPr>
          <w:rFonts w:ascii="宋体" w:hAnsi="宋体"/>
        </w:rPr>
      </w:pPr>
    </w:p>
    <w:p w14:paraId="52AA086D">
      <w:pPr>
        <w:spacing w:line="440" w:lineRule="exact"/>
        <w:rPr>
          <w:rFonts w:ascii="宋体" w:hAnsi="宋体"/>
        </w:rPr>
      </w:pPr>
    </w:p>
    <w:p w14:paraId="745B78A1">
      <w:pPr>
        <w:spacing w:line="440" w:lineRule="exact"/>
        <w:rPr>
          <w:rFonts w:ascii="宋体" w:hAnsi="宋体"/>
        </w:rPr>
      </w:pPr>
    </w:p>
    <w:p w14:paraId="4B4B91A1">
      <w:pPr>
        <w:spacing w:line="440" w:lineRule="exact"/>
        <w:rPr>
          <w:rFonts w:ascii="宋体" w:hAnsi="宋体"/>
        </w:rPr>
      </w:pPr>
    </w:p>
    <w:p w14:paraId="41EACA48">
      <w:pPr>
        <w:spacing w:line="440" w:lineRule="exact"/>
        <w:rPr>
          <w:rFonts w:ascii="宋体" w:hAnsi="宋体"/>
        </w:rPr>
      </w:pPr>
    </w:p>
    <w:p w14:paraId="13DD395E">
      <w:pPr>
        <w:spacing w:line="440" w:lineRule="exact"/>
        <w:rPr>
          <w:rFonts w:ascii="宋体" w:hAnsi="宋体"/>
        </w:rPr>
      </w:pPr>
    </w:p>
    <w:p w14:paraId="240D9228">
      <w:pPr>
        <w:spacing w:line="440" w:lineRule="exact"/>
        <w:rPr>
          <w:rFonts w:ascii="宋体" w:hAnsi="宋体"/>
        </w:rPr>
      </w:pPr>
    </w:p>
    <w:p w14:paraId="73252F8E">
      <w:pPr>
        <w:pStyle w:val="6"/>
        <w:spacing w:before="157"/>
      </w:pPr>
      <w:bookmarkStart w:id="2350" w:name="_Toc97752056"/>
      <w:bookmarkStart w:id="2351" w:name="_Toc7568"/>
      <w:bookmarkStart w:id="2352" w:name="_Toc480918588"/>
      <w:bookmarkStart w:id="2353" w:name="_Toc474179006"/>
      <w:bookmarkStart w:id="2354" w:name="_Toc499310092"/>
      <w:bookmarkStart w:id="2355" w:name="_Toc480918820"/>
      <w:bookmarkStart w:id="2356" w:name="_Toc300835229"/>
      <w:bookmarkStart w:id="2357" w:name="_Toc85443521"/>
      <w:bookmarkStart w:id="2358" w:name="_Toc527485330"/>
      <w:bookmarkStart w:id="2359" w:name="_Toc474178537"/>
      <w:bookmarkStart w:id="2360" w:name="_Toc480918965"/>
      <w:bookmarkStart w:id="2361" w:name="_Toc451244253"/>
      <w:bookmarkStart w:id="2362" w:name="_Toc499310662"/>
      <w:bookmarkStart w:id="2363" w:name="_Toc474179242"/>
      <w:r>
        <w:rPr>
          <w:rFonts w:hint="eastAsia"/>
        </w:rPr>
        <w:t>（四）拟投入本项目的主要施工设备表</w:t>
      </w:r>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p>
    <w:p w14:paraId="51053322">
      <w:pPr>
        <w:spacing w:line="440" w:lineRule="exact"/>
        <w:rPr>
          <w:rFonts w:ascii="宋体" w:hAnsi="宋体"/>
          <w:sz w:val="20"/>
        </w:rPr>
      </w:pPr>
    </w:p>
    <w:tbl>
      <w:tblPr>
        <w:tblStyle w:val="73"/>
        <w:tblW w:w="7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1086"/>
        <w:gridCol w:w="761"/>
        <w:gridCol w:w="990"/>
        <w:gridCol w:w="672"/>
        <w:gridCol w:w="738"/>
        <w:gridCol w:w="1212"/>
        <w:gridCol w:w="1055"/>
        <w:gridCol w:w="691"/>
      </w:tblGrid>
      <w:tr w14:paraId="57B16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vAlign w:val="center"/>
          </w:tcPr>
          <w:p w14:paraId="48A362AA">
            <w:pPr>
              <w:spacing w:line="440" w:lineRule="exact"/>
              <w:rPr>
                <w:rFonts w:ascii="宋体" w:hAnsi="宋体"/>
                <w:szCs w:val="21"/>
              </w:rPr>
            </w:pPr>
            <w:r>
              <w:rPr>
                <w:rFonts w:ascii="宋体" w:hAnsi="宋体"/>
                <w:szCs w:val="21"/>
              </w:rPr>
              <w:t>序号</w:t>
            </w:r>
          </w:p>
        </w:tc>
        <w:tc>
          <w:tcPr>
            <w:tcW w:w="1086" w:type="dxa"/>
            <w:vAlign w:val="center"/>
          </w:tcPr>
          <w:p w14:paraId="1EE287A4">
            <w:pPr>
              <w:spacing w:line="440" w:lineRule="exact"/>
              <w:jc w:val="center"/>
              <w:rPr>
                <w:rFonts w:ascii="宋体" w:hAnsi="宋体"/>
                <w:szCs w:val="21"/>
              </w:rPr>
            </w:pPr>
            <w:r>
              <w:rPr>
                <w:rFonts w:ascii="宋体" w:hAnsi="宋体"/>
                <w:szCs w:val="21"/>
              </w:rPr>
              <w:t>设备名称</w:t>
            </w:r>
          </w:p>
        </w:tc>
        <w:tc>
          <w:tcPr>
            <w:tcW w:w="761" w:type="dxa"/>
            <w:vAlign w:val="center"/>
          </w:tcPr>
          <w:p w14:paraId="146F847D">
            <w:pPr>
              <w:spacing w:line="440" w:lineRule="exact"/>
              <w:jc w:val="center"/>
              <w:rPr>
                <w:rFonts w:ascii="宋体" w:hAnsi="宋体"/>
                <w:szCs w:val="21"/>
              </w:rPr>
            </w:pPr>
            <w:r>
              <w:rPr>
                <w:rFonts w:ascii="宋体" w:hAnsi="宋体"/>
                <w:szCs w:val="21"/>
              </w:rPr>
              <w:t>型号</w:t>
            </w:r>
          </w:p>
          <w:p w14:paraId="435F2ED0">
            <w:pPr>
              <w:spacing w:line="440" w:lineRule="exact"/>
              <w:jc w:val="center"/>
              <w:rPr>
                <w:rFonts w:ascii="宋体" w:hAnsi="宋体"/>
                <w:szCs w:val="21"/>
              </w:rPr>
            </w:pPr>
            <w:r>
              <w:rPr>
                <w:rFonts w:ascii="宋体" w:hAnsi="宋体"/>
                <w:szCs w:val="21"/>
              </w:rPr>
              <w:t>规格</w:t>
            </w:r>
          </w:p>
        </w:tc>
        <w:tc>
          <w:tcPr>
            <w:tcW w:w="990" w:type="dxa"/>
            <w:vAlign w:val="center"/>
          </w:tcPr>
          <w:p w14:paraId="5312BA2E">
            <w:pPr>
              <w:spacing w:line="440" w:lineRule="exact"/>
              <w:jc w:val="center"/>
              <w:rPr>
                <w:rFonts w:ascii="宋体" w:hAnsi="宋体"/>
                <w:szCs w:val="21"/>
              </w:rPr>
            </w:pPr>
            <w:r>
              <w:rPr>
                <w:rFonts w:ascii="宋体" w:hAnsi="宋体"/>
                <w:szCs w:val="21"/>
              </w:rPr>
              <w:t>数量</w:t>
            </w:r>
          </w:p>
        </w:tc>
        <w:tc>
          <w:tcPr>
            <w:tcW w:w="672" w:type="dxa"/>
            <w:vAlign w:val="center"/>
          </w:tcPr>
          <w:p w14:paraId="2CD53402">
            <w:pPr>
              <w:spacing w:line="440" w:lineRule="exact"/>
              <w:jc w:val="center"/>
              <w:rPr>
                <w:rFonts w:ascii="宋体" w:hAnsi="宋体"/>
                <w:szCs w:val="21"/>
              </w:rPr>
            </w:pPr>
            <w:r>
              <w:rPr>
                <w:rFonts w:ascii="宋体" w:hAnsi="宋体"/>
                <w:szCs w:val="21"/>
              </w:rPr>
              <w:t>国别</w:t>
            </w:r>
          </w:p>
          <w:p w14:paraId="3A296411">
            <w:pPr>
              <w:spacing w:line="440" w:lineRule="exact"/>
              <w:jc w:val="center"/>
              <w:rPr>
                <w:rFonts w:ascii="宋体" w:hAnsi="宋体"/>
                <w:szCs w:val="21"/>
              </w:rPr>
            </w:pPr>
            <w:r>
              <w:rPr>
                <w:rFonts w:ascii="宋体" w:hAnsi="宋体"/>
                <w:szCs w:val="21"/>
              </w:rPr>
              <w:t>产地</w:t>
            </w:r>
          </w:p>
        </w:tc>
        <w:tc>
          <w:tcPr>
            <w:tcW w:w="738" w:type="dxa"/>
            <w:vAlign w:val="center"/>
          </w:tcPr>
          <w:p w14:paraId="6DEAE255">
            <w:pPr>
              <w:spacing w:line="440" w:lineRule="exact"/>
              <w:jc w:val="center"/>
              <w:rPr>
                <w:rFonts w:ascii="宋体" w:hAnsi="宋体"/>
                <w:szCs w:val="21"/>
              </w:rPr>
            </w:pPr>
            <w:r>
              <w:rPr>
                <w:rFonts w:ascii="宋体" w:hAnsi="宋体"/>
                <w:szCs w:val="21"/>
              </w:rPr>
              <w:t>制造</w:t>
            </w:r>
          </w:p>
          <w:p w14:paraId="3EDC9F09">
            <w:pPr>
              <w:spacing w:line="440" w:lineRule="exact"/>
              <w:jc w:val="center"/>
              <w:rPr>
                <w:rFonts w:ascii="宋体" w:hAnsi="宋体"/>
                <w:szCs w:val="21"/>
              </w:rPr>
            </w:pPr>
            <w:r>
              <w:rPr>
                <w:rFonts w:ascii="宋体" w:hAnsi="宋体"/>
                <w:szCs w:val="21"/>
              </w:rPr>
              <w:t>年份</w:t>
            </w:r>
          </w:p>
        </w:tc>
        <w:tc>
          <w:tcPr>
            <w:tcW w:w="1212" w:type="dxa"/>
            <w:vAlign w:val="center"/>
          </w:tcPr>
          <w:p w14:paraId="7AA86142">
            <w:pPr>
              <w:spacing w:line="440" w:lineRule="exact"/>
              <w:jc w:val="center"/>
              <w:rPr>
                <w:rFonts w:ascii="宋体" w:hAnsi="宋体"/>
                <w:szCs w:val="21"/>
              </w:rPr>
            </w:pPr>
            <w:r>
              <w:rPr>
                <w:rFonts w:ascii="宋体" w:hAnsi="宋体"/>
                <w:szCs w:val="21"/>
              </w:rPr>
              <w:t>额定功率（</w:t>
            </w:r>
            <w:r>
              <w:rPr>
                <w:rFonts w:hint="eastAsia" w:ascii="宋体" w:hAnsi="宋体"/>
                <w:szCs w:val="21"/>
              </w:rPr>
              <w:t>k</w:t>
            </w:r>
            <w:r>
              <w:rPr>
                <w:rFonts w:ascii="宋体" w:hAnsi="宋体"/>
                <w:szCs w:val="21"/>
              </w:rPr>
              <w:t>W）</w:t>
            </w:r>
          </w:p>
        </w:tc>
        <w:tc>
          <w:tcPr>
            <w:tcW w:w="1055" w:type="dxa"/>
            <w:vAlign w:val="center"/>
          </w:tcPr>
          <w:p w14:paraId="77B2B0C1">
            <w:pPr>
              <w:spacing w:line="440" w:lineRule="exact"/>
              <w:jc w:val="center"/>
              <w:rPr>
                <w:rFonts w:hint="eastAsia" w:ascii="宋体" w:hAnsi="宋体" w:eastAsia="宋体"/>
                <w:szCs w:val="21"/>
                <w:lang w:eastAsia="zh-CN"/>
              </w:rPr>
            </w:pPr>
            <w:r>
              <w:rPr>
                <w:rFonts w:hint="eastAsia" w:ascii="宋体" w:hAnsi="宋体"/>
                <w:szCs w:val="21"/>
                <w:lang w:val="en-US" w:eastAsia="zh-CN"/>
              </w:rPr>
              <w:t>用途</w:t>
            </w:r>
          </w:p>
        </w:tc>
        <w:tc>
          <w:tcPr>
            <w:tcW w:w="691" w:type="dxa"/>
            <w:vAlign w:val="center"/>
          </w:tcPr>
          <w:p w14:paraId="1A14BFBC">
            <w:pPr>
              <w:spacing w:line="440" w:lineRule="exact"/>
              <w:jc w:val="center"/>
              <w:rPr>
                <w:rFonts w:ascii="宋体" w:hAnsi="宋体"/>
                <w:szCs w:val="21"/>
              </w:rPr>
            </w:pPr>
            <w:r>
              <w:rPr>
                <w:rFonts w:ascii="宋体" w:hAnsi="宋体"/>
                <w:szCs w:val="21"/>
              </w:rPr>
              <w:t>备注</w:t>
            </w:r>
          </w:p>
        </w:tc>
      </w:tr>
      <w:tr w14:paraId="3711F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vAlign w:val="center"/>
          </w:tcPr>
          <w:p w14:paraId="0F51795E">
            <w:pPr>
              <w:spacing w:line="440" w:lineRule="exact"/>
              <w:jc w:val="center"/>
              <w:rPr>
                <w:rFonts w:ascii="宋体" w:hAnsi="宋体"/>
                <w:szCs w:val="21"/>
              </w:rPr>
            </w:pPr>
          </w:p>
        </w:tc>
        <w:tc>
          <w:tcPr>
            <w:tcW w:w="1086" w:type="dxa"/>
            <w:vAlign w:val="center"/>
          </w:tcPr>
          <w:p w14:paraId="65C028E8">
            <w:pPr>
              <w:spacing w:line="440" w:lineRule="exact"/>
              <w:jc w:val="center"/>
              <w:rPr>
                <w:rFonts w:ascii="宋体" w:hAnsi="宋体"/>
                <w:szCs w:val="21"/>
              </w:rPr>
            </w:pPr>
          </w:p>
        </w:tc>
        <w:tc>
          <w:tcPr>
            <w:tcW w:w="761" w:type="dxa"/>
            <w:vAlign w:val="center"/>
          </w:tcPr>
          <w:p w14:paraId="2D1B961A">
            <w:pPr>
              <w:spacing w:line="440" w:lineRule="exact"/>
              <w:jc w:val="center"/>
              <w:rPr>
                <w:rFonts w:ascii="宋体" w:hAnsi="宋体"/>
                <w:szCs w:val="21"/>
              </w:rPr>
            </w:pPr>
          </w:p>
        </w:tc>
        <w:tc>
          <w:tcPr>
            <w:tcW w:w="990" w:type="dxa"/>
            <w:vAlign w:val="center"/>
          </w:tcPr>
          <w:p w14:paraId="75C81C8B">
            <w:pPr>
              <w:spacing w:line="440" w:lineRule="exact"/>
              <w:jc w:val="center"/>
              <w:rPr>
                <w:rFonts w:ascii="宋体" w:hAnsi="宋体"/>
                <w:szCs w:val="21"/>
              </w:rPr>
            </w:pPr>
          </w:p>
        </w:tc>
        <w:tc>
          <w:tcPr>
            <w:tcW w:w="672" w:type="dxa"/>
            <w:vAlign w:val="center"/>
          </w:tcPr>
          <w:p w14:paraId="64E38A45">
            <w:pPr>
              <w:spacing w:line="440" w:lineRule="exact"/>
              <w:jc w:val="center"/>
              <w:rPr>
                <w:rFonts w:ascii="宋体" w:hAnsi="宋体"/>
                <w:szCs w:val="21"/>
              </w:rPr>
            </w:pPr>
          </w:p>
        </w:tc>
        <w:tc>
          <w:tcPr>
            <w:tcW w:w="738" w:type="dxa"/>
            <w:vAlign w:val="center"/>
          </w:tcPr>
          <w:p w14:paraId="255E5035">
            <w:pPr>
              <w:spacing w:line="440" w:lineRule="exact"/>
              <w:jc w:val="center"/>
              <w:rPr>
                <w:rFonts w:ascii="宋体" w:hAnsi="宋体"/>
                <w:szCs w:val="21"/>
              </w:rPr>
            </w:pPr>
          </w:p>
        </w:tc>
        <w:tc>
          <w:tcPr>
            <w:tcW w:w="1212" w:type="dxa"/>
            <w:vAlign w:val="center"/>
          </w:tcPr>
          <w:p w14:paraId="4199DE12">
            <w:pPr>
              <w:spacing w:line="440" w:lineRule="exact"/>
              <w:jc w:val="center"/>
              <w:rPr>
                <w:rFonts w:ascii="宋体" w:hAnsi="宋体"/>
                <w:szCs w:val="21"/>
              </w:rPr>
            </w:pPr>
          </w:p>
        </w:tc>
        <w:tc>
          <w:tcPr>
            <w:tcW w:w="1055" w:type="dxa"/>
            <w:vAlign w:val="center"/>
          </w:tcPr>
          <w:p w14:paraId="30E591CF">
            <w:pPr>
              <w:spacing w:line="440" w:lineRule="exact"/>
              <w:jc w:val="center"/>
              <w:rPr>
                <w:rFonts w:ascii="宋体" w:hAnsi="宋体"/>
                <w:szCs w:val="21"/>
              </w:rPr>
            </w:pPr>
          </w:p>
        </w:tc>
        <w:tc>
          <w:tcPr>
            <w:tcW w:w="691" w:type="dxa"/>
            <w:vAlign w:val="center"/>
          </w:tcPr>
          <w:p w14:paraId="23FF72C2">
            <w:pPr>
              <w:spacing w:line="440" w:lineRule="exact"/>
              <w:jc w:val="center"/>
              <w:rPr>
                <w:rFonts w:ascii="宋体" w:hAnsi="宋体"/>
                <w:szCs w:val="21"/>
              </w:rPr>
            </w:pPr>
          </w:p>
        </w:tc>
      </w:tr>
      <w:tr w14:paraId="49953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vAlign w:val="center"/>
          </w:tcPr>
          <w:p w14:paraId="3E1A9961">
            <w:pPr>
              <w:spacing w:line="440" w:lineRule="exact"/>
              <w:jc w:val="center"/>
              <w:rPr>
                <w:rFonts w:ascii="宋体" w:hAnsi="宋体"/>
                <w:szCs w:val="21"/>
              </w:rPr>
            </w:pPr>
          </w:p>
        </w:tc>
        <w:tc>
          <w:tcPr>
            <w:tcW w:w="1086" w:type="dxa"/>
            <w:vAlign w:val="center"/>
          </w:tcPr>
          <w:p w14:paraId="60AC2559">
            <w:pPr>
              <w:spacing w:line="440" w:lineRule="exact"/>
              <w:jc w:val="center"/>
              <w:rPr>
                <w:rFonts w:ascii="宋体" w:hAnsi="宋体"/>
                <w:szCs w:val="21"/>
              </w:rPr>
            </w:pPr>
          </w:p>
        </w:tc>
        <w:tc>
          <w:tcPr>
            <w:tcW w:w="761" w:type="dxa"/>
            <w:vAlign w:val="center"/>
          </w:tcPr>
          <w:p w14:paraId="0AD5A809">
            <w:pPr>
              <w:spacing w:line="440" w:lineRule="exact"/>
              <w:jc w:val="center"/>
              <w:rPr>
                <w:rFonts w:ascii="宋体" w:hAnsi="宋体"/>
                <w:szCs w:val="21"/>
              </w:rPr>
            </w:pPr>
          </w:p>
        </w:tc>
        <w:tc>
          <w:tcPr>
            <w:tcW w:w="990" w:type="dxa"/>
            <w:vAlign w:val="center"/>
          </w:tcPr>
          <w:p w14:paraId="28B00818">
            <w:pPr>
              <w:spacing w:line="440" w:lineRule="exact"/>
              <w:jc w:val="center"/>
              <w:rPr>
                <w:rFonts w:ascii="宋体" w:hAnsi="宋体"/>
                <w:szCs w:val="21"/>
              </w:rPr>
            </w:pPr>
          </w:p>
        </w:tc>
        <w:tc>
          <w:tcPr>
            <w:tcW w:w="672" w:type="dxa"/>
            <w:vAlign w:val="center"/>
          </w:tcPr>
          <w:p w14:paraId="568D466B">
            <w:pPr>
              <w:spacing w:line="440" w:lineRule="exact"/>
              <w:jc w:val="center"/>
              <w:rPr>
                <w:rFonts w:ascii="宋体" w:hAnsi="宋体"/>
                <w:szCs w:val="21"/>
              </w:rPr>
            </w:pPr>
          </w:p>
        </w:tc>
        <w:tc>
          <w:tcPr>
            <w:tcW w:w="738" w:type="dxa"/>
            <w:vAlign w:val="center"/>
          </w:tcPr>
          <w:p w14:paraId="6B5B6D39">
            <w:pPr>
              <w:spacing w:line="440" w:lineRule="exact"/>
              <w:jc w:val="center"/>
              <w:rPr>
                <w:rFonts w:ascii="宋体" w:hAnsi="宋体"/>
                <w:szCs w:val="21"/>
              </w:rPr>
            </w:pPr>
          </w:p>
        </w:tc>
        <w:tc>
          <w:tcPr>
            <w:tcW w:w="1212" w:type="dxa"/>
            <w:vAlign w:val="center"/>
          </w:tcPr>
          <w:p w14:paraId="45E05A68">
            <w:pPr>
              <w:spacing w:line="440" w:lineRule="exact"/>
              <w:jc w:val="center"/>
              <w:rPr>
                <w:rFonts w:ascii="宋体" w:hAnsi="宋体"/>
                <w:szCs w:val="21"/>
              </w:rPr>
            </w:pPr>
          </w:p>
        </w:tc>
        <w:tc>
          <w:tcPr>
            <w:tcW w:w="1055" w:type="dxa"/>
            <w:vAlign w:val="center"/>
          </w:tcPr>
          <w:p w14:paraId="49E74DB6">
            <w:pPr>
              <w:spacing w:line="440" w:lineRule="exact"/>
              <w:jc w:val="center"/>
              <w:rPr>
                <w:rFonts w:ascii="宋体" w:hAnsi="宋体"/>
                <w:szCs w:val="21"/>
              </w:rPr>
            </w:pPr>
          </w:p>
        </w:tc>
        <w:tc>
          <w:tcPr>
            <w:tcW w:w="691" w:type="dxa"/>
            <w:vAlign w:val="center"/>
          </w:tcPr>
          <w:p w14:paraId="065018A1">
            <w:pPr>
              <w:spacing w:line="440" w:lineRule="exact"/>
              <w:jc w:val="center"/>
              <w:rPr>
                <w:rFonts w:ascii="宋体" w:hAnsi="宋体"/>
                <w:szCs w:val="21"/>
              </w:rPr>
            </w:pPr>
          </w:p>
        </w:tc>
      </w:tr>
      <w:tr w14:paraId="42E1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085662F5">
            <w:pPr>
              <w:spacing w:line="440" w:lineRule="exact"/>
              <w:jc w:val="center"/>
              <w:rPr>
                <w:rFonts w:ascii="宋体" w:hAnsi="宋体"/>
                <w:szCs w:val="21"/>
              </w:rPr>
            </w:pPr>
          </w:p>
        </w:tc>
        <w:tc>
          <w:tcPr>
            <w:tcW w:w="1086" w:type="dxa"/>
          </w:tcPr>
          <w:p w14:paraId="35D2A7C9">
            <w:pPr>
              <w:spacing w:line="440" w:lineRule="exact"/>
              <w:jc w:val="center"/>
              <w:rPr>
                <w:rFonts w:ascii="宋体" w:hAnsi="宋体"/>
                <w:szCs w:val="21"/>
              </w:rPr>
            </w:pPr>
          </w:p>
        </w:tc>
        <w:tc>
          <w:tcPr>
            <w:tcW w:w="761" w:type="dxa"/>
          </w:tcPr>
          <w:p w14:paraId="5BC0CD02">
            <w:pPr>
              <w:spacing w:line="440" w:lineRule="exact"/>
              <w:jc w:val="center"/>
              <w:rPr>
                <w:rFonts w:ascii="宋体" w:hAnsi="宋体"/>
                <w:szCs w:val="21"/>
              </w:rPr>
            </w:pPr>
          </w:p>
        </w:tc>
        <w:tc>
          <w:tcPr>
            <w:tcW w:w="990" w:type="dxa"/>
          </w:tcPr>
          <w:p w14:paraId="76BC3E88">
            <w:pPr>
              <w:spacing w:line="440" w:lineRule="exact"/>
              <w:jc w:val="center"/>
              <w:rPr>
                <w:rFonts w:ascii="宋体" w:hAnsi="宋体"/>
                <w:szCs w:val="21"/>
              </w:rPr>
            </w:pPr>
          </w:p>
        </w:tc>
        <w:tc>
          <w:tcPr>
            <w:tcW w:w="672" w:type="dxa"/>
          </w:tcPr>
          <w:p w14:paraId="7AD19CA8">
            <w:pPr>
              <w:spacing w:line="440" w:lineRule="exact"/>
              <w:jc w:val="center"/>
              <w:rPr>
                <w:rFonts w:ascii="宋体" w:hAnsi="宋体"/>
                <w:szCs w:val="21"/>
              </w:rPr>
            </w:pPr>
          </w:p>
        </w:tc>
        <w:tc>
          <w:tcPr>
            <w:tcW w:w="738" w:type="dxa"/>
          </w:tcPr>
          <w:p w14:paraId="10095128">
            <w:pPr>
              <w:spacing w:line="440" w:lineRule="exact"/>
              <w:jc w:val="center"/>
              <w:rPr>
                <w:rFonts w:ascii="宋体" w:hAnsi="宋体"/>
                <w:szCs w:val="21"/>
              </w:rPr>
            </w:pPr>
          </w:p>
        </w:tc>
        <w:tc>
          <w:tcPr>
            <w:tcW w:w="1212" w:type="dxa"/>
          </w:tcPr>
          <w:p w14:paraId="208EBFB3">
            <w:pPr>
              <w:spacing w:line="440" w:lineRule="exact"/>
              <w:jc w:val="center"/>
              <w:rPr>
                <w:rFonts w:ascii="宋体" w:hAnsi="宋体"/>
                <w:szCs w:val="21"/>
              </w:rPr>
            </w:pPr>
          </w:p>
        </w:tc>
        <w:tc>
          <w:tcPr>
            <w:tcW w:w="1055" w:type="dxa"/>
          </w:tcPr>
          <w:p w14:paraId="360E5822">
            <w:pPr>
              <w:spacing w:line="440" w:lineRule="exact"/>
              <w:jc w:val="center"/>
              <w:rPr>
                <w:rFonts w:ascii="宋体" w:hAnsi="宋体"/>
                <w:szCs w:val="21"/>
              </w:rPr>
            </w:pPr>
          </w:p>
        </w:tc>
        <w:tc>
          <w:tcPr>
            <w:tcW w:w="691" w:type="dxa"/>
          </w:tcPr>
          <w:p w14:paraId="6DB8D68C">
            <w:pPr>
              <w:spacing w:line="440" w:lineRule="exact"/>
              <w:jc w:val="center"/>
              <w:rPr>
                <w:rFonts w:ascii="宋体" w:hAnsi="宋体"/>
                <w:szCs w:val="21"/>
              </w:rPr>
            </w:pPr>
          </w:p>
        </w:tc>
      </w:tr>
      <w:tr w14:paraId="28DF0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6E775D0B">
            <w:pPr>
              <w:spacing w:line="440" w:lineRule="exact"/>
              <w:jc w:val="center"/>
              <w:rPr>
                <w:rFonts w:ascii="宋体" w:hAnsi="宋体"/>
                <w:szCs w:val="21"/>
              </w:rPr>
            </w:pPr>
          </w:p>
        </w:tc>
        <w:tc>
          <w:tcPr>
            <w:tcW w:w="1086" w:type="dxa"/>
          </w:tcPr>
          <w:p w14:paraId="3366A22C">
            <w:pPr>
              <w:spacing w:line="440" w:lineRule="exact"/>
              <w:jc w:val="center"/>
              <w:rPr>
                <w:rFonts w:ascii="宋体" w:hAnsi="宋体"/>
                <w:szCs w:val="21"/>
              </w:rPr>
            </w:pPr>
          </w:p>
        </w:tc>
        <w:tc>
          <w:tcPr>
            <w:tcW w:w="761" w:type="dxa"/>
          </w:tcPr>
          <w:p w14:paraId="6BA12CCF">
            <w:pPr>
              <w:spacing w:line="440" w:lineRule="exact"/>
              <w:jc w:val="center"/>
              <w:rPr>
                <w:rFonts w:ascii="宋体" w:hAnsi="宋体"/>
                <w:szCs w:val="21"/>
              </w:rPr>
            </w:pPr>
          </w:p>
        </w:tc>
        <w:tc>
          <w:tcPr>
            <w:tcW w:w="990" w:type="dxa"/>
          </w:tcPr>
          <w:p w14:paraId="033B6E68">
            <w:pPr>
              <w:spacing w:line="440" w:lineRule="exact"/>
              <w:jc w:val="center"/>
              <w:rPr>
                <w:rFonts w:ascii="宋体" w:hAnsi="宋体"/>
                <w:szCs w:val="21"/>
              </w:rPr>
            </w:pPr>
          </w:p>
        </w:tc>
        <w:tc>
          <w:tcPr>
            <w:tcW w:w="672" w:type="dxa"/>
          </w:tcPr>
          <w:p w14:paraId="08BF9A54">
            <w:pPr>
              <w:spacing w:line="440" w:lineRule="exact"/>
              <w:jc w:val="center"/>
              <w:rPr>
                <w:rFonts w:ascii="宋体" w:hAnsi="宋体"/>
                <w:szCs w:val="21"/>
              </w:rPr>
            </w:pPr>
          </w:p>
        </w:tc>
        <w:tc>
          <w:tcPr>
            <w:tcW w:w="738" w:type="dxa"/>
          </w:tcPr>
          <w:p w14:paraId="221F79A4">
            <w:pPr>
              <w:spacing w:line="440" w:lineRule="exact"/>
              <w:jc w:val="center"/>
              <w:rPr>
                <w:rFonts w:ascii="宋体" w:hAnsi="宋体"/>
                <w:szCs w:val="21"/>
              </w:rPr>
            </w:pPr>
          </w:p>
        </w:tc>
        <w:tc>
          <w:tcPr>
            <w:tcW w:w="1212" w:type="dxa"/>
          </w:tcPr>
          <w:p w14:paraId="7713E652">
            <w:pPr>
              <w:spacing w:line="440" w:lineRule="exact"/>
              <w:jc w:val="center"/>
              <w:rPr>
                <w:rFonts w:ascii="宋体" w:hAnsi="宋体"/>
                <w:szCs w:val="21"/>
              </w:rPr>
            </w:pPr>
          </w:p>
        </w:tc>
        <w:tc>
          <w:tcPr>
            <w:tcW w:w="1055" w:type="dxa"/>
          </w:tcPr>
          <w:p w14:paraId="545FFB78">
            <w:pPr>
              <w:spacing w:line="440" w:lineRule="exact"/>
              <w:jc w:val="center"/>
              <w:rPr>
                <w:rFonts w:ascii="宋体" w:hAnsi="宋体"/>
                <w:szCs w:val="21"/>
              </w:rPr>
            </w:pPr>
          </w:p>
        </w:tc>
        <w:tc>
          <w:tcPr>
            <w:tcW w:w="691" w:type="dxa"/>
          </w:tcPr>
          <w:p w14:paraId="6E0B965E">
            <w:pPr>
              <w:spacing w:line="440" w:lineRule="exact"/>
              <w:jc w:val="center"/>
              <w:rPr>
                <w:rFonts w:ascii="宋体" w:hAnsi="宋体"/>
                <w:szCs w:val="21"/>
              </w:rPr>
            </w:pPr>
          </w:p>
        </w:tc>
      </w:tr>
      <w:tr w14:paraId="360DD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05076681">
            <w:pPr>
              <w:spacing w:line="440" w:lineRule="exact"/>
              <w:jc w:val="center"/>
              <w:rPr>
                <w:rFonts w:ascii="宋体" w:hAnsi="宋体"/>
                <w:szCs w:val="21"/>
              </w:rPr>
            </w:pPr>
          </w:p>
        </w:tc>
        <w:tc>
          <w:tcPr>
            <w:tcW w:w="1086" w:type="dxa"/>
          </w:tcPr>
          <w:p w14:paraId="6380736E">
            <w:pPr>
              <w:spacing w:line="440" w:lineRule="exact"/>
              <w:jc w:val="center"/>
              <w:rPr>
                <w:rFonts w:ascii="宋体" w:hAnsi="宋体"/>
                <w:szCs w:val="21"/>
              </w:rPr>
            </w:pPr>
          </w:p>
        </w:tc>
        <w:tc>
          <w:tcPr>
            <w:tcW w:w="761" w:type="dxa"/>
          </w:tcPr>
          <w:p w14:paraId="19827255">
            <w:pPr>
              <w:spacing w:line="440" w:lineRule="exact"/>
              <w:jc w:val="center"/>
              <w:rPr>
                <w:rFonts w:ascii="宋体" w:hAnsi="宋体"/>
                <w:szCs w:val="21"/>
              </w:rPr>
            </w:pPr>
          </w:p>
        </w:tc>
        <w:tc>
          <w:tcPr>
            <w:tcW w:w="990" w:type="dxa"/>
          </w:tcPr>
          <w:p w14:paraId="1C642FEE">
            <w:pPr>
              <w:spacing w:line="440" w:lineRule="exact"/>
              <w:jc w:val="center"/>
              <w:rPr>
                <w:rFonts w:ascii="宋体" w:hAnsi="宋体"/>
                <w:szCs w:val="21"/>
              </w:rPr>
            </w:pPr>
          </w:p>
        </w:tc>
        <w:tc>
          <w:tcPr>
            <w:tcW w:w="672" w:type="dxa"/>
          </w:tcPr>
          <w:p w14:paraId="1E20F792">
            <w:pPr>
              <w:spacing w:line="440" w:lineRule="exact"/>
              <w:jc w:val="center"/>
              <w:rPr>
                <w:rFonts w:ascii="宋体" w:hAnsi="宋体"/>
                <w:szCs w:val="21"/>
              </w:rPr>
            </w:pPr>
          </w:p>
        </w:tc>
        <w:tc>
          <w:tcPr>
            <w:tcW w:w="738" w:type="dxa"/>
          </w:tcPr>
          <w:p w14:paraId="45A24FED">
            <w:pPr>
              <w:spacing w:line="440" w:lineRule="exact"/>
              <w:jc w:val="center"/>
              <w:rPr>
                <w:rFonts w:ascii="宋体" w:hAnsi="宋体"/>
                <w:szCs w:val="21"/>
              </w:rPr>
            </w:pPr>
          </w:p>
        </w:tc>
        <w:tc>
          <w:tcPr>
            <w:tcW w:w="1212" w:type="dxa"/>
          </w:tcPr>
          <w:p w14:paraId="2393F21E">
            <w:pPr>
              <w:spacing w:line="440" w:lineRule="exact"/>
              <w:jc w:val="center"/>
              <w:rPr>
                <w:rFonts w:ascii="宋体" w:hAnsi="宋体"/>
                <w:szCs w:val="21"/>
              </w:rPr>
            </w:pPr>
          </w:p>
        </w:tc>
        <w:tc>
          <w:tcPr>
            <w:tcW w:w="1055" w:type="dxa"/>
          </w:tcPr>
          <w:p w14:paraId="48F189BB">
            <w:pPr>
              <w:spacing w:line="440" w:lineRule="exact"/>
              <w:jc w:val="center"/>
              <w:rPr>
                <w:rFonts w:ascii="宋体" w:hAnsi="宋体"/>
                <w:szCs w:val="21"/>
              </w:rPr>
            </w:pPr>
          </w:p>
        </w:tc>
        <w:tc>
          <w:tcPr>
            <w:tcW w:w="691" w:type="dxa"/>
          </w:tcPr>
          <w:p w14:paraId="7FB27361">
            <w:pPr>
              <w:spacing w:line="440" w:lineRule="exact"/>
              <w:jc w:val="center"/>
              <w:rPr>
                <w:rFonts w:ascii="宋体" w:hAnsi="宋体"/>
                <w:szCs w:val="21"/>
              </w:rPr>
            </w:pPr>
          </w:p>
        </w:tc>
      </w:tr>
      <w:tr w14:paraId="0E177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14C014CF">
            <w:pPr>
              <w:spacing w:line="440" w:lineRule="exact"/>
              <w:jc w:val="center"/>
              <w:rPr>
                <w:rFonts w:ascii="宋体" w:hAnsi="宋体"/>
                <w:szCs w:val="21"/>
              </w:rPr>
            </w:pPr>
          </w:p>
        </w:tc>
        <w:tc>
          <w:tcPr>
            <w:tcW w:w="1086" w:type="dxa"/>
          </w:tcPr>
          <w:p w14:paraId="3ECA936B">
            <w:pPr>
              <w:spacing w:line="440" w:lineRule="exact"/>
              <w:jc w:val="center"/>
              <w:rPr>
                <w:rFonts w:ascii="宋体" w:hAnsi="宋体"/>
                <w:szCs w:val="21"/>
              </w:rPr>
            </w:pPr>
          </w:p>
        </w:tc>
        <w:tc>
          <w:tcPr>
            <w:tcW w:w="761" w:type="dxa"/>
          </w:tcPr>
          <w:p w14:paraId="2D24403F">
            <w:pPr>
              <w:spacing w:line="440" w:lineRule="exact"/>
              <w:jc w:val="center"/>
              <w:rPr>
                <w:rFonts w:ascii="宋体" w:hAnsi="宋体"/>
                <w:szCs w:val="21"/>
              </w:rPr>
            </w:pPr>
          </w:p>
        </w:tc>
        <w:tc>
          <w:tcPr>
            <w:tcW w:w="990" w:type="dxa"/>
          </w:tcPr>
          <w:p w14:paraId="6D109038">
            <w:pPr>
              <w:spacing w:line="440" w:lineRule="exact"/>
              <w:jc w:val="center"/>
              <w:rPr>
                <w:rFonts w:ascii="宋体" w:hAnsi="宋体"/>
                <w:szCs w:val="21"/>
              </w:rPr>
            </w:pPr>
          </w:p>
        </w:tc>
        <w:tc>
          <w:tcPr>
            <w:tcW w:w="672" w:type="dxa"/>
          </w:tcPr>
          <w:p w14:paraId="5F7F699A">
            <w:pPr>
              <w:spacing w:line="440" w:lineRule="exact"/>
              <w:jc w:val="center"/>
              <w:rPr>
                <w:rFonts w:ascii="宋体" w:hAnsi="宋体"/>
                <w:szCs w:val="21"/>
              </w:rPr>
            </w:pPr>
          </w:p>
        </w:tc>
        <w:tc>
          <w:tcPr>
            <w:tcW w:w="738" w:type="dxa"/>
          </w:tcPr>
          <w:p w14:paraId="287EA0AA">
            <w:pPr>
              <w:spacing w:line="440" w:lineRule="exact"/>
              <w:jc w:val="center"/>
              <w:rPr>
                <w:rFonts w:ascii="宋体" w:hAnsi="宋体"/>
                <w:szCs w:val="21"/>
              </w:rPr>
            </w:pPr>
          </w:p>
        </w:tc>
        <w:tc>
          <w:tcPr>
            <w:tcW w:w="1212" w:type="dxa"/>
          </w:tcPr>
          <w:p w14:paraId="5BDB4BF7">
            <w:pPr>
              <w:spacing w:line="440" w:lineRule="exact"/>
              <w:jc w:val="center"/>
              <w:rPr>
                <w:rFonts w:ascii="宋体" w:hAnsi="宋体"/>
                <w:szCs w:val="21"/>
              </w:rPr>
            </w:pPr>
          </w:p>
        </w:tc>
        <w:tc>
          <w:tcPr>
            <w:tcW w:w="1055" w:type="dxa"/>
          </w:tcPr>
          <w:p w14:paraId="427A5AFE">
            <w:pPr>
              <w:spacing w:line="440" w:lineRule="exact"/>
              <w:jc w:val="center"/>
              <w:rPr>
                <w:rFonts w:ascii="宋体" w:hAnsi="宋体"/>
                <w:szCs w:val="21"/>
              </w:rPr>
            </w:pPr>
          </w:p>
        </w:tc>
        <w:tc>
          <w:tcPr>
            <w:tcW w:w="691" w:type="dxa"/>
          </w:tcPr>
          <w:p w14:paraId="0504461F">
            <w:pPr>
              <w:spacing w:line="440" w:lineRule="exact"/>
              <w:jc w:val="center"/>
              <w:rPr>
                <w:rFonts w:ascii="宋体" w:hAnsi="宋体"/>
                <w:szCs w:val="21"/>
              </w:rPr>
            </w:pPr>
          </w:p>
        </w:tc>
      </w:tr>
      <w:tr w14:paraId="21A22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21DFB436">
            <w:pPr>
              <w:spacing w:line="440" w:lineRule="exact"/>
              <w:jc w:val="center"/>
              <w:rPr>
                <w:rFonts w:ascii="宋体" w:hAnsi="宋体"/>
                <w:szCs w:val="21"/>
              </w:rPr>
            </w:pPr>
          </w:p>
        </w:tc>
        <w:tc>
          <w:tcPr>
            <w:tcW w:w="1086" w:type="dxa"/>
          </w:tcPr>
          <w:p w14:paraId="4D17BF9E">
            <w:pPr>
              <w:spacing w:line="440" w:lineRule="exact"/>
              <w:jc w:val="center"/>
              <w:rPr>
                <w:rFonts w:ascii="宋体" w:hAnsi="宋体"/>
                <w:szCs w:val="21"/>
              </w:rPr>
            </w:pPr>
          </w:p>
        </w:tc>
        <w:tc>
          <w:tcPr>
            <w:tcW w:w="761" w:type="dxa"/>
          </w:tcPr>
          <w:p w14:paraId="15D9C414">
            <w:pPr>
              <w:spacing w:line="440" w:lineRule="exact"/>
              <w:jc w:val="center"/>
              <w:rPr>
                <w:rFonts w:ascii="宋体" w:hAnsi="宋体"/>
                <w:szCs w:val="21"/>
              </w:rPr>
            </w:pPr>
          </w:p>
        </w:tc>
        <w:tc>
          <w:tcPr>
            <w:tcW w:w="990" w:type="dxa"/>
          </w:tcPr>
          <w:p w14:paraId="505A88C0">
            <w:pPr>
              <w:spacing w:line="440" w:lineRule="exact"/>
              <w:jc w:val="center"/>
              <w:rPr>
                <w:rFonts w:ascii="宋体" w:hAnsi="宋体"/>
                <w:szCs w:val="21"/>
              </w:rPr>
            </w:pPr>
          </w:p>
        </w:tc>
        <w:tc>
          <w:tcPr>
            <w:tcW w:w="672" w:type="dxa"/>
          </w:tcPr>
          <w:p w14:paraId="2EE7A2B2">
            <w:pPr>
              <w:spacing w:line="440" w:lineRule="exact"/>
              <w:jc w:val="center"/>
              <w:rPr>
                <w:rFonts w:ascii="宋体" w:hAnsi="宋体"/>
                <w:szCs w:val="21"/>
              </w:rPr>
            </w:pPr>
          </w:p>
        </w:tc>
        <w:tc>
          <w:tcPr>
            <w:tcW w:w="738" w:type="dxa"/>
          </w:tcPr>
          <w:p w14:paraId="63A31F3B">
            <w:pPr>
              <w:spacing w:line="440" w:lineRule="exact"/>
              <w:jc w:val="center"/>
              <w:rPr>
                <w:rFonts w:ascii="宋体" w:hAnsi="宋体"/>
                <w:szCs w:val="21"/>
              </w:rPr>
            </w:pPr>
          </w:p>
        </w:tc>
        <w:tc>
          <w:tcPr>
            <w:tcW w:w="1212" w:type="dxa"/>
          </w:tcPr>
          <w:p w14:paraId="42315CC1">
            <w:pPr>
              <w:spacing w:line="440" w:lineRule="exact"/>
              <w:jc w:val="center"/>
              <w:rPr>
                <w:rFonts w:ascii="宋体" w:hAnsi="宋体"/>
                <w:szCs w:val="21"/>
              </w:rPr>
            </w:pPr>
          </w:p>
        </w:tc>
        <w:tc>
          <w:tcPr>
            <w:tcW w:w="1055" w:type="dxa"/>
          </w:tcPr>
          <w:p w14:paraId="1A34E7A0">
            <w:pPr>
              <w:spacing w:line="440" w:lineRule="exact"/>
              <w:jc w:val="center"/>
              <w:rPr>
                <w:rFonts w:ascii="宋体" w:hAnsi="宋体"/>
                <w:szCs w:val="21"/>
              </w:rPr>
            </w:pPr>
          </w:p>
        </w:tc>
        <w:tc>
          <w:tcPr>
            <w:tcW w:w="691" w:type="dxa"/>
          </w:tcPr>
          <w:p w14:paraId="5F325618">
            <w:pPr>
              <w:spacing w:line="440" w:lineRule="exact"/>
              <w:jc w:val="center"/>
              <w:rPr>
                <w:rFonts w:ascii="宋体" w:hAnsi="宋体"/>
                <w:szCs w:val="21"/>
              </w:rPr>
            </w:pPr>
          </w:p>
        </w:tc>
      </w:tr>
      <w:tr w14:paraId="330D9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07BA3521">
            <w:pPr>
              <w:spacing w:line="440" w:lineRule="exact"/>
              <w:jc w:val="center"/>
              <w:rPr>
                <w:rFonts w:ascii="宋体" w:hAnsi="宋体"/>
                <w:szCs w:val="21"/>
              </w:rPr>
            </w:pPr>
          </w:p>
        </w:tc>
        <w:tc>
          <w:tcPr>
            <w:tcW w:w="1086" w:type="dxa"/>
          </w:tcPr>
          <w:p w14:paraId="12C3CD4A">
            <w:pPr>
              <w:spacing w:line="440" w:lineRule="exact"/>
              <w:jc w:val="center"/>
              <w:rPr>
                <w:rFonts w:ascii="宋体" w:hAnsi="宋体"/>
                <w:szCs w:val="21"/>
              </w:rPr>
            </w:pPr>
          </w:p>
        </w:tc>
        <w:tc>
          <w:tcPr>
            <w:tcW w:w="761" w:type="dxa"/>
          </w:tcPr>
          <w:p w14:paraId="21B7C276">
            <w:pPr>
              <w:spacing w:line="440" w:lineRule="exact"/>
              <w:jc w:val="center"/>
              <w:rPr>
                <w:rFonts w:ascii="宋体" w:hAnsi="宋体"/>
                <w:szCs w:val="21"/>
              </w:rPr>
            </w:pPr>
          </w:p>
        </w:tc>
        <w:tc>
          <w:tcPr>
            <w:tcW w:w="990" w:type="dxa"/>
          </w:tcPr>
          <w:p w14:paraId="08918A4A">
            <w:pPr>
              <w:spacing w:line="440" w:lineRule="exact"/>
              <w:jc w:val="center"/>
              <w:rPr>
                <w:rFonts w:ascii="宋体" w:hAnsi="宋体"/>
                <w:szCs w:val="21"/>
              </w:rPr>
            </w:pPr>
          </w:p>
        </w:tc>
        <w:tc>
          <w:tcPr>
            <w:tcW w:w="672" w:type="dxa"/>
          </w:tcPr>
          <w:p w14:paraId="19060891">
            <w:pPr>
              <w:spacing w:line="440" w:lineRule="exact"/>
              <w:jc w:val="center"/>
              <w:rPr>
                <w:rFonts w:ascii="宋体" w:hAnsi="宋体"/>
                <w:szCs w:val="21"/>
              </w:rPr>
            </w:pPr>
          </w:p>
        </w:tc>
        <w:tc>
          <w:tcPr>
            <w:tcW w:w="738" w:type="dxa"/>
          </w:tcPr>
          <w:p w14:paraId="6FC80147">
            <w:pPr>
              <w:spacing w:line="440" w:lineRule="exact"/>
              <w:jc w:val="center"/>
              <w:rPr>
                <w:rFonts w:ascii="宋体" w:hAnsi="宋体"/>
                <w:szCs w:val="21"/>
              </w:rPr>
            </w:pPr>
          </w:p>
        </w:tc>
        <w:tc>
          <w:tcPr>
            <w:tcW w:w="1212" w:type="dxa"/>
          </w:tcPr>
          <w:p w14:paraId="0E8A483B">
            <w:pPr>
              <w:spacing w:line="440" w:lineRule="exact"/>
              <w:jc w:val="center"/>
              <w:rPr>
                <w:rFonts w:ascii="宋体" w:hAnsi="宋体"/>
                <w:szCs w:val="21"/>
              </w:rPr>
            </w:pPr>
          </w:p>
        </w:tc>
        <w:tc>
          <w:tcPr>
            <w:tcW w:w="1055" w:type="dxa"/>
          </w:tcPr>
          <w:p w14:paraId="7208DD14">
            <w:pPr>
              <w:spacing w:line="440" w:lineRule="exact"/>
              <w:jc w:val="center"/>
              <w:rPr>
                <w:rFonts w:ascii="宋体" w:hAnsi="宋体"/>
                <w:szCs w:val="21"/>
              </w:rPr>
            </w:pPr>
          </w:p>
        </w:tc>
        <w:tc>
          <w:tcPr>
            <w:tcW w:w="691" w:type="dxa"/>
          </w:tcPr>
          <w:p w14:paraId="077ABCA1">
            <w:pPr>
              <w:spacing w:line="440" w:lineRule="exact"/>
              <w:jc w:val="center"/>
              <w:rPr>
                <w:rFonts w:ascii="宋体" w:hAnsi="宋体"/>
                <w:szCs w:val="21"/>
              </w:rPr>
            </w:pPr>
          </w:p>
        </w:tc>
      </w:tr>
      <w:tr w14:paraId="0170F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153EA2AD">
            <w:pPr>
              <w:spacing w:line="440" w:lineRule="exact"/>
              <w:jc w:val="center"/>
              <w:rPr>
                <w:rFonts w:ascii="宋体" w:hAnsi="宋体"/>
                <w:szCs w:val="21"/>
              </w:rPr>
            </w:pPr>
          </w:p>
        </w:tc>
        <w:tc>
          <w:tcPr>
            <w:tcW w:w="1086" w:type="dxa"/>
          </w:tcPr>
          <w:p w14:paraId="1F3FA2D1">
            <w:pPr>
              <w:spacing w:line="440" w:lineRule="exact"/>
              <w:jc w:val="center"/>
              <w:rPr>
                <w:rFonts w:ascii="宋体" w:hAnsi="宋体"/>
                <w:szCs w:val="21"/>
              </w:rPr>
            </w:pPr>
          </w:p>
        </w:tc>
        <w:tc>
          <w:tcPr>
            <w:tcW w:w="761" w:type="dxa"/>
          </w:tcPr>
          <w:p w14:paraId="3ED709D6">
            <w:pPr>
              <w:spacing w:line="440" w:lineRule="exact"/>
              <w:jc w:val="center"/>
              <w:rPr>
                <w:rFonts w:ascii="宋体" w:hAnsi="宋体"/>
                <w:szCs w:val="21"/>
              </w:rPr>
            </w:pPr>
          </w:p>
        </w:tc>
        <w:tc>
          <w:tcPr>
            <w:tcW w:w="990" w:type="dxa"/>
          </w:tcPr>
          <w:p w14:paraId="45C39488">
            <w:pPr>
              <w:spacing w:line="440" w:lineRule="exact"/>
              <w:jc w:val="center"/>
              <w:rPr>
                <w:rFonts w:ascii="宋体" w:hAnsi="宋体"/>
                <w:szCs w:val="21"/>
              </w:rPr>
            </w:pPr>
          </w:p>
        </w:tc>
        <w:tc>
          <w:tcPr>
            <w:tcW w:w="672" w:type="dxa"/>
          </w:tcPr>
          <w:p w14:paraId="6E2DCA02">
            <w:pPr>
              <w:spacing w:line="440" w:lineRule="exact"/>
              <w:jc w:val="center"/>
              <w:rPr>
                <w:rFonts w:ascii="宋体" w:hAnsi="宋体"/>
                <w:szCs w:val="21"/>
              </w:rPr>
            </w:pPr>
          </w:p>
        </w:tc>
        <w:tc>
          <w:tcPr>
            <w:tcW w:w="738" w:type="dxa"/>
          </w:tcPr>
          <w:p w14:paraId="25522A03">
            <w:pPr>
              <w:spacing w:line="440" w:lineRule="exact"/>
              <w:jc w:val="center"/>
              <w:rPr>
                <w:rFonts w:ascii="宋体" w:hAnsi="宋体"/>
                <w:szCs w:val="21"/>
              </w:rPr>
            </w:pPr>
          </w:p>
        </w:tc>
        <w:tc>
          <w:tcPr>
            <w:tcW w:w="1212" w:type="dxa"/>
          </w:tcPr>
          <w:p w14:paraId="3E7BA2D0">
            <w:pPr>
              <w:spacing w:line="440" w:lineRule="exact"/>
              <w:jc w:val="center"/>
              <w:rPr>
                <w:rFonts w:ascii="宋体" w:hAnsi="宋体"/>
                <w:szCs w:val="21"/>
              </w:rPr>
            </w:pPr>
          </w:p>
        </w:tc>
        <w:tc>
          <w:tcPr>
            <w:tcW w:w="1055" w:type="dxa"/>
          </w:tcPr>
          <w:p w14:paraId="5367846A">
            <w:pPr>
              <w:spacing w:line="440" w:lineRule="exact"/>
              <w:jc w:val="center"/>
              <w:rPr>
                <w:rFonts w:ascii="宋体" w:hAnsi="宋体"/>
                <w:szCs w:val="21"/>
              </w:rPr>
            </w:pPr>
          </w:p>
        </w:tc>
        <w:tc>
          <w:tcPr>
            <w:tcW w:w="691" w:type="dxa"/>
          </w:tcPr>
          <w:p w14:paraId="020901A8">
            <w:pPr>
              <w:spacing w:line="440" w:lineRule="exact"/>
              <w:jc w:val="center"/>
              <w:rPr>
                <w:rFonts w:ascii="宋体" w:hAnsi="宋体"/>
                <w:szCs w:val="21"/>
              </w:rPr>
            </w:pPr>
          </w:p>
        </w:tc>
      </w:tr>
      <w:tr w14:paraId="2EAF9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2E289DD4">
            <w:pPr>
              <w:spacing w:line="440" w:lineRule="exact"/>
              <w:jc w:val="center"/>
              <w:rPr>
                <w:rFonts w:ascii="宋体" w:hAnsi="宋体"/>
                <w:szCs w:val="21"/>
              </w:rPr>
            </w:pPr>
          </w:p>
        </w:tc>
        <w:tc>
          <w:tcPr>
            <w:tcW w:w="1086" w:type="dxa"/>
          </w:tcPr>
          <w:p w14:paraId="088DF1BC">
            <w:pPr>
              <w:spacing w:line="440" w:lineRule="exact"/>
              <w:jc w:val="center"/>
              <w:rPr>
                <w:rFonts w:ascii="宋体" w:hAnsi="宋体"/>
                <w:szCs w:val="21"/>
              </w:rPr>
            </w:pPr>
          </w:p>
        </w:tc>
        <w:tc>
          <w:tcPr>
            <w:tcW w:w="761" w:type="dxa"/>
          </w:tcPr>
          <w:p w14:paraId="694276DC">
            <w:pPr>
              <w:spacing w:line="440" w:lineRule="exact"/>
              <w:jc w:val="center"/>
              <w:rPr>
                <w:rFonts w:ascii="宋体" w:hAnsi="宋体"/>
                <w:szCs w:val="21"/>
              </w:rPr>
            </w:pPr>
          </w:p>
        </w:tc>
        <w:tc>
          <w:tcPr>
            <w:tcW w:w="990" w:type="dxa"/>
          </w:tcPr>
          <w:p w14:paraId="22D8D973">
            <w:pPr>
              <w:spacing w:line="440" w:lineRule="exact"/>
              <w:jc w:val="center"/>
              <w:rPr>
                <w:rFonts w:ascii="宋体" w:hAnsi="宋体"/>
                <w:szCs w:val="21"/>
              </w:rPr>
            </w:pPr>
          </w:p>
        </w:tc>
        <w:tc>
          <w:tcPr>
            <w:tcW w:w="672" w:type="dxa"/>
          </w:tcPr>
          <w:p w14:paraId="01ABD6C8">
            <w:pPr>
              <w:spacing w:line="440" w:lineRule="exact"/>
              <w:jc w:val="center"/>
              <w:rPr>
                <w:rFonts w:ascii="宋体" w:hAnsi="宋体"/>
                <w:szCs w:val="21"/>
              </w:rPr>
            </w:pPr>
          </w:p>
        </w:tc>
        <w:tc>
          <w:tcPr>
            <w:tcW w:w="738" w:type="dxa"/>
          </w:tcPr>
          <w:p w14:paraId="59344D75">
            <w:pPr>
              <w:spacing w:line="440" w:lineRule="exact"/>
              <w:jc w:val="center"/>
              <w:rPr>
                <w:rFonts w:ascii="宋体" w:hAnsi="宋体"/>
                <w:szCs w:val="21"/>
              </w:rPr>
            </w:pPr>
          </w:p>
        </w:tc>
        <w:tc>
          <w:tcPr>
            <w:tcW w:w="1212" w:type="dxa"/>
          </w:tcPr>
          <w:p w14:paraId="5E0E755B">
            <w:pPr>
              <w:spacing w:line="440" w:lineRule="exact"/>
              <w:jc w:val="center"/>
              <w:rPr>
                <w:rFonts w:ascii="宋体" w:hAnsi="宋体"/>
                <w:szCs w:val="21"/>
              </w:rPr>
            </w:pPr>
          </w:p>
        </w:tc>
        <w:tc>
          <w:tcPr>
            <w:tcW w:w="1055" w:type="dxa"/>
          </w:tcPr>
          <w:p w14:paraId="183A689D">
            <w:pPr>
              <w:spacing w:line="440" w:lineRule="exact"/>
              <w:jc w:val="center"/>
              <w:rPr>
                <w:rFonts w:ascii="宋体" w:hAnsi="宋体"/>
                <w:szCs w:val="21"/>
              </w:rPr>
            </w:pPr>
          </w:p>
        </w:tc>
        <w:tc>
          <w:tcPr>
            <w:tcW w:w="691" w:type="dxa"/>
          </w:tcPr>
          <w:p w14:paraId="6AE13A90">
            <w:pPr>
              <w:spacing w:line="440" w:lineRule="exact"/>
              <w:jc w:val="center"/>
              <w:rPr>
                <w:rFonts w:ascii="宋体" w:hAnsi="宋体"/>
                <w:szCs w:val="21"/>
              </w:rPr>
            </w:pPr>
          </w:p>
        </w:tc>
      </w:tr>
      <w:tr w14:paraId="36547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4359A472">
            <w:pPr>
              <w:spacing w:line="440" w:lineRule="exact"/>
              <w:jc w:val="center"/>
              <w:rPr>
                <w:rFonts w:ascii="宋体" w:hAnsi="宋体"/>
                <w:szCs w:val="21"/>
              </w:rPr>
            </w:pPr>
          </w:p>
        </w:tc>
        <w:tc>
          <w:tcPr>
            <w:tcW w:w="1086" w:type="dxa"/>
          </w:tcPr>
          <w:p w14:paraId="32DACC04">
            <w:pPr>
              <w:spacing w:line="440" w:lineRule="exact"/>
              <w:jc w:val="center"/>
              <w:rPr>
                <w:rFonts w:ascii="宋体" w:hAnsi="宋体"/>
                <w:szCs w:val="21"/>
              </w:rPr>
            </w:pPr>
          </w:p>
        </w:tc>
        <w:tc>
          <w:tcPr>
            <w:tcW w:w="761" w:type="dxa"/>
          </w:tcPr>
          <w:p w14:paraId="7FDCD71C">
            <w:pPr>
              <w:spacing w:line="440" w:lineRule="exact"/>
              <w:jc w:val="center"/>
              <w:rPr>
                <w:rFonts w:ascii="宋体" w:hAnsi="宋体"/>
                <w:szCs w:val="21"/>
              </w:rPr>
            </w:pPr>
          </w:p>
        </w:tc>
        <w:tc>
          <w:tcPr>
            <w:tcW w:w="990" w:type="dxa"/>
          </w:tcPr>
          <w:p w14:paraId="05A5A9C7">
            <w:pPr>
              <w:spacing w:line="440" w:lineRule="exact"/>
              <w:jc w:val="center"/>
              <w:rPr>
                <w:rFonts w:ascii="宋体" w:hAnsi="宋体"/>
                <w:szCs w:val="21"/>
              </w:rPr>
            </w:pPr>
          </w:p>
        </w:tc>
        <w:tc>
          <w:tcPr>
            <w:tcW w:w="672" w:type="dxa"/>
          </w:tcPr>
          <w:p w14:paraId="41FF9D2F">
            <w:pPr>
              <w:spacing w:line="440" w:lineRule="exact"/>
              <w:jc w:val="center"/>
              <w:rPr>
                <w:rFonts w:ascii="宋体" w:hAnsi="宋体"/>
                <w:szCs w:val="21"/>
              </w:rPr>
            </w:pPr>
          </w:p>
        </w:tc>
        <w:tc>
          <w:tcPr>
            <w:tcW w:w="738" w:type="dxa"/>
          </w:tcPr>
          <w:p w14:paraId="2E45D482">
            <w:pPr>
              <w:spacing w:line="440" w:lineRule="exact"/>
              <w:jc w:val="center"/>
              <w:rPr>
                <w:rFonts w:ascii="宋体" w:hAnsi="宋体"/>
                <w:szCs w:val="21"/>
              </w:rPr>
            </w:pPr>
          </w:p>
        </w:tc>
        <w:tc>
          <w:tcPr>
            <w:tcW w:w="1212" w:type="dxa"/>
          </w:tcPr>
          <w:p w14:paraId="79270210">
            <w:pPr>
              <w:spacing w:line="440" w:lineRule="exact"/>
              <w:jc w:val="center"/>
              <w:rPr>
                <w:rFonts w:ascii="宋体" w:hAnsi="宋体"/>
                <w:szCs w:val="21"/>
              </w:rPr>
            </w:pPr>
          </w:p>
        </w:tc>
        <w:tc>
          <w:tcPr>
            <w:tcW w:w="1055" w:type="dxa"/>
          </w:tcPr>
          <w:p w14:paraId="39367B7F">
            <w:pPr>
              <w:spacing w:line="440" w:lineRule="exact"/>
              <w:jc w:val="center"/>
              <w:rPr>
                <w:rFonts w:ascii="宋体" w:hAnsi="宋体"/>
                <w:szCs w:val="21"/>
              </w:rPr>
            </w:pPr>
          </w:p>
        </w:tc>
        <w:tc>
          <w:tcPr>
            <w:tcW w:w="691" w:type="dxa"/>
          </w:tcPr>
          <w:p w14:paraId="1F0C6B67">
            <w:pPr>
              <w:spacing w:line="440" w:lineRule="exact"/>
              <w:jc w:val="center"/>
              <w:rPr>
                <w:rFonts w:ascii="宋体" w:hAnsi="宋体"/>
                <w:szCs w:val="21"/>
              </w:rPr>
            </w:pPr>
          </w:p>
        </w:tc>
      </w:tr>
      <w:tr w14:paraId="5CED1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12C721D5">
            <w:pPr>
              <w:spacing w:line="440" w:lineRule="exact"/>
              <w:jc w:val="center"/>
              <w:rPr>
                <w:rFonts w:ascii="宋体" w:hAnsi="宋体"/>
                <w:szCs w:val="21"/>
              </w:rPr>
            </w:pPr>
          </w:p>
        </w:tc>
        <w:tc>
          <w:tcPr>
            <w:tcW w:w="1086" w:type="dxa"/>
          </w:tcPr>
          <w:p w14:paraId="71F0BA74">
            <w:pPr>
              <w:spacing w:line="440" w:lineRule="exact"/>
              <w:jc w:val="center"/>
              <w:rPr>
                <w:rFonts w:ascii="宋体" w:hAnsi="宋体"/>
                <w:szCs w:val="21"/>
              </w:rPr>
            </w:pPr>
          </w:p>
        </w:tc>
        <w:tc>
          <w:tcPr>
            <w:tcW w:w="761" w:type="dxa"/>
          </w:tcPr>
          <w:p w14:paraId="3090C0AE">
            <w:pPr>
              <w:spacing w:line="440" w:lineRule="exact"/>
              <w:jc w:val="center"/>
              <w:rPr>
                <w:rFonts w:ascii="宋体" w:hAnsi="宋体"/>
                <w:szCs w:val="21"/>
              </w:rPr>
            </w:pPr>
          </w:p>
        </w:tc>
        <w:tc>
          <w:tcPr>
            <w:tcW w:w="990" w:type="dxa"/>
          </w:tcPr>
          <w:p w14:paraId="7BC21FDC">
            <w:pPr>
              <w:spacing w:line="440" w:lineRule="exact"/>
              <w:jc w:val="center"/>
              <w:rPr>
                <w:rFonts w:ascii="宋体" w:hAnsi="宋体"/>
                <w:szCs w:val="21"/>
              </w:rPr>
            </w:pPr>
          </w:p>
        </w:tc>
        <w:tc>
          <w:tcPr>
            <w:tcW w:w="672" w:type="dxa"/>
          </w:tcPr>
          <w:p w14:paraId="461B9D38">
            <w:pPr>
              <w:spacing w:line="440" w:lineRule="exact"/>
              <w:jc w:val="center"/>
              <w:rPr>
                <w:rFonts w:ascii="宋体" w:hAnsi="宋体"/>
                <w:szCs w:val="21"/>
              </w:rPr>
            </w:pPr>
          </w:p>
        </w:tc>
        <w:tc>
          <w:tcPr>
            <w:tcW w:w="738" w:type="dxa"/>
          </w:tcPr>
          <w:p w14:paraId="6D61ED9C">
            <w:pPr>
              <w:spacing w:line="440" w:lineRule="exact"/>
              <w:jc w:val="center"/>
              <w:rPr>
                <w:rFonts w:ascii="宋体" w:hAnsi="宋体"/>
                <w:szCs w:val="21"/>
              </w:rPr>
            </w:pPr>
          </w:p>
        </w:tc>
        <w:tc>
          <w:tcPr>
            <w:tcW w:w="1212" w:type="dxa"/>
          </w:tcPr>
          <w:p w14:paraId="34EC10A6">
            <w:pPr>
              <w:spacing w:line="440" w:lineRule="exact"/>
              <w:jc w:val="center"/>
              <w:rPr>
                <w:rFonts w:ascii="宋体" w:hAnsi="宋体"/>
                <w:szCs w:val="21"/>
              </w:rPr>
            </w:pPr>
          </w:p>
        </w:tc>
        <w:tc>
          <w:tcPr>
            <w:tcW w:w="1055" w:type="dxa"/>
          </w:tcPr>
          <w:p w14:paraId="73B634D7">
            <w:pPr>
              <w:spacing w:line="440" w:lineRule="exact"/>
              <w:jc w:val="center"/>
              <w:rPr>
                <w:rFonts w:ascii="宋体" w:hAnsi="宋体"/>
                <w:szCs w:val="21"/>
              </w:rPr>
            </w:pPr>
          </w:p>
        </w:tc>
        <w:tc>
          <w:tcPr>
            <w:tcW w:w="691" w:type="dxa"/>
          </w:tcPr>
          <w:p w14:paraId="70E7B643">
            <w:pPr>
              <w:spacing w:line="440" w:lineRule="exact"/>
              <w:jc w:val="center"/>
              <w:rPr>
                <w:rFonts w:ascii="宋体" w:hAnsi="宋体"/>
                <w:szCs w:val="21"/>
              </w:rPr>
            </w:pPr>
          </w:p>
        </w:tc>
      </w:tr>
      <w:tr w14:paraId="19F79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2657019E">
            <w:pPr>
              <w:spacing w:line="440" w:lineRule="exact"/>
              <w:jc w:val="center"/>
              <w:rPr>
                <w:rFonts w:ascii="宋体" w:hAnsi="宋体"/>
                <w:szCs w:val="21"/>
              </w:rPr>
            </w:pPr>
          </w:p>
        </w:tc>
        <w:tc>
          <w:tcPr>
            <w:tcW w:w="1086" w:type="dxa"/>
          </w:tcPr>
          <w:p w14:paraId="44DECCAF">
            <w:pPr>
              <w:spacing w:line="440" w:lineRule="exact"/>
              <w:jc w:val="center"/>
              <w:rPr>
                <w:rFonts w:ascii="宋体" w:hAnsi="宋体"/>
                <w:szCs w:val="21"/>
              </w:rPr>
            </w:pPr>
          </w:p>
        </w:tc>
        <w:tc>
          <w:tcPr>
            <w:tcW w:w="761" w:type="dxa"/>
          </w:tcPr>
          <w:p w14:paraId="77F3AB1A">
            <w:pPr>
              <w:spacing w:line="440" w:lineRule="exact"/>
              <w:jc w:val="center"/>
              <w:rPr>
                <w:rFonts w:ascii="宋体" w:hAnsi="宋体"/>
                <w:szCs w:val="21"/>
              </w:rPr>
            </w:pPr>
          </w:p>
        </w:tc>
        <w:tc>
          <w:tcPr>
            <w:tcW w:w="990" w:type="dxa"/>
          </w:tcPr>
          <w:p w14:paraId="00A9F7B5">
            <w:pPr>
              <w:spacing w:line="440" w:lineRule="exact"/>
              <w:jc w:val="center"/>
              <w:rPr>
                <w:rFonts w:ascii="宋体" w:hAnsi="宋体"/>
                <w:szCs w:val="21"/>
              </w:rPr>
            </w:pPr>
          </w:p>
        </w:tc>
        <w:tc>
          <w:tcPr>
            <w:tcW w:w="672" w:type="dxa"/>
          </w:tcPr>
          <w:p w14:paraId="548A69C0">
            <w:pPr>
              <w:spacing w:line="440" w:lineRule="exact"/>
              <w:jc w:val="center"/>
              <w:rPr>
                <w:rFonts w:ascii="宋体" w:hAnsi="宋体"/>
                <w:szCs w:val="21"/>
              </w:rPr>
            </w:pPr>
          </w:p>
        </w:tc>
        <w:tc>
          <w:tcPr>
            <w:tcW w:w="738" w:type="dxa"/>
          </w:tcPr>
          <w:p w14:paraId="29C301D2">
            <w:pPr>
              <w:spacing w:line="440" w:lineRule="exact"/>
              <w:jc w:val="center"/>
              <w:rPr>
                <w:rFonts w:ascii="宋体" w:hAnsi="宋体"/>
                <w:szCs w:val="21"/>
              </w:rPr>
            </w:pPr>
          </w:p>
        </w:tc>
        <w:tc>
          <w:tcPr>
            <w:tcW w:w="1212" w:type="dxa"/>
          </w:tcPr>
          <w:p w14:paraId="72B08582">
            <w:pPr>
              <w:spacing w:line="440" w:lineRule="exact"/>
              <w:jc w:val="center"/>
              <w:rPr>
                <w:rFonts w:ascii="宋体" w:hAnsi="宋体"/>
                <w:szCs w:val="21"/>
              </w:rPr>
            </w:pPr>
          </w:p>
        </w:tc>
        <w:tc>
          <w:tcPr>
            <w:tcW w:w="1055" w:type="dxa"/>
          </w:tcPr>
          <w:p w14:paraId="38C5ABD1">
            <w:pPr>
              <w:spacing w:line="440" w:lineRule="exact"/>
              <w:jc w:val="center"/>
              <w:rPr>
                <w:rFonts w:ascii="宋体" w:hAnsi="宋体"/>
                <w:szCs w:val="21"/>
              </w:rPr>
            </w:pPr>
          </w:p>
        </w:tc>
        <w:tc>
          <w:tcPr>
            <w:tcW w:w="691" w:type="dxa"/>
          </w:tcPr>
          <w:p w14:paraId="3626318E">
            <w:pPr>
              <w:spacing w:line="440" w:lineRule="exact"/>
              <w:jc w:val="center"/>
              <w:rPr>
                <w:rFonts w:ascii="宋体" w:hAnsi="宋体"/>
                <w:szCs w:val="21"/>
              </w:rPr>
            </w:pPr>
          </w:p>
        </w:tc>
      </w:tr>
      <w:tr w14:paraId="20E8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7B0DDBDF">
            <w:pPr>
              <w:spacing w:line="440" w:lineRule="exact"/>
              <w:jc w:val="center"/>
              <w:rPr>
                <w:rFonts w:ascii="宋体" w:hAnsi="宋体"/>
                <w:szCs w:val="21"/>
              </w:rPr>
            </w:pPr>
          </w:p>
        </w:tc>
        <w:tc>
          <w:tcPr>
            <w:tcW w:w="1086" w:type="dxa"/>
          </w:tcPr>
          <w:p w14:paraId="76DD2BC5">
            <w:pPr>
              <w:spacing w:line="440" w:lineRule="exact"/>
              <w:jc w:val="center"/>
              <w:rPr>
                <w:rFonts w:ascii="宋体" w:hAnsi="宋体"/>
                <w:szCs w:val="21"/>
              </w:rPr>
            </w:pPr>
          </w:p>
        </w:tc>
        <w:tc>
          <w:tcPr>
            <w:tcW w:w="761" w:type="dxa"/>
          </w:tcPr>
          <w:p w14:paraId="30380008">
            <w:pPr>
              <w:spacing w:line="440" w:lineRule="exact"/>
              <w:jc w:val="center"/>
              <w:rPr>
                <w:rFonts w:ascii="宋体" w:hAnsi="宋体"/>
                <w:szCs w:val="21"/>
              </w:rPr>
            </w:pPr>
          </w:p>
        </w:tc>
        <w:tc>
          <w:tcPr>
            <w:tcW w:w="990" w:type="dxa"/>
          </w:tcPr>
          <w:p w14:paraId="76AE4096">
            <w:pPr>
              <w:spacing w:line="440" w:lineRule="exact"/>
              <w:jc w:val="center"/>
              <w:rPr>
                <w:rFonts w:ascii="宋体" w:hAnsi="宋体"/>
                <w:szCs w:val="21"/>
              </w:rPr>
            </w:pPr>
          </w:p>
        </w:tc>
        <w:tc>
          <w:tcPr>
            <w:tcW w:w="672" w:type="dxa"/>
          </w:tcPr>
          <w:p w14:paraId="53DE9BE3">
            <w:pPr>
              <w:spacing w:line="440" w:lineRule="exact"/>
              <w:jc w:val="center"/>
              <w:rPr>
                <w:rFonts w:ascii="宋体" w:hAnsi="宋体"/>
                <w:szCs w:val="21"/>
              </w:rPr>
            </w:pPr>
          </w:p>
        </w:tc>
        <w:tc>
          <w:tcPr>
            <w:tcW w:w="738" w:type="dxa"/>
          </w:tcPr>
          <w:p w14:paraId="463294E8">
            <w:pPr>
              <w:spacing w:line="440" w:lineRule="exact"/>
              <w:jc w:val="center"/>
              <w:rPr>
                <w:rFonts w:ascii="宋体" w:hAnsi="宋体"/>
                <w:szCs w:val="21"/>
              </w:rPr>
            </w:pPr>
          </w:p>
        </w:tc>
        <w:tc>
          <w:tcPr>
            <w:tcW w:w="1212" w:type="dxa"/>
          </w:tcPr>
          <w:p w14:paraId="48366901">
            <w:pPr>
              <w:spacing w:line="440" w:lineRule="exact"/>
              <w:jc w:val="center"/>
              <w:rPr>
                <w:rFonts w:ascii="宋体" w:hAnsi="宋体"/>
                <w:szCs w:val="21"/>
              </w:rPr>
            </w:pPr>
          </w:p>
        </w:tc>
        <w:tc>
          <w:tcPr>
            <w:tcW w:w="1055" w:type="dxa"/>
          </w:tcPr>
          <w:p w14:paraId="1B447280">
            <w:pPr>
              <w:spacing w:line="440" w:lineRule="exact"/>
              <w:jc w:val="center"/>
              <w:rPr>
                <w:rFonts w:ascii="宋体" w:hAnsi="宋体"/>
                <w:szCs w:val="21"/>
              </w:rPr>
            </w:pPr>
          </w:p>
        </w:tc>
        <w:tc>
          <w:tcPr>
            <w:tcW w:w="691" w:type="dxa"/>
          </w:tcPr>
          <w:p w14:paraId="52E3FD78">
            <w:pPr>
              <w:spacing w:line="440" w:lineRule="exact"/>
              <w:jc w:val="center"/>
              <w:rPr>
                <w:rFonts w:ascii="宋体" w:hAnsi="宋体"/>
                <w:szCs w:val="21"/>
              </w:rPr>
            </w:pPr>
          </w:p>
        </w:tc>
      </w:tr>
      <w:tr w14:paraId="42278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5016A277">
            <w:pPr>
              <w:spacing w:line="440" w:lineRule="exact"/>
              <w:jc w:val="center"/>
              <w:rPr>
                <w:rFonts w:ascii="宋体" w:hAnsi="宋体"/>
                <w:szCs w:val="21"/>
              </w:rPr>
            </w:pPr>
          </w:p>
        </w:tc>
        <w:tc>
          <w:tcPr>
            <w:tcW w:w="1086" w:type="dxa"/>
          </w:tcPr>
          <w:p w14:paraId="475822A3">
            <w:pPr>
              <w:spacing w:line="440" w:lineRule="exact"/>
              <w:jc w:val="center"/>
              <w:rPr>
                <w:rFonts w:ascii="宋体" w:hAnsi="宋体"/>
                <w:szCs w:val="21"/>
              </w:rPr>
            </w:pPr>
          </w:p>
        </w:tc>
        <w:tc>
          <w:tcPr>
            <w:tcW w:w="761" w:type="dxa"/>
          </w:tcPr>
          <w:p w14:paraId="57BC29CB">
            <w:pPr>
              <w:spacing w:line="440" w:lineRule="exact"/>
              <w:jc w:val="center"/>
              <w:rPr>
                <w:rFonts w:ascii="宋体" w:hAnsi="宋体"/>
                <w:szCs w:val="21"/>
              </w:rPr>
            </w:pPr>
          </w:p>
        </w:tc>
        <w:tc>
          <w:tcPr>
            <w:tcW w:w="990" w:type="dxa"/>
          </w:tcPr>
          <w:p w14:paraId="3C3A1330">
            <w:pPr>
              <w:spacing w:line="440" w:lineRule="exact"/>
              <w:jc w:val="center"/>
              <w:rPr>
                <w:rFonts w:ascii="宋体" w:hAnsi="宋体"/>
                <w:szCs w:val="21"/>
              </w:rPr>
            </w:pPr>
          </w:p>
        </w:tc>
        <w:tc>
          <w:tcPr>
            <w:tcW w:w="672" w:type="dxa"/>
          </w:tcPr>
          <w:p w14:paraId="15C469E8">
            <w:pPr>
              <w:spacing w:line="440" w:lineRule="exact"/>
              <w:jc w:val="center"/>
              <w:rPr>
                <w:rFonts w:ascii="宋体" w:hAnsi="宋体"/>
                <w:szCs w:val="21"/>
              </w:rPr>
            </w:pPr>
          </w:p>
        </w:tc>
        <w:tc>
          <w:tcPr>
            <w:tcW w:w="738" w:type="dxa"/>
          </w:tcPr>
          <w:p w14:paraId="712B6A5F">
            <w:pPr>
              <w:spacing w:line="440" w:lineRule="exact"/>
              <w:jc w:val="center"/>
              <w:rPr>
                <w:rFonts w:ascii="宋体" w:hAnsi="宋体"/>
                <w:szCs w:val="21"/>
              </w:rPr>
            </w:pPr>
          </w:p>
        </w:tc>
        <w:tc>
          <w:tcPr>
            <w:tcW w:w="1212" w:type="dxa"/>
          </w:tcPr>
          <w:p w14:paraId="35E73658">
            <w:pPr>
              <w:spacing w:line="440" w:lineRule="exact"/>
              <w:jc w:val="center"/>
              <w:rPr>
                <w:rFonts w:ascii="宋体" w:hAnsi="宋体"/>
                <w:szCs w:val="21"/>
              </w:rPr>
            </w:pPr>
          </w:p>
        </w:tc>
        <w:tc>
          <w:tcPr>
            <w:tcW w:w="1055" w:type="dxa"/>
          </w:tcPr>
          <w:p w14:paraId="34CBFF91">
            <w:pPr>
              <w:spacing w:line="440" w:lineRule="exact"/>
              <w:jc w:val="center"/>
              <w:rPr>
                <w:rFonts w:ascii="宋体" w:hAnsi="宋体"/>
                <w:szCs w:val="21"/>
              </w:rPr>
            </w:pPr>
          </w:p>
        </w:tc>
        <w:tc>
          <w:tcPr>
            <w:tcW w:w="691" w:type="dxa"/>
          </w:tcPr>
          <w:p w14:paraId="310AE620">
            <w:pPr>
              <w:spacing w:line="440" w:lineRule="exact"/>
              <w:jc w:val="center"/>
              <w:rPr>
                <w:rFonts w:ascii="宋体" w:hAnsi="宋体"/>
                <w:szCs w:val="21"/>
              </w:rPr>
            </w:pPr>
          </w:p>
        </w:tc>
      </w:tr>
      <w:tr w14:paraId="296E8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06A58D21">
            <w:pPr>
              <w:spacing w:line="440" w:lineRule="exact"/>
              <w:jc w:val="center"/>
              <w:rPr>
                <w:rFonts w:ascii="宋体" w:hAnsi="宋体"/>
                <w:szCs w:val="21"/>
              </w:rPr>
            </w:pPr>
          </w:p>
        </w:tc>
        <w:tc>
          <w:tcPr>
            <w:tcW w:w="1086" w:type="dxa"/>
          </w:tcPr>
          <w:p w14:paraId="21A14B6F">
            <w:pPr>
              <w:spacing w:line="440" w:lineRule="exact"/>
              <w:jc w:val="center"/>
              <w:rPr>
                <w:rFonts w:ascii="宋体" w:hAnsi="宋体"/>
                <w:szCs w:val="21"/>
              </w:rPr>
            </w:pPr>
          </w:p>
        </w:tc>
        <w:tc>
          <w:tcPr>
            <w:tcW w:w="761" w:type="dxa"/>
          </w:tcPr>
          <w:p w14:paraId="489F1840">
            <w:pPr>
              <w:spacing w:line="440" w:lineRule="exact"/>
              <w:jc w:val="center"/>
              <w:rPr>
                <w:rFonts w:ascii="宋体" w:hAnsi="宋体"/>
                <w:szCs w:val="21"/>
              </w:rPr>
            </w:pPr>
          </w:p>
        </w:tc>
        <w:tc>
          <w:tcPr>
            <w:tcW w:w="990" w:type="dxa"/>
          </w:tcPr>
          <w:p w14:paraId="7AF63A01">
            <w:pPr>
              <w:spacing w:line="440" w:lineRule="exact"/>
              <w:jc w:val="center"/>
              <w:rPr>
                <w:rFonts w:ascii="宋体" w:hAnsi="宋体"/>
                <w:szCs w:val="21"/>
              </w:rPr>
            </w:pPr>
          </w:p>
        </w:tc>
        <w:tc>
          <w:tcPr>
            <w:tcW w:w="672" w:type="dxa"/>
          </w:tcPr>
          <w:p w14:paraId="0CC661BF">
            <w:pPr>
              <w:spacing w:line="440" w:lineRule="exact"/>
              <w:jc w:val="center"/>
              <w:rPr>
                <w:rFonts w:ascii="宋体" w:hAnsi="宋体"/>
                <w:szCs w:val="21"/>
              </w:rPr>
            </w:pPr>
          </w:p>
        </w:tc>
        <w:tc>
          <w:tcPr>
            <w:tcW w:w="738" w:type="dxa"/>
          </w:tcPr>
          <w:p w14:paraId="60CCE79E">
            <w:pPr>
              <w:spacing w:line="440" w:lineRule="exact"/>
              <w:jc w:val="center"/>
              <w:rPr>
                <w:rFonts w:ascii="宋体" w:hAnsi="宋体"/>
                <w:szCs w:val="21"/>
              </w:rPr>
            </w:pPr>
          </w:p>
        </w:tc>
        <w:tc>
          <w:tcPr>
            <w:tcW w:w="1212" w:type="dxa"/>
          </w:tcPr>
          <w:p w14:paraId="23684DB0">
            <w:pPr>
              <w:spacing w:line="440" w:lineRule="exact"/>
              <w:jc w:val="center"/>
              <w:rPr>
                <w:rFonts w:ascii="宋体" w:hAnsi="宋体"/>
                <w:szCs w:val="21"/>
              </w:rPr>
            </w:pPr>
          </w:p>
        </w:tc>
        <w:tc>
          <w:tcPr>
            <w:tcW w:w="1055" w:type="dxa"/>
          </w:tcPr>
          <w:p w14:paraId="130FAE6C">
            <w:pPr>
              <w:spacing w:line="440" w:lineRule="exact"/>
              <w:jc w:val="center"/>
              <w:rPr>
                <w:rFonts w:ascii="宋体" w:hAnsi="宋体"/>
                <w:szCs w:val="21"/>
              </w:rPr>
            </w:pPr>
          </w:p>
        </w:tc>
        <w:tc>
          <w:tcPr>
            <w:tcW w:w="691" w:type="dxa"/>
          </w:tcPr>
          <w:p w14:paraId="673B0B00">
            <w:pPr>
              <w:spacing w:line="440" w:lineRule="exact"/>
              <w:jc w:val="center"/>
              <w:rPr>
                <w:rFonts w:ascii="宋体" w:hAnsi="宋体"/>
                <w:szCs w:val="21"/>
              </w:rPr>
            </w:pPr>
          </w:p>
        </w:tc>
      </w:tr>
      <w:tr w14:paraId="46E8E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3F6CE514">
            <w:pPr>
              <w:spacing w:line="440" w:lineRule="exact"/>
              <w:jc w:val="center"/>
              <w:rPr>
                <w:rFonts w:ascii="宋体" w:hAnsi="宋体"/>
                <w:szCs w:val="21"/>
              </w:rPr>
            </w:pPr>
          </w:p>
        </w:tc>
        <w:tc>
          <w:tcPr>
            <w:tcW w:w="1086" w:type="dxa"/>
          </w:tcPr>
          <w:p w14:paraId="6F3165DA">
            <w:pPr>
              <w:spacing w:line="440" w:lineRule="exact"/>
              <w:jc w:val="center"/>
              <w:rPr>
                <w:rFonts w:ascii="宋体" w:hAnsi="宋体"/>
                <w:szCs w:val="21"/>
              </w:rPr>
            </w:pPr>
          </w:p>
        </w:tc>
        <w:tc>
          <w:tcPr>
            <w:tcW w:w="761" w:type="dxa"/>
          </w:tcPr>
          <w:p w14:paraId="64195B89">
            <w:pPr>
              <w:spacing w:line="440" w:lineRule="exact"/>
              <w:jc w:val="center"/>
              <w:rPr>
                <w:rFonts w:ascii="宋体" w:hAnsi="宋体"/>
                <w:szCs w:val="21"/>
              </w:rPr>
            </w:pPr>
          </w:p>
        </w:tc>
        <w:tc>
          <w:tcPr>
            <w:tcW w:w="990" w:type="dxa"/>
          </w:tcPr>
          <w:p w14:paraId="07987D7C">
            <w:pPr>
              <w:spacing w:line="440" w:lineRule="exact"/>
              <w:jc w:val="center"/>
              <w:rPr>
                <w:rFonts w:ascii="宋体" w:hAnsi="宋体"/>
                <w:szCs w:val="21"/>
              </w:rPr>
            </w:pPr>
          </w:p>
        </w:tc>
        <w:tc>
          <w:tcPr>
            <w:tcW w:w="672" w:type="dxa"/>
          </w:tcPr>
          <w:p w14:paraId="06155933">
            <w:pPr>
              <w:spacing w:line="440" w:lineRule="exact"/>
              <w:jc w:val="center"/>
              <w:rPr>
                <w:rFonts w:ascii="宋体" w:hAnsi="宋体"/>
                <w:szCs w:val="21"/>
              </w:rPr>
            </w:pPr>
          </w:p>
        </w:tc>
        <w:tc>
          <w:tcPr>
            <w:tcW w:w="738" w:type="dxa"/>
          </w:tcPr>
          <w:p w14:paraId="6C658BFF">
            <w:pPr>
              <w:spacing w:line="440" w:lineRule="exact"/>
              <w:jc w:val="center"/>
              <w:rPr>
                <w:rFonts w:ascii="宋体" w:hAnsi="宋体"/>
                <w:szCs w:val="21"/>
              </w:rPr>
            </w:pPr>
          </w:p>
        </w:tc>
        <w:tc>
          <w:tcPr>
            <w:tcW w:w="1212" w:type="dxa"/>
          </w:tcPr>
          <w:p w14:paraId="4A3ECDC2">
            <w:pPr>
              <w:spacing w:line="440" w:lineRule="exact"/>
              <w:jc w:val="center"/>
              <w:rPr>
                <w:rFonts w:ascii="宋体" w:hAnsi="宋体"/>
                <w:szCs w:val="21"/>
              </w:rPr>
            </w:pPr>
          </w:p>
        </w:tc>
        <w:tc>
          <w:tcPr>
            <w:tcW w:w="1055" w:type="dxa"/>
          </w:tcPr>
          <w:p w14:paraId="6B8E7D93">
            <w:pPr>
              <w:spacing w:line="440" w:lineRule="exact"/>
              <w:jc w:val="center"/>
              <w:rPr>
                <w:rFonts w:ascii="宋体" w:hAnsi="宋体"/>
                <w:szCs w:val="21"/>
              </w:rPr>
            </w:pPr>
          </w:p>
        </w:tc>
        <w:tc>
          <w:tcPr>
            <w:tcW w:w="691" w:type="dxa"/>
          </w:tcPr>
          <w:p w14:paraId="052F2067">
            <w:pPr>
              <w:spacing w:line="440" w:lineRule="exact"/>
              <w:jc w:val="center"/>
              <w:rPr>
                <w:rFonts w:ascii="宋体" w:hAnsi="宋体"/>
                <w:szCs w:val="21"/>
              </w:rPr>
            </w:pPr>
          </w:p>
        </w:tc>
      </w:tr>
      <w:tr w14:paraId="2A52B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2EE4DF01">
            <w:pPr>
              <w:spacing w:line="440" w:lineRule="exact"/>
              <w:jc w:val="center"/>
              <w:rPr>
                <w:rFonts w:ascii="宋体" w:hAnsi="宋体"/>
                <w:szCs w:val="21"/>
              </w:rPr>
            </w:pPr>
          </w:p>
        </w:tc>
        <w:tc>
          <w:tcPr>
            <w:tcW w:w="1086" w:type="dxa"/>
          </w:tcPr>
          <w:p w14:paraId="0E96C6E8">
            <w:pPr>
              <w:spacing w:line="440" w:lineRule="exact"/>
              <w:jc w:val="center"/>
              <w:rPr>
                <w:rFonts w:ascii="宋体" w:hAnsi="宋体"/>
                <w:szCs w:val="21"/>
              </w:rPr>
            </w:pPr>
          </w:p>
        </w:tc>
        <w:tc>
          <w:tcPr>
            <w:tcW w:w="761" w:type="dxa"/>
          </w:tcPr>
          <w:p w14:paraId="031B1FA2">
            <w:pPr>
              <w:spacing w:line="440" w:lineRule="exact"/>
              <w:jc w:val="center"/>
              <w:rPr>
                <w:rFonts w:ascii="宋体" w:hAnsi="宋体"/>
                <w:szCs w:val="21"/>
              </w:rPr>
            </w:pPr>
          </w:p>
        </w:tc>
        <w:tc>
          <w:tcPr>
            <w:tcW w:w="990" w:type="dxa"/>
          </w:tcPr>
          <w:p w14:paraId="7445A508">
            <w:pPr>
              <w:spacing w:line="440" w:lineRule="exact"/>
              <w:jc w:val="center"/>
              <w:rPr>
                <w:rFonts w:ascii="宋体" w:hAnsi="宋体"/>
                <w:szCs w:val="21"/>
              </w:rPr>
            </w:pPr>
          </w:p>
        </w:tc>
        <w:tc>
          <w:tcPr>
            <w:tcW w:w="672" w:type="dxa"/>
          </w:tcPr>
          <w:p w14:paraId="478A1304">
            <w:pPr>
              <w:spacing w:line="440" w:lineRule="exact"/>
              <w:jc w:val="center"/>
              <w:rPr>
                <w:rFonts w:ascii="宋体" w:hAnsi="宋体"/>
                <w:szCs w:val="21"/>
              </w:rPr>
            </w:pPr>
          </w:p>
        </w:tc>
        <w:tc>
          <w:tcPr>
            <w:tcW w:w="738" w:type="dxa"/>
          </w:tcPr>
          <w:p w14:paraId="1E0ADD50">
            <w:pPr>
              <w:spacing w:line="440" w:lineRule="exact"/>
              <w:jc w:val="center"/>
              <w:rPr>
                <w:rFonts w:ascii="宋体" w:hAnsi="宋体"/>
                <w:szCs w:val="21"/>
              </w:rPr>
            </w:pPr>
          </w:p>
        </w:tc>
        <w:tc>
          <w:tcPr>
            <w:tcW w:w="1212" w:type="dxa"/>
          </w:tcPr>
          <w:p w14:paraId="333872CB">
            <w:pPr>
              <w:spacing w:line="440" w:lineRule="exact"/>
              <w:jc w:val="center"/>
              <w:rPr>
                <w:rFonts w:ascii="宋体" w:hAnsi="宋体"/>
                <w:szCs w:val="21"/>
              </w:rPr>
            </w:pPr>
          </w:p>
        </w:tc>
        <w:tc>
          <w:tcPr>
            <w:tcW w:w="1055" w:type="dxa"/>
          </w:tcPr>
          <w:p w14:paraId="0924A919">
            <w:pPr>
              <w:spacing w:line="440" w:lineRule="exact"/>
              <w:jc w:val="center"/>
              <w:rPr>
                <w:rFonts w:ascii="宋体" w:hAnsi="宋体"/>
                <w:szCs w:val="21"/>
              </w:rPr>
            </w:pPr>
          </w:p>
        </w:tc>
        <w:tc>
          <w:tcPr>
            <w:tcW w:w="691" w:type="dxa"/>
          </w:tcPr>
          <w:p w14:paraId="0AE2361F">
            <w:pPr>
              <w:spacing w:line="440" w:lineRule="exact"/>
              <w:jc w:val="center"/>
              <w:rPr>
                <w:rFonts w:ascii="宋体" w:hAnsi="宋体"/>
                <w:szCs w:val="21"/>
              </w:rPr>
            </w:pPr>
          </w:p>
        </w:tc>
      </w:tr>
      <w:tr w14:paraId="71FB8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78639CAC">
            <w:pPr>
              <w:spacing w:line="440" w:lineRule="exact"/>
              <w:jc w:val="center"/>
              <w:rPr>
                <w:rFonts w:ascii="宋体" w:hAnsi="宋体"/>
                <w:szCs w:val="21"/>
              </w:rPr>
            </w:pPr>
          </w:p>
        </w:tc>
        <w:tc>
          <w:tcPr>
            <w:tcW w:w="1086" w:type="dxa"/>
          </w:tcPr>
          <w:p w14:paraId="55FE265C">
            <w:pPr>
              <w:spacing w:line="440" w:lineRule="exact"/>
              <w:jc w:val="center"/>
              <w:rPr>
                <w:rFonts w:ascii="宋体" w:hAnsi="宋体"/>
                <w:szCs w:val="21"/>
              </w:rPr>
            </w:pPr>
          </w:p>
        </w:tc>
        <w:tc>
          <w:tcPr>
            <w:tcW w:w="761" w:type="dxa"/>
          </w:tcPr>
          <w:p w14:paraId="471AFFFD">
            <w:pPr>
              <w:spacing w:line="440" w:lineRule="exact"/>
              <w:jc w:val="center"/>
              <w:rPr>
                <w:rFonts w:ascii="宋体" w:hAnsi="宋体"/>
                <w:szCs w:val="21"/>
              </w:rPr>
            </w:pPr>
          </w:p>
        </w:tc>
        <w:tc>
          <w:tcPr>
            <w:tcW w:w="990" w:type="dxa"/>
          </w:tcPr>
          <w:p w14:paraId="32612922">
            <w:pPr>
              <w:spacing w:line="440" w:lineRule="exact"/>
              <w:jc w:val="center"/>
              <w:rPr>
                <w:rFonts w:ascii="宋体" w:hAnsi="宋体"/>
                <w:szCs w:val="21"/>
              </w:rPr>
            </w:pPr>
          </w:p>
        </w:tc>
        <w:tc>
          <w:tcPr>
            <w:tcW w:w="672" w:type="dxa"/>
          </w:tcPr>
          <w:p w14:paraId="463B4475">
            <w:pPr>
              <w:spacing w:line="440" w:lineRule="exact"/>
              <w:jc w:val="center"/>
              <w:rPr>
                <w:rFonts w:ascii="宋体" w:hAnsi="宋体"/>
                <w:szCs w:val="21"/>
              </w:rPr>
            </w:pPr>
          </w:p>
        </w:tc>
        <w:tc>
          <w:tcPr>
            <w:tcW w:w="738" w:type="dxa"/>
          </w:tcPr>
          <w:p w14:paraId="51BA76E3">
            <w:pPr>
              <w:spacing w:line="440" w:lineRule="exact"/>
              <w:jc w:val="center"/>
              <w:rPr>
                <w:rFonts w:ascii="宋体" w:hAnsi="宋体"/>
                <w:szCs w:val="21"/>
              </w:rPr>
            </w:pPr>
          </w:p>
        </w:tc>
        <w:tc>
          <w:tcPr>
            <w:tcW w:w="1212" w:type="dxa"/>
          </w:tcPr>
          <w:p w14:paraId="6C150490">
            <w:pPr>
              <w:spacing w:line="440" w:lineRule="exact"/>
              <w:jc w:val="center"/>
              <w:rPr>
                <w:rFonts w:ascii="宋体" w:hAnsi="宋体"/>
                <w:szCs w:val="21"/>
              </w:rPr>
            </w:pPr>
          </w:p>
        </w:tc>
        <w:tc>
          <w:tcPr>
            <w:tcW w:w="1055" w:type="dxa"/>
          </w:tcPr>
          <w:p w14:paraId="67917C06">
            <w:pPr>
              <w:spacing w:line="440" w:lineRule="exact"/>
              <w:jc w:val="center"/>
              <w:rPr>
                <w:rFonts w:ascii="宋体" w:hAnsi="宋体"/>
                <w:szCs w:val="21"/>
              </w:rPr>
            </w:pPr>
          </w:p>
        </w:tc>
        <w:tc>
          <w:tcPr>
            <w:tcW w:w="691" w:type="dxa"/>
          </w:tcPr>
          <w:p w14:paraId="2DE07D1E">
            <w:pPr>
              <w:spacing w:line="440" w:lineRule="exact"/>
              <w:jc w:val="center"/>
              <w:rPr>
                <w:rFonts w:ascii="宋体" w:hAnsi="宋体"/>
                <w:szCs w:val="21"/>
              </w:rPr>
            </w:pPr>
          </w:p>
        </w:tc>
      </w:tr>
      <w:tr w14:paraId="7810C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78582563">
            <w:pPr>
              <w:spacing w:line="440" w:lineRule="exact"/>
              <w:jc w:val="center"/>
              <w:rPr>
                <w:rFonts w:ascii="宋体" w:hAnsi="宋体"/>
                <w:szCs w:val="21"/>
              </w:rPr>
            </w:pPr>
          </w:p>
        </w:tc>
        <w:tc>
          <w:tcPr>
            <w:tcW w:w="1086" w:type="dxa"/>
          </w:tcPr>
          <w:p w14:paraId="2C661077">
            <w:pPr>
              <w:spacing w:line="440" w:lineRule="exact"/>
              <w:jc w:val="center"/>
              <w:rPr>
                <w:rFonts w:ascii="宋体" w:hAnsi="宋体"/>
                <w:szCs w:val="21"/>
              </w:rPr>
            </w:pPr>
          </w:p>
        </w:tc>
        <w:tc>
          <w:tcPr>
            <w:tcW w:w="761" w:type="dxa"/>
          </w:tcPr>
          <w:p w14:paraId="2D833CD4">
            <w:pPr>
              <w:spacing w:line="440" w:lineRule="exact"/>
              <w:jc w:val="center"/>
              <w:rPr>
                <w:rFonts w:ascii="宋体" w:hAnsi="宋体"/>
                <w:szCs w:val="21"/>
              </w:rPr>
            </w:pPr>
          </w:p>
        </w:tc>
        <w:tc>
          <w:tcPr>
            <w:tcW w:w="990" w:type="dxa"/>
          </w:tcPr>
          <w:p w14:paraId="119261C6">
            <w:pPr>
              <w:spacing w:line="440" w:lineRule="exact"/>
              <w:jc w:val="center"/>
              <w:rPr>
                <w:rFonts w:ascii="宋体" w:hAnsi="宋体"/>
                <w:szCs w:val="21"/>
              </w:rPr>
            </w:pPr>
          </w:p>
        </w:tc>
        <w:tc>
          <w:tcPr>
            <w:tcW w:w="672" w:type="dxa"/>
          </w:tcPr>
          <w:p w14:paraId="4342BE02">
            <w:pPr>
              <w:spacing w:line="440" w:lineRule="exact"/>
              <w:jc w:val="center"/>
              <w:rPr>
                <w:rFonts w:ascii="宋体" w:hAnsi="宋体"/>
                <w:szCs w:val="21"/>
              </w:rPr>
            </w:pPr>
          </w:p>
        </w:tc>
        <w:tc>
          <w:tcPr>
            <w:tcW w:w="738" w:type="dxa"/>
          </w:tcPr>
          <w:p w14:paraId="307D5418">
            <w:pPr>
              <w:spacing w:line="440" w:lineRule="exact"/>
              <w:jc w:val="center"/>
              <w:rPr>
                <w:rFonts w:ascii="宋体" w:hAnsi="宋体"/>
                <w:szCs w:val="21"/>
              </w:rPr>
            </w:pPr>
          </w:p>
        </w:tc>
        <w:tc>
          <w:tcPr>
            <w:tcW w:w="1212" w:type="dxa"/>
          </w:tcPr>
          <w:p w14:paraId="396345BB">
            <w:pPr>
              <w:spacing w:line="440" w:lineRule="exact"/>
              <w:jc w:val="center"/>
              <w:rPr>
                <w:rFonts w:ascii="宋体" w:hAnsi="宋体"/>
                <w:szCs w:val="21"/>
              </w:rPr>
            </w:pPr>
          </w:p>
        </w:tc>
        <w:tc>
          <w:tcPr>
            <w:tcW w:w="1055" w:type="dxa"/>
          </w:tcPr>
          <w:p w14:paraId="7DBFE4AF">
            <w:pPr>
              <w:spacing w:line="440" w:lineRule="exact"/>
              <w:jc w:val="center"/>
              <w:rPr>
                <w:rFonts w:ascii="宋体" w:hAnsi="宋体"/>
                <w:szCs w:val="21"/>
              </w:rPr>
            </w:pPr>
          </w:p>
        </w:tc>
        <w:tc>
          <w:tcPr>
            <w:tcW w:w="691" w:type="dxa"/>
          </w:tcPr>
          <w:p w14:paraId="5F314663">
            <w:pPr>
              <w:spacing w:line="440" w:lineRule="exact"/>
              <w:jc w:val="center"/>
              <w:rPr>
                <w:rFonts w:ascii="宋体" w:hAnsi="宋体"/>
                <w:szCs w:val="21"/>
              </w:rPr>
            </w:pPr>
          </w:p>
        </w:tc>
      </w:tr>
      <w:tr w14:paraId="5DD7D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76904718">
            <w:pPr>
              <w:spacing w:line="440" w:lineRule="exact"/>
              <w:jc w:val="center"/>
              <w:rPr>
                <w:rFonts w:ascii="宋体" w:hAnsi="宋体"/>
                <w:szCs w:val="21"/>
              </w:rPr>
            </w:pPr>
          </w:p>
        </w:tc>
        <w:tc>
          <w:tcPr>
            <w:tcW w:w="1086" w:type="dxa"/>
          </w:tcPr>
          <w:p w14:paraId="3B2CC4DF">
            <w:pPr>
              <w:spacing w:line="440" w:lineRule="exact"/>
              <w:jc w:val="center"/>
              <w:rPr>
                <w:rFonts w:ascii="宋体" w:hAnsi="宋体"/>
                <w:szCs w:val="21"/>
              </w:rPr>
            </w:pPr>
          </w:p>
        </w:tc>
        <w:tc>
          <w:tcPr>
            <w:tcW w:w="761" w:type="dxa"/>
          </w:tcPr>
          <w:p w14:paraId="6F98D631">
            <w:pPr>
              <w:spacing w:line="440" w:lineRule="exact"/>
              <w:jc w:val="center"/>
              <w:rPr>
                <w:rFonts w:ascii="宋体" w:hAnsi="宋体"/>
                <w:szCs w:val="21"/>
              </w:rPr>
            </w:pPr>
          </w:p>
        </w:tc>
        <w:tc>
          <w:tcPr>
            <w:tcW w:w="990" w:type="dxa"/>
          </w:tcPr>
          <w:p w14:paraId="04D10750">
            <w:pPr>
              <w:spacing w:line="440" w:lineRule="exact"/>
              <w:jc w:val="center"/>
              <w:rPr>
                <w:rFonts w:ascii="宋体" w:hAnsi="宋体"/>
                <w:szCs w:val="21"/>
              </w:rPr>
            </w:pPr>
          </w:p>
        </w:tc>
        <w:tc>
          <w:tcPr>
            <w:tcW w:w="672" w:type="dxa"/>
          </w:tcPr>
          <w:p w14:paraId="4B30EDBB">
            <w:pPr>
              <w:spacing w:line="440" w:lineRule="exact"/>
              <w:jc w:val="center"/>
              <w:rPr>
                <w:rFonts w:ascii="宋体" w:hAnsi="宋体"/>
                <w:szCs w:val="21"/>
              </w:rPr>
            </w:pPr>
          </w:p>
        </w:tc>
        <w:tc>
          <w:tcPr>
            <w:tcW w:w="738" w:type="dxa"/>
          </w:tcPr>
          <w:p w14:paraId="22FBBA50">
            <w:pPr>
              <w:spacing w:line="440" w:lineRule="exact"/>
              <w:jc w:val="center"/>
              <w:rPr>
                <w:rFonts w:ascii="宋体" w:hAnsi="宋体"/>
                <w:szCs w:val="21"/>
              </w:rPr>
            </w:pPr>
          </w:p>
        </w:tc>
        <w:tc>
          <w:tcPr>
            <w:tcW w:w="1212" w:type="dxa"/>
          </w:tcPr>
          <w:p w14:paraId="487949E3">
            <w:pPr>
              <w:spacing w:line="440" w:lineRule="exact"/>
              <w:jc w:val="center"/>
              <w:rPr>
                <w:rFonts w:ascii="宋体" w:hAnsi="宋体"/>
                <w:szCs w:val="21"/>
              </w:rPr>
            </w:pPr>
          </w:p>
        </w:tc>
        <w:tc>
          <w:tcPr>
            <w:tcW w:w="1055" w:type="dxa"/>
          </w:tcPr>
          <w:p w14:paraId="4F3FCF08">
            <w:pPr>
              <w:spacing w:line="440" w:lineRule="exact"/>
              <w:jc w:val="center"/>
              <w:rPr>
                <w:rFonts w:ascii="宋体" w:hAnsi="宋体"/>
                <w:szCs w:val="21"/>
              </w:rPr>
            </w:pPr>
          </w:p>
        </w:tc>
        <w:tc>
          <w:tcPr>
            <w:tcW w:w="691" w:type="dxa"/>
          </w:tcPr>
          <w:p w14:paraId="1AC56030">
            <w:pPr>
              <w:spacing w:line="440" w:lineRule="exact"/>
              <w:jc w:val="center"/>
              <w:rPr>
                <w:rFonts w:ascii="宋体" w:hAnsi="宋体"/>
                <w:szCs w:val="21"/>
              </w:rPr>
            </w:pPr>
          </w:p>
        </w:tc>
      </w:tr>
      <w:tr w14:paraId="007E8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76BE54E0">
            <w:pPr>
              <w:spacing w:line="440" w:lineRule="exact"/>
              <w:jc w:val="center"/>
              <w:rPr>
                <w:rFonts w:ascii="宋体" w:hAnsi="宋体"/>
                <w:szCs w:val="21"/>
              </w:rPr>
            </w:pPr>
          </w:p>
        </w:tc>
        <w:tc>
          <w:tcPr>
            <w:tcW w:w="1086" w:type="dxa"/>
          </w:tcPr>
          <w:p w14:paraId="017563D5">
            <w:pPr>
              <w:spacing w:line="440" w:lineRule="exact"/>
              <w:jc w:val="center"/>
              <w:rPr>
                <w:rFonts w:ascii="宋体" w:hAnsi="宋体"/>
                <w:szCs w:val="21"/>
              </w:rPr>
            </w:pPr>
          </w:p>
        </w:tc>
        <w:tc>
          <w:tcPr>
            <w:tcW w:w="761" w:type="dxa"/>
          </w:tcPr>
          <w:p w14:paraId="3E2BC04E">
            <w:pPr>
              <w:spacing w:line="440" w:lineRule="exact"/>
              <w:jc w:val="center"/>
              <w:rPr>
                <w:rFonts w:ascii="宋体" w:hAnsi="宋体"/>
                <w:szCs w:val="21"/>
              </w:rPr>
            </w:pPr>
          </w:p>
        </w:tc>
        <w:tc>
          <w:tcPr>
            <w:tcW w:w="990" w:type="dxa"/>
          </w:tcPr>
          <w:p w14:paraId="656F576A">
            <w:pPr>
              <w:spacing w:line="440" w:lineRule="exact"/>
              <w:jc w:val="center"/>
              <w:rPr>
                <w:rFonts w:ascii="宋体" w:hAnsi="宋体"/>
                <w:szCs w:val="21"/>
              </w:rPr>
            </w:pPr>
          </w:p>
        </w:tc>
        <w:tc>
          <w:tcPr>
            <w:tcW w:w="672" w:type="dxa"/>
          </w:tcPr>
          <w:p w14:paraId="2BF441FC">
            <w:pPr>
              <w:spacing w:line="440" w:lineRule="exact"/>
              <w:jc w:val="center"/>
              <w:rPr>
                <w:rFonts w:ascii="宋体" w:hAnsi="宋体"/>
                <w:szCs w:val="21"/>
              </w:rPr>
            </w:pPr>
          </w:p>
        </w:tc>
        <w:tc>
          <w:tcPr>
            <w:tcW w:w="738" w:type="dxa"/>
          </w:tcPr>
          <w:p w14:paraId="27D0ECAB">
            <w:pPr>
              <w:spacing w:line="440" w:lineRule="exact"/>
              <w:jc w:val="center"/>
              <w:rPr>
                <w:rFonts w:ascii="宋体" w:hAnsi="宋体"/>
                <w:szCs w:val="21"/>
              </w:rPr>
            </w:pPr>
          </w:p>
        </w:tc>
        <w:tc>
          <w:tcPr>
            <w:tcW w:w="1212" w:type="dxa"/>
          </w:tcPr>
          <w:p w14:paraId="15521DDC">
            <w:pPr>
              <w:spacing w:line="440" w:lineRule="exact"/>
              <w:jc w:val="center"/>
              <w:rPr>
                <w:rFonts w:ascii="宋体" w:hAnsi="宋体"/>
                <w:szCs w:val="21"/>
              </w:rPr>
            </w:pPr>
          </w:p>
        </w:tc>
        <w:tc>
          <w:tcPr>
            <w:tcW w:w="1055" w:type="dxa"/>
          </w:tcPr>
          <w:p w14:paraId="022301CB">
            <w:pPr>
              <w:spacing w:line="440" w:lineRule="exact"/>
              <w:jc w:val="center"/>
              <w:rPr>
                <w:rFonts w:ascii="宋体" w:hAnsi="宋体"/>
                <w:szCs w:val="21"/>
              </w:rPr>
            </w:pPr>
          </w:p>
        </w:tc>
        <w:tc>
          <w:tcPr>
            <w:tcW w:w="691" w:type="dxa"/>
          </w:tcPr>
          <w:p w14:paraId="2F7C2561">
            <w:pPr>
              <w:spacing w:line="440" w:lineRule="exact"/>
              <w:jc w:val="center"/>
              <w:rPr>
                <w:rFonts w:ascii="宋体" w:hAnsi="宋体"/>
                <w:szCs w:val="21"/>
              </w:rPr>
            </w:pPr>
          </w:p>
        </w:tc>
      </w:tr>
      <w:tr w14:paraId="50EC8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7A455FE0">
            <w:pPr>
              <w:spacing w:line="440" w:lineRule="exact"/>
              <w:jc w:val="center"/>
              <w:rPr>
                <w:rFonts w:ascii="宋体" w:hAnsi="宋体"/>
                <w:szCs w:val="21"/>
              </w:rPr>
            </w:pPr>
          </w:p>
        </w:tc>
        <w:tc>
          <w:tcPr>
            <w:tcW w:w="1086" w:type="dxa"/>
          </w:tcPr>
          <w:p w14:paraId="6BCA4CEF">
            <w:pPr>
              <w:spacing w:line="440" w:lineRule="exact"/>
              <w:jc w:val="center"/>
              <w:rPr>
                <w:rFonts w:ascii="宋体" w:hAnsi="宋体"/>
                <w:szCs w:val="21"/>
              </w:rPr>
            </w:pPr>
          </w:p>
        </w:tc>
        <w:tc>
          <w:tcPr>
            <w:tcW w:w="761" w:type="dxa"/>
          </w:tcPr>
          <w:p w14:paraId="45280806">
            <w:pPr>
              <w:spacing w:line="440" w:lineRule="exact"/>
              <w:jc w:val="center"/>
              <w:rPr>
                <w:rFonts w:ascii="宋体" w:hAnsi="宋体"/>
                <w:szCs w:val="21"/>
              </w:rPr>
            </w:pPr>
          </w:p>
        </w:tc>
        <w:tc>
          <w:tcPr>
            <w:tcW w:w="990" w:type="dxa"/>
          </w:tcPr>
          <w:p w14:paraId="4E5BAF2C">
            <w:pPr>
              <w:spacing w:line="440" w:lineRule="exact"/>
              <w:jc w:val="center"/>
              <w:rPr>
                <w:rFonts w:ascii="宋体" w:hAnsi="宋体"/>
                <w:szCs w:val="21"/>
              </w:rPr>
            </w:pPr>
          </w:p>
        </w:tc>
        <w:tc>
          <w:tcPr>
            <w:tcW w:w="672" w:type="dxa"/>
          </w:tcPr>
          <w:p w14:paraId="3E5E75C2">
            <w:pPr>
              <w:spacing w:line="440" w:lineRule="exact"/>
              <w:jc w:val="center"/>
              <w:rPr>
                <w:rFonts w:ascii="宋体" w:hAnsi="宋体"/>
                <w:szCs w:val="21"/>
              </w:rPr>
            </w:pPr>
          </w:p>
        </w:tc>
        <w:tc>
          <w:tcPr>
            <w:tcW w:w="738" w:type="dxa"/>
          </w:tcPr>
          <w:p w14:paraId="01E99F16">
            <w:pPr>
              <w:spacing w:line="440" w:lineRule="exact"/>
              <w:jc w:val="center"/>
              <w:rPr>
                <w:rFonts w:ascii="宋体" w:hAnsi="宋体"/>
                <w:szCs w:val="21"/>
              </w:rPr>
            </w:pPr>
          </w:p>
        </w:tc>
        <w:tc>
          <w:tcPr>
            <w:tcW w:w="1212" w:type="dxa"/>
          </w:tcPr>
          <w:p w14:paraId="01940244">
            <w:pPr>
              <w:spacing w:line="440" w:lineRule="exact"/>
              <w:jc w:val="center"/>
              <w:rPr>
                <w:rFonts w:ascii="宋体" w:hAnsi="宋体"/>
                <w:szCs w:val="21"/>
              </w:rPr>
            </w:pPr>
          </w:p>
        </w:tc>
        <w:tc>
          <w:tcPr>
            <w:tcW w:w="1055" w:type="dxa"/>
          </w:tcPr>
          <w:p w14:paraId="3366F0E4">
            <w:pPr>
              <w:spacing w:line="440" w:lineRule="exact"/>
              <w:jc w:val="center"/>
              <w:rPr>
                <w:rFonts w:ascii="宋体" w:hAnsi="宋体"/>
                <w:szCs w:val="21"/>
              </w:rPr>
            </w:pPr>
          </w:p>
        </w:tc>
        <w:tc>
          <w:tcPr>
            <w:tcW w:w="691" w:type="dxa"/>
          </w:tcPr>
          <w:p w14:paraId="4B480178">
            <w:pPr>
              <w:spacing w:line="440" w:lineRule="exact"/>
              <w:jc w:val="center"/>
              <w:rPr>
                <w:rFonts w:ascii="宋体" w:hAnsi="宋体"/>
                <w:szCs w:val="21"/>
              </w:rPr>
            </w:pPr>
          </w:p>
        </w:tc>
      </w:tr>
    </w:tbl>
    <w:p w14:paraId="40FD1046">
      <w:pPr>
        <w:spacing w:line="440" w:lineRule="exact"/>
        <w:rPr>
          <w:rFonts w:ascii="宋体" w:hAnsi="宋体"/>
          <w:sz w:val="20"/>
        </w:rPr>
      </w:pPr>
    </w:p>
    <w:p w14:paraId="280FC0CE">
      <w:pPr>
        <w:spacing w:line="440" w:lineRule="exact"/>
        <w:rPr>
          <w:rFonts w:ascii="宋体" w:hAnsi="宋体"/>
          <w:sz w:val="20"/>
        </w:rPr>
      </w:pPr>
    </w:p>
    <w:p w14:paraId="2B3E1380">
      <w:pPr>
        <w:spacing w:line="440" w:lineRule="exact"/>
        <w:rPr>
          <w:rFonts w:ascii="宋体" w:hAnsi="宋体"/>
          <w:sz w:val="20"/>
        </w:rPr>
      </w:pPr>
    </w:p>
    <w:p w14:paraId="7213FDD4">
      <w:pPr>
        <w:pStyle w:val="6"/>
        <w:spacing w:before="157"/>
      </w:pPr>
      <w:bookmarkStart w:id="2364" w:name="_Toc480918589"/>
      <w:bookmarkStart w:id="2365" w:name="_Toc480918821"/>
      <w:bookmarkStart w:id="2366" w:name="_Toc97752057"/>
      <w:bookmarkStart w:id="2367" w:name="_Toc85443522"/>
      <w:bookmarkStart w:id="2368" w:name="_Toc474179007"/>
      <w:bookmarkStart w:id="2369" w:name="_Toc474178538"/>
      <w:bookmarkStart w:id="2370" w:name="_Toc527485331"/>
      <w:bookmarkStart w:id="2371" w:name="_Toc29231"/>
      <w:bookmarkStart w:id="2372" w:name="_Toc474179243"/>
      <w:bookmarkStart w:id="2373" w:name="_Toc499310093"/>
      <w:bookmarkStart w:id="2374" w:name="_Toc152042587"/>
      <w:bookmarkStart w:id="2375" w:name="_Toc451244254"/>
      <w:bookmarkStart w:id="2376" w:name="_Toc480918966"/>
      <w:bookmarkStart w:id="2377" w:name="_Toc300835230"/>
      <w:bookmarkStart w:id="2378" w:name="_Toc144974866"/>
      <w:bookmarkStart w:id="2379" w:name="_Toc499310663"/>
      <w:bookmarkStart w:id="2380" w:name="_Toc152045798"/>
      <w:bookmarkStart w:id="2381" w:name="_Toc179632818"/>
      <w:r>
        <w:rPr>
          <w:rFonts w:hint="eastAsia"/>
        </w:rPr>
        <w:t>（五）拟配备本项目的试验和检测仪器设备表</w:t>
      </w:r>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p>
    <w:p w14:paraId="5DD483A7">
      <w:pPr>
        <w:spacing w:line="440" w:lineRule="exact"/>
        <w:rPr>
          <w:rFonts w:ascii="宋体" w:hAnsi="宋体"/>
          <w:sz w:val="20"/>
        </w:rPr>
      </w:pPr>
    </w:p>
    <w:tbl>
      <w:tblPr>
        <w:tblStyle w:val="73"/>
        <w:tblW w:w="7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087"/>
        <w:gridCol w:w="760"/>
        <w:gridCol w:w="991"/>
        <w:gridCol w:w="672"/>
        <w:gridCol w:w="738"/>
        <w:gridCol w:w="1653"/>
        <w:gridCol w:w="688"/>
      </w:tblGrid>
      <w:tr w14:paraId="765A7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52DC86F1">
            <w:pPr>
              <w:spacing w:line="440" w:lineRule="exact"/>
              <w:rPr>
                <w:rFonts w:ascii="宋体" w:hAnsi="宋体"/>
                <w:szCs w:val="21"/>
              </w:rPr>
            </w:pPr>
            <w:r>
              <w:rPr>
                <w:rFonts w:ascii="宋体" w:hAnsi="宋体"/>
                <w:szCs w:val="21"/>
              </w:rPr>
              <w:t>序号</w:t>
            </w:r>
          </w:p>
        </w:tc>
        <w:tc>
          <w:tcPr>
            <w:tcW w:w="1087" w:type="dxa"/>
            <w:vAlign w:val="center"/>
          </w:tcPr>
          <w:p w14:paraId="33E7F2D2">
            <w:pPr>
              <w:spacing w:line="440" w:lineRule="exact"/>
              <w:jc w:val="center"/>
              <w:rPr>
                <w:rFonts w:ascii="宋体" w:hAnsi="宋体"/>
                <w:szCs w:val="21"/>
              </w:rPr>
            </w:pPr>
            <w:r>
              <w:rPr>
                <w:rFonts w:ascii="宋体" w:hAnsi="宋体"/>
                <w:szCs w:val="21"/>
              </w:rPr>
              <w:t>仪器设备名称</w:t>
            </w:r>
          </w:p>
        </w:tc>
        <w:tc>
          <w:tcPr>
            <w:tcW w:w="760" w:type="dxa"/>
            <w:vAlign w:val="center"/>
          </w:tcPr>
          <w:p w14:paraId="2FE6D8FF">
            <w:pPr>
              <w:spacing w:line="440" w:lineRule="exact"/>
              <w:jc w:val="center"/>
              <w:rPr>
                <w:rFonts w:ascii="宋体" w:hAnsi="宋体"/>
                <w:szCs w:val="21"/>
              </w:rPr>
            </w:pPr>
            <w:r>
              <w:rPr>
                <w:rFonts w:ascii="宋体" w:hAnsi="宋体"/>
                <w:szCs w:val="21"/>
              </w:rPr>
              <w:t>型号</w:t>
            </w:r>
          </w:p>
          <w:p w14:paraId="3BD03802">
            <w:pPr>
              <w:spacing w:line="440" w:lineRule="exact"/>
              <w:jc w:val="center"/>
              <w:rPr>
                <w:rFonts w:ascii="宋体" w:hAnsi="宋体"/>
                <w:szCs w:val="21"/>
              </w:rPr>
            </w:pPr>
            <w:r>
              <w:rPr>
                <w:rFonts w:ascii="宋体" w:hAnsi="宋体"/>
                <w:szCs w:val="21"/>
              </w:rPr>
              <w:t>规格</w:t>
            </w:r>
          </w:p>
        </w:tc>
        <w:tc>
          <w:tcPr>
            <w:tcW w:w="991" w:type="dxa"/>
            <w:vAlign w:val="center"/>
          </w:tcPr>
          <w:p w14:paraId="2F2121F3">
            <w:pPr>
              <w:spacing w:line="440" w:lineRule="exact"/>
              <w:jc w:val="center"/>
              <w:rPr>
                <w:rFonts w:ascii="宋体" w:hAnsi="宋体"/>
                <w:szCs w:val="21"/>
              </w:rPr>
            </w:pPr>
            <w:r>
              <w:rPr>
                <w:rFonts w:ascii="宋体" w:hAnsi="宋体"/>
                <w:szCs w:val="21"/>
              </w:rPr>
              <w:t>数量</w:t>
            </w:r>
          </w:p>
        </w:tc>
        <w:tc>
          <w:tcPr>
            <w:tcW w:w="672" w:type="dxa"/>
            <w:vAlign w:val="center"/>
          </w:tcPr>
          <w:p w14:paraId="0D9ED1FB">
            <w:pPr>
              <w:spacing w:line="440" w:lineRule="exact"/>
              <w:jc w:val="center"/>
              <w:rPr>
                <w:rFonts w:ascii="宋体" w:hAnsi="宋体"/>
                <w:szCs w:val="21"/>
              </w:rPr>
            </w:pPr>
            <w:r>
              <w:rPr>
                <w:rFonts w:ascii="宋体" w:hAnsi="宋体"/>
                <w:szCs w:val="21"/>
              </w:rPr>
              <w:t>国别</w:t>
            </w:r>
          </w:p>
          <w:p w14:paraId="29A4EBB4">
            <w:pPr>
              <w:spacing w:line="440" w:lineRule="exact"/>
              <w:jc w:val="center"/>
              <w:rPr>
                <w:rFonts w:ascii="宋体" w:hAnsi="宋体"/>
                <w:szCs w:val="21"/>
              </w:rPr>
            </w:pPr>
            <w:r>
              <w:rPr>
                <w:rFonts w:ascii="宋体" w:hAnsi="宋体"/>
                <w:szCs w:val="21"/>
              </w:rPr>
              <w:t>产地</w:t>
            </w:r>
          </w:p>
        </w:tc>
        <w:tc>
          <w:tcPr>
            <w:tcW w:w="738" w:type="dxa"/>
            <w:vAlign w:val="center"/>
          </w:tcPr>
          <w:p w14:paraId="157092C9">
            <w:pPr>
              <w:spacing w:line="440" w:lineRule="exact"/>
              <w:jc w:val="center"/>
              <w:rPr>
                <w:rFonts w:ascii="宋体" w:hAnsi="宋体"/>
                <w:szCs w:val="21"/>
              </w:rPr>
            </w:pPr>
            <w:r>
              <w:rPr>
                <w:rFonts w:ascii="宋体" w:hAnsi="宋体"/>
                <w:szCs w:val="21"/>
              </w:rPr>
              <w:t>制造</w:t>
            </w:r>
          </w:p>
          <w:p w14:paraId="32BA9960">
            <w:pPr>
              <w:spacing w:line="440" w:lineRule="exact"/>
              <w:jc w:val="center"/>
              <w:rPr>
                <w:rFonts w:ascii="宋体" w:hAnsi="宋体"/>
                <w:szCs w:val="21"/>
              </w:rPr>
            </w:pPr>
            <w:r>
              <w:rPr>
                <w:rFonts w:ascii="宋体" w:hAnsi="宋体"/>
                <w:szCs w:val="21"/>
              </w:rPr>
              <w:t>年份</w:t>
            </w:r>
          </w:p>
        </w:tc>
        <w:tc>
          <w:tcPr>
            <w:tcW w:w="1653" w:type="dxa"/>
            <w:vAlign w:val="center"/>
          </w:tcPr>
          <w:p w14:paraId="197DE7FF">
            <w:pPr>
              <w:spacing w:line="440" w:lineRule="exact"/>
              <w:jc w:val="center"/>
              <w:rPr>
                <w:rFonts w:ascii="宋体" w:hAnsi="宋体"/>
                <w:szCs w:val="21"/>
              </w:rPr>
            </w:pPr>
            <w:r>
              <w:rPr>
                <w:rFonts w:ascii="宋体" w:hAnsi="宋体"/>
                <w:szCs w:val="21"/>
              </w:rPr>
              <w:t>用途</w:t>
            </w:r>
          </w:p>
        </w:tc>
        <w:tc>
          <w:tcPr>
            <w:tcW w:w="688" w:type="dxa"/>
            <w:vAlign w:val="center"/>
          </w:tcPr>
          <w:p w14:paraId="14651B87">
            <w:pPr>
              <w:spacing w:line="440" w:lineRule="exact"/>
              <w:jc w:val="center"/>
              <w:rPr>
                <w:rFonts w:ascii="宋体" w:hAnsi="宋体"/>
                <w:szCs w:val="21"/>
              </w:rPr>
            </w:pPr>
            <w:r>
              <w:rPr>
                <w:rFonts w:ascii="宋体" w:hAnsi="宋体"/>
                <w:szCs w:val="21"/>
              </w:rPr>
              <w:t>备注</w:t>
            </w:r>
          </w:p>
        </w:tc>
      </w:tr>
      <w:tr w14:paraId="21E47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59DC2E97">
            <w:pPr>
              <w:spacing w:line="440" w:lineRule="exact"/>
              <w:jc w:val="center"/>
              <w:rPr>
                <w:rFonts w:ascii="宋体" w:hAnsi="宋体"/>
                <w:szCs w:val="21"/>
              </w:rPr>
            </w:pPr>
          </w:p>
        </w:tc>
        <w:tc>
          <w:tcPr>
            <w:tcW w:w="1087" w:type="dxa"/>
            <w:vAlign w:val="center"/>
          </w:tcPr>
          <w:p w14:paraId="010ED63E">
            <w:pPr>
              <w:spacing w:line="440" w:lineRule="exact"/>
              <w:jc w:val="center"/>
              <w:rPr>
                <w:rFonts w:ascii="宋体" w:hAnsi="宋体"/>
                <w:szCs w:val="21"/>
              </w:rPr>
            </w:pPr>
          </w:p>
        </w:tc>
        <w:tc>
          <w:tcPr>
            <w:tcW w:w="760" w:type="dxa"/>
            <w:vAlign w:val="center"/>
          </w:tcPr>
          <w:p w14:paraId="30924F13">
            <w:pPr>
              <w:spacing w:line="440" w:lineRule="exact"/>
              <w:jc w:val="center"/>
              <w:rPr>
                <w:rFonts w:ascii="宋体" w:hAnsi="宋体"/>
                <w:szCs w:val="21"/>
              </w:rPr>
            </w:pPr>
          </w:p>
        </w:tc>
        <w:tc>
          <w:tcPr>
            <w:tcW w:w="991" w:type="dxa"/>
            <w:vAlign w:val="center"/>
          </w:tcPr>
          <w:p w14:paraId="06243134">
            <w:pPr>
              <w:spacing w:line="440" w:lineRule="exact"/>
              <w:jc w:val="center"/>
              <w:rPr>
                <w:rFonts w:ascii="宋体" w:hAnsi="宋体"/>
                <w:szCs w:val="21"/>
              </w:rPr>
            </w:pPr>
          </w:p>
        </w:tc>
        <w:tc>
          <w:tcPr>
            <w:tcW w:w="672" w:type="dxa"/>
            <w:vAlign w:val="center"/>
          </w:tcPr>
          <w:p w14:paraId="0D1B99F9">
            <w:pPr>
              <w:spacing w:line="440" w:lineRule="exact"/>
              <w:jc w:val="center"/>
              <w:rPr>
                <w:rFonts w:ascii="宋体" w:hAnsi="宋体"/>
                <w:szCs w:val="21"/>
              </w:rPr>
            </w:pPr>
          </w:p>
        </w:tc>
        <w:tc>
          <w:tcPr>
            <w:tcW w:w="738" w:type="dxa"/>
            <w:vAlign w:val="center"/>
          </w:tcPr>
          <w:p w14:paraId="28664C01">
            <w:pPr>
              <w:spacing w:line="440" w:lineRule="exact"/>
              <w:jc w:val="center"/>
              <w:rPr>
                <w:rFonts w:ascii="宋体" w:hAnsi="宋体"/>
                <w:szCs w:val="21"/>
              </w:rPr>
            </w:pPr>
          </w:p>
        </w:tc>
        <w:tc>
          <w:tcPr>
            <w:tcW w:w="1653" w:type="dxa"/>
            <w:vAlign w:val="center"/>
          </w:tcPr>
          <w:p w14:paraId="4ED64DB7">
            <w:pPr>
              <w:spacing w:line="440" w:lineRule="exact"/>
              <w:jc w:val="center"/>
              <w:rPr>
                <w:rFonts w:ascii="宋体" w:hAnsi="宋体"/>
                <w:szCs w:val="21"/>
              </w:rPr>
            </w:pPr>
          </w:p>
        </w:tc>
        <w:tc>
          <w:tcPr>
            <w:tcW w:w="688" w:type="dxa"/>
            <w:vAlign w:val="center"/>
          </w:tcPr>
          <w:p w14:paraId="17320F46">
            <w:pPr>
              <w:spacing w:line="440" w:lineRule="exact"/>
              <w:jc w:val="center"/>
              <w:rPr>
                <w:rFonts w:ascii="宋体" w:hAnsi="宋体"/>
                <w:szCs w:val="21"/>
              </w:rPr>
            </w:pPr>
          </w:p>
        </w:tc>
      </w:tr>
      <w:tr w14:paraId="11F8F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03B203A4">
            <w:pPr>
              <w:spacing w:line="440" w:lineRule="exact"/>
              <w:jc w:val="center"/>
              <w:rPr>
                <w:rFonts w:ascii="宋体" w:hAnsi="宋体"/>
                <w:szCs w:val="21"/>
              </w:rPr>
            </w:pPr>
          </w:p>
        </w:tc>
        <w:tc>
          <w:tcPr>
            <w:tcW w:w="1087" w:type="dxa"/>
            <w:vAlign w:val="center"/>
          </w:tcPr>
          <w:p w14:paraId="25361C72">
            <w:pPr>
              <w:spacing w:line="440" w:lineRule="exact"/>
              <w:jc w:val="center"/>
              <w:rPr>
                <w:rFonts w:ascii="宋体" w:hAnsi="宋体"/>
                <w:szCs w:val="21"/>
              </w:rPr>
            </w:pPr>
          </w:p>
        </w:tc>
        <w:tc>
          <w:tcPr>
            <w:tcW w:w="760" w:type="dxa"/>
            <w:vAlign w:val="center"/>
          </w:tcPr>
          <w:p w14:paraId="6F44AE4E">
            <w:pPr>
              <w:spacing w:line="440" w:lineRule="exact"/>
              <w:jc w:val="center"/>
              <w:rPr>
                <w:rFonts w:ascii="宋体" w:hAnsi="宋体"/>
                <w:szCs w:val="21"/>
              </w:rPr>
            </w:pPr>
          </w:p>
        </w:tc>
        <w:tc>
          <w:tcPr>
            <w:tcW w:w="991" w:type="dxa"/>
            <w:vAlign w:val="center"/>
          </w:tcPr>
          <w:p w14:paraId="1503618F">
            <w:pPr>
              <w:spacing w:line="440" w:lineRule="exact"/>
              <w:jc w:val="center"/>
              <w:rPr>
                <w:rFonts w:ascii="宋体" w:hAnsi="宋体"/>
                <w:szCs w:val="21"/>
              </w:rPr>
            </w:pPr>
          </w:p>
        </w:tc>
        <w:tc>
          <w:tcPr>
            <w:tcW w:w="672" w:type="dxa"/>
            <w:vAlign w:val="center"/>
          </w:tcPr>
          <w:p w14:paraId="14AD144D">
            <w:pPr>
              <w:spacing w:line="440" w:lineRule="exact"/>
              <w:jc w:val="center"/>
              <w:rPr>
                <w:rFonts w:ascii="宋体" w:hAnsi="宋体"/>
                <w:szCs w:val="21"/>
              </w:rPr>
            </w:pPr>
          </w:p>
        </w:tc>
        <w:tc>
          <w:tcPr>
            <w:tcW w:w="738" w:type="dxa"/>
            <w:vAlign w:val="center"/>
          </w:tcPr>
          <w:p w14:paraId="54F2EB30">
            <w:pPr>
              <w:spacing w:line="440" w:lineRule="exact"/>
              <w:jc w:val="center"/>
              <w:rPr>
                <w:rFonts w:ascii="宋体" w:hAnsi="宋体"/>
                <w:szCs w:val="21"/>
              </w:rPr>
            </w:pPr>
          </w:p>
        </w:tc>
        <w:tc>
          <w:tcPr>
            <w:tcW w:w="1653" w:type="dxa"/>
            <w:vAlign w:val="center"/>
          </w:tcPr>
          <w:p w14:paraId="70A70BBA">
            <w:pPr>
              <w:spacing w:line="440" w:lineRule="exact"/>
              <w:jc w:val="center"/>
              <w:rPr>
                <w:rFonts w:ascii="宋体" w:hAnsi="宋体"/>
                <w:szCs w:val="21"/>
              </w:rPr>
            </w:pPr>
          </w:p>
        </w:tc>
        <w:tc>
          <w:tcPr>
            <w:tcW w:w="688" w:type="dxa"/>
            <w:vAlign w:val="center"/>
          </w:tcPr>
          <w:p w14:paraId="0C872BB1">
            <w:pPr>
              <w:spacing w:line="440" w:lineRule="exact"/>
              <w:jc w:val="center"/>
              <w:rPr>
                <w:rFonts w:ascii="宋体" w:hAnsi="宋体"/>
                <w:szCs w:val="21"/>
              </w:rPr>
            </w:pPr>
          </w:p>
        </w:tc>
      </w:tr>
      <w:tr w14:paraId="207F5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0E823F0E">
            <w:pPr>
              <w:spacing w:line="440" w:lineRule="exact"/>
              <w:jc w:val="center"/>
              <w:rPr>
                <w:rFonts w:ascii="宋体" w:hAnsi="宋体"/>
                <w:szCs w:val="21"/>
              </w:rPr>
            </w:pPr>
          </w:p>
        </w:tc>
        <w:tc>
          <w:tcPr>
            <w:tcW w:w="1087" w:type="dxa"/>
          </w:tcPr>
          <w:p w14:paraId="6F60245C">
            <w:pPr>
              <w:spacing w:line="440" w:lineRule="exact"/>
              <w:jc w:val="center"/>
              <w:rPr>
                <w:rFonts w:ascii="宋体" w:hAnsi="宋体"/>
                <w:szCs w:val="21"/>
              </w:rPr>
            </w:pPr>
          </w:p>
        </w:tc>
        <w:tc>
          <w:tcPr>
            <w:tcW w:w="760" w:type="dxa"/>
          </w:tcPr>
          <w:p w14:paraId="68FCE2BF">
            <w:pPr>
              <w:spacing w:line="440" w:lineRule="exact"/>
              <w:jc w:val="center"/>
              <w:rPr>
                <w:rFonts w:ascii="宋体" w:hAnsi="宋体"/>
                <w:szCs w:val="21"/>
              </w:rPr>
            </w:pPr>
          </w:p>
        </w:tc>
        <w:tc>
          <w:tcPr>
            <w:tcW w:w="991" w:type="dxa"/>
          </w:tcPr>
          <w:p w14:paraId="544463BF">
            <w:pPr>
              <w:spacing w:line="440" w:lineRule="exact"/>
              <w:jc w:val="center"/>
              <w:rPr>
                <w:rFonts w:ascii="宋体" w:hAnsi="宋体"/>
                <w:szCs w:val="21"/>
              </w:rPr>
            </w:pPr>
          </w:p>
        </w:tc>
        <w:tc>
          <w:tcPr>
            <w:tcW w:w="672" w:type="dxa"/>
          </w:tcPr>
          <w:p w14:paraId="20E62A19">
            <w:pPr>
              <w:spacing w:line="440" w:lineRule="exact"/>
              <w:jc w:val="center"/>
              <w:rPr>
                <w:rFonts w:ascii="宋体" w:hAnsi="宋体"/>
                <w:szCs w:val="21"/>
              </w:rPr>
            </w:pPr>
          </w:p>
        </w:tc>
        <w:tc>
          <w:tcPr>
            <w:tcW w:w="738" w:type="dxa"/>
          </w:tcPr>
          <w:p w14:paraId="7354F637">
            <w:pPr>
              <w:spacing w:line="440" w:lineRule="exact"/>
              <w:jc w:val="center"/>
              <w:rPr>
                <w:rFonts w:ascii="宋体" w:hAnsi="宋体"/>
                <w:szCs w:val="21"/>
              </w:rPr>
            </w:pPr>
          </w:p>
        </w:tc>
        <w:tc>
          <w:tcPr>
            <w:tcW w:w="1653" w:type="dxa"/>
          </w:tcPr>
          <w:p w14:paraId="298905A0">
            <w:pPr>
              <w:spacing w:line="440" w:lineRule="exact"/>
              <w:jc w:val="center"/>
              <w:rPr>
                <w:rFonts w:ascii="宋体" w:hAnsi="宋体"/>
                <w:szCs w:val="21"/>
              </w:rPr>
            </w:pPr>
          </w:p>
        </w:tc>
        <w:tc>
          <w:tcPr>
            <w:tcW w:w="688" w:type="dxa"/>
          </w:tcPr>
          <w:p w14:paraId="0C14C770">
            <w:pPr>
              <w:spacing w:line="440" w:lineRule="exact"/>
              <w:jc w:val="center"/>
              <w:rPr>
                <w:rFonts w:ascii="宋体" w:hAnsi="宋体"/>
                <w:szCs w:val="21"/>
              </w:rPr>
            </w:pPr>
          </w:p>
        </w:tc>
      </w:tr>
      <w:tr w14:paraId="70B07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4D4B76D4">
            <w:pPr>
              <w:spacing w:line="440" w:lineRule="exact"/>
              <w:jc w:val="center"/>
              <w:rPr>
                <w:rFonts w:ascii="宋体" w:hAnsi="宋体"/>
                <w:szCs w:val="21"/>
              </w:rPr>
            </w:pPr>
          </w:p>
        </w:tc>
        <w:tc>
          <w:tcPr>
            <w:tcW w:w="1087" w:type="dxa"/>
          </w:tcPr>
          <w:p w14:paraId="3FEC9A6A">
            <w:pPr>
              <w:spacing w:line="440" w:lineRule="exact"/>
              <w:jc w:val="center"/>
              <w:rPr>
                <w:rFonts w:ascii="宋体" w:hAnsi="宋体"/>
                <w:szCs w:val="21"/>
              </w:rPr>
            </w:pPr>
          </w:p>
        </w:tc>
        <w:tc>
          <w:tcPr>
            <w:tcW w:w="760" w:type="dxa"/>
          </w:tcPr>
          <w:p w14:paraId="024E5E55">
            <w:pPr>
              <w:spacing w:line="440" w:lineRule="exact"/>
              <w:jc w:val="center"/>
              <w:rPr>
                <w:rFonts w:ascii="宋体" w:hAnsi="宋体"/>
                <w:szCs w:val="21"/>
              </w:rPr>
            </w:pPr>
          </w:p>
        </w:tc>
        <w:tc>
          <w:tcPr>
            <w:tcW w:w="991" w:type="dxa"/>
          </w:tcPr>
          <w:p w14:paraId="6E9E7448">
            <w:pPr>
              <w:spacing w:line="440" w:lineRule="exact"/>
              <w:jc w:val="center"/>
              <w:rPr>
                <w:rFonts w:ascii="宋体" w:hAnsi="宋体"/>
                <w:szCs w:val="21"/>
              </w:rPr>
            </w:pPr>
          </w:p>
        </w:tc>
        <w:tc>
          <w:tcPr>
            <w:tcW w:w="672" w:type="dxa"/>
          </w:tcPr>
          <w:p w14:paraId="4A710F5E">
            <w:pPr>
              <w:spacing w:line="440" w:lineRule="exact"/>
              <w:jc w:val="center"/>
              <w:rPr>
                <w:rFonts w:ascii="宋体" w:hAnsi="宋体"/>
                <w:szCs w:val="21"/>
              </w:rPr>
            </w:pPr>
          </w:p>
        </w:tc>
        <w:tc>
          <w:tcPr>
            <w:tcW w:w="738" w:type="dxa"/>
          </w:tcPr>
          <w:p w14:paraId="6051FE1E">
            <w:pPr>
              <w:spacing w:line="440" w:lineRule="exact"/>
              <w:jc w:val="center"/>
              <w:rPr>
                <w:rFonts w:ascii="宋体" w:hAnsi="宋体"/>
                <w:szCs w:val="21"/>
              </w:rPr>
            </w:pPr>
          </w:p>
        </w:tc>
        <w:tc>
          <w:tcPr>
            <w:tcW w:w="1653" w:type="dxa"/>
          </w:tcPr>
          <w:p w14:paraId="3561FE40">
            <w:pPr>
              <w:spacing w:line="440" w:lineRule="exact"/>
              <w:jc w:val="center"/>
              <w:rPr>
                <w:rFonts w:ascii="宋体" w:hAnsi="宋体"/>
                <w:szCs w:val="21"/>
              </w:rPr>
            </w:pPr>
          </w:p>
        </w:tc>
        <w:tc>
          <w:tcPr>
            <w:tcW w:w="688" w:type="dxa"/>
          </w:tcPr>
          <w:p w14:paraId="22AC8E31">
            <w:pPr>
              <w:spacing w:line="440" w:lineRule="exact"/>
              <w:jc w:val="center"/>
              <w:rPr>
                <w:rFonts w:ascii="宋体" w:hAnsi="宋体"/>
                <w:szCs w:val="21"/>
              </w:rPr>
            </w:pPr>
          </w:p>
        </w:tc>
      </w:tr>
      <w:tr w14:paraId="75FAC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4C13B0DD">
            <w:pPr>
              <w:spacing w:line="440" w:lineRule="exact"/>
              <w:jc w:val="center"/>
              <w:rPr>
                <w:rFonts w:ascii="宋体" w:hAnsi="宋体"/>
                <w:szCs w:val="21"/>
              </w:rPr>
            </w:pPr>
          </w:p>
        </w:tc>
        <w:tc>
          <w:tcPr>
            <w:tcW w:w="1087" w:type="dxa"/>
          </w:tcPr>
          <w:p w14:paraId="7AC2D36F">
            <w:pPr>
              <w:spacing w:line="440" w:lineRule="exact"/>
              <w:jc w:val="center"/>
              <w:rPr>
                <w:rFonts w:ascii="宋体" w:hAnsi="宋体"/>
                <w:szCs w:val="21"/>
              </w:rPr>
            </w:pPr>
          </w:p>
        </w:tc>
        <w:tc>
          <w:tcPr>
            <w:tcW w:w="760" w:type="dxa"/>
          </w:tcPr>
          <w:p w14:paraId="35FC3D30">
            <w:pPr>
              <w:spacing w:line="440" w:lineRule="exact"/>
              <w:jc w:val="center"/>
              <w:rPr>
                <w:rFonts w:ascii="宋体" w:hAnsi="宋体"/>
                <w:szCs w:val="21"/>
              </w:rPr>
            </w:pPr>
          </w:p>
        </w:tc>
        <w:tc>
          <w:tcPr>
            <w:tcW w:w="991" w:type="dxa"/>
          </w:tcPr>
          <w:p w14:paraId="52F152F8">
            <w:pPr>
              <w:spacing w:line="440" w:lineRule="exact"/>
              <w:jc w:val="center"/>
              <w:rPr>
                <w:rFonts w:ascii="宋体" w:hAnsi="宋体"/>
                <w:szCs w:val="21"/>
              </w:rPr>
            </w:pPr>
          </w:p>
        </w:tc>
        <w:tc>
          <w:tcPr>
            <w:tcW w:w="672" w:type="dxa"/>
          </w:tcPr>
          <w:p w14:paraId="74A36CC4">
            <w:pPr>
              <w:spacing w:line="440" w:lineRule="exact"/>
              <w:jc w:val="center"/>
              <w:rPr>
                <w:rFonts w:ascii="宋体" w:hAnsi="宋体"/>
                <w:szCs w:val="21"/>
              </w:rPr>
            </w:pPr>
          </w:p>
        </w:tc>
        <w:tc>
          <w:tcPr>
            <w:tcW w:w="738" w:type="dxa"/>
          </w:tcPr>
          <w:p w14:paraId="0BFC3F00">
            <w:pPr>
              <w:spacing w:line="440" w:lineRule="exact"/>
              <w:jc w:val="center"/>
              <w:rPr>
                <w:rFonts w:ascii="宋体" w:hAnsi="宋体"/>
                <w:szCs w:val="21"/>
              </w:rPr>
            </w:pPr>
          </w:p>
        </w:tc>
        <w:tc>
          <w:tcPr>
            <w:tcW w:w="1653" w:type="dxa"/>
          </w:tcPr>
          <w:p w14:paraId="21F8818A">
            <w:pPr>
              <w:spacing w:line="440" w:lineRule="exact"/>
              <w:jc w:val="center"/>
              <w:rPr>
                <w:rFonts w:ascii="宋体" w:hAnsi="宋体"/>
                <w:szCs w:val="21"/>
              </w:rPr>
            </w:pPr>
          </w:p>
        </w:tc>
        <w:tc>
          <w:tcPr>
            <w:tcW w:w="688" w:type="dxa"/>
          </w:tcPr>
          <w:p w14:paraId="0A96F890">
            <w:pPr>
              <w:spacing w:line="440" w:lineRule="exact"/>
              <w:jc w:val="center"/>
              <w:rPr>
                <w:rFonts w:ascii="宋体" w:hAnsi="宋体"/>
                <w:szCs w:val="21"/>
              </w:rPr>
            </w:pPr>
          </w:p>
        </w:tc>
      </w:tr>
      <w:tr w14:paraId="05114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5343F680">
            <w:pPr>
              <w:spacing w:line="440" w:lineRule="exact"/>
              <w:jc w:val="center"/>
              <w:rPr>
                <w:rFonts w:ascii="宋体" w:hAnsi="宋体"/>
                <w:szCs w:val="21"/>
              </w:rPr>
            </w:pPr>
          </w:p>
        </w:tc>
        <w:tc>
          <w:tcPr>
            <w:tcW w:w="1087" w:type="dxa"/>
          </w:tcPr>
          <w:p w14:paraId="5107017D">
            <w:pPr>
              <w:spacing w:line="440" w:lineRule="exact"/>
              <w:jc w:val="center"/>
              <w:rPr>
                <w:rFonts w:ascii="宋体" w:hAnsi="宋体"/>
                <w:szCs w:val="21"/>
              </w:rPr>
            </w:pPr>
          </w:p>
        </w:tc>
        <w:tc>
          <w:tcPr>
            <w:tcW w:w="760" w:type="dxa"/>
          </w:tcPr>
          <w:p w14:paraId="2156AFDB">
            <w:pPr>
              <w:spacing w:line="440" w:lineRule="exact"/>
              <w:jc w:val="center"/>
              <w:rPr>
                <w:rFonts w:ascii="宋体" w:hAnsi="宋体"/>
                <w:szCs w:val="21"/>
              </w:rPr>
            </w:pPr>
          </w:p>
        </w:tc>
        <w:tc>
          <w:tcPr>
            <w:tcW w:w="991" w:type="dxa"/>
          </w:tcPr>
          <w:p w14:paraId="70A13047">
            <w:pPr>
              <w:spacing w:line="440" w:lineRule="exact"/>
              <w:jc w:val="center"/>
              <w:rPr>
                <w:rFonts w:ascii="宋体" w:hAnsi="宋体"/>
                <w:szCs w:val="21"/>
              </w:rPr>
            </w:pPr>
          </w:p>
        </w:tc>
        <w:tc>
          <w:tcPr>
            <w:tcW w:w="672" w:type="dxa"/>
          </w:tcPr>
          <w:p w14:paraId="605B1601">
            <w:pPr>
              <w:spacing w:line="440" w:lineRule="exact"/>
              <w:jc w:val="center"/>
              <w:rPr>
                <w:rFonts w:ascii="宋体" w:hAnsi="宋体"/>
                <w:szCs w:val="21"/>
              </w:rPr>
            </w:pPr>
          </w:p>
        </w:tc>
        <w:tc>
          <w:tcPr>
            <w:tcW w:w="738" w:type="dxa"/>
          </w:tcPr>
          <w:p w14:paraId="0E5A7DD9">
            <w:pPr>
              <w:spacing w:line="440" w:lineRule="exact"/>
              <w:jc w:val="center"/>
              <w:rPr>
                <w:rFonts w:ascii="宋体" w:hAnsi="宋体"/>
                <w:szCs w:val="21"/>
              </w:rPr>
            </w:pPr>
          </w:p>
        </w:tc>
        <w:tc>
          <w:tcPr>
            <w:tcW w:w="1653" w:type="dxa"/>
          </w:tcPr>
          <w:p w14:paraId="7A646268">
            <w:pPr>
              <w:spacing w:line="440" w:lineRule="exact"/>
              <w:jc w:val="center"/>
              <w:rPr>
                <w:rFonts w:ascii="宋体" w:hAnsi="宋体"/>
                <w:szCs w:val="21"/>
              </w:rPr>
            </w:pPr>
          </w:p>
        </w:tc>
        <w:tc>
          <w:tcPr>
            <w:tcW w:w="688" w:type="dxa"/>
          </w:tcPr>
          <w:p w14:paraId="3A6F3AF5">
            <w:pPr>
              <w:spacing w:line="440" w:lineRule="exact"/>
              <w:jc w:val="center"/>
              <w:rPr>
                <w:rFonts w:ascii="宋体" w:hAnsi="宋体"/>
                <w:szCs w:val="21"/>
              </w:rPr>
            </w:pPr>
          </w:p>
        </w:tc>
      </w:tr>
      <w:tr w14:paraId="04825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2B1A5151">
            <w:pPr>
              <w:spacing w:line="440" w:lineRule="exact"/>
              <w:jc w:val="center"/>
              <w:rPr>
                <w:rFonts w:ascii="宋体" w:hAnsi="宋体"/>
                <w:szCs w:val="21"/>
              </w:rPr>
            </w:pPr>
          </w:p>
        </w:tc>
        <w:tc>
          <w:tcPr>
            <w:tcW w:w="1087" w:type="dxa"/>
          </w:tcPr>
          <w:p w14:paraId="1F61083D">
            <w:pPr>
              <w:spacing w:line="440" w:lineRule="exact"/>
              <w:jc w:val="center"/>
              <w:rPr>
                <w:rFonts w:ascii="宋体" w:hAnsi="宋体"/>
                <w:szCs w:val="21"/>
              </w:rPr>
            </w:pPr>
          </w:p>
        </w:tc>
        <w:tc>
          <w:tcPr>
            <w:tcW w:w="760" w:type="dxa"/>
          </w:tcPr>
          <w:p w14:paraId="532E7D7D">
            <w:pPr>
              <w:spacing w:line="440" w:lineRule="exact"/>
              <w:jc w:val="center"/>
              <w:rPr>
                <w:rFonts w:ascii="宋体" w:hAnsi="宋体"/>
                <w:szCs w:val="21"/>
              </w:rPr>
            </w:pPr>
          </w:p>
        </w:tc>
        <w:tc>
          <w:tcPr>
            <w:tcW w:w="991" w:type="dxa"/>
          </w:tcPr>
          <w:p w14:paraId="0AC47A09">
            <w:pPr>
              <w:spacing w:line="440" w:lineRule="exact"/>
              <w:jc w:val="center"/>
              <w:rPr>
                <w:rFonts w:ascii="宋体" w:hAnsi="宋体"/>
                <w:szCs w:val="21"/>
              </w:rPr>
            </w:pPr>
          </w:p>
        </w:tc>
        <w:tc>
          <w:tcPr>
            <w:tcW w:w="672" w:type="dxa"/>
          </w:tcPr>
          <w:p w14:paraId="039AABAD">
            <w:pPr>
              <w:spacing w:line="440" w:lineRule="exact"/>
              <w:jc w:val="center"/>
              <w:rPr>
                <w:rFonts w:ascii="宋体" w:hAnsi="宋体"/>
                <w:szCs w:val="21"/>
              </w:rPr>
            </w:pPr>
          </w:p>
        </w:tc>
        <w:tc>
          <w:tcPr>
            <w:tcW w:w="738" w:type="dxa"/>
          </w:tcPr>
          <w:p w14:paraId="75AE3A56">
            <w:pPr>
              <w:spacing w:line="440" w:lineRule="exact"/>
              <w:jc w:val="center"/>
              <w:rPr>
                <w:rFonts w:ascii="宋体" w:hAnsi="宋体"/>
                <w:szCs w:val="21"/>
              </w:rPr>
            </w:pPr>
          </w:p>
        </w:tc>
        <w:tc>
          <w:tcPr>
            <w:tcW w:w="1653" w:type="dxa"/>
          </w:tcPr>
          <w:p w14:paraId="13B72EDE">
            <w:pPr>
              <w:spacing w:line="440" w:lineRule="exact"/>
              <w:jc w:val="center"/>
              <w:rPr>
                <w:rFonts w:ascii="宋体" w:hAnsi="宋体"/>
                <w:szCs w:val="21"/>
              </w:rPr>
            </w:pPr>
          </w:p>
        </w:tc>
        <w:tc>
          <w:tcPr>
            <w:tcW w:w="688" w:type="dxa"/>
          </w:tcPr>
          <w:p w14:paraId="07686B5D">
            <w:pPr>
              <w:spacing w:line="440" w:lineRule="exact"/>
              <w:jc w:val="center"/>
              <w:rPr>
                <w:rFonts w:ascii="宋体" w:hAnsi="宋体"/>
                <w:szCs w:val="21"/>
              </w:rPr>
            </w:pPr>
          </w:p>
        </w:tc>
      </w:tr>
      <w:tr w14:paraId="0959D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3DEAAE75">
            <w:pPr>
              <w:spacing w:line="440" w:lineRule="exact"/>
              <w:jc w:val="center"/>
              <w:rPr>
                <w:rFonts w:ascii="宋体" w:hAnsi="宋体"/>
                <w:szCs w:val="21"/>
              </w:rPr>
            </w:pPr>
          </w:p>
        </w:tc>
        <w:tc>
          <w:tcPr>
            <w:tcW w:w="1087" w:type="dxa"/>
          </w:tcPr>
          <w:p w14:paraId="3286042C">
            <w:pPr>
              <w:spacing w:line="440" w:lineRule="exact"/>
              <w:jc w:val="center"/>
              <w:rPr>
                <w:rFonts w:ascii="宋体" w:hAnsi="宋体"/>
                <w:szCs w:val="21"/>
              </w:rPr>
            </w:pPr>
          </w:p>
        </w:tc>
        <w:tc>
          <w:tcPr>
            <w:tcW w:w="760" w:type="dxa"/>
          </w:tcPr>
          <w:p w14:paraId="2FC14444">
            <w:pPr>
              <w:spacing w:line="440" w:lineRule="exact"/>
              <w:jc w:val="center"/>
              <w:rPr>
                <w:rFonts w:ascii="宋体" w:hAnsi="宋体"/>
                <w:szCs w:val="21"/>
              </w:rPr>
            </w:pPr>
          </w:p>
        </w:tc>
        <w:tc>
          <w:tcPr>
            <w:tcW w:w="991" w:type="dxa"/>
          </w:tcPr>
          <w:p w14:paraId="1E3AAF51">
            <w:pPr>
              <w:spacing w:line="440" w:lineRule="exact"/>
              <w:jc w:val="center"/>
              <w:rPr>
                <w:rFonts w:ascii="宋体" w:hAnsi="宋体"/>
                <w:szCs w:val="21"/>
              </w:rPr>
            </w:pPr>
          </w:p>
        </w:tc>
        <w:tc>
          <w:tcPr>
            <w:tcW w:w="672" w:type="dxa"/>
          </w:tcPr>
          <w:p w14:paraId="051D3AFA">
            <w:pPr>
              <w:spacing w:line="440" w:lineRule="exact"/>
              <w:jc w:val="center"/>
              <w:rPr>
                <w:rFonts w:ascii="宋体" w:hAnsi="宋体"/>
                <w:szCs w:val="21"/>
              </w:rPr>
            </w:pPr>
          </w:p>
        </w:tc>
        <w:tc>
          <w:tcPr>
            <w:tcW w:w="738" w:type="dxa"/>
          </w:tcPr>
          <w:p w14:paraId="0A560353">
            <w:pPr>
              <w:spacing w:line="440" w:lineRule="exact"/>
              <w:jc w:val="center"/>
              <w:rPr>
                <w:rFonts w:ascii="宋体" w:hAnsi="宋体"/>
                <w:szCs w:val="21"/>
              </w:rPr>
            </w:pPr>
          </w:p>
        </w:tc>
        <w:tc>
          <w:tcPr>
            <w:tcW w:w="1653" w:type="dxa"/>
          </w:tcPr>
          <w:p w14:paraId="26D89FDB">
            <w:pPr>
              <w:spacing w:line="440" w:lineRule="exact"/>
              <w:jc w:val="center"/>
              <w:rPr>
                <w:rFonts w:ascii="宋体" w:hAnsi="宋体"/>
                <w:szCs w:val="21"/>
              </w:rPr>
            </w:pPr>
          </w:p>
        </w:tc>
        <w:tc>
          <w:tcPr>
            <w:tcW w:w="688" w:type="dxa"/>
          </w:tcPr>
          <w:p w14:paraId="39F435B7">
            <w:pPr>
              <w:spacing w:line="440" w:lineRule="exact"/>
              <w:jc w:val="center"/>
              <w:rPr>
                <w:rFonts w:ascii="宋体" w:hAnsi="宋体"/>
                <w:szCs w:val="21"/>
              </w:rPr>
            </w:pPr>
          </w:p>
        </w:tc>
      </w:tr>
      <w:tr w14:paraId="3F25F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2BFCF589">
            <w:pPr>
              <w:spacing w:line="440" w:lineRule="exact"/>
              <w:jc w:val="center"/>
              <w:rPr>
                <w:rFonts w:ascii="宋体" w:hAnsi="宋体"/>
                <w:szCs w:val="21"/>
              </w:rPr>
            </w:pPr>
          </w:p>
        </w:tc>
        <w:tc>
          <w:tcPr>
            <w:tcW w:w="1087" w:type="dxa"/>
          </w:tcPr>
          <w:p w14:paraId="2B99C2B4">
            <w:pPr>
              <w:spacing w:line="440" w:lineRule="exact"/>
              <w:jc w:val="center"/>
              <w:rPr>
                <w:rFonts w:ascii="宋体" w:hAnsi="宋体"/>
                <w:szCs w:val="21"/>
              </w:rPr>
            </w:pPr>
          </w:p>
        </w:tc>
        <w:tc>
          <w:tcPr>
            <w:tcW w:w="760" w:type="dxa"/>
          </w:tcPr>
          <w:p w14:paraId="7475455E">
            <w:pPr>
              <w:spacing w:line="440" w:lineRule="exact"/>
              <w:jc w:val="center"/>
              <w:rPr>
                <w:rFonts w:ascii="宋体" w:hAnsi="宋体"/>
                <w:szCs w:val="21"/>
              </w:rPr>
            </w:pPr>
          </w:p>
        </w:tc>
        <w:tc>
          <w:tcPr>
            <w:tcW w:w="991" w:type="dxa"/>
          </w:tcPr>
          <w:p w14:paraId="793A43BB">
            <w:pPr>
              <w:spacing w:line="440" w:lineRule="exact"/>
              <w:jc w:val="center"/>
              <w:rPr>
                <w:rFonts w:ascii="宋体" w:hAnsi="宋体"/>
                <w:szCs w:val="21"/>
              </w:rPr>
            </w:pPr>
          </w:p>
        </w:tc>
        <w:tc>
          <w:tcPr>
            <w:tcW w:w="672" w:type="dxa"/>
          </w:tcPr>
          <w:p w14:paraId="14BD44BB">
            <w:pPr>
              <w:spacing w:line="440" w:lineRule="exact"/>
              <w:jc w:val="center"/>
              <w:rPr>
                <w:rFonts w:ascii="宋体" w:hAnsi="宋体"/>
                <w:szCs w:val="21"/>
              </w:rPr>
            </w:pPr>
          </w:p>
        </w:tc>
        <w:tc>
          <w:tcPr>
            <w:tcW w:w="738" w:type="dxa"/>
          </w:tcPr>
          <w:p w14:paraId="00E7368E">
            <w:pPr>
              <w:spacing w:line="440" w:lineRule="exact"/>
              <w:jc w:val="center"/>
              <w:rPr>
                <w:rFonts w:ascii="宋体" w:hAnsi="宋体"/>
                <w:szCs w:val="21"/>
              </w:rPr>
            </w:pPr>
          </w:p>
        </w:tc>
        <w:tc>
          <w:tcPr>
            <w:tcW w:w="1653" w:type="dxa"/>
          </w:tcPr>
          <w:p w14:paraId="1D8BD125">
            <w:pPr>
              <w:spacing w:line="440" w:lineRule="exact"/>
              <w:jc w:val="center"/>
              <w:rPr>
                <w:rFonts w:ascii="宋体" w:hAnsi="宋体"/>
                <w:szCs w:val="21"/>
              </w:rPr>
            </w:pPr>
          </w:p>
        </w:tc>
        <w:tc>
          <w:tcPr>
            <w:tcW w:w="688" w:type="dxa"/>
          </w:tcPr>
          <w:p w14:paraId="40258165">
            <w:pPr>
              <w:spacing w:line="440" w:lineRule="exact"/>
              <w:jc w:val="center"/>
              <w:rPr>
                <w:rFonts w:ascii="宋体" w:hAnsi="宋体"/>
                <w:szCs w:val="21"/>
              </w:rPr>
            </w:pPr>
          </w:p>
        </w:tc>
      </w:tr>
      <w:tr w14:paraId="52799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66" w:type="dxa"/>
          </w:tcPr>
          <w:p w14:paraId="2C6B8652">
            <w:pPr>
              <w:spacing w:line="440" w:lineRule="exact"/>
              <w:jc w:val="center"/>
              <w:rPr>
                <w:rFonts w:ascii="宋体" w:hAnsi="宋体"/>
                <w:szCs w:val="21"/>
              </w:rPr>
            </w:pPr>
          </w:p>
        </w:tc>
        <w:tc>
          <w:tcPr>
            <w:tcW w:w="1087" w:type="dxa"/>
          </w:tcPr>
          <w:p w14:paraId="03DA7DED">
            <w:pPr>
              <w:spacing w:line="440" w:lineRule="exact"/>
              <w:jc w:val="center"/>
              <w:rPr>
                <w:rFonts w:ascii="宋体" w:hAnsi="宋体"/>
                <w:szCs w:val="21"/>
              </w:rPr>
            </w:pPr>
          </w:p>
        </w:tc>
        <w:tc>
          <w:tcPr>
            <w:tcW w:w="760" w:type="dxa"/>
          </w:tcPr>
          <w:p w14:paraId="273E0E5C">
            <w:pPr>
              <w:spacing w:line="440" w:lineRule="exact"/>
              <w:jc w:val="center"/>
              <w:rPr>
                <w:rFonts w:ascii="宋体" w:hAnsi="宋体"/>
                <w:szCs w:val="21"/>
              </w:rPr>
            </w:pPr>
          </w:p>
        </w:tc>
        <w:tc>
          <w:tcPr>
            <w:tcW w:w="991" w:type="dxa"/>
          </w:tcPr>
          <w:p w14:paraId="1242EF89">
            <w:pPr>
              <w:spacing w:line="440" w:lineRule="exact"/>
              <w:jc w:val="center"/>
              <w:rPr>
                <w:rFonts w:ascii="宋体" w:hAnsi="宋体"/>
                <w:szCs w:val="21"/>
              </w:rPr>
            </w:pPr>
          </w:p>
        </w:tc>
        <w:tc>
          <w:tcPr>
            <w:tcW w:w="672" w:type="dxa"/>
          </w:tcPr>
          <w:p w14:paraId="27EB1130">
            <w:pPr>
              <w:spacing w:line="440" w:lineRule="exact"/>
              <w:jc w:val="center"/>
              <w:rPr>
                <w:rFonts w:ascii="宋体" w:hAnsi="宋体"/>
                <w:szCs w:val="21"/>
              </w:rPr>
            </w:pPr>
          </w:p>
        </w:tc>
        <w:tc>
          <w:tcPr>
            <w:tcW w:w="738" w:type="dxa"/>
          </w:tcPr>
          <w:p w14:paraId="68FA5337">
            <w:pPr>
              <w:spacing w:line="440" w:lineRule="exact"/>
              <w:jc w:val="center"/>
              <w:rPr>
                <w:rFonts w:ascii="宋体" w:hAnsi="宋体"/>
                <w:szCs w:val="21"/>
              </w:rPr>
            </w:pPr>
          </w:p>
        </w:tc>
        <w:tc>
          <w:tcPr>
            <w:tcW w:w="1653" w:type="dxa"/>
          </w:tcPr>
          <w:p w14:paraId="3833EE4A">
            <w:pPr>
              <w:spacing w:line="440" w:lineRule="exact"/>
              <w:jc w:val="center"/>
              <w:rPr>
                <w:rFonts w:ascii="宋体" w:hAnsi="宋体"/>
                <w:szCs w:val="21"/>
              </w:rPr>
            </w:pPr>
          </w:p>
        </w:tc>
        <w:tc>
          <w:tcPr>
            <w:tcW w:w="688" w:type="dxa"/>
          </w:tcPr>
          <w:p w14:paraId="697A0B46">
            <w:pPr>
              <w:spacing w:line="440" w:lineRule="exact"/>
              <w:jc w:val="center"/>
              <w:rPr>
                <w:rFonts w:ascii="宋体" w:hAnsi="宋体"/>
                <w:szCs w:val="21"/>
              </w:rPr>
            </w:pPr>
          </w:p>
        </w:tc>
      </w:tr>
      <w:tr w14:paraId="6E36B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49ABEDBC">
            <w:pPr>
              <w:spacing w:line="440" w:lineRule="exact"/>
              <w:jc w:val="center"/>
              <w:rPr>
                <w:rFonts w:ascii="宋体" w:hAnsi="宋体"/>
                <w:szCs w:val="21"/>
              </w:rPr>
            </w:pPr>
          </w:p>
        </w:tc>
        <w:tc>
          <w:tcPr>
            <w:tcW w:w="1087" w:type="dxa"/>
          </w:tcPr>
          <w:p w14:paraId="174B21AB">
            <w:pPr>
              <w:spacing w:line="440" w:lineRule="exact"/>
              <w:jc w:val="center"/>
              <w:rPr>
                <w:rFonts w:ascii="宋体" w:hAnsi="宋体"/>
                <w:szCs w:val="21"/>
              </w:rPr>
            </w:pPr>
          </w:p>
        </w:tc>
        <w:tc>
          <w:tcPr>
            <w:tcW w:w="760" w:type="dxa"/>
          </w:tcPr>
          <w:p w14:paraId="557B5719">
            <w:pPr>
              <w:spacing w:line="440" w:lineRule="exact"/>
              <w:jc w:val="center"/>
              <w:rPr>
                <w:rFonts w:ascii="宋体" w:hAnsi="宋体"/>
                <w:szCs w:val="21"/>
              </w:rPr>
            </w:pPr>
          </w:p>
        </w:tc>
        <w:tc>
          <w:tcPr>
            <w:tcW w:w="991" w:type="dxa"/>
          </w:tcPr>
          <w:p w14:paraId="29EF64CC">
            <w:pPr>
              <w:spacing w:line="440" w:lineRule="exact"/>
              <w:jc w:val="center"/>
              <w:rPr>
                <w:rFonts w:ascii="宋体" w:hAnsi="宋体"/>
                <w:szCs w:val="21"/>
              </w:rPr>
            </w:pPr>
          </w:p>
        </w:tc>
        <w:tc>
          <w:tcPr>
            <w:tcW w:w="672" w:type="dxa"/>
          </w:tcPr>
          <w:p w14:paraId="380B946A">
            <w:pPr>
              <w:spacing w:line="440" w:lineRule="exact"/>
              <w:jc w:val="center"/>
              <w:rPr>
                <w:rFonts w:ascii="宋体" w:hAnsi="宋体"/>
                <w:szCs w:val="21"/>
              </w:rPr>
            </w:pPr>
          </w:p>
        </w:tc>
        <w:tc>
          <w:tcPr>
            <w:tcW w:w="738" w:type="dxa"/>
          </w:tcPr>
          <w:p w14:paraId="24CA2DF1">
            <w:pPr>
              <w:spacing w:line="440" w:lineRule="exact"/>
              <w:jc w:val="center"/>
              <w:rPr>
                <w:rFonts w:ascii="宋体" w:hAnsi="宋体"/>
                <w:szCs w:val="21"/>
              </w:rPr>
            </w:pPr>
          </w:p>
        </w:tc>
        <w:tc>
          <w:tcPr>
            <w:tcW w:w="1653" w:type="dxa"/>
          </w:tcPr>
          <w:p w14:paraId="02EF7C21">
            <w:pPr>
              <w:spacing w:line="440" w:lineRule="exact"/>
              <w:jc w:val="center"/>
              <w:rPr>
                <w:rFonts w:ascii="宋体" w:hAnsi="宋体"/>
                <w:szCs w:val="21"/>
              </w:rPr>
            </w:pPr>
          </w:p>
        </w:tc>
        <w:tc>
          <w:tcPr>
            <w:tcW w:w="688" w:type="dxa"/>
          </w:tcPr>
          <w:p w14:paraId="38EDFB65">
            <w:pPr>
              <w:spacing w:line="440" w:lineRule="exact"/>
              <w:jc w:val="center"/>
              <w:rPr>
                <w:rFonts w:ascii="宋体" w:hAnsi="宋体"/>
                <w:szCs w:val="21"/>
              </w:rPr>
            </w:pPr>
          </w:p>
        </w:tc>
      </w:tr>
      <w:tr w14:paraId="7A4A7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06DB52B1">
            <w:pPr>
              <w:spacing w:line="440" w:lineRule="exact"/>
              <w:jc w:val="center"/>
              <w:rPr>
                <w:rFonts w:ascii="宋体" w:hAnsi="宋体"/>
                <w:szCs w:val="21"/>
              </w:rPr>
            </w:pPr>
          </w:p>
        </w:tc>
        <w:tc>
          <w:tcPr>
            <w:tcW w:w="1087" w:type="dxa"/>
          </w:tcPr>
          <w:p w14:paraId="747CBC89">
            <w:pPr>
              <w:spacing w:line="440" w:lineRule="exact"/>
              <w:jc w:val="center"/>
              <w:rPr>
                <w:rFonts w:ascii="宋体" w:hAnsi="宋体"/>
                <w:szCs w:val="21"/>
              </w:rPr>
            </w:pPr>
          </w:p>
        </w:tc>
        <w:tc>
          <w:tcPr>
            <w:tcW w:w="760" w:type="dxa"/>
          </w:tcPr>
          <w:p w14:paraId="5DCDF2E7">
            <w:pPr>
              <w:spacing w:line="440" w:lineRule="exact"/>
              <w:jc w:val="center"/>
              <w:rPr>
                <w:rFonts w:ascii="宋体" w:hAnsi="宋体"/>
                <w:szCs w:val="21"/>
              </w:rPr>
            </w:pPr>
          </w:p>
        </w:tc>
        <w:tc>
          <w:tcPr>
            <w:tcW w:w="991" w:type="dxa"/>
          </w:tcPr>
          <w:p w14:paraId="0C3A3401">
            <w:pPr>
              <w:spacing w:line="440" w:lineRule="exact"/>
              <w:jc w:val="center"/>
              <w:rPr>
                <w:rFonts w:ascii="宋体" w:hAnsi="宋体"/>
                <w:szCs w:val="21"/>
              </w:rPr>
            </w:pPr>
          </w:p>
        </w:tc>
        <w:tc>
          <w:tcPr>
            <w:tcW w:w="672" w:type="dxa"/>
          </w:tcPr>
          <w:p w14:paraId="3227B6A2">
            <w:pPr>
              <w:spacing w:line="440" w:lineRule="exact"/>
              <w:jc w:val="center"/>
              <w:rPr>
                <w:rFonts w:ascii="宋体" w:hAnsi="宋体"/>
                <w:szCs w:val="21"/>
              </w:rPr>
            </w:pPr>
          </w:p>
        </w:tc>
        <w:tc>
          <w:tcPr>
            <w:tcW w:w="738" w:type="dxa"/>
          </w:tcPr>
          <w:p w14:paraId="5447E8F7">
            <w:pPr>
              <w:spacing w:line="440" w:lineRule="exact"/>
              <w:jc w:val="center"/>
              <w:rPr>
                <w:rFonts w:ascii="宋体" w:hAnsi="宋体"/>
                <w:szCs w:val="21"/>
              </w:rPr>
            </w:pPr>
          </w:p>
        </w:tc>
        <w:tc>
          <w:tcPr>
            <w:tcW w:w="1653" w:type="dxa"/>
          </w:tcPr>
          <w:p w14:paraId="11C18477">
            <w:pPr>
              <w:spacing w:line="440" w:lineRule="exact"/>
              <w:jc w:val="center"/>
              <w:rPr>
                <w:rFonts w:ascii="宋体" w:hAnsi="宋体"/>
                <w:szCs w:val="21"/>
              </w:rPr>
            </w:pPr>
          </w:p>
        </w:tc>
        <w:tc>
          <w:tcPr>
            <w:tcW w:w="688" w:type="dxa"/>
          </w:tcPr>
          <w:p w14:paraId="626A4F1A">
            <w:pPr>
              <w:spacing w:line="440" w:lineRule="exact"/>
              <w:jc w:val="center"/>
              <w:rPr>
                <w:rFonts w:ascii="宋体" w:hAnsi="宋体"/>
                <w:szCs w:val="21"/>
              </w:rPr>
            </w:pPr>
          </w:p>
        </w:tc>
      </w:tr>
      <w:tr w14:paraId="74C15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243575FC">
            <w:pPr>
              <w:spacing w:line="440" w:lineRule="exact"/>
              <w:jc w:val="center"/>
              <w:rPr>
                <w:rFonts w:ascii="宋体" w:hAnsi="宋体"/>
                <w:szCs w:val="21"/>
              </w:rPr>
            </w:pPr>
          </w:p>
        </w:tc>
        <w:tc>
          <w:tcPr>
            <w:tcW w:w="1087" w:type="dxa"/>
          </w:tcPr>
          <w:p w14:paraId="22189FAE">
            <w:pPr>
              <w:spacing w:line="440" w:lineRule="exact"/>
              <w:jc w:val="center"/>
              <w:rPr>
                <w:rFonts w:ascii="宋体" w:hAnsi="宋体"/>
                <w:szCs w:val="21"/>
              </w:rPr>
            </w:pPr>
          </w:p>
        </w:tc>
        <w:tc>
          <w:tcPr>
            <w:tcW w:w="760" w:type="dxa"/>
          </w:tcPr>
          <w:p w14:paraId="4E923E8D">
            <w:pPr>
              <w:spacing w:line="440" w:lineRule="exact"/>
              <w:jc w:val="center"/>
              <w:rPr>
                <w:rFonts w:ascii="宋体" w:hAnsi="宋体"/>
                <w:szCs w:val="21"/>
              </w:rPr>
            </w:pPr>
          </w:p>
        </w:tc>
        <w:tc>
          <w:tcPr>
            <w:tcW w:w="991" w:type="dxa"/>
          </w:tcPr>
          <w:p w14:paraId="299B37E2">
            <w:pPr>
              <w:spacing w:line="440" w:lineRule="exact"/>
              <w:jc w:val="center"/>
              <w:rPr>
                <w:rFonts w:ascii="宋体" w:hAnsi="宋体"/>
                <w:szCs w:val="21"/>
              </w:rPr>
            </w:pPr>
          </w:p>
        </w:tc>
        <w:tc>
          <w:tcPr>
            <w:tcW w:w="672" w:type="dxa"/>
          </w:tcPr>
          <w:p w14:paraId="18B9A36D">
            <w:pPr>
              <w:spacing w:line="440" w:lineRule="exact"/>
              <w:jc w:val="center"/>
              <w:rPr>
                <w:rFonts w:ascii="宋体" w:hAnsi="宋体"/>
                <w:szCs w:val="21"/>
              </w:rPr>
            </w:pPr>
          </w:p>
        </w:tc>
        <w:tc>
          <w:tcPr>
            <w:tcW w:w="738" w:type="dxa"/>
          </w:tcPr>
          <w:p w14:paraId="3B48F4CD">
            <w:pPr>
              <w:spacing w:line="440" w:lineRule="exact"/>
              <w:jc w:val="center"/>
              <w:rPr>
                <w:rFonts w:ascii="宋体" w:hAnsi="宋体"/>
                <w:szCs w:val="21"/>
              </w:rPr>
            </w:pPr>
          </w:p>
        </w:tc>
        <w:tc>
          <w:tcPr>
            <w:tcW w:w="1653" w:type="dxa"/>
          </w:tcPr>
          <w:p w14:paraId="5BF47E6F">
            <w:pPr>
              <w:spacing w:line="440" w:lineRule="exact"/>
              <w:jc w:val="center"/>
              <w:rPr>
                <w:rFonts w:ascii="宋体" w:hAnsi="宋体"/>
                <w:szCs w:val="21"/>
              </w:rPr>
            </w:pPr>
          </w:p>
        </w:tc>
        <w:tc>
          <w:tcPr>
            <w:tcW w:w="688" w:type="dxa"/>
          </w:tcPr>
          <w:p w14:paraId="4B8DBA8C">
            <w:pPr>
              <w:spacing w:line="440" w:lineRule="exact"/>
              <w:jc w:val="center"/>
              <w:rPr>
                <w:rFonts w:ascii="宋体" w:hAnsi="宋体"/>
                <w:szCs w:val="21"/>
              </w:rPr>
            </w:pPr>
          </w:p>
        </w:tc>
      </w:tr>
      <w:tr w14:paraId="27C09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175DCBF8">
            <w:pPr>
              <w:spacing w:line="440" w:lineRule="exact"/>
              <w:jc w:val="center"/>
              <w:rPr>
                <w:rFonts w:ascii="宋体" w:hAnsi="宋体"/>
                <w:szCs w:val="21"/>
              </w:rPr>
            </w:pPr>
          </w:p>
        </w:tc>
        <w:tc>
          <w:tcPr>
            <w:tcW w:w="1087" w:type="dxa"/>
          </w:tcPr>
          <w:p w14:paraId="547568C7">
            <w:pPr>
              <w:spacing w:line="440" w:lineRule="exact"/>
              <w:jc w:val="center"/>
              <w:rPr>
                <w:rFonts w:ascii="宋体" w:hAnsi="宋体"/>
                <w:szCs w:val="21"/>
              </w:rPr>
            </w:pPr>
          </w:p>
        </w:tc>
        <w:tc>
          <w:tcPr>
            <w:tcW w:w="760" w:type="dxa"/>
          </w:tcPr>
          <w:p w14:paraId="1EB5E097">
            <w:pPr>
              <w:spacing w:line="440" w:lineRule="exact"/>
              <w:jc w:val="center"/>
              <w:rPr>
                <w:rFonts w:ascii="宋体" w:hAnsi="宋体"/>
                <w:szCs w:val="21"/>
              </w:rPr>
            </w:pPr>
          </w:p>
        </w:tc>
        <w:tc>
          <w:tcPr>
            <w:tcW w:w="991" w:type="dxa"/>
          </w:tcPr>
          <w:p w14:paraId="4D907306">
            <w:pPr>
              <w:spacing w:line="440" w:lineRule="exact"/>
              <w:jc w:val="center"/>
              <w:rPr>
                <w:rFonts w:ascii="宋体" w:hAnsi="宋体"/>
                <w:szCs w:val="21"/>
              </w:rPr>
            </w:pPr>
          </w:p>
        </w:tc>
        <w:tc>
          <w:tcPr>
            <w:tcW w:w="672" w:type="dxa"/>
          </w:tcPr>
          <w:p w14:paraId="5D19AD75">
            <w:pPr>
              <w:spacing w:line="440" w:lineRule="exact"/>
              <w:jc w:val="center"/>
              <w:rPr>
                <w:rFonts w:ascii="宋体" w:hAnsi="宋体"/>
                <w:szCs w:val="21"/>
              </w:rPr>
            </w:pPr>
          </w:p>
        </w:tc>
        <w:tc>
          <w:tcPr>
            <w:tcW w:w="738" w:type="dxa"/>
          </w:tcPr>
          <w:p w14:paraId="37FDEE90">
            <w:pPr>
              <w:spacing w:line="440" w:lineRule="exact"/>
              <w:jc w:val="center"/>
              <w:rPr>
                <w:rFonts w:ascii="宋体" w:hAnsi="宋体"/>
                <w:szCs w:val="21"/>
              </w:rPr>
            </w:pPr>
          </w:p>
        </w:tc>
        <w:tc>
          <w:tcPr>
            <w:tcW w:w="1653" w:type="dxa"/>
          </w:tcPr>
          <w:p w14:paraId="1E755C51">
            <w:pPr>
              <w:spacing w:line="440" w:lineRule="exact"/>
              <w:jc w:val="center"/>
              <w:rPr>
                <w:rFonts w:ascii="宋体" w:hAnsi="宋体"/>
                <w:szCs w:val="21"/>
              </w:rPr>
            </w:pPr>
          </w:p>
        </w:tc>
        <w:tc>
          <w:tcPr>
            <w:tcW w:w="688" w:type="dxa"/>
          </w:tcPr>
          <w:p w14:paraId="30C78209">
            <w:pPr>
              <w:spacing w:line="440" w:lineRule="exact"/>
              <w:jc w:val="center"/>
              <w:rPr>
                <w:rFonts w:ascii="宋体" w:hAnsi="宋体"/>
                <w:szCs w:val="21"/>
              </w:rPr>
            </w:pPr>
          </w:p>
        </w:tc>
      </w:tr>
      <w:tr w14:paraId="3BC60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149E0DA3">
            <w:pPr>
              <w:spacing w:line="440" w:lineRule="exact"/>
              <w:jc w:val="center"/>
              <w:rPr>
                <w:rFonts w:ascii="宋体" w:hAnsi="宋体"/>
                <w:szCs w:val="21"/>
              </w:rPr>
            </w:pPr>
          </w:p>
        </w:tc>
        <w:tc>
          <w:tcPr>
            <w:tcW w:w="1087" w:type="dxa"/>
          </w:tcPr>
          <w:p w14:paraId="0C63434C">
            <w:pPr>
              <w:spacing w:line="440" w:lineRule="exact"/>
              <w:jc w:val="center"/>
              <w:rPr>
                <w:rFonts w:ascii="宋体" w:hAnsi="宋体"/>
                <w:szCs w:val="21"/>
              </w:rPr>
            </w:pPr>
          </w:p>
        </w:tc>
        <w:tc>
          <w:tcPr>
            <w:tcW w:w="760" w:type="dxa"/>
          </w:tcPr>
          <w:p w14:paraId="3B744CA0">
            <w:pPr>
              <w:spacing w:line="440" w:lineRule="exact"/>
              <w:jc w:val="center"/>
              <w:rPr>
                <w:rFonts w:ascii="宋体" w:hAnsi="宋体"/>
                <w:szCs w:val="21"/>
              </w:rPr>
            </w:pPr>
          </w:p>
        </w:tc>
        <w:tc>
          <w:tcPr>
            <w:tcW w:w="991" w:type="dxa"/>
          </w:tcPr>
          <w:p w14:paraId="32555449">
            <w:pPr>
              <w:spacing w:line="440" w:lineRule="exact"/>
              <w:jc w:val="center"/>
              <w:rPr>
                <w:rFonts w:ascii="宋体" w:hAnsi="宋体"/>
                <w:szCs w:val="21"/>
              </w:rPr>
            </w:pPr>
          </w:p>
        </w:tc>
        <w:tc>
          <w:tcPr>
            <w:tcW w:w="672" w:type="dxa"/>
          </w:tcPr>
          <w:p w14:paraId="674C14C3">
            <w:pPr>
              <w:spacing w:line="440" w:lineRule="exact"/>
              <w:jc w:val="center"/>
              <w:rPr>
                <w:rFonts w:ascii="宋体" w:hAnsi="宋体"/>
                <w:szCs w:val="21"/>
              </w:rPr>
            </w:pPr>
          </w:p>
        </w:tc>
        <w:tc>
          <w:tcPr>
            <w:tcW w:w="738" w:type="dxa"/>
          </w:tcPr>
          <w:p w14:paraId="2E2106F0">
            <w:pPr>
              <w:spacing w:line="440" w:lineRule="exact"/>
              <w:jc w:val="center"/>
              <w:rPr>
                <w:rFonts w:ascii="宋体" w:hAnsi="宋体"/>
                <w:szCs w:val="21"/>
              </w:rPr>
            </w:pPr>
          </w:p>
        </w:tc>
        <w:tc>
          <w:tcPr>
            <w:tcW w:w="1653" w:type="dxa"/>
          </w:tcPr>
          <w:p w14:paraId="68C58B05">
            <w:pPr>
              <w:spacing w:line="440" w:lineRule="exact"/>
              <w:jc w:val="center"/>
              <w:rPr>
                <w:rFonts w:ascii="宋体" w:hAnsi="宋体"/>
                <w:szCs w:val="21"/>
              </w:rPr>
            </w:pPr>
          </w:p>
        </w:tc>
        <w:tc>
          <w:tcPr>
            <w:tcW w:w="688" w:type="dxa"/>
          </w:tcPr>
          <w:p w14:paraId="4EEFABD8">
            <w:pPr>
              <w:spacing w:line="440" w:lineRule="exact"/>
              <w:jc w:val="center"/>
              <w:rPr>
                <w:rFonts w:ascii="宋体" w:hAnsi="宋体"/>
                <w:szCs w:val="21"/>
              </w:rPr>
            </w:pPr>
          </w:p>
        </w:tc>
      </w:tr>
      <w:tr w14:paraId="01A36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1C133CB4">
            <w:pPr>
              <w:spacing w:line="440" w:lineRule="exact"/>
              <w:jc w:val="center"/>
              <w:rPr>
                <w:rFonts w:ascii="宋体" w:hAnsi="宋体"/>
                <w:szCs w:val="21"/>
              </w:rPr>
            </w:pPr>
          </w:p>
        </w:tc>
        <w:tc>
          <w:tcPr>
            <w:tcW w:w="1087" w:type="dxa"/>
          </w:tcPr>
          <w:p w14:paraId="5B2E3DD0">
            <w:pPr>
              <w:spacing w:line="440" w:lineRule="exact"/>
              <w:jc w:val="center"/>
              <w:rPr>
                <w:rFonts w:ascii="宋体" w:hAnsi="宋体"/>
                <w:szCs w:val="21"/>
              </w:rPr>
            </w:pPr>
          </w:p>
        </w:tc>
        <w:tc>
          <w:tcPr>
            <w:tcW w:w="760" w:type="dxa"/>
          </w:tcPr>
          <w:p w14:paraId="50AA024E">
            <w:pPr>
              <w:spacing w:line="440" w:lineRule="exact"/>
              <w:jc w:val="center"/>
              <w:rPr>
                <w:rFonts w:ascii="宋体" w:hAnsi="宋体"/>
                <w:szCs w:val="21"/>
              </w:rPr>
            </w:pPr>
          </w:p>
        </w:tc>
        <w:tc>
          <w:tcPr>
            <w:tcW w:w="991" w:type="dxa"/>
          </w:tcPr>
          <w:p w14:paraId="40491144">
            <w:pPr>
              <w:spacing w:line="440" w:lineRule="exact"/>
              <w:jc w:val="center"/>
              <w:rPr>
                <w:rFonts w:ascii="宋体" w:hAnsi="宋体"/>
                <w:szCs w:val="21"/>
              </w:rPr>
            </w:pPr>
          </w:p>
        </w:tc>
        <w:tc>
          <w:tcPr>
            <w:tcW w:w="672" w:type="dxa"/>
          </w:tcPr>
          <w:p w14:paraId="62B7D57E">
            <w:pPr>
              <w:spacing w:line="440" w:lineRule="exact"/>
              <w:jc w:val="center"/>
              <w:rPr>
                <w:rFonts w:ascii="宋体" w:hAnsi="宋体"/>
                <w:szCs w:val="21"/>
              </w:rPr>
            </w:pPr>
          </w:p>
        </w:tc>
        <w:tc>
          <w:tcPr>
            <w:tcW w:w="738" w:type="dxa"/>
          </w:tcPr>
          <w:p w14:paraId="4F934C9B">
            <w:pPr>
              <w:spacing w:line="440" w:lineRule="exact"/>
              <w:jc w:val="center"/>
              <w:rPr>
                <w:rFonts w:ascii="宋体" w:hAnsi="宋体"/>
                <w:szCs w:val="21"/>
              </w:rPr>
            </w:pPr>
          </w:p>
        </w:tc>
        <w:tc>
          <w:tcPr>
            <w:tcW w:w="1653" w:type="dxa"/>
          </w:tcPr>
          <w:p w14:paraId="5207D53D">
            <w:pPr>
              <w:spacing w:line="440" w:lineRule="exact"/>
              <w:jc w:val="center"/>
              <w:rPr>
                <w:rFonts w:ascii="宋体" w:hAnsi="宋体"/>
                <w:szCs w:val="21"/>
              </w:rPr>
            </w:pPr>
          </w:p>
        </w:tc>
        <w:tc>
          <w:tcPr>
            <w:tcW w:w="688" w:type="dxa"/>
          </w:tcPr>
          <w:p w14:paraId="7E2BB7DF">
            <w:pPr>
              <w:spacing w:line="440" w:lineRule="exact"/>
              <w:jc w:val="center"/>
              <w:rPr>
                <w:rFonts w:ascii="宋体" w:hAnsi="宋体"/>
                <w:szCs w:val="21"/>
              </w:rPr>
            </w:pPr>
          </w:p>
        </w:tc>
      </w:tr>
      <w:tr w14:paraId="67EB4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6C3AB7CB">
            <w:pPr>
              <w:spacing w:line="440" w:lineRule="exact"/>
              <w:jc w:val="center"/>
              <w:rPr>
                <w:rFonts w:ascii="宋体" w:hAnsi="宋体"/>
                <w:szCs w:val="21"/>
              </w:rPr>
            </w:pPr>
          </w:p>
        </w:tc>
        <w:tc>
          <w:tcPr>
            <w:tcW w:w="1087" w:type="dxa"/>
          </w:tcPr>
          <w:p w14:paraId="4787D7F9">
            <w:pPr>
              <w:spacing w:line="440" w:lineRule="exact"/>
              <w:jc w:val="center"/>
              <w:rPr>
                <w:rFonts w:ascii="宋体" w:hAnsi="宋体"/>
                <w:szCs w:val="21"/>
              </w:rPr>
            </w:pPr>
          </w:p>
        </w:tc>
        <w:tc>
          <w:tcPr>
            <w:tcW w:w="760" w:type="dxa"/>
          </w:tcPr>
          <w:p w14:paraId="503CA1AE">
            <w:pPr>
              <w:spacing w:line="440" w:lineRule="exact"/>
              <w:jc w:val="center"/>
              <w:rPr>
                <w:rFonts w:ascii="宋体" w:hAnsi="宋体"/>
                <w:szCs w:val="21"/>
              </w:rPr>
            </w:pPr>
          </w:p>
        </w:tc>
        <w:tc>
          <w:tcPr>
            <w:tcW w:w="991" w:type="dxa"/>
          </w:tcPr>
          <w:p w14:paraId="701024A3">
            <w:pPr>
              <w:spacing w:line="440" w:lineRule="exact"/>
              <w:jc w:val="center"/>
              <w:rPr>
                <w:rFonts w:ascii="宋体" w:hAnsi="宋体"/>
                <w:szCs w:val="21"/>
              </w:rPr>
            </w:pPr>
          </w:p>
        </w:tc>
        <w:tc>
          <w:tcPr>
            <w:tcW w:w="672" w:type="dxa"/>
          </w:tcPr>
          <w:p w14:paraId="1FDF1C7E">
            <w:pPr>
              <w:spacing w:line="440" w:lineRule="exact"/>
              <w:jc w:val="center"/>
              <w:rPr>
                <w:rFonts w:ascii="宋体" w:hAnsi="宋体"/>
                <w:szCs w:val="21"/>
              </w:rPr>
            </w:pPr>
          </w:p>
        </w:tc>
        <w:tc>
          <w:tcPr>
            <w:tcW w:w="738" w:type="dxa"/>
          </w:tcPr>
          <w:p w14:paraId="38D9F8A1">
            <w:pPr>
              <w:spacing w:line="440" w:lineRule="exact"/>
              <w:jc w:val="center"/>
              <w:rPr>
                <w:rFonts w:ascii="宋体" w:hAnsi="宋体"/>
                <w:szCs w:val="21"/>
              </w:rPr>
            </w:pPr>
          </w:p>
        </w:tc>
        <w:tc>
          <w:tcPr>
            <w:tcW w:w="1653" w:type="dxa"/>
          </w:tcPr>
          <w:p w14:paraId="6309BDCD">
            <w:pPr>
              <w:spacing w:line="440" w:lineRule="exact"/>
              <w:jc w:val="center"/>
              <w:rPr>
                <w:rFonts w:ascii="宋体" w:hAnsi="宋体"/>
                <w:szCs w:val="21"/>
              </w:rPr>
            </w:pPr>
          </w:p>
        </w:tc>
        <w:tc>
          <w:tcPr>
            <w:tcW w:w="688" w:type="dxa"/>
          </w:tcPr>
          <w:p w14:paraId="0D918E70">
            <w:pPr>
              <w:spacing w:line="440" w:lineRule="exact"/>
              <w:jc w:val="center"/>
              <w:rPr>
                <w:rFonts w:ascii="宋体" w:hAnsi="宋体"/>
                <w:szCs w:val="21"/>
              </w:rPr>
            </w:pPr>
          </w:p>
        </w:tc>
      </w:tr>
      <w:tr w14:paraId="3830D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6DE479B1">
            <w:pPr>
              <w:spacing w:line="440" w:lineRule="exact"/>
              <w:jc w:val="center"/>
              <w:rPr>
                <w:rFonts w:ascii="宋体" w:hAnsi="宋体"/>
                <w:szCs w:val="21"/>
              </w:rPr>
            </w:pPr>
          </w:p>
        </w:tc>
        <w:tc>
          <w:tcPr>
            <w:tcW w:w="1087" w:type="dxa"/>
          </w:tcPr>
          <w:p w14:paraId="6095CC11">
            <w:pPr>
              <w:spacing w:line="440" w:lineRule="exact"/>
              <w:jc w:val="center"/>
              <w:rPr>
                <w:rFonts w:ascii="宋体" w:hAnsi="宋体"/>
                <w:szCs w:val="21"/>
              </w:rPr>
            </w:pPr>
          </w:p>
        </w:tc>
        <w:tc>
          <w:tcPr>
            <w:tcW w:w="760" w:type="dxa"/>
          </w:tcPr>
          <w:p w14:paraId="41F150B5">
            <w:pPr>
              <w:spacing w:line="440" w:lineRule="exact"/>
              <w:jc w:val="center"/>
              <w:rPr>
                <w:rFonts w:ascii="宋体" w:hAnsi="宋体"/>
                <w:szCs w:val="21"/>
              </w:rPr>
            </w:pPr>
          </w:p>
        </w:tc>
        <w:tc>
          <w:tcPr>
            <w:tcW w:w="991" w:type="dxa"/>
          </w:tcPr>
          <w:p w14:paraId="7DB9AE74">
            <w:pPr>
              <w:spacing w:line="440" w:lineRule="exact"/>
              <w:jc w:val="center"/>
              <w:rPr>
                <w:rFonts w:ascii="宋体" w:hAnsi="宋体"/>
                <w:szCs w:val="21"/>
              </w:rPr>
            </w:pPr>
          </w:p>
        </w:tc>
        <w:tc>
          <w:tcPr>
            <w:tcW w:w="672" w:type="dxa"/>
          </w:tcPr>
          <w:p w14:paraId="6281F791">
            <w:pPr>
              <w:spacing w:line="440" w:lineRule="exact"/>
              <w:jc w:val="center"/>
              <w:rPr>
                <w:rFonts w:ascii="宋体" w:hAnsi="宋体"/>
                <w:szCs w:val="21"/>
              </w:rPr>
            </w:pPr>
          </w:p>
        </w:tc>
        <w:tc>
          <w:tcPr>
            <w:tcW w:w="738" w:type="dxa"/>
          </w:tcPr>
          <w:p w14:paraId="53920F44">
            <w:pPr>
              <w:spacing w:line="440" w:lineRule="exact"/>
              <w:jc w:val="center"/>
              <w:rPr>
                <w:rFonts w:ascii="宋体" w:hAnsi="宋体"/>
                <w:szCs w:val="21"/>
              </w:rPr>
            </w:pPr>
          </w:p>
        </w:tc>
        <w:tc>
          <w:tcPr>
            <w:tcW w:w="1653" w:type="dxa"/>
          </w:tcPr>
          <w:p w14:paraId="296D559E">
            <w:pPr>
              <w:spacing w:line="440" w:lineRule="exact"/>
              <w:jc w:val="center"/>
              <w:rPr>
                <w:rFonts w:ascii="宋体" w:hAnsi="宋体"/>
                <w:szCs w:val="21"/>
              </w:rPr>
            </w:pPr>
          </w:p>
        </w:tc>
        <w:tc>
          <w:tcPr>
            <w:tcW w:w="688" w:type="dxa"/>
          </w:tcPr>
          <w:p w14:paraId="018E60A7">
            <w:pPr>
              <w:spacing w:line="440" w:lineRule="exact"/>
              <w:jc w:val="center"/>
              <w:rPr>
                <w:rFonts w:ascii="宋体" w:hAnsi="宋体"/>
                <w:szCs w:val="21"/>
              </w:rPr>
            </w:pPr>
          </w:p>
        </w:tc>
      </w:tr>
      <w:tr w14:paraId="3D22D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23A231C9">
            <w:pPr>
              <w:spacing w:line="440" w:lineRule="exact"/>
              <w:jc w:val="center"/>
              <w:rPr>
                <w:rFonts w:ascii="宋体" w:hAnsi="宋体"/>
                <w:szCs w:val="21"/>
              </w:rPr>
            </w:pPr>
          </w:p>
        </w:tc>
        <w:tc>
          <w:tcPr>
            <w:tcW w:w="1087" w:type="dxa"/>
          </w:tcPr>
          <w:p w14:paraId="7B918043">
            <w:pPr>
              <w:spacing w:line="440" w:lineRule="exact"/>
              <w:jc w:val="center"/>
              <w:rPr>
                <w:rFonts w:ascii="宋体" w:hAnsi="宋体"/>
                <w:szCs w:val="21"/>
              </w:rPr>
            </w:pPr>
          </w:p>
        </w:tc>
        <w:tc>
          <w:tcPr>
            <w:tcW w:w="760" w:type="dxa"/>
          </w:tcPr>
          <w:p w14:paraId="2D3AA8B7">
            <w:pPr>
              <w:spacing w:line="440" w:lineRule="exact"/>
              <w:jc w:val="center"/>
              <w:rPr>
                <w:rFonts w:ascii="宋体" w:hAnsi="宋体"/>
                <w:szCs w:val="21"/>
              </w:rPr>
            </w:pPr>
          </w:p>
        </w:tc>
        <w:tc>
          <w:tcPr>
            <w:tcW w:w="991" w:type="dxa"/>
          </w:tcPr>
          <w:p w14:paraId="5B535957">
            <w:pPr>
              <w:spacing w:line="440" w:lineRule="exact"/>
              <w:jc w:val="center"/>
              <w:rPr>
                <w:rFonts w:ascii="宋体" w:hAnsi="宋体"/>
                <w:szCs w:val="21"/>
              </w:rPr>
            </w:pPr>
          </w:p>
        </w:tc>
        <w:tc>
          <w:tcPr>
            <w:tcW w:w="672" w:type="dxa"/>
          </w:tcPr>
          <w:p w14:paraId="42E0EA0C">
            <w:pPr>
              <w:spacing w:line="440" w:lineRule="exact"/>
              <w:jc w:val="center"/>
              <w:rPr>
                <w:rFonts w:ascii="宋体" w:hAnsi="宋体"/>
                <w:szCs w:val="21"/>
              </w:rPr>
            </w:pPr>
          </w:p>
        </w:tc>
        <w:tc>
          <w:tcPr>
            <w:tcW w:w="738" w:type="dxa"/>
          </w:tcPr>
          <w:p w14:paraId="344FFBA3">
            <w:pPr>
              <w:spacing w:line="440" w:lineRule="exact"/>
              <w:jc w:val="center"/>
              <w:rPr>
                <w:rFonts w:ascii="宋体" w:hAnsi="宋体"/>
                <w:szCs w:val="21"/>
              </w:rPr>
            </w:pPr>
          </w:p>
        </w:tc>
        <w:tc>
          <w:tcPr>
            <w:tcW w:w="1653" w:type="dxa"/>
          </w:tcPr>
          <w:p w14:paraId="551008DF">
            <w:pPr>
              <w:spacing w:line="440" w:lineRule="exact"/>
              <w:jc w:val="center"/>
              <w:rPr>
                <w:rFonts w:ascii="宋体" w:hAnsi="宋体"/>
                <w:szCs w:val="21"/>
              </w:rPr>
            </w:pPr>
          </w:p>
        </w:tc>
        <w:tc>
          <w:tcPr>
            <w:tcW w:w="688" w:type="dxa"/>
          </w:tcPr>
          <w:p w14:paraId="058EA21C">
            <w:pPr>
              <w:spacing w:line="440" w:lineRule="exact"/>
              <w:jc w:val="center"/>
              <w:rPr>
                <w:rFonts w:ascii="宋体" w:hAnsi="宋体"/>
                <w:szCs w:val="21"/>
              </w:rPr>
            </w:pPr>
          </w:p>
        </w:tc>
      </w:tr>
      <w:tr w14:paraId="32236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5BE62F64">
            <w:pPr>
              <w:spacing w:line="440" w:lineRule="exact"/>
              <w:jc w:val="center"/>
              <w:rPr>
                <w:rFonts w:ascii="宋体" w:hAnsi="宋体"/>
                <w:szCs w:val="21"/>
              </w:rPr>
            </w:pPr>
          </w:p>
        </w:tc>
        <w:tc>
          <w:tcPr>
            <w:tcW w:w="1087" w:type="dxa"/>
          </w:tcPr>
          <w:p w14:paraId="4FA383DA">
            <w:pPr>
              <w:spacing w:line="440" w:lineRule="exact"/>
              <w:jc w:val="center"/>
              <w:rPr>
                <w:rFonts w:ascii="宋体" w:hAnsi="宋体"/>
                <w:szCs w:val="21"/>
              </w:rPr>
            </w:pPr>
          </w:p>
        </w:tc>
        <w:tc>
          <w:tcPr>
            <w:tcW w:w="760" w:type="dxa"/>
          </w:tcPr>
          <w:p w14:paraId="0DF556F4">
            <w:pPr>
              <w:spacing w:line="440" w:lineRule="exact"/>
              <w:jc w:val="center"/>
              <w:rPr>
                <w:rFonts w:ascii="宋体" w:hAnsi="宋体"/>
                <w:szCs w:val="21"/>
              </w:rPr>
            </w:pPr>
          </w:p>
        </w:tc>
        <w:tc>
          <w:tcPr>
            <w:tcW w:w="991" w:type="dxa"/>
          </w:tcPr>
          <w:p w14:paraId="79F3F647">
            <w:pPr>
              <w:spacing w:line="440" w:lineRule="exact"/>
              <w:jc w:val="center"/>
              <w:rPr>
                <w:rFonts w:ascii="宋体" w:hAnsi="宋体"/>
                <w:szCs w:val="21"/>
              </w:rPr>
            </w:pPr>
          </w:p>
        </w:tc>
        <w:tc>
          <w:tcPr>
            <w:tcW w:w="672" w:type="dxa"/>
          </w:tcPr>
          <w:p w14:paraId="07DB2EAC">
            <w:pPr>
              <w:spacing w:line="440" w:lineRule="exact"/>
              <w:jc w:val="center"/>
              <w:rPr>
                <w:rFonts w:ascii="宋体" w:hAnsi="宋体"/>
                <w:szCs w:val="21"/>
              </w:rPr>
            </w:pPr>
          </w:p>
        </w:tc>
        <w:tc>
          <w:tcPr>
            <w:tcW w:w="738" w:type="dxa"/>
          </w:tcPr>
          <w:p w14:paraId="55867240">
            <w:pPr>
              <w:spacing w:line="440" w:lineRule="exact"/>
              <w:jc w:val="center"/>
              <w:rPr>
                <w:rFonts w:ascii="宋体" w:hAnsi="宋体"/>
                <w:szCs w:val="21"/>
              </w:rPr>
            </w:pPr>
          </w:p>
        </w:tc>
        <w:tc>
          <w:tcPr>
            <w:tcW w:w="1653" w:type="dxa"/>
          </w:tcPr>
          <w:p w14:paraId="663D7120">
            <w:pPr>
              <w:spacing w:line="440" w:lineRule="exact"/>
              <w:jc w:val="center"/>
              <w:rPr>
                <w:rFonts w:ascii="宋体" w:hAnsi="宋体"/>
                <w:szCs w:val="21"/>
              </w:rPr>
            </w:pPr>
          </w:p>
        </w:tc>
        <w:tc>
          <w:tcPr>
            <w:tcW w:w="688" w:type="dxa"/>
          </w:tcPr>
          <w:p w14:paraId="16A8A43E">
            <w:pPr>
              <w:spacing w:line="440" w:lineRule="exact"/>
              <w:jc w:val="center"/>
              <w:rPr>
                <w:rFonts w:ascii="宋体" w:hAnsi="宋体"/>
                <w:szCs w:val="21"/>
              </w:rPr>
            </w:pPr>
          </w:p>
        </w:tc>
      </w:tr>
      <w:tr w14:paraId="164A8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679A3C93">
            <w:pPr>
              <w:spacing w:line="440" w:lineRule="exact"/>
              <w:jc w:val="center"/>
              <w:rPr>
                <w:rFonts w:ascii="宋体" w:hAnsi="宋体"/>
                <w:szCs w:val="21"/>
              </w:rPr>
            </w:pPr>
          </w:p>
        </w:tc>
        <w:tc>
          <w:tcPr>
            <w:tcW w:w="1087" w:type="dxa"/>
          </w:tcPr>
          <w:p w14:paraId="698EF987">
            <w:pPr>
              <w:spacing w:line="440" w:lineRule="exact"/>
              <w:jc w:val="center"/>
              <w:rPr>
                <w:rFonts w:ascii="宋体" w:hAnsi="宋体"/>
                <w:szCs w:val="21"/>
              </w:rPr>
            </w:pPr>
          </w:p>
        </w:tc>
        <w:tc>
          <w:tcPr>
            <w:tcW w:w="760" w:type="dxa"/>
          </w:tcPr>
          <w:p w14:paraId="68D4A7F4">
            <w:pPr>
              <w:spacing w:line="440" w:lineRule="exact"/>
              <w:jc w:val="center"/>
              <w:rPr>
                <w:rFonts w:ascii="宋体" w:hAnsi="宋体"/>
                <w:szCs w:val="21"/>
              </w:rPr>
            </w:pPr>
          </w:p>
        </w:tc>
        <w:tc>
          <w:tcPr>
            <w:tcW w:w="991" w:type="dxa"/>
          </w:tcPr>
          <w:p w14:paraId="57CA3905">
            <w:pPr>
              <w:spacing w:line="440" w:lineRule="exact"/>
              <w:jc w:val="center"/>
              <w:rPr>
                <w:rFonts w:ascii="宋体" w:hAnsi="宋体"/>
                <w:szCs w:val="21"/>
              </w:rPr>
            </w:pPr>
          </w:p>
        </w:tc>
        <w:tc>
          <w:tcPr>
            <w:tcW w:w="672" w:type="dxa"/>
          </w:tcPr>
          <w:p w14:paraId="2251438A">
            <w:pPr>
              <w:spacing w:line="440" w:lineRule="exact"/>
              <w:jc w:val="center"/>
              <w:rPr>
                <w:rFonts w:ascii="宋体" w:hAnsi="宋体"/>
                <w:szCs w:val="21"/>
              </w:rPr>
            </w:pPr>
          </w:p>
        </w:tc>
        <w:tc>
          <w:tcPr>
            <w:tcW w:w="738" w:type="dxa"/>
          </w:tcPr>
          <w:p w14:paraId="41328675">
            <w:pPr>
              <w:spacing w:line="440" w:lineRule="exact"/>
              <w:jc w:val="center"/>
              <w:rPr>
                <w:rFonts w:ascii="宋体" w:hAnsi="宋体"/>
                <w:szCs w:val="21"/>
              </w:rPr>
            </w:pPr>
          </w:p>
        </w:tc>
        <w:tc>
          <w:tcPr>
            <w:tcW w:w="1653" w:type="dxa"/>
          </w:tcPr>
          <w:p w14:paraId="60A71F65">
            <w:pPr>
              <w:spacing w:line="440" w:lineRule="exact"/>
              <w:jc w:val="center"/>
              <w:rPr>
                <w:rFonts w:ascii="宋体" w:hAnsi="宋体"/>
                <w:szCs w:val="21"/>
              </w:rPr>
            </w:pPr>
          </w:p>
        </w:tc>
        <w:tc>
          <w:tcPr>
            <w:tcW w:w="688" w:type="dxa"/>
          </w:tcPr>
          <w:p w14:paraId="024EE91D">
            <w:pPr>
              <w:spacing w:line="440" w:lineRule="exact"/>
              <w:jc w:val="center"/>
              <w:rPr>
                <w:rFonts w:ascii="宋体" w:hAnsi="宋体"/>
                <w:szCs w:val="21"/>
              </w:rPr>
            </w:pPr>
          </w:p>
        </w:tc>
      </w:tr>
      <w:tr w14:paraId="50C4A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3E4200D4">
            <w:pPr>
              <w:spacing w:line="440" w:lineRule="exact"/>
              <w:jc w:val="center"/>
              <w:rPr>
                <w:rFonts w:ascii="宋体" w:hAnsi="宋体"/>
                <w:szCs w:val="21"/>
              </w:rPr>
            </w:pPr>
          </w:p>
        </w:tc>
        <w:tc>
          <w:tcPr>
            <w:tcW w:w="1087" w:type="dxa"/>
          </w:tcPr>
          <w:p w14:paraId="74FC4BC2">
            <w:pPr>
              <w:spacing w:line="440" w:lineRule="exact"/>
              <w:jc w:val="center"/>
              <w:rPr>
                <w:rFonts w:ascii="宋体" w:hAnsi="宋体"/>
                <w:szCs w:val="21"/>
              </w:rPr>
            </w:pPr>
          </w:p>
        </w:tc>
        <w:tc>
          <w:tcPr>
            <w:tcW w:w="760" w:type="dxa"/>
          </w:tcPr>
          <w:p w14:paraId="3D74EA8E">
            <w:pPr>
              <w:spacing w:line="440" w:lineRule="exact"/>
              <w:jc w:val="center"/>
              <w:rPr>
                <w:rFonts w:ascii="宋体" w:hAnsi="宋体"/>
                <w:szCs w:val="21"/>
              </w:rPr>
            </w:pPr>
          </w:p>
        </w:tc>
        <w:tc>
          <w:tcPr>
            <w:tcW w:w="991" w:type="dxa"/>
          </w:tcPr>
          <w:p w14:paraId="3ADBA204">
            <w:pPr>
              <w:spacing w:line="440" w:lineRule="exact"/>
              <w:jc w:val="center"/>
              <w:rPr>
                <w:rFonts w:ascii="宋体" w:hAnsi="宋体"/>
                <w:szCs w:val="21"/>
              </w:rPr>
            </w:pPr>
          </w:p>
        </w:tc>
        <w:tc>
          <w:tcPr>
            <w:tcW w:w="672" w:type="dxa"/>
          </w:tcPr>
          <w:p w14:paraId="027A00FD">
            <w:pPr>
              <w:spacing w:line="440" w:lineRule="exact"/>
              <w:jc w:val="center"/>
              <w:rPr>
                <w:rFonts w:ascii="宋体" w:hAnsi="宋体"/>
                <w:szCs w:val="21"/>
              </w:rPr>
            </w:pPr>
          </w:p>
        </w:tc>
        <w:tc>
          <w:tcPr>
            <w:tcW w:w="738" w:type="dxa"/>
          </w:tcPr>
          <w:p w14:paraId="53E1CEF0">
            <w:pPr>
              <w:spacing w:line="440" w:lineRule="exact"/>
              <w:jc w:val="center"/>
              <w:rPr>
                <w:rFonts w:ascii="宋体" w:hAnsi="宋体"/>
                <w:szCs w:val="21"/>
              </w:rPr>
            </w:pPr>
          </w:p>
        </w:tc>
        <w:tc>
          <w:tcPr>
            <w:tcW w:w="1653" w:type="dxa"/>
          </w:tcPr>
          <w:p w14:paraId="52A54DCF">
            <w:pPr>
              <w:spacing w:line="440" w:lineRule="exact"/>
              <w:jc w:val="center"/>
              <w:rPr>
                <w:rFonts w:ascii="宋体" w:hAnsi="宋体"/>
                <w:szCs w:val="21"/>
              </w:rPr>
            </w:pPr>
          </w:p>
        </w:tc>
        <w:tc>
          <w:tcPr>
            <w:tcW w:w="688" w:type="dxa"/>
          </w:tcPr>
          <w:p w14:paraId="2A8ECB06">
            <w:pPr>
              <w:spacing w:line="440" w:lineRule="exact"/>
              <w:jc w:val="center"/>
              <w:rPr>
                <w:rFonts w:ascii="宋体" w:hAnsi="宋体"/>
                <w:szCs w:val="21"/>
              </w:rPr>
            </w:pPr>
          </w:p>
        </w:tc>
      </w:tr>
      <w:tr w14:paraId="0DAAC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5812A33C">
            <w:pPr>
              <w:spacing w:line="440" w:lineRule="exact"/>
              <w:jc w:val="center"/>
              <w:rPr>
                <w:rFonts w:ascii="宋体" w:hAnsi="宋体"/>
                <w:szCs w:val="21"/>
              </w:rPr>
            </w:pPr>
          </w:p>
        </w:tc>
        <w:tc>
          <w:tcPr>
            <w:tcW w:w="1087" w:type="dxa"/>
          </w:tcPr>
          <w:p w14:paraId="25BCD9FD">
            <w:pPr>
              <w:spacing w:line="440" w:lineRule="exact"/>
              <w:jc w:val="center"/>
              <w:rPr>
                <w:rFonts w:ascii="宋体" w:hAnsi="宋体"/>
                <w:szCs w:val="21"/>
              </w:rPr>
            </w:pPr>
          </w:p>
        </w:tc>
        <w:tc>
          <w:tcPr>
            <w:tcW w:w="760" w:type="dxa"/>
          </w:tcPr>
          <w:p w14:paraId="78D3E5ED">
            <w:pPr>
              <w:spacing w:line="440" w:lineRule="exact"/>
              <w:jc w:val="center"/>
              <w:rPr>
                <w:rFonts w:ascii="宋体" w:hAnsi="宋体"/>
                <w:szCs w:val="21"/>
              </w:rPr>
            </w:pPr>
          </w:p>
        </w:tc>
        <w:tc>
          <w:tcPr>
            <w:tcW w:w="991" w:type="dxa"/>
          </w:tcPr>
          <w:p w14:paraId="4B025E88">
            <w:pPr>
              <w:spacing w:line="440" w:lineRule="exact"/>
              <w:jc w:val="center"/>
              <w:rPr>
                <w:rFonts w:ascii="宋体" w:hAnsi="宋体"/>
                <w:szCs w:val="21"/>
              </w:rPr>
            </w:pPr>
          </w:p>
        </w:tc>
        <w:tc>
          <w:tcPr>
            <w:tcW w:w="672" w:type="dxa"/>
          </w:tcPr>
          <w:p w14:paraId="2A6A1D64">
            <w:pPr>
              <w:spacing w:line="440" w:lineRule="exact"/>
              <w:jc w:val="center"/>
              <w:rPr>
                <w:rFonts w:ascii="宋体" w:hAnsi="宋体"/>
                <w:szCs w:val="21"/>
              </w:rPr>
            </w:pPr>
          </w:p>
        </w:tc>
        <w:tc>
          <w:tcPr>
            <w:tcW w:w="738" w:type="dxa"/>
          </w:tcPr>
          <w:p w14:paraId="6625215D">
            <w:pPr>
              <w:spacing w:line="440" w:lineRule="exact"/>
              <w:jc w:val="center"/>
              <w:rPr>
                <w:rFonts w:ascii="宋体" w:hAnsi="宋体"/>
                <w:szCs w:val="21"/>
              </w:rPr>
            </w:pPr>
          </w:p>
        </w:tc>
        <w:tc>
          <w:tcPr>
            <w:tcW w:w="1653" w:type="dxa"/>
          </w:tcPr>
          <w:p w14:paraId="79EEADAA">
            <w:pPr>
              <w:spacing w:line="440" w:lineRule="exact"/>
              <w:jc w:val="center"/>
              <w:rPr>
                <w:rFonts w:ascii="宋体" w:hAnsi="宋体"/>
                <w:szCs w:val="21"/>
              </w:rPr>
            </w:pPr>
          </w:p>
        </w:tc>
        <w:tc>
          <w:tcPr>
            <w:tcW w:w="688" w:type="dxa"/>
          </w:tcPr>
          <w:p w14:paraId="42012D53">
            <w:pPr>
              <w:spacing w:line="440" w:lineRule="exact"/>
              <w:jc w:val="center"/>
              <w:rPr>
                <w:rFonts w:ascii="宋体" w:hAnsi="宋体"/>
                <w:szCs w:val="21"/>
              </w:rPr>
            </w:pPr>
          </w:p>
        </w:tc>
      </w:tr>
    </w:tbl>
    <w:p w14:paraId="0A640979">
      <w:pPr>
        <w:spacing w:line="440" w:lineRule="exact"/>
        <w:jc w:val="center"/>
        <w:rPr>
          <w:rFonts w:ascii="宋体" w:hAnsi="宋体"/>
        </w:rPr>
      </w:pPr>
      <w:bookmarkStart w:id="2382" w:name="_Toc152045804"/>
      <w:bookmarkStart w:id="2383" w:name="_Toc144974872"/>
      <w:bookmarkStart w:id="2384" w:name="_Toc152042593"/>
      <w:bookmarkStart w:id="2385" w:name="_Toc179632824"/>
    </w:p>
    <w:p w14:paraId="71534D7B">
      <w:pPr>
        <w:spacing w:line="440" w:lineRule="exact"/>
        <w:rPr>
          <w:rFonts w:ascii="宋体" w:hAnsi="宋体"/>
        </w:rPr>
      </w:pPr>
    </w:p>
    <w:p w14:paraId="3E5ACB44">
      <w:pPr>
        <w:spacing w:line="440" w:lineRule="exact"/>
        <w:rPr>
          <w:rFonts w:ascii="宋体" w:hAnsi="宋体"/>
        </w:rPr>
      </w:pPr>
    </w:p>
    <w:p w14:paraId="54BE5FA3">
      <w:pPr>
        <w:pStyle w:val="62"/>
        <w:rPr>
          <w:rFonts w:ascii="宋体" w:hAnsi="宋体"/>
        </w:rPr>
      </w:pPr>
    </w:p>
    <w:p w14:paraId="6552555E">
      <w:pPr>
        <w:rPr>
          <w:rFonts w:ascii="宋体" w:hAnsi="宋体"/>
        </w:rPr>
      </w:pPr>
    </w:p>
    <w:p w14:paraId="1A378EF0">
      <w:pPr>
        <w:rPr>
          <w:rFonts w:ascii="宋体" w:hAnsi="宋体"/>
        </w:rPr>
      </w:pPr>
    </w:p>
    <w:p w14:paraId="16B48598">
      <w:pPr>
        <w:pStyle w:val="6"/>
        <w:spacing w:before="157"/>
      </w:pPr>
      <w:r>
        <w:rPr>
          <w:rFonts w:hint="eastAsia"/>
        </w:rPr>
        <w:t>（六）</w:t>
      </w:r>
      <w:bookmarkStart w:id="2386" w:name="_Toc480918590"/>
      <w:bookmarkStart w:id="2387" w:name="_Toc480918822"/>
      <w:bookmarkStart w:id="2388" w:name="_Toc499310094"/>
      <w:bookmarkStart w:id="2389" w:name="_Toc474179244"/>
      <w:bookmarkStart w:id="2390" w:name="_Toc300835231"/>
      <w:bookmarkStart w:id="2391" w:name="_Toc474178539"/>
      <w:bookmarkStart w:id="2392" w:name="_Toc474179008"/>
      <w:bookmarkStart w:id="2393" w:name="_Toc451244255"/>
      <w:bookmarkStart w:id="2394" w:name="_Toc480918967"/>
      <w:bookmarkStart w:id="2395" w:name="_Toc499310664"/>
      <w:bookmarkStart w:id="2396" w:name="_Toc527485332"/>
      <w:r>
        <w:rPr>
          <w:rFonts w:hint="eastAsia"/>
        </w:rPr>
        <w:t>项目管理机构组成表</w:t>
      </w:r>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p>
    <w:tbl>
      <w:tblPr>
        <w:tblStyle w:val="73"/>
        <w:tblW w:w="9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0"/>
        <w:gridCol w:w="850"/>
        <w:gridCol w:w="723"/>
        <w:gridCol w:w="1276"/>
        <w:gridCol w:w="1275"/>
        <w:gridCol w:w="993"/>
        <w:gridCol w:w="850"/>
        <w:gridCol w:w="1072"/>
        <w:gridCol w:w="1196"/>
      </w:tblGrid>
      <w:tr w14:paraId="42410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1660" w:type="dxa"/>
            <w:vAlign w:val="center"/>
          </w:tcPr>
          <w:p w14:paraId="0D1D7A98">
            <w:pPr>
              <w:autoSpaceDE w:val="0"/>
              <w:autoSpaceDN w:val="0"/>
              <w:adjustRightInd w:val="0"/>
              <w:spacing w:line="360" w:lineRule="auto"/>
              <w:jc w:val="center"/>
              <w:rPr>
                <w:rFonts w:ascii="宋体" w:hAnsi="宋体"/>
                <w:kern w:val="0"/>
                <w:szCs w:val="21"/>
              </w:rPr>
            </w:pPr>
            <w:r>
              <w:rPr>
                <w:rFonts w:hint="eastAsia" w:ascii="宋体" w:hAnsi="宋体"/>
                <w:kern w:val="0"/>
                <w:szCs w:val="21"/>
              </w:rPr>
              <w:t>岗位</w:t>
            </w:r>
          </w:p>
        </w:tc>
        <w:tc>
          <w:tcPr>
            <w:tcW w:w="850" w:type="dxa"/>
            <w:vAlign w:val="center"/>
          </w:tcPr>
          <w:p w14:paraId="7FAB1536">
            <w:pPr>
              <w:autoSpaceDE w:val="0"/>
              <w:autoSpaceDN w:val="0"/>
              <w:adjustRightInd w:val="0"/>
              <w:spacing w:line="360" w:lineRule="auto"/>
              <w:jc w:val="center"/>
              <w:rPr>
                <w:rFonts w:ascii="宋体" w:hAnsi="宋体"/>
                <w:kern w:val="0"/>
                <w:szCs w:val="21"/>
              </w:rPr>
            </w:pPr>
            <w:r>
              <w:rPr>
                <w:rFonts w:hint="eastAsia" w:ascii="宋体" w:hAnsi="宋体"/>
                <w:kern w:val="0"/>
                <w:szCs w:val="21"/>
              </w:rPr>
              <w:t>姓名</w:t>
            </w:r>
          </w:p>
        </w:tc>
        <w:tc>
          <w:tcPr>
            <w:tcW w:w="723" w:type="dxa"/>
            <w:vAlign w:val="center"/>
          </w:tcPr>
          <w:p w14:paraId="31A39213">
            <w:pPr>
              <w:autoSpaceDE w:val="0"/>
              <w:autoSpaceDN w:val="0"/>
              <w:adjustRightInd w:val="0"/>
              <w:spacing w:line="360" w:lineRule="auto"/>
              <w:jc w:val="center"/>
              <w:rPr>
                <w:rFonts w:ascii="宋体" w:hAnsi="宋体"/>
                <w:kern w:val="0"/>
                <w:szCs w:val="21"/>
              </w:rPr>
            </w:pPr>
            <w:r>
              <w:rPr>
                <w:rFonts w:hint="eastAsia" w:ascii="宋体" w:hAnsi="宋体"/>
                <w:kern w:val="0"/>
                <w:szCs w:val="21"/>
              </w:rPr>
              <w:t>性别</w:t>
            </w:r>
          </w:p>
        </w:tc>
        <w:tc>
          <w:tcPr>
            <w:tcW w:w="1276" w:type="dxa"/>
            <w:vAlign w:val="center"/>
          </w:tcPr>
          <w:p w14:paraId="35826080">
            <w:pPr>
              <w:autoSpaceDE w:val="0"/>
              <w:autoSpaceDN w:val="0"/>
              <w:adjustRightInd w:val="0"/>
              <w:spacing w:line="360" w:lineRule="auto"/>
              <w:jc w:val="center"/>
              <w:rPr>
                <w:rFonts w:ascii="宋体" w:hAnsi="宋体"/>
                <w:kern w:val="0"/>
                <w:szCs w:val="21"/>
              </w:rPr>
            </w:pPr>
            <w:r>
              <w:rPr>
                <w:rFonts w:hint="eastAsia" w:ascii="宋体" w:hAnsi="宋体"/>
                <w:kern w:val="0"/>
                <w:szCs w:val="21"/>
              </w:rPr>
              <w:t>出生年月</w:t>
            </w:r>
          </w:p>
        </w:tc>
        <w:tc>
          <w:tcPr>
            <w:tcW w:w="1275" w:type="dxa"/>
            <w:vAlign w:val="center"/>
          </w:tcPr>
          <w:p w14:paraId="6EC6ED9E">
            <w:pPr>
              <w:autoSpaceDE w:val="0"/>
              <w:autoSpaceDN w:val="0"/>
              <w:adjustRightInd w:val="0"/>
              <w:spacing w:line="360" w:lineRule="auto"/>
              <w:jc w:val="center"/>
              <w:rPr>
                <w:rFonts w:ascii="宋体" w:hAnsi="宋体"/>
                <w:kern w:val="0"/>
                <w:szCs w:val="21"/>
              </w:rPr>
            </w:pPr>
            <w:r>
              <w:rPr>
                <w:rFonts w:hint="eastAsia" w:ascii="宋体" w:hAnsi="宋体"/>
                <w:kern w:val="0"/>
                <w:szCs w:val="21"/>
              </w:rPr>
              <w:t>工作年限</w:t>
            </w:r>
          </w:p>
        </w:tc>
        <w:tc>
          <w:tcPr>
            <w:tcW w:w="993" w:type="dxa"/>
            <w:vAlign w:val="center"/>
          </w:tcPr>
          <w:p w14:paraId="45C05EF2">
            <w:pPr>
              <w:autoSpaceDE w:val="0"/>
              <w:autoSpaceDN w:val="0"/>
              <w:adjustRightInd w:val="0"/>
              <w:spacing w:line="360" w:lineRule="auto"/>
              <w:jc w:val="center"/>
              <w:rPr>
                <w:rFonts w:ascii="宋体" w:hAnsi="宋体"/>
                <w:kern w:val="0"/>
                <w:szCs w:val="21"/>
              </w:rPr>
            </w:pPr>
            <w:r>
              <w:rPr>
                <w:rFonts w:hint="eastAsia" w:ascii="宋体" w:hAnsi="宋体"/>
                <w:kern w:val="0"/>
                <w:szCs w:val="21"/>
              </w:rPr>
              <w:t>职称</w:t>
            </w:r>
          </w:p>
        </w:tc>
        <w:tc>
          <w:tcPr>
            <w:tcW w:w="850" w:type="dxa"/>
            <w:vAlign w:val="center"/>
          </w:tcPr>
          <w:p w14:paraId="53196084">
            <w:pPr>
              <w:autoSpaceDE w:val="0"/>
              <w:autoSpaceDN w:val="0"/>
              <w:adjustRightInd w:val="0"/>
              <w:spacing w:line="360" w:lineRule="auto"/>
              <w:jc w:val="center"/>
              <w:rPr>
                <w:rFonts w:ascii="宋体" w:hAnsi="宋体"/>
                <w:kern w:val="0"/>
                <w:szCs w:val="21"/>
              </w:rPr>
            </w:pPr>
            <w:r>
              <w:rPr>
                <w:rFonts w:hint="eastAsia" w:ascii="宋体" w:hAnsi="宋体"/>
                <w:kern w:val="0"/>
                <w:szCs w:val="21"/>
              </w:rPr>
              <w:t>学历</w:t>
            </w:r>
          </w:p>
        </w:tc>
        <w:tc>
          <w:tcPr>
            <w:tcW w:w="1072" w:type="dxa"/>
            <w:vAlign w:val="center"/>
          </w:tcPr>
          <w:p w14:paraId="6A6C35BD">
            <w:pPr>
              <w:autoSpaceDE w:val="0"/>
              <w:autoSpaceDN w:val="0"/>
              <w:adjustRightInd w:val="0"/>
              <w:spacing w:line="360" w:lineRule="auto"/>
              <w:jc w:val="center"/>
              <w:rPr>
                <w:rFonts w:ascii="宋体" w:hAnsi="宋体"/>
                <w:kern w:val="0"/>
                <w:szCs w:val="21"/>
              </w:rPr>
            </w:pPr>
            <w:r>
              <w:rPr>
                <w:rFonts w:hint="eastAsia" w:ascii="宋体" w:hAnsi="宋体"/>
                <w:kern w:val="0"/>
                <w:szCs w:val="21"/>
              </w:rPr>
              <w:t>岗位证书（资格证书）及编号</w:t>
            </w:r>
          </w:p>
        </w:tc>
        <w:tc>
          <w:tcPr>
            <w:tcW w:w="1196" w:type="dxa"/>
            <w:vAlign w:val="center"/>
          </w:tcPr>
          <w:p w14:paraId="10DD62C0">
            <w:pPr>
              <w:autoSpaceDE w:val="0"/>
              <w:autoSpaceDN w:val="0"/>
              <w:adjustRightInd w:val="0"/>
              <w:spacing w:line="360" w:lineRule="auto"/>
              <w:jc w:val="center"/>
              <w:rPr>
                <w:rFonts w:ascii="宋体" w:hAnsi="宋体"/>
                <w:kern w:val="0"/>
                <w:szCs w:val="21"/>
              </w:rPr>
            </w:pPr>
            <w:r>
              <w:rPr>
                <w:rFonts w:hint="eastAsia" w:ascii="宋体" w:hAnsi="宋体"/>
                <w:kern w:val="0"/>
                <w:szCs w:val="21"/>
              </w:rPr>
              <w:t>岗位要求</w:t>
            </w:r>
          </w:p>
        </w:tc>
      </w:tr>
      <w:tr w14:paraId="08D1D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center"/>
          </w:tcPr>
          <w:p w14:paraId="0C561A72">
            <w:pPr>
              <w:autoSpaceDE w:val="0"/>
              <w:autoSpaceDN w:val="0"/>
              <w:adjustRightInd w:val="0"/>
              <w:spacing w:line="360" w:lineRule="auto"/>
              <w:jc w:val="center"/>
              <w:rPr>
                <w:rFonts w:ascii="宋体" w:hAnsi="宋体"/>
                <w:kern w:val="0"/>
                <w:szCs w:val="21"/>
              </w:rPr>
            </w:pPr>
            <w:r>
              <w:rPr>
                <w:rFonts w:hint="eastAsia" w:ascii="宋体" w:hAnsi="宋体"/>
                <w:kern w:val="0"/>
                <w:szCs w:val="21"/>
              </w:rPr>
              <w:t>项目负责人（项目经理）</w:t>
            </w:r>
          </w:p>
        </w:tc>
        <w:tc>
          <w:tcPr>
            <w:tcW w:w="850" w:type="dxa"/>
            <w:vAlign w:val="center"/>
          </w:tcPr>
          <w:p w14:paraId="1B038ADE">
            <w:pPr>
              <w:autoSpaceDE w:val="0"/>
              <w:autoSpaceDN w:val="0"/>
              <w:adjustRightInd w:val="0"/>
              <w:spacing w:line="360" w:lineRule="auto"/>
              <w:jc w:val="center"/>
              <w:rPr>
                <w:rFonts w:ascii="宋体" w:hAnsi="宋体"/>
                <w:kern w:val="0"/>
                <w:szCs w:val="21"/>
              </w:rPr>
            </w:pPr>
          </w:p>
        </w:tc>
        <w:tc>
          <w:tcPr>
            <w:tcW w:w="723" w:type="dxa"/>
            <w:vAlign w:val="center"/>
          </w:tcPr>
          <w:p w14:paraId="1D9767FB">
            <w:pPr>
              <w:autoSpaceDE w:val="0"/>
              <w:autoSpaceDN w:val="0"/>
              <w:adjustRightInd w:val="0"/>
              <w:spacing w:line="360" w:lineRule="auto"/>
              <w:jc w:val="center"/>
              <w:rPr>
                <w:rFonts w:ascii="宋体" w:hAnsi="宋体"/>
                <w:kern w:val="0"/>
                <w:szCs w:val="21"/>
              </w:rPr>
            </w:pPr>
          </w:p>
        </w:tc>
        <w:tc>
          <w:tcPr>
            <w:tcW w:w="1276" w:type="dxa"/>
            <w:vAlign w:val="center"/>
          </w:tcPr>
          <w:p w14:paraId="3A36145A">
            <w:pPr>
              <w:autoSpaceDE w:val="0"/>
              <w:autoSpaceDN w:val="0"/>
              <w:adjustRightInd w:val="0"/>
              <w:spacing w:line="360" w:lineRule="auto"/>
              <w:jc w:val="center"/>
              <w:rPr>
                <w:rFonts w:ascii="宋体" w:hAnsi="宋体"/>
                <w:kern w:val="0"/>
                <w:szCs w:val="21"/>
              </w:rPr>
            </w:pPr>
          </w:p>
        </w:tc>
        <w:tc>
          <w:tcPr>
            <w:tcW w:w="1275" w:type="dxa"/>
            <w:vAlign w:val="center"/>
          </w:tcPr>
          <w:p w14:paraId="794D0703">
            <w:pPr>
              <w:autoSpaceDE w:val="0"/>
              <w:autoSpaceDN w:val="0"/>
              <w:adjustRightInd w:val="0"/>
              <w:spacing w:line="360" w:lineRule="auto"/>
              <w:jc w:val="center"/>
              <w:rPr>
                <w:rFonts w:ascii="宋体" w:hAnsi="宋体"/>
                <w:kern w:val="0"/>
                <w:szCs w:val="21"/>
              </w:rPr>
            </w:pPr>
          </w:p>
        </w:tc>
        <w:tc>
          <w:tcPr>
            <w:tcW w:w="993" w:type="dxa"/>
            <w:vAlign w:val="center"/>
          </w:tcPr>
          <w:p w14:paraId="2D954D16">
            <w:pPr>
              <w:autoSpaceDE w:val="0"/>
              <w:autoSpaceDN w:val="0"/>
              <w:adjustRightInd w:val="0"/>
              <w:spacing w:line="360" w:lineRule="auto"/>
              <w:jc w:val="center"/>
              <w:rPr>
                <w:rFonts w:ascii="宋体" w:hAnsi="宋体"/>
                <w:kern w:val="0"/>
                <w:szCs w:val="21"/>
              </w:rPr>
            </w:pPr>
          </w:p>
        </w:tc>
        <w:tc>
          <w:tcPr>
            <w:tcW w:w="850" w:type="dxa"/>
            <w:vAlign w:val="center"/>
          </w:tcPr>
          <w:p w14:paraId="7F083F8C">
            <w:pPr>
              <w:autoSpaceDE w:val="0"/>
              <w:autoSpaceDN w:val="0"/>
              <w:adjustRightInd w:val="0"/>
              <w:spacing w:line="360" w:lineRule="auto"/>
              <w:jc w:val="center"/>
              <w:rPr>
                <w:rFonts w:ascii="宋体" w:hAnsi="宋体"/>
                <w:kern w:val="0"/>
                <w:szCs w:val="21"/>
              </w:rPr>
            </w:pPr>
          </w:p>
        </w:tc>
        <w:tc>
          <w:tcPr>
            <w:tcW w:w="1072" w:type="dxa"/>
            <w:vAlign w:val="center"/>
          </w:tcPr>
          <w:p w14:paraId="32359A65">
            <w:pPr>
              <w:autoSpaceDE w:val="0"/>
              <w:autoSpaceDN w:val="0"/>
              <w:adjustRightInd w:val="0"/>
              <w:spacing w:line="360" w:lineRule="auto"/>
              <w:jc w:val="center"/>
              <w:rPr>
                <w:rFonts w:ascii="宋体" w:hAnsi="宋体"/>
                <w:kern w:val="0"/>
                <w:szCs w:val="21"/>
              </w:rPr>
            </w:pPr>
          </w:p>
        </w:tc>
        <w:tc>
          <w:tcPr>
            <w:tcW w:w="1196" w:type="dxa"/>
            <w:vAlign w:val="center"/>
          </w:tcPr>
          <w:p w14:paraId="42716D90">
            <w:pPr>
              <w:rPr>
                <w:rFonts w:ascii="宋体" w:hAnsi="宋体"/>
                <w:szCs w:val="21"/>
              </w:rPr>
            </w:pPr>
            <w:r>
              <w:rPr>
                <w:rFonts w:hint="eastAsia" w:ascii="宋体" w:hAnsi="宋体"/>
                <w:szCs w:val="21"/>
              </w:rPr>
              <w:t xml:space="preserve">专职：□ </w:t>
            </w:r>
          </w:p>
          <w:p w14:paraId="6475A4CC">
            <w:pPr>
              <w:autoSpaceDE w:val="0"/>
              <w:autoSpaceDN w:val="0"/>
              <w:adjustRightInd w:val="0"/>
              <w:spacing w:line="360" w:lineRule="auto"/>
              <w:jc w:val="center"/>
              <w:rPr>
                <w:rFonts w:ascii="宋体" w:hAnsi="宋体"/>
                <w:kern w:val="0"/>
                <w:szCs w:val="21"/>
              </w:rPr>
            </w:pPr>
            <w:r>
              <w:rPr>
                <w:rFonts w:hint="eastAsia" w:ascii="宋体" w:hAnsi="宋体"/>
                <w:szCs w:val="21"/>
              </w:rPr>
              <w:t>兼职：□</w:t>
            </w:r>
          </w:p>
        </w:tc>
      </w:tr>
      <w:tr w14:paraId="2E76D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center"/>
          </w:tcPr>
          <w:p w14:paraId="0455CD4C">
            <w:pPr>
              <w:autoSpaceDE w:val="0"/>
              <w:autoSpaceDN w:val="0"/>
              <w:adjustRightInd w:val="0"/>
              <w:spacing w:line="360" w:lineRule="auto"/>
              <w:jc w:val="center"/>
              <w:rPr>
                <w:rFonts w:ascii="宋体" w:hAnsi="宋体"/>
                <w:kern w:val="0"/>
                <w:szCs w:val="21"/>
              </w:rPr>
            </w:pPr>
            <w:r>
              <w:rPr>
                <w:rFonts w:hint="eastAsia" w:ascii="宋体" w:hAnsi="宋体"/>
                <w:kern w:val="0"/>
                <w:szCs w:val="21"/>
              </w:rPr>
              <w:t>技术负责人</w:t>
            </w:r>
          </w:p>
        </w:tc>
        <w:tc>
          <w:tcPr>
            <w:tcW w:w="850" w:type="dxa"/>
            <w:vAlign w:val="center"/>
          </w:tcPr>
          <w:p w14:paraId="3FBF1881">
            <w:pPr>
              <w:autoSpaceDE w:val="0"/>
              <w:autoSpaceDN w:val="0"/>
              <w:adjustRightInd w:val="0"/>
              <w:spacing w:line="360" w:lineRule="auto"/>
              <w:jc w:val="center"/>
              <w:rPr>
                <w:rFonts w:ascii="宋体" w:hAnsi="宋体"/>
                <w:kern w:val="0"/>
                <w:szCs w:val="21"/>
              </w:rPr>
            </w:pPr>
          </w:p>
        </w:tc>
        <w:tc>
          <w:tcPr>
            <w:tcW w:w="723" w:type="dxa"/>
            <w:vAlign w:val="center"/>
          </w:tcPr>
          <w:p w14:paraId="1061C52A">
            <w:pPr>
              <w:autoSpaceDE w:val="0"/>
              <w:autoSpaceDN w:val="0"/>
              <w:adjustRightInd w:val="0"/>
              <w:spacing w:line="360" w:lineRule="auto"/>
              <w:jc w:val="center"/>
              <w:rPr>
                <w:rFonts w:ascii="宋体" w:hAnsi="宋体"/>
                <w:kern w:val="0"/>
                <w:szCs w:val="21"/>
              </w:rPr>
            </w:pPr>
          </w:p>
        </w:tc>
        <w:tc>
          <w:tcPr>
            <w:tcW w:w="1276" w:type="dxa"/>
            <w:vAlign w:val="center"/>
          </w:tcPr>
          <w:p w14:paraId="1DF05B92">
            <w:pPr>
              <w:autoSpaceDE w:val="0"/>
              <w:autoSpaceDN w:val="0"/>
              <w:adjustRightInd w:val="0"/>
              <w:spacing w:line="360" w:lineRule="auto"/>
              <w:jc w:val="center"/>
              <w:rPr>
                <w:rFonts w:ascii="宋体" w:hAnsi="宋体"/>
                <w:kern w:val="0"/>
                <w:szCs w:val="21"/>
              </w:rPr>
            </w:pPr>
          </w:p>
        </w:tc>
        <w:tc>
          <w:tcPr>
            <w:tcW w:w="1275" w:type="dxa"/>
            <w:vAlign w:val="center"/>
          </w:tcPr>
          <w:p w14:paraId="6E89485D">
            <w:pPr>
              <w:autoSpaceDE w:val="0"/>
              <w:autoSpaceDN w:val="0"/>
              <w:adjustRightInd w:val="0"/>
              <w:spacing w:line="360" w:lineRule="auto"/>
              <w:jc w:val="center"/>
              <w:rPr>
                <w:rFonts w:ascii="宋体" w:hAnsi="宋体"/>
                <w:kern w:val="0"/>
                <w:szCs w:val="21"/>
              </w:rPr>
            </w:pPr>
          </w:p>
        </w:tc>
        <w:tc>
          <w:tcPr>
            <w:tcW w:w="993" w:type="dxa"/>
            <w:vAlign w:val="center"/>
          </w:tcPr>
          <w:p w14:paraId="1011CA91">
            <w:pPr>
              <w:autoSpaceDE w:val="0"/>
              <w:autoSpaceDN w:val="0"/>
              <w:adjustRightInd w:val="0"/>
              <w:spacing w:line="360" w:lineRule="auto"/>
              <w:jc w:val="center"/>
              <w:rPr>
                <w:rFonts w:ascii="宋体" w:hAnsi="宋体"/>
                <w:kern w:val="0"/>
                <w:szCs w:val="21"/>
              </w:rPr>
            </w:pPr>
          </w:p>
        </w:tc>
        <w:tc>
          <w:tcPr>
            <w:tcW w:w="850" w:type="dxa"/>
            <w:vAlign w:val="center"/>
          </w:tcPr>
          <w:p w14:paraId="5C2C632F">
            <w:pPr>
              <w:autoSpaceDE w:val="0"/>
              <w:autoSpaceDN w:val="0"/>
              <w:adjustRightInd w:val="0"/>
              <w:spacing w:line="360" w:lineRule="auto"/>
              <w:jc w:val="center"/>
              <w:rPr>
                <w:rFonts w:ascii="宋体" w:hAnsi="宋体"/>
                <w:kern w:val="0"/>
                <w:szCs w:val="21"/>
              </w:rPr>
            </w:pPr>
          </w:p>
        </w:tc>
        <w:tc>
          <w:tcPr>
            <w:tcW w:w="1072" w:type="dxa"/>
            <w:vAlign w:val="center"/>
          </w:tcPr>
          <w:p w14:paraId="514D1AC3">
            <w:pPr>
              <w:autoSpaceDE w:val="0"/>
              <w:autoSpaceDN w:val="0"/>
              <w:adjustRightInd w:val="0"/>
              <w:spacing w:line="360" w:lineRule="auto"/>
              <w:jc w:val="center"/>
              <w:rPr>
                <w:rFonts w:ascii="宋体" w:hAnsi="宋体"/>
                <w:kern w:val="0"/>
                <w:szCs w:val="21"/>
              </w:rPr>
            </w:pPr>
          </w:p>
        </w:tc>
        <w:tc>
          <w:tcPr>
            <w:tcW w:w="1196" w:type="dxa"/>
            <w:vAlign w:val="center"/>
          </w:tcPr>
          <w:p w14:paraId="31CB4DF0">
            <w:pPr>
              <w:rPr>
                <w:rFonts w:ascii="宋体" w:hAnsi="宋体"/>
                <w:szCs w:val="21"/>
              </w:rPr>
            </w:pPr>
            <w:r>
              <w:rPr>
                <w:rFonts w:hint="eastAsia" w:ascii="宋体" w:hAnsi="宋体"/>
                <w:szCs w:val="21"/>
              </w:rPr>
              <w:t xml:space="preserve">专职：□ </w:t>
            </w:r>
          </w:p>
          <w:p w14:paraId="7B8FA054">
            <w:pPr>
              <w:autoSpaceDE w:val="0"/>
              <w:autoSpaceDN w:val="0"/>
              <w:adjustRightInd w:val="0"/>
              <w:spacing w:line="360" w:lineRule="auto"/>
              <w:jc w:val="center"/>
              <w:rPr>
                <w:rFonts w:ascii="宋体" w:hAnsi="宋体"/>
                <w:kern w:val="0"/>
                <w:szCs w:val="21"/>
              </w:rPr>
            </w:pPr>
            <w:r>
              <w:rPr>
                <w:rFonts w:hint="eastAsia" w:ascii="宋体" w:hAnsi="宋体"/>
                <w:szCs w:val="21"/>
              </w:rPr>
              <w:t>兼职：□</w:t>
            </w:r>
          </w:p>
        </w:tc>
      </w:tr>
      <w:tr w14:paraId="6B023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center"/>
          </w:tcPr>
          <w:p w14:paraId="36810588">
            <w:pPr>
              <w:autoSpaceDE w:val="0"/>
              <w:autoSpaceDN w:val="0"/>
              <w:adjustRightInd w:val="0"/>
              <w:spacing w:line="360" w:lineRule="auto"/>
              <w:jc w:val="center"/>
              <w:rPr>
                <w:rFonts w:ascii="宋体" w:hAnsi="宋体"/>
                <w:kern w:val="0"/>
                <w:szCs w:val="21"/>
              </w:rPr>
            </w:pPr>
            <w:r>
              <w:rPr>
                <w:rFonts w:hint="eastAsia" w:ascii="宋体" w:hAnsi="宋体"/>
                <w:kern w:val="0"/>
                <w:szCs w:val="21"/>
              </w:rPr>
              <w:t>施工员</w:t>
            </w:r>
          </w:p>
        </w:tc>
        <w:tc>
          <w:tcPr>
            <w:tcW w:w="850" w:type="dxa"/>
            <w:vAlign w:val="center"/>
          </w:tcPr>
          <w:p w14:paraId="4FD1E75D">
            <w:pPr>
              <w:autoSpaceDE w:val="0"/>
              <w:autoSpaceDN w:val="0"/>
              <w:adjustRightInd w:val="0"/>
              <w:spacing w:line="360" w:lineRule="auto"/>
              <w:jc w:val="center"/>
              <w:rPr>
                <w:rFonts w:ascii="宋体" w:hAnsi="宋体"/>
                <w:kern w:val="0"/>
                <w:szCs w:val="21"/>
              </w:rPr>
            </w:pPr>
          </w:p>
        </w:tc>
        <w:tc>
          <w:tcPr>
            <w:tcW w:w="723" w:type="dxa"/>
            <w:vAlign w:val="center"/>
          </w:tcPr>
          <w:p w14:paraId="76A33742">
            <w:pPr>
              <w:autoSpaceDE w:val="0"/>
              <w:autoSpaceDN w:val="0"/>
              <w:adjustRightInd w:val="0"/>
              <w:spacing w:line="360" w:lineRule="auto"/>
              <w:jc w:val="center"/>
              <w:rPr>
                <w:rFonts w:ascii="宋体" w:hAnsi="宋体"/>
                <w:kern w:val="0"/>
                <w:szCs w:val="21"/>
              </w:rPr>
            </w:pPr>
          </w:p>
        </w:tc>
        <w:tc>
          <w:tcPr>
            <w:tcW w:w="1276" w:type="dxa"/>
            <w:vAlign w:val="center"/>
          </w:tcPr>
          <w:p w14:paraId="416D1D6F">
            <w:pPr>
              <w:autoSpaceDE w:val="0"/>
              <w:autoSpaceDN w:val="0"/>
              <w:adjustRightInd w:val="0"/>
              <w:spacing w:line="360" w:lineRule="auto"/>
              <w:jc w:val="center"/>
              <w:rPr>
                <w:rFonts w:ascii="宋体" w:hAnsi="宋体"/>
                <w:kern w:val="0"/>
                <w:szCs w:val="21"/>
              </w:rPr>
            </w:pPr>
          </w:p>
        </w:tc>
        <w:tc>
          <w:tcPr>
            <w:tcW w:w="1275" w:type="dxa"/>
            <w:vAlign w:val="center"/>
          </w:tcPr>
          <w:p w14:paraId="3C7D187A">
            <w:pPr>
              <w:autoSpaceDE w:val="0"/>
              <w:autoSpaceDN w:val="0"/>
              <w:adjustRightInd w:val="0"/>
              <w:spacing w:line="360" w:lineRule="auto"/>
              <w:jc w:val="center"/>
              <w:rPr>
                <w:rFonts w:ascii="宋体" w:hAnsi="宋体"/>
                <w:kern w:val="0"/>
                <w:szCs w:val="21"/>
              </w:rPr>
            </w:pPr>
          </w:p>
        </w:tc>
        <w:tc>
          <w:tcPr>
            <w:tcW w:w="993" w:type="dxa"/>
            <w:vAlign w:val="center"/>
          </w:tcPr>
          <w:p w14:paraId="1A7B5578">
            <w:pPr>
              <w:autoSpaceDE w:val="0"/>
              <w:autoSpaceDN w:val="0"/>
              <w:adjustRightInd w:val="0"/>
              <w:spacing w:line="360" w:lineRule="auto"/>
              <w:jc w:val="center"/>
              <w:rPr>
                <w:rFonts w:ascii="宋体" w:hAnsi="宋体"/>
                <w:kern w:val="0"/>
                <w:szCs w:val="21"/>
              </w:rPr>
            </w:pPr>
          </w:p>
        </w:tc>
        <w:tc>
          <w:tcPr>
            <w:tcW w:w="850" w:type="dxa"/>
            <w:vAlign w:val="center"/>
          </w:tcPr>
          <w:p w14:paraId="22726C63">
            <w:pPr>
              <w:autoSpaceDE w:val="0"/>
              <w:autoSpaceDN w:val="0"/>
              <w:adjustRightInd w:val="0"/>
              <w:spacing w:line="360" w:lineRule="auto"/>
              <w:jc w:val="center"/>
              <w:rPr>
                <w:rFonts w:ascii="宋体" w:hAnsi="宋体"/>
                <w:kern w:val="0"/>
                <w:szCs w:val="21"/>
              </w:rPr>
            </w:pPr>
          </w:p>
        </w:tc>
        <w:tc>
          <w:tcPr>
            <w:tcW w:w="1072" w:type="dxa"/>
            <w:vAlign w:val="center"/>
          </w:tcPr>
          <w:p w14:paraId="02E25EA9">
            <w:pPr>
              <w:autoSpaceDE w:val="0"/>
              <w:autoSpaceDN w:val="0"/>
              <w:adjustRightInd w:val="0"/>
              <w:spacing w:line="360" w:lineRule="auto"/>
              <w:jc w:val="center"/>
              <w:rPr>
                <w:rFonts w:ascii="宋体" w:hAnsi="宋体"/>
                <w:kern w:val="0"/>
                <w:szCs w:val="21"/>
              </w:rPr>
            </w:pPr>
          </w:p>
        </w:tc>
        <w:tc>
          <w:tcPr>
            <w:tcW w:w="1196" w:type="dxa"/>
            <w:vAlign w:val="center"/>
          </w:tcPr>
          <w:p w14:paraId="0F73A8A3">
            <w:pPr>
              <w:rPr>
                <w:rFonts w:ascii="宋体" w:hAnsi="宋体"/>
                <w:szCs w:val="21"/>
              </w:rPr>
            </w:pPr>
            <w:r>
              <w:rPr>
                <w:rFonts w:hint="eastAsia" w:ascii="宋体" w:hAnsi="宋体"/>
                <w:szCs w:val="21"/>
              </w:rPr>
              <w:t xml:space="preserve">专职：□ </w:t>
            </w:r>
          </w:p>
          <w:p w14:paraId="77F5E2F8">
            <w:pPr>
              <w:autoSpaceDE w:val="0"/>
              <w:autoSpaceDN w:val="0"/>
              <w:adjustRightInd w:val="0"/>
              <w:spacing w:line="360" w:lineRule="auto"/>
              <w:jc w:val="center"/>
              <w:rPr>
                <w:rFonts w:ascii="宋体" w:hAnsi="宋体"/>
                <w:kern w:val="0"/>
                <w:szCs w:val="21"/>
              </w:rPr>
            </w:pPr>
            <w:r>
              <w:rPr>
                <w:rFonts w:hint="eastAsia" w:ascii="宋体" w:hAnsi="宋体"/>
                <w:szCs w:val="21"/>
              </w:rPr>
              <w:t>兼职：□</w:t>
            </w:r>
          </w:p>
        </w:tc>
      </w:tr>
      <w:tr w14:paraId="10314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center"/>
          </w:tcPr>
          <w:p w14:paraId="5DC85C59">
            <w:pPr>
              <w:autoSpaceDE w:val="0"/>
              <w:autoSpaceDN w:val="0"/>
              <w:adjustRightInd w:val="0"/>
              <w:spacing w:line="360" w:lineRule="auto"/>
              <w:jc w:val="center"/>
              <w:rPr>
                <w:rFonts w:ascii="宋体" w:hAnsi="宋体"/>
                <w:kern w:val="0"/>
                <w:szCs w:val="21"/>
              </w:rPr>
            </w:pPr>
            <w:r>
              <w:rPr>
                <w:rFonts w:hint="eastAsia" w:ascii="宋体" w:hAnsi="宋体"/>
                <w:kern w:val="0"/>
                <w:szCs w:val="21"/>
              </w:rPr>
              <w:t>安全员</w:t>
            </w:r>
          </w:p>
        </w:tc>
        <w:tc>
          <w:tcPr>
            <w:tcW w:w="850" w:type="dxa"/>
            <w:vAlign w:val="center"/>
          </w:tcPr>
          <w:p w14:paraId="3165D6A0">
            <w:pPr>
              <w:autoSpaceDE w:val="0"/>
              <w:autoSpaceDN w:val="0"/>
              <w:adjustRightInd w:val="0"/>
              <w:spacing w:line="360" w:lineRule="auto"/>
              <w:jc w:val="center"/>
              <w:rPr>
                <w:rFonts w:ascii="宋体" w:hAnsi="宋体"/>
                <w:kern w:val="0"/>
                <w:szCs w:val="21"/>
              </w:rPr>
            </w:pPr>
          </w:p>
        </w:tc>
        <w:tc>
          <w:tcPr>
            <w:tcW w:w="723" w:type="dxa"/>
            <w:vAlign w:val="center"/>
          </w:tcPr>
          <w:p w14:paraId="693092D6">
            <w:pPr>
              <w:autoSpaceDE w:val="0"/>
              <w:autoSpaceDN w:val="0"/>
              <w:adjustRightInd w:val="0"/>
              <w:spacing w:line="360" w:lineRule="auto"/>
              <w:jc w:val="center"/>
              <w:rPr>
                <w:rFonts w:ascii="宋体" w:hAnsi="宋体"/>
                <w:kern w:val="0"/>
                <w:szCs w:val="21"/>
              </w:rPr>
            </w:pPr>
          </w:p>
        </w:tc>
        <w:tc>
          <w:tcPr>
            <w:tcW w:w="1276" w:type="dxa"/>
            <w:vAlign w:val="center"/>
          </w:tcPr>
          <w:p w14:paraId="5B031BFF">
            <w:pPr>
              <w:autoSpaceDE w:val="0"/>
              <w:autoSpaceDN w:val="0"/>
              <w:adjustRightInd w:val="0"/>
              <w:spacing w:line="360" w:lineRule="auto"/>
              <w:jc w:val="center"/>
              <w:rPr>
                <w:rFonts w:ascii="宋体" w:hAnsi="宋体"/>
                <w:kern w:val="0"/>
                <w:szCs w:val="21"/>
              </w:rPr>
            </w:pPr>
          </w:p>
        </w:tc>
        <w:tc>
          <w:tcPr>
            <w:tcW w:w="1275" w:type="dxa"/>
            <w:vAlign w:val="center"/>
          </w:tcPr>
          <w:p w14:paraId="72523EE8">
            <w:pPr>
              <w:autoSpaceDE w:val="0"/>
              <w:autoSpaceDN w:val="0"/>
              <w:adjustRightInd w:val="0"/>
              <w:spacing w:line="360" w:lineRule="auto"/>
              <w:jc w:val="center"/>
              <w:rPr>
                <w:rFonts w:ascii="宋体" w:hAnsi="宋体"/>
                <w:kern w:val="0"/>
                <w:szCs w:val="21"/>
              </w:rPr>
            </w:pPr>
          </w:p>
        </w:tc>
        <w:tc>
          <w:tcPr>
            <w:tcW w:w="993" w:type="dxa"/>
            <w:vAlign w:val="center"/>
          </w:tcPr>
          <w:p w14:paraId="030EAC39">
            <w:pPr>
              <w:autoSpaceDE w:val="0"/>
              <w:autoSpaceDN w:val="0"/>
              <w:adjustRightInd w:val="0"/>
              <w:spacing w:line="360" w:lineRule="auto"/>
              <w:jc w:val="center"/>
              <w:rPr>
                <w:rFonts w:ascii="宋体" w:hAnsi="宋体"/>
                <w:kern w:val="0"/>
                <w:szCs w:val="21"/>
              </w:rPr>
            </w:pPr>
          </w:p>
        </w:tc>
        <w:tc>
          <w:tcPr>
            <w:tcW w:w="850" w:type="dxa"/>
            <w:vAlign w:val="center"/>
          </w:tcPr>
          <w:p w14:paraId="573BFBD6">
            <w:pPr>
              <w:autoSpaceDE w:val="0"/>
              <w:autoSpaceDN w:val="0"/>
              <w:adjustRightInd w:val="0"/>
              <w:spacing w:line="360" w:lineRule="auto"/>
              <w:jc w:val="center"/>
              <w:rPr>
                <w:rFonts w:ascii="宋体" w:hAnsi="宋体"/>
                <w:kern w:val="0"/>
                <w:szCs w:val="21"/>
              </w:rPr>
            </w:pPr>
          </w:p>
        </w:tc>
        <w:tc>
          <w:tcPr>
            <w:tcW w:w="1072" w:type="dxa"/>
            <w:vAlign w:val="center"/>
          </w:tcPr>
          <w:p w14:paraId="6E6FF793">
            <w:pPr>
              <w:autoSpaceDE w:val="0"/>
              <w:autoSpaceDN w:val="0"/>
              <w:adjustRightInd w:val="0"/>
              <w:spacing w:line="360" w:lineRule="auto"/>
              <w:jc w:val="center"/>
              <w:rPr>
                <w:rFonts w:ascii="宋体" w:hAnsi="宋体"/>
                <w:kern w:val="0"/>
                <w:szCs w:val="21"/>
              </w:rPr>
            </w:pPr>
          </w:p>
        </w:tc>
        <w:tc>
          <w:tcPr>
            <w:tcW w:w="1196" w:type="dxa"/>
            <w:vAlign w:val="center"/>
          </w:tcPr>
          <w:p w14:paraId="6540F18E">
            <w:pPr>
              <w:rPr>
                <w:rFonts w:ascii="宋体" w:hAnsi="宋体"/>
                <w:szCs w:val="21"/>
              </w:rPr>
            </w:pPr>
            <w:r>
              <w:rPr>
                <w:rFonts w:hint="eastAsia" w:ascii="宋体" w:hAnsi="宋体"/>
                <w:szCs w:val="21"/>
              </w:rPr>
              <w:t xml:space="preserve">专职：□ </w:t>
            </w:r>
          </w:p>
          <w:p w14:paraId="75400169">
            <w:pPr>
              <w:autoSpaceDE w:val="0"/>
              <w:autoSpaceDN w:val="0"/>
              <w:adjustRightInd w:val="0"/>
              <w:spacing w:line="360" w:lineRule="auto"/>
              <w:jc w:val="center"/>
              <w:rPr>
                <w:rFonts w:ascii="宋体" w:hAnsi="宋体"/>
                <w:kern w:val="0"/>
                <w:szCs w:val="21"/>
              </w:rPr>
            </w:pPr>
            <w:r>
              <w:rPr>
                <w:rFonts w:hint="eastAsia" w:ascii="宋体" w:hAnsi="宋体"/>
                <w:szCs w:val="21"/>
              </w:rPr>
              <w:t>兼职：□</w:t>
            </w:r>
          </w:p>
        </w:tc>
      </w:tr>
      <w:tr w14:paraId="165C2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center"/>
          </w:tcPr>
          <w:p w14:paraId="6AE13070">
            <w:pPr>
              <w:autoSpaceDE w:val="0"/>
              <w:autoSpaceDN w:val="0"/>
              <w:adjustRightInd w:val="0"/>
              <w:spacing w:line="360" w:lineRule="auto"/>
              <w:jc w:val="center"/>
              <w:rPr>
                <w:rFonts w:ascii="宋体" w:hAnsi="宋体"/>
                <w:kern w:val="0"/>
                <w:szCs w:val="21"/>
              </w:rPr>
            </w:pPr>
            <w:r>
              <w:rPr>
                <w:rFonts w:hint="eastAsia" w:ascii="宋体" w:hAnsi="宋体"/>
                <w:kern w:val="0"/>
                <w:szCs w:val="21"/>
              </w:rPr>
              <w:t>质量员（质检员）</w:t>
            </w:r>
          </w:p>
        </w:tc>
        <w:tc>
          <w:tcPr>
            <w:tcW w:w="850" w:type="dxa"/>
            <w:vAlign w:val="center"/>
          </w:tcPr>
          <w:p w14:paraId="745BFDC6">
            <w:pPr>
              <w:autoSpaceDE w:val="0"/>
              <w:autoSpaceDN w:val="0"/>
              <w:adjustRightInd w:val="0"/>
              <w:spacing w:line="360" w:lineRule="auto"/>
              <w:jc w:val="center"/>
              <w:rPr>
                <w:rFonts w:ascii="宋体" w:hAnsi="宋体"/>
                <w:kern w:val="0"/>
                <w:szCs w:val="21"/>
              </w:rPr>
            </w:pPr>
          </w:p>
        </w:tc>
        <w:tc>
          <w:tcPr>
            <w:tcW w:w="723" w:type="dxa"/>
            <w:vAlign w:val="center"/>
          </w:tcPr>
          <w:p w14:paraId="3F6FE2E8">
            <w:pPr>
              <w:autoSpaceDE w:val="0"/>
              <w:autoSpaceDN w:val="0"/>
              <w:adjustRightInd w:val="0"/>
              <w:spacing w:line="360" w:lineRule="auto"/>
              <w:jc w:val="center"/>
              <w:rPr>
                <w:rFonts w:ascii="宋体" w:hAnsi="宋体"/>
                <w:kern w:val="0"/>
                <w:szCs w:val="21"/>
              </w:rPr>
            </w:pPr>
          </w:p>
        </w:tc>
        <w:tc>
          <w:tcPr>
            <w:tcW w:w="1276" w:type="dxa"/>
            <w:vAlign w:val="center"/>
          </w:tcPr>
          <w:p w14:paraId="7152BEEA">
            <w:pPr>
              <w:autoSpaceDE w:val="0"/>
              <w:autoSpaceDN w:val="0"/>
              <w:adjustRightInd w:val="0"/>
              <w:spacing w:line="360" w:lineRule="auto"/>
              <w:jc w:val="center"/>
              <w:rPr>
                <w:rFonts w:ascii="宋体" w:hAnsi="宋体"/>
                <w:kern w:val="0"/>
                <w:szCs w:val="21"/>
              </w:rPr>
            </w:pPr>
          </w:p>
        </w:tc>
        <w:tc>
          <w:tcPr>
            <w:tcW w:w="1275" w:type="dxa"/>
            <w:vAlign w:val="center"/>
          </w:tcPr>
          <w:p w14:paraId="3AAB4C56">
            <w:pPr>
              <w:autoSpaceDE w:val="0"/>
              <w:autoSpaceDN w:val="0"/>
              <w:adjustRightInd w:val="0"/>
              <w:spacing w:line="360" w:lineRule="auto"/>
              <w:jc w:val="center"/>
              <w:rPr>
                <w:rFonts w:ascii="宋体" w:hAnsi="宋体"/>
                <w:kern w:val="0"/>
                <w:szCs w:val="21"/>
              </w:rPr>
            </w:pPr>
          </w:p>
        </w:tc>
        <w:tc>
          <w:tcPr>
            <w:tcW w:w="993" w:type="dxa"/>
            <w:vAlign w:val="center"/>
          </w:tcPr>
          <w:p w14:paraId="7D6DF867">
            <w:pPr>
              <w:autoSpaceDE w:val="0"/>
              <w:autoSpaceDN w:val="0"/>
              <w:adjustRightInd w:val="0"/>
              <w:spacing w:line="360" w:lineRule="auto"/>
              <w:jc w:val="center"/>
              <w:rPr>
                <w:rFonts w:ascii="宋体" w:hAnsi="宋体"/>
                <w:kern w:val="0"/>
                <w:szCs w:val="21"/>
              </w:rPr>
            </w:pPr>
          </w:p>
        </w:tc>
        <w:tc>
          <w:tcPr>
            <w:tcW w:w="850" w:type="dxa"/>
            <w:vAlign w:val="center"/>
          </w:tcPr>
          <w:p w14:paraId="62625583">
            <w:pPr>
              <w:autoSpaceDE w:val="0"/>
              <w:autoSpaceDN w:val="0"/>
              <w:adjustRightInd w:val="0"/>
              <w:spacing w:line="360" w:lineRule="auto"/>
              <w:jc w:val="center"/>
              <w:rPr>
                <w:rFonts w:ascii="宋体" w:hAnsi="宋体"/>
                <w:kern w:val="0"/>
                <w:szCs w:val="21"/>
              </w:rPr>
            </w:pPr>
          </w:p>
        </w:tc>
        <w:tc>
          <w:tcPr>
            <w:tcW w:w="1072" w:type="dxa"/>
            <w:vAlign w:val="center"/>
          </w:tcPr>
          <w:p w14:paraId="513CE212">
            <w:pPr>
              <w:autoSpaceDE w:val="0"/>
              <w:autoSpaceDN w:val="0"/>
              <w:adjustRightInd w:val="0"/>
              <w:spacing w:line="360" w:lineRule="auto"/>
              <w:jc w:val="center"/>
              <w:rPr>
                <w:rFonts w:ascii="宋体" w:hAnsi="宋体"/>
                <w:kern w:val="0"/>
                <w:szCs w:val="21"/>
              </w:rPr>
            </w:pPr>
          </w:p>
        </w:tc>
        <w:tc>
          <w:tcPr>
            <w:tcW w:w="1196" w:type="dxa"/>
            <w:vAlign w:val="center"/>
          </w:tcPr>
          <w:p w14:paraId="68058EA1">
            <w:pPr>
              <w:rPr>
                <w:rFonts w:ascii="宋体" w:hAnsi="宋体"/>
                <w:szCs w:val="21"/>
              </w:rPr>
            </w:pPr>
            <w:r>
              <w:rPr>
                <w:rFonts w:hint="eastAsia" w:ascii="宋体" w:hAnsi="宋体"/>
                <w:szCs w:val="21"/>
              </w:rPr>
              <w:t xml:space="preserve">专职：□ </w:t>
            </w:r>
          </w:p>
          <w:p w14:paraId="1D12BF9E">
            <w:pPr>
              <w:autoSpaceDE w:val="0"/>
              <w:autoSpaceDN w:val="0"/>
              <w:adjustRightInd w:val="0"/>
              <w:spacing w:line="360" w:lineRule="auto"/>
              <w:jc w:val="center"/>
              <w:rPr>
                <w:rFonts w:ascii="宋体" w:hAnsi="宋体"/>
                <w:kern w:val="0"/>
                <w:szCs w:val="21"/>
              </w:rPr>
            </w:pPr>
            <w:r>
              <w:rPr>
                <w:rFonts w:hint="eastAsia" w:ascii="宋体" w:hAnsi="宋体"/>
                <w:szCs w:val="21"/>
              </w:rPr>
              <w:t>兼职：□</w:t>
            </w:r>
          </w:p>
        </w:tc>
      </w:tr>
      <w:tr w14:paraId="6EB96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center"/>
          </w:tcPr>
          <w:p w14:paraId="1C0EC3FD">
            <w:pPr>
              <w:autoSpaceDE w:val="0"/>
              <w:autoSpaceDN w:val="0"/>
              <w:adjustRightInd w:val="0"/>
              <w:spacing w:line="360" w:lineRule="auto"/>
              <w:jc w:val="center"/>
              <w:rPr>
                <w:rFonts w:ascii="宋体" w:hAnsi="宋体"/>
                <w:kern w:val="0"/>
                <w:szCs w:val="21"/>
              </w:rPr>
            </w:pPr>
            <w:r>
              <w:rPr>
                <w:rFonts w:hint="eastAsia" w:ascii="宋体" w:hAnsi="宋体"/>
                <w:kern w:val="0"/>
                <w:szCs w:val="21"/>
              </w:rPr>
              <w:t>标准员</w:t>
            </w:r>
          </w:p>
        </w:tc>
        <w:tc>
          <w:tcPr>
            <w:tcW w:w="850" w:type="dxa"/>
            <w:vAlign w:val="center"/>
          </w:tcPr>
          <w:p w14:paraId="7757398C">
            <w:pPr>
              <w:autoSpaceDE w:val="0"/>
              <w:autoSpaceDN w:val="0"/>
              <w:adjustRightInd w:val="0"/>
              <w:spacing w:line="360" w:lineRule="auto"/>
              <w:jc w:val="center"/>
              <w:rPr>
                <w:rFonts w:ascii="宋体" w:hAnsi="宋体"/>
                <w:kern w:val="0"/>
                <w:szCs w:val="21"/>
              </w:rPr>
            </w:pPr>
          </w:p>
        </w:tc>
        <w:tc>
          <w:tcPr>
            <w:tcW w:w="723" w:type="dxa"/>
            <w:vAlign w:val="center"/>
          </w:tcPr>
          <w:p w14:paraId="1EEC5C3C">
            <w:pPr>
              <w:autoSpaceDE w:val="0"/>
              <w:autoSpaceDN w:val="0"/>
              <w:adjustRightInd w:val="0"/>
              <w:spacing w:line="360" w:lineRule="auto"/>
              <w:jc w:val="center"/>
              <w:rPr>
                <w:rFonts w:ascii="宋体" w:hAnsi="宋体"/>
                <w:kern w:val="0"/>
                <w:szCs w:val="21"/>
              </w:rPr>
            </w:pPr>
          </w:p>
        </w:tc>
        <w:tc>
          <w:tcPr>
            <w:tcW w:w="1276" w:type="dxa"/>
            <w:vAlign w:val="center"/>
          </w:tcPr>
          <w:p w14:paraId="7302FB7C">
            <w:pPr>
              <w:autoSpaceDE w:val="0"/>
              <w:autoSpaceDN w:val="0"/>
              <w:adjustRightInd w:val="0"/>
              <w:spacing w:line="360" w:lineRule="auto"/>
              <w:jc w:val="center"/>
              <w:rPr>
                <w:rFonts w:ascii="宋体" w:hAnsi="宋体"/>
                <w:kern w:val="0"/>
                <w:szCs w:val="21"/>
              </w:rPr>
            </w:pPr>
          </w:p>
        </w:tc>
        <w:tc>
          <w:tcPr>
            <w:tcW w:w="1275" w:type="dxa"/>
            <w:vAlign w:val="center"/>
          </w:tcPr>
          <w:p w14:paraId="28D56AFF">
            <w:pPr>
              <w:autoSpaceDE w:val="0"/>
              <w:autoSpaceDN w:val="0"/>
              <w:adjustRightInd w:val="0"/>
              <w:spacing w:line="360" w:lineRule="auto"/>
              <w:jc w:val="center"/>
              <w:rPr>
                <w:rFonts w:ascii="宋体" w:hAnsi="宋体"/>
                <w:kern w:val="0"/>
                <w:szCs w:val="21"/>
              </w:rPr>
            </w:pPr>
          </w:p>
        </w:tc>
        <w:tc>
          <w:tcPr>
            <w:tcW w:w="993" w:type="dxa"/>
            <w:vAlign w:val="center"/>
          </w:tcPr>
          <w:p w14:paraId="5332341D">
            <w:pPr>
              <w:autoSpaceDE w:val="0"/>
              <w:autoSpaceDN w:val="0"/>
              <w:adjustRightInd w:val="0"/>
              <w:spacing w:line="360" w:lineRule="auto"/>
              <w:jc w:val="center"/>
              <w:rPr>
                <w:rFonts w:ascii="宋体" w:hAnsi="宋体"/>
                <w:kern w:val="0"/>
                <w:szCs w:val="21"/>
              </w:rPr>
            </w:pPr>
          </w:p>
        </w:tc>
        <w:tc>
          <w:tcPr>
            <w:tcW w:w="850" w:type="dxa"/>
            <w:vAlign w:val="center"/>
          </w:tcPr>
          <w:p w14:paraId="09AB0AC7">
            <w:pPr>
              <w:autoSpaceDE w:val="0"/>
              <w:autoSpaceDN w:val="0"/>
              <w:adjustRightInd w:val="0"/>
              <w:spacing w:line="360" w:lineRule="auto"/>
              <w:jc w:val="center"/>
              <w:rPr>
                <w:rFonts w:ascii="宋体" w:hAnsi="宋体"/>
                <w:kern w:val="0"/>
                <w:szCs w:val="21"/>
              </w:rPr>
            </w:pPr>
          </w:p>
        </w:tc>
        <w:tc>
          <w:tcPr>
            <w:tcW w:w="1072" w:type="dxa"/>
            <w:vAlign w:val="center"/>
          </w:tcPr>
          <w:p w14:paraId="7DC16596">
            <w:pPr>
              <w:autoSpaceDE w:val="0"/>
              <w:autoSpaceDN w:val="0"/>
              <w:adjustRightInd w:val="0"/>
              <w:spacing w:line="360" w:lineRule="auto"/>
              <w:jc w:val="center"/>
              <w:rPr>
                <w:rFonts w:ascii="宋体" w:hAnsi="宋体"/>
                <w:kern w:val="0"/>
                <w:szCs w:val="21"/>
              </w:rPr>
            </w:pPr>
          </w:p>
        </w:tc>
        <w:tc>
          <w:tcPr>
            <w:tcW w:w="1196" w:type="dxa"/>
            <w:vAlign w:val="center"/>
          </w:tcPr>
          <w:p w14:paraId="0757DB04">
            <w:pPr>
              <w:rPr>
                <w:rFonts w:ascii="宋体" w:hAnsi="宋体"/>
                <w:szCs w:val="21"/>
              </w:rPr>
            </w:pPr>
            <w:r>
              <w:rPr>
                <w:rFonts w:hint="eastAsia" w:ascii="宋体" w:hAnsi="宋体"/>
                <w:szCs w:val="21"/>
              </w:rPr>
              <w:t xml:space="preserve">专职：□ </w:t>
            </w:r>
          </w:p>
          <w:p w14:paraId="1F728E77">
            <w:pPr>
              <w:autoSpaceDE w:val="0"/>
              <w:autoSpaceDN w:val="0"/>
              <w:adjustRightInd w:val="0"/>
              <w:spacing w:line="360" w:lineRule="auto"/>
              <w:jc w:val="center"/>
              <w:rPr>
                <w:rFonts w:ascii="宋体" w:hAnsi="宋体"/>
                <w:kern w:val="0"/>
                <w:szCs w:val="21"/>
              </w:rPr>
            </w:pPr>
            <w:r>
              <w:rPr>
                <w:rFonts w:hint="eastAsia" w:ascii="宋体" w:hAnsi="宋体"/>
                <w:szCs w:val="21"/>
              </w:rPr>
              <w:t>兼职：□</w:t>
            </w:r>
          </w:p>
        </w:tc>
      </w:tr>
      <w:tr w14:paraId="2E93C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center"/>
          </w:tcPr>
          <w:p w14:paraId="0C2E2E13">
            <w:pPr>
              <w:autoSpaceDE w:val="0"/>
              <w:autoSpaceDN w:val="0"/>
              <w:adjustRightInd w:val="0"/>
              <w:spacing w:line="360" w:lineRule="auto"/>
              <w:jc w:val="center"/>
              <w:rPr>
                <w:rFonts w:ascii="宋体" w:hAnsi="宋体"/>
                <w:kern w:val="0"/>
                <w:szCs w:val="21"/>
              </w:rPr>
            </w:pPr>
            <w:r>
              <w:rPr>
                <w:rFonts w:hint="eastAsia" w:ascii="宋体" w:hAnsi="宋体"/>
                <w:kern w:val="0"/>
                <w:szCs w:val="21"/>
              </w:rPr>
              <w:t>材料员</w:t>
            </w:r>
          </w:p>
        </w:tc>
        <w:tc>
          <w:tcPr>
            <w:tcW w:w="850" w:type="dxa"/>
            <w:vAlign w:val="center"/>
          </w:tcPr>
          <w:p w14:paraId="5CCF713E">
            <w:pPr>
              <w:autoSpaceDE w:val="0"/>
              <w:autoSpaceDN w:val="0"/>
              <w:adjustRightInd w:val="0"/>
              <w:spacing w:line="360" w:lineRule="auto"/>
              <w:jc w:val="center"/>
              <w:rPr>
                <w:rFonts w:ascii="宋体" w:hAnsi="宋体"/>
                <w:kern w:val="0"/>
                <w:szCs w:val="21"/>
              </w:rPr>
            </w:pPr>
          </w:p>
        </w:tc>
        <w:tc>
          <w:tcPr>
            <w:tcW w:w="723" w:type="dxa"/>
            <w:vAlign w:val="center"/>
          </w:tcPr>
          <w:p w14:paraId="256C0D4B">
            <w:pPr>
              <w:autoSpaceDE w:val="0"/>
              <w:autoSpaceDN w:val="0"/>
              <w:adjustRightInd w:val="0"/>
              <w:spacing w:line="360" w:lineRule="auto"/>
              <w:jc w:val="center"/>
              <w:rPr>
                <w:rFonts w:ascii="宋体" w:hAnsi="宋体"/>
                <w:kern w:val="0"/>
                <w:szCs w:val="21"/>
              </w:rPr>
            </w:pPr>
          </w:p>
        </w:tc>
        <w:tc>
          <w:tcPr>
            <w:tcW w:w="1276" w:type="dxa"/>
            <w:vAlign w:val="center"/>
          </w:tcPr>
          <w:p w14:paraId="1B5C1F02">
            <w:pPr>
              <w:autoSpaceDE w:val="0"/>
              <w:autoSpaceDN w:val="0"/>
              <w:adjustRightInd w:val="0"/>
              <w:spacing w:line="360" w:lineRule="auto"/>
              <w:jc w:val="center"/>
              <w:rPr>
                <w:rFonts w:ascii="宋体" w:hAnsi="宋体"/>
                <w:kern w:val="0"/>
                <w:szCs w:val="21"/>
              </w:rPr>
            </w:pPr>
          </w:p>
        </w:tc>
        <w:tc>
          <w:tcPr>
            <w:tcW w:w="1275" w:type="dxa"/>
            <w:vAlign w:val="center"/>
          </w:tcPr>
          <w:p w14:paraId="7B4C5344">
            <w:pPr>
              <w:autoSpaceDE w:val="0"/>
              <w:autoSpaceDN w:val="0"/>
              <w:adjustRightInd w:val="0"/>
              <w:spacing w:line="360" w:lineRule="auto"/>
              <w:jc w:val="center"/>
              <w:rPr>
                <w:rFonts w:ascii="宋体" w:hAnsi="宋体"/>
                <w:kern w:val="0"/>
                <w:szCs w:val="21"/>
              </w:rPr>
            </w:pPr>
          </w:p>
        </w:tc>
        <w:tc>
          <w:tcPr>
            <w:tcW w:w="993" w:type="dxa"/>
            <w:vAlign w:val="center"/>
          </w:tcPr>
          <w:p w14:paraId="51097295">
            <w:pPr>
              <w:autoSpaceDE w:val="0"/>
              <w:autoSpaceDN w:val="0"/>
              <w:adjustRightInd w:val="0"/>
              <w:spacing w:line="360" w:lineRule="auto"/>
              <w:jc w:val="center"/>
              <w:rPr>
                <w:rFonts w:ascii="宋体" w:hAnsi="宋体"/>
                <w:kern w:val="0"/>
                <w:szCs w:val="21"/>
              </w:rPr>
            </w:pPr>
          </w:p>
        </w:tc>
        <w:tc>
          <w:tcPr>
            <w:tcW w:w="850" w:type="dxa"/>
            <w:vAlign w:val="center"/>
          </w:tcPr>
          <w:p w14:paraId="363B51CE">
            <w:pPr>
              <w:autoSpaceDE w:val="0"/>
              <w:autoSpaceDN w:val="0"/>
              <w:adjustRightInd w:val="0"/>
              <w:spacing w:line="360" w:lineRule="auto"/>
              <w:jc w:val="center"/>
              <w:rPr>
                <w:rFonts w:ascii="宋体" w:hAnsi="宋体"/>
                <w:kern w:val="0"/>
                <w:szCs w:val="21"/>
              </w:rPr>
            </w:pPr>
          </w:p>
        </w:tc>
        <w:tc>
          <w:tcPr>
            <w:tcW w:w="1072" w:type="dxa"/>
            <w:vAlign w:val="center"/>
          </w:tcPr>
          <w:p w14:paraId="18E24DBE">
            <w:pPr>
              <w:autoSpaceDE w:val="0"/>
              <w:autoSpaceDN w:val="0"/>
              <w:adjustRightInd w:val="0"/>
              <w:spacing w:line="360" w:lineRule="auto"/>
              <w:jc w:val="center"/>
              <w:rPr>
                <w:rFonts w:ascii="宋体" w:hAnsi="宋体"/>
                <w:kern w:val="0"/>
                <w:szCs w:val="21"/>
              </w:rPr>
            </w:pPr>
          </w:p>
        </w:tc>
        <w:tc>
          <w:tcPr>
            <w:tcW w:w="1196" w:type="dxa"/>
            <w:vAlign w:val="center"/>
          </w:tcPr>
          <w:p w14:paraId="26933288">
            <w:pPr>
              <w:rPr>
                <w:rFonts w:ascii="宋体" w:hAnsi="宋体"/>
                <w:szCs w:val="21"/>
              </w:rPr>
            </w:pPr>
            <w:r>
              <w:rPr>
                <w:rFonts w:hint="eastAsia" w:ascii="宋体" w:hAnsi="宋体"/>
                <w:szCs w:val="21"/>
              </w:rPr>
              <w:t xml:space="preserve">专职：□ </w:t>
            </w:r>
          </w:p>
          <w:p w14:paraId="318C8F9F">
            <w:pPr>
              <w:autoSpaceDE w:val="0"/>
              <w:autoSpaceDN w:val="0"/>
              <w:adjustRightInd w:val="0"/>
              <w:spacing w:line="360" w:lineRule="auto"/>
              <w:jc w:val="center"/>
              <w:rPr>
                <w:rFonts w:ascii="宋体" w:hAnsi="宋体"/>
                <w:kern w:val="0"/>
                <w:szCs w:val="21"/>
              </w:rPr>
            </w:pPr>
            <w:r>
              <w:rPr>
                <w:rFonts w:hint="eastAsia" w:ascii="宋体" w:hAnsi="宋体"/>
                <w:szCs w:val="21"/>
              </w:rPr>
              <w:t>兼职：□</w:t>
            </w:r>
          </w:p>
        </w:tc>
      </w:tr>
      <w:tr w14:paraId="25184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center"/>
          </w:tcPr>
          <w:p w14:paraId="7C13E3A8">
            <w:pPr>
              <w:autoSpaceDE w:val="0"/>
              <w:autoSpaceDN w:val="0"/>
              <w:adjustRightInd w:val="0"/>
              <w:spacing w:line="360" w:lineRule="auto"/>
              <w:jc w:val="center"/>
              <w:rPr>
                <w:rFonts w:ascii="宋体" w:hAnsi="宋体"/>
                <w:kern w:val="0"/>
                <w:szCs w:val="21"/>
              </w:rPr>
            </w:pPr>
            <w:r>
              <w:rPr>
                <w:rFonts w:hint="eastAsia" w:ascii="宋体" w:hAnsi="宋体"/>
                <w:kern w:val="0"/>
                <w:szCs w:val="21"/>
              </w:rPr>
              <w:t>机械员</w:t>
            </w:r>
          </w:p>
        </w:tc>
        <w:tc>
          <w:tcPr>
            <w:tcW w:w="850" w:type="dxa"/>
            <w:vAlign w:val="center"/>
          </w:tcPr>
          <w:p w14:paraId="1248A342">
            <w:pPr>
              <w:autoSpaceDE w:val="0"/>
              <w:autoSpaceDN w:val="0"/>
              <w:adjustRightInd w:val="0"/>
              <w:spacing w:line="360" w:lineRule="auto"/>
              <w:jc w:val="center"/>
              <w:rPr>
                <w:rFonts w:ascii="宋体" w:hAnsi="宋体"/>
                <w:kern w:val="0"/>
                <w:szCs w:val="21"/>
              </w:rPr>
            </w:pPr>
          </w:p>
        </w:tc>
        <w:tc>
          <w:tcPr>
            <w:tcW w:w="723" w:type="dxa"/>
            <w:vAlign w:val="center"/>
          </w:tcPr>
          <w:p w14:paraId="3E250406">
            <w:pPr>
              <w:autoSpaceDE w:val="0"/>
              <w:autoSpaceDN w:val="0"/>
              <w:adjustRightInd w:val="0"/>
              <w:spacing w:line="360" w:lineRule="auto"/>
              <w:jc w:val="center"/>
              <w:rPr>
                <w:rFonts w:ascii="宋体" w:hAnsi="宋体"/>
                <w:kern w:val="0"/>
                <w:szCs w:val="21"/>
              </w:rPr>
            </w:pPr>
          </w:p>
        </w:tc>
        <w:tc>
          <w:tcPr>
            <w:tcW w:w="1276" w:type="dxa"/>
            <w:vAlign w:val="center"/>
          </w:tcPr>
          <w:p w14:paraId="7D3E081B">
            <w:pPr>
              <w:autoSpaceDE w:val="0"/>
              <w:autoSpaceDN w:val="0"/>
              <w:adjustRightInd w:val="0"/>
              <w:spacing w:line="360" w:lineRule="auto"/>
              <w:jc w:val="center"/>
              <w:rPr>
                <w:rFonts w:ascii="宋体" w:hAnsi="宋体"/>
                <w:kern w:val="0"/>
                <w:szCs w:val="21"/>
              </w:rPr>
            </w:pPr>
          </w:p>
        </w:tc>
        <w:tc>
          <w:tcPr>
            <w:tcW w:w="1275" w:type="dxa"/>
            <w:vAlign w:val="center"/>
          </w:tcPr>
          <w:p w14:paraId="3F032DFF">
            <w:pPr>
              <w:autoSpaceDE w:val="0"/>
              <w:autoSpaceDN w:val="0"/>
              <w:adjustRightInd w:val="0"/>
              <w:spacing w:line="360" w:lineRule="auto"/>
              <w:jc w:val="center"/>
              <w:rPr>
                <w:rFonts w:ascii="宋体" w:hAnsi="宋体"/>
                <w:kern w:val="0"/>
                <w:szCs w:val="21"/>
              </w:rPr>
            </w:pPr>
          </w:p>
        </w:tc>
        <w:tc>
          <w:tcPr>
            <w:tcW w:w="993" w:type="dxa"/>
            <w:vAlign w:val="center"/>
          </w:tcPr>
          <w:p w14:paraId="3E22B8A4">
            <w:pPr>
              <w:autoSpaceDE w:val="0"/>
              <w:autoSpaceDN w:val="0"/>
              <w:adjustRightInd w:val="0"/>
              <w:spacing w:line="360" w:lineRule="auto"/>
              <w:jc w:val="center"/>
              <w:rPr>
                <w:rFonts w:ascii="宋体" w:hAnsi="宋体"/>
                <w:kern w:val="0"/>
                <w:szCs w:val="21"/>
              </w:rPr>
            </w:pPr>
          </w:p>
        </w:tc>
        <w:tc>
          <w:tcPr>
            <w:tcW w:w="850" w:type="dxa"/>
            <w:vAlign w:val="center"/>
          </w:tcPr>
          <w:p w14:paraId="34F078EB">
            <w:pPr>
              <w:autoSpaceDE w:val="0"/>
              <w:autoSpaceDN w:val="0"/>
              <w:adjustRightInd w:val="0"/>
              <w:spacing w:line="360" w:lineRule="auto"/>
              <w:jc w:val="center"/>
              <w:rPr>
                <w:rFonts w:ascii="宋体" w:hAnsi="宋体"/>
                <w:kern w:val="0"/>
                <w:szCs w:val="21"/>
              </w:rPr>
            </w:pPr>
          </w:p>
        </w:tc>
        <w:tc>
          <w:tcPr>
            <w:tcW w:w="1072" w:type="dxa"/>
            <w:vAlign w:val="center"/>
          </w:tcPr>
          <w:p w14:paraId="23417712">
            <w:pPr>
              <w:autoSpaceDE w:val="0"/>
              <w:autoSpaceDN w:val="0"/>
              <w:adjustRightInd w:val="0"/>
              <w:spacing w:line="360" w:lineRule="auto"/>
              <w:jc w:val="center"/>
              <w:rPr>
                <w:rFonts w:ascii="宋体" w:hAnsi="宋体"/>
                <w:kern w:val="0"/>
                <w:szCs w:val="21"/>
              </w:rPr>
            </w:pPr>
          </w:p>
        </w:tc>
        <w:tc>
          <w:tcPr>
            <w:tcW w:w="1196" w:type="dxa"/>
            <w:vAlign w:val="center"/>
          </w:tcPr>
          <w:p w14:paraId="586B8AE2">
            <w:pPr>
              <w:rPr>
                <w:rFonts w:ascii="宋体" w:hAnsi="宋体"/>
                <w:szCs w:val="21"/>
              </w:rPr>
            </w:pPr>
            <w:r>
              <w:rPr>
                <w:rFonts w:hint="eastAsia" w:ascii="宋体" w:hAnsi="宋体"/>
                <w:szCs w:val="21"/>
              </w:rPr>
              <w:t xml:space="preserve">专职：□ </w:t>
            </w:r>
          </w:p>
          <w:p w14:paraId="1759F2FD">
            <w:pPr>
              <w:autoSpaceDE w:val="0"/>
              <w:autoSpaceDN w:val="0"/>
              <w:adjustRightInd w:val="0"/>
              <w:spacing w:line="360" w:lineRule="auto"/>
              <w:jc w:val="center"/>
              <w:rPr>
                <w:rFonts w:ascii="宋体" w:hAnsi="宋体"/>
                <w:kern w:val="0"/>
                <w:szCs w:val="21"/>
              </w:rPr>
            </w:pPr>
            <w:r>
              <w:rPr>
                <w:rFonts w:hint="eastAsia" w:ascii="宋体" w:hAnsi="宋体"/>
                <w:szCs w:val="21"/>
              </w:rPr>
              <w:t>兼职：□</w:t>
            </w:r>
          </w:p>
        </w:tc>
      </w:tr>
      <w:tr w14:paraId="5DEAC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center"/>
          </w:tcPr>
          <w:p w14:paraId="4F0BEACA">
            <w:pPr>
              <w:autoSpaceDE w:val="0"/>
              <w:autoSpaceDN w:val="0"/>
              <w:adjustRightInd w:val="0"/>
              <w:spacing w:line="360" w:lineRule="auto"/>
              <w:jc w:val="center"/>
              <w:rPr>
                <w:rFonts w:ascii="宋体" w:hAnsi="宋体"/>
                <w:kern w:val="0"/>
                <w:szCs w:val="21"/>
              </w:rPr>
            </w:pPr>
            <w:r>
              <w:rPr>
                <w:rFonts w:hint="eastAsia" w:ascii="宋体" w:hAnsi="宋体"/>
                <w:kern w:val="0"/>
                <w:szCs w:val="21"/>
              </w:rPr>
              <w:t>劳务员</w:t>
            </w:r>
          </w:p>
        </w:tc>
        <w:tc>
          <w:tcPr>
            <w:tcW w:w="850" w:type="dxa"/>
            <w:vAlign w:val="center"/>
          </w:tcPr>
          <w:p w14:paraId="033C4DD2">
            <w:pPr>
              <w:autoSpaceDE w:val="0"/>
              <w:autoSpaceDN w:val="0"/>
              <w:adjustRightInd w:val="0"/>
              <w:spacing w:line="360" w:lineRule="auto"/>
              <w:jc w:val="center"/>
              <w:rPr>
                <w:rFonts w:ascii="宋体" w:hAnsi="宋体"/>
                <w:kern w:val="0"/>
                <w:szCs w:val="21"/>
              </w:rPr>
            </w:pPr>
          </w:p>
        </w:tc>
        <w:tc>
          <w:tcPr>
            <w:tcW w:w="723" w:type="dxa"/>
            <w:vAlign w:val="center"/>
          </w:tcPr>
          <w:p w14:paraId="557D537F">
            <w:pPr>
              <w:autoSpaceDE w:val="0"/>
              <w:autoSpaceDN w:val="0"/>
              <w:adjustRightInd w:val="0"/>
              <w:spacing w:line="360" w:lineRule="auto"/>
              <w:jc w:val="center"/>
              <w:rPr>
                <w:rFonts w:ascii="宋体" w:hAnsi="宋体"/>
                <w:kern w:val="0"/>
                <w:szCs w:val="21"/>
              </w:rPr>
            </w:pPr>
          </w:p>
        </w:tc>
        <w:tc>
          <w:tcPr>
            <w:tcW w:w="1276" w:type="dxa"/>
            <w:vAlign w:val="center"/>
          </w:tcPr>
          <w:p w14:paraId="76A5FF63">
            <w:pPr>
              <w:autoSpaceDE w:val="0"/>
              <w:autoSpaceDN w:val="0"/>
              <w:adjustRightInd w:val="0"/>
              <w:spacing w:line="360" w:lineRule="auto"/>
              <w:jc w:val="center"/>
              <w:rPr>
                <w:rFonts w:ascii="宋体" w:hAnsi="宋体"/>
                <w:kern w:val="0"/>
                <w:szCs w:val="21"/>
              </w:rPr>
            </w:pPr>
          </w:p>
        </w:tc>
        <w:tc>
          <w:tcPr>
            <w:tcW w:w="1275" w:type="dxa"/>
            <w:vAlign w:val="center"/>
          </w:tcPr>
          <w:p w14:paraId="5BA8600B">
            <w:pPr>
              <w:autoSpaceDE w:val="0"/>
              <w:autoSpaceDN w:val="0"/>
              <w:adjustRightInd w:val="0"/>
              <w:spacing w:line="360" w:lineRule="auto"/>
              <w:jc w:val="center"/>
              <w:rPr>
                <w:rFonts w:ascii="宋体" w:hAnsi="宋体"/>
                <w:kern w:val="0"/>
                <w:szCs w:val="21"/>
              </w:rPr>
            </w:pPr>
          </w:p>
        </w:tc>
        <w:tc>
          <w:tcPr>
            <w:tcW w:w="993" w:type="dxa"/>
            <w:vAlign w:val="center"/>
          </w:tcPr>
          <w:p w14:paraId="10A7B620">
            <w:pPr>
              <w:autoSpaceDE w:val="0"/>
              <w:autoSpaceDN w:val="0"/>
              <w:adjustRightInd w:val="0"/>
              <w:spacing w:line="360" w:lineRule="auto"/>
              <w:jc w:val="center"/>
              <w:rPr>
                <w:rFonts w:ascii="宋体" w:hAnsi="宋体"/>
                <w:kern w:val="0"/>
                <w:szCs w:val="21"/>
              </w:rPr>
            </w:pPr>
          </w:p>
        </w:tc>
        <w:tc>
          <w:tcPr>
            <w:tcW w:w="850" w:type="dxa"/>
            <w:vAlign w:val="center"/>
          </w:tcPr>
          <w:p w14:paraId="3D44CEAF">
            <w:pPr>
              <w:autoSpaceDE w:val="0"/>
              <w:autoSpaceDN w:val="0"/>
              <w:adjustRightInd w:val="0"/>
              <w:spacing w:line="360" w:lineRule="auto"/>
              <w:jc w:val="center"/>
              <w:rPr>
                <w:rFonts w:ascii="宋体" w:hAnsi="宋体"/>
                <w:kern w:val="0"/>
                <w:szCs w:val="21"/>
              </w:rPr>
            </w:pPr>
          </w:p>
        </w:tc>
        <w:tc>
          <w:tcPr>
            <w:tcW w:w="1072" w:type="dxa"/>
            <w:vAlign w:val="center"/>
          </w:tcPr>
          <w:p w14:paraId="59891CFC">
            <w:pPr>
              <w:autoSpaceDE w:val="0"/>
              <w:autoSpaceDN w:val="0"/>
              <w:adjustRightInd w:val="0"/>
              <w:spacing w:line="360" w:lineRule="auto"/>
              <w:jc w:val="center"/>
              <w:rPr>
                <w:rFonts w:ascii="宋体" w:hAnsi="宋体"/>
                <w:kern w:val="0"/>
                <w:szCs w:val="21"/>
              </w:rPr>
            </w:pPr>
          </w:p>
        </w:tc>
        <w:tc>
          <w:tcPr>
            <w:tcW w:w="1196" w:type="dxa"/>
            <w:vAlign w:val="center"/>
          </w:tcPr>
          <w:p w14:paraId="11939C5E">
            <w:pPr>
              <w:rPr>
                <w:rFonts w:ascii="宋体" w:hAnsi="宋体"/>
                <w:szCs w:val="21"/>
              </w:rPr>
            </w:pPr>
            <w:r>
              <w:rPr>
                <w:rFonts w:hint="eastAsia" w:ascii="宋体" w:hAnsi="宋体"/>
                <w:szCs w:val="21"/>
              </w:rPr>
              <w:t xml:space="preserve">专职：□ </w:t>
            </w:r>
          </w:p>
          <w:p w14:paraId="2449F695">
            <w:pPr>
              <w:autoSpaceDE w:val="0"/>
              <w:autoSpaceDN w:val="0"/>
              <w:adjustRightInd w:val="0"/>
              <w:spacing w:line="360" w:lineRule="auto"/>
              <w:jc w:val="center"/>
              <w:rPr>
                <w:rFonts w:ascii="宋体" w:hAnsi="宋体"/>
                <w:kern w:val="0"/>
                <w:szCs w:val="21"/>
              </w:rPr>
            </w:pPr>
            <w:r>
              <w:rPr>
                <w:rFonts w:hint="eastAsia" w:ascii="宋体" w:hAnsi="宋体"/>
                <w:szCs w:val="21"/>
              </w:rPr>
              <w:t>兼职：□</w:t>
            </w:r>
          </w:p>
        </w:tc>
      </w:tr>
      <w:tr w14:paraId="2A8C3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center"/>
          </w:tcPr>
          <w:p w14:paraId="119B6212">
            <w:pPr>
              <w:autoSpaceDE w:val="0"/>
              <w:autoSpaceDN w:val="0"/>
              <w:adjustRightInd w:val="0"/>
              <w:spacing w:line="360" w:lineRule="auto"/>
              <w:jc w:val="center"/>
              <w:rPr>
                <w:rFonts w:ascii="宋体" w:hAnsi="宋体"/>
                <w:kern w:val="0"/>
                <w:szCs w:val="21"/>
              </w:rPr>
            </w:pPr>
            <w:r>
              <w:rPr>
                <w:rFonts w:hint="eastAsia" w:ascii="宋体" w:hAnsi="宋体"/>
                <w:kern w:val="0"/>
                <w:szCs w:val="21"/>
              </w:rPr>
              <w:t>资料员</w:t>
            </w:r>
          </w:p>
        </w:tc>
        <w:tc>
          <w:tcPr>
            <w:tcW w:w="850" w:type="dxa"/>
            <w:vAlign w:val="center"/>
          </w:tcPr>
          <w:p w14:paraId="36F04D30">
            <w:pPr>
              <w:autoSpaceDE w:val="0"/>
              <w:autoSpaceDN w:val="0"/>
              <w:adjustRightInd w:val="0"/>
              <w:spacing w:line="360" w:lineRule="auto"/>
              <w:jc w:val="center"/>
              <w:rPr>
                <w:rFonts w:ascii="宋体" w:hAnsi="宋体"/>
                <w:kern w:val="0"/>
                <w:szCs w:val="21"/>
              </w:rPr>
            </w:pPr>
          </w:p>
        </w:tc>
        <w:tc>
          <w:tcPr>
            <w:tcW w:w="723" w:type="dxa"/>
            <w:vAlign w:val="center"/>
          </w:tcPr>
          <w:p w14:paraId="477FD716">
            <w:pPr>
              <w:autoSpaceDE w:val="0"/>
              <w:autoSpaceDN w:val="0"/>
              <w:adjustRightInd w:val="0"/>
              <w:spacing w:line="360" w:lineRule="auto"/>
              <w:jc w:val="center"/>
              <w:rPr>
                <w:rFonts w:ascii="宋体" w:hAnsi="宋体"/>
                <w:kern w:val="0"/>
                <w:szCs w:val="21"/>
              </w:rPr>
            </w:pPr>
          </w:p>
        </w:tc>
        <w:tc>
          <w:tcPr>
            <w:tcW w:w="1276" w:type="dxa"/>
            <w:vAlign w:val="center"/>
          </w:tcPr>
          <w:p w14:paraId="50FBF0DD">
            <w:pPr>
              <w:autoSpaceDE w:val="0"/>
              <w:autoSpaceDN w:val="0"/>
              <w:adjustRightInd w:val="0"/>
              <w:spacing w:line="360" w:lineRule="auto"/>
              <w:jc w:val="center"/>
              <w:rPr>
                <w:rFonts w:ascii="宋体" w:hAnsi="宋体"/>
                <w:kern w:val="0"/>
                <w:szCs w:val="21"/>
              </w:rPr>
            </w:pPr>
          </w:p>
        </w:tc>
        <w:tc>
          <w:tcPr>
            <w:tcW w:w="1275" w:type="dxa"/>
            <w:vAlign w:val="center"/>
          </w:tcPr>
          <w:p w14:paraId="7C78DD8A">
            <w:pPr>
              <w:autoSpaceDE w:val="0"/>
              <w:autoSpaceDN w:val="0"/>
              <w:adjustRightInd w:val="0"/>
              <w:spacing w:line="360" w:lineRule="auto"/>
              <w:jc w:val="center"/>
              <w:rPr>
                <w:rFonts w:ascii="宋体" w:hAnsi="宋体"/>
                <w:kern w:val="0"/>
                <w:szCs w:val="21"/>
              </w:rPr>
            </w:pPr>
          </w:p>
        </w:tc>
        <w:tc>
          <w:tcPr>
            <w:tcW w:w="993" w:type="dxa"/>
            <w:vAlign w:val="center"/>
          </w:tcPr>
          <w:p w14:paraId="1C7CA225">
            <w:pPr>
              <w:autoSpaceDE w:val="0"/>
              <w:autoSpaceDN w:val="0"/>
              <w:adjustRightInd w:val="0"/>
              <w:spacing w:line="360" w:lineRule="auto"/>
              <w:jc w:val="center"/>
              <w:rPr>
                <w:rFonts w:ascii="宋体" w:hAnsi="宋体"/>
                <w:kern w:val="0"/>
                <w:szCs w:val="21"/>
              </w:rPr>
            </w:pPr>
          </w:p>
        </w:tc>
        <w:tc>
          <w:tcPr>
            <w:tcW w:w="850" w:type="dxa"/>
            <w:vAlign w:val="center"/>
          </w:tcPr>
          <w:p w14:paraId="3ABBB75B">
            <w:pPr>
              <w:autoSpaceDE w:val="0"/>
              <w:autoSpaceDN w:val="0"/>
              <w:adjustRightInd w:val="0"/>
              <w:spacing w:line="360" w:lineRule="auto"/>
              <w:jc w:val="center"/>
              <w:rPr>
                <w:rFonts w:ascii="宋体" w:hAnsi="宋体"/>
                <w:kern w:val="0"/>
                <w:szCs w:val="21"/>
              </w:rPr>
            </w:pPr>
          </w:p>
        </w:tc>
        <w:tc>
          <w:tcPr>
            <w:tcW w:w="1072" w:type="dxa"/>
            <w:vAlign w:val="center"/>
          </w:tcPr>
          <w:p w14:paraId="5A98ACED">
            <w:pPr>
              <w:autoSpaceDE w:val="0"/>
              <w:autoSpaceDN w:val="0"/>
              <w:adjustRightInd w:val="0"/>
              <w:spacing w:line="360" w:lineRule="auto"/>
              <w:jc w:val="center"/>
              <w:rPr>
                <w:rFonts w:ascii="宋体" w:hAnsi="宋体"/>
                <w:kern w:val="0"/>
                <w:szCs w:val="21"/>
              </w:rPr>
            </w:pPr>
          </w:p>
        </w:tc>
        <w:tc>
          <w:tcPr>
            <w:tcW w:w="1196" w:type="dxa"/>
            <w:vAlign w:val="center"/>
          </w:tcPr>
          <w:p w14:paraId="40E53759">
            <w:pPr>
              <w:rPr>
                <w:rFonts w:ascii="宋体" w:hAnsi="宋体"/>
                <w:szCs w:val="21"/>
              </w:rPr>
            </w:pPr>
            <w:r>
              <w:rPr>
                <w:rFonts w:hint="eastAsia" w:ascii="宋体" w:hAnsi="宋体"/>
                <w:szCs w:val="21"/>
              </w:rPr>
              <w:t xml:space="preserve">专职：□ </w:t>
            </w:r>
          </w:p>
          <w:p w14:paraId="240D2B32">
            <w:pPr>
              <w:autoSpaceDE w:val="0"/>
              <w:autoSpaceDN w:val="0"/>
              <w:adjustRightInd w:val="0"/>
              <w:spacing w:line="360" w:lineRule="auto"/>
              <w:jc w:val="center"/>
              <w:rPr>
                <w:rFonts w:ascii="宋体" w:hAnsi="宋体"/>
                <w:kern w:val="0"/>
                <w:szCs w:val="21"/>
              </w:rPr>
            </w:pPr>
            <w:r>
              <w:rPr>
                <w:rFonts w:hint="eastAsia" w:ascii="宋体" w:hAnsi="宋体"/>
                <w:szCs w:val="21"/>
              </w:rPr>
              <w:t>兼职：□</w:t>
            </w:r>
          </w:p>
        </w:tc>
      </w:tr>
    </w:tbl>
    <w:p w14:paraId="1797CB2F">
      <w:pPr>
        <w:spacing w:line="420" w:lineRule="exact"/>
        <w:rPr>
          <w:rFonts w:ascii="宋体" w:hAnsi="宋体"/>
          <w:kern w:val="0"/>
        </w:rPr>
      </w:pPr>
      <w:r>
        <w:rPr>
          <w:rFonts w:hint="eastAsia" w:ascii="宋体" w:hAnsi="宋体"/>
          <w:kern w:val="0"/>
        </w:rPr>
        <w:t>注：1.表中“岗位要求”一栏，“专职”“兼职”由投标人在“</w:t>
      </w:r>
      <w:r>
        <w:rPr>
          <w:rFonts w:hint="eastAsia" w:ascii="宋体" w:hAnsi="宋体"/>
        </w:rPr>
        <w:t>□</w:t>
      </w:r>
      <w:r>
        <w:rPr>
          <w:rFonts w:hint="eastAsia" w:ascii="宋体" w:hAnsi="宋体"/>
          <w:kern w:val="0"/>
        </w:rPr>
        <w:t>”内打“√”</w:t>
      </w:r>
    </w:p>
    <w:p w14:paraId="2F9C2306">
      <w:pPr>
        <w:spacing w:line="420" w:lineRule="exact"/>
        <w:ind w:left="420"/>
        <w:rPr>
          <w:rFonts w:hint="eastAsia" w:ascii="宋体" w:hAnsi="宋体"/>
          <w:kern w:val="0"/>
        </w:rPr>
      </w:pPr>
      <w:r>
        <w:rPr>
          <w:rFonts w:hint="eastAsia" w:ascii="宋体" w:hAnsi="宋体"/>
          <w:kern w:val="0"/>
        </w:rPr>
        <w:t>2.相关证书及资料附后。</w:t>
      </w:r>
    </w:p>
    <w:p w14:paraId="40E496CF">
      <w:pPr>
        <w:rPr>
          <w:rFonts w:hint="eastAsia" w:ascii="宋体" w:hAnsi="宋体"/>
          <w:kern w:val="0"/>
        </w:rPr>
      </w:pPr>
      <w:r>
        <w:rPr>
          <w:rFonts w:hint="eastAsia" w:ascii="宋体" w:hAnsi="宋体"/>
          <w:kern w:val="0"/>
        </w:rPr>
        <w:br w:type="page"/>
      </w:r>
    </w:p>
    <w:p w14:paraId="480A39E9">
      <w:pPr>
        <w:pStyle w:val="72"/>
      </w:pPr>
    </w:p>
    <w:p w14:paraId="708709B9">
      <w:pPr>
        <w:pStyle w:val="6"/>
        <w:spacing w:before="157"/>
      </w:pPr>
      <w:bookmarkStart w:id="2397" w:name="_Toc474179245"/>
      <w:bookmarkStart w:id="2398" w:name="_Toc144974873"/>
      <w:bookmarkStart w:id="2399" w:name="_Toc179632825"/>
      <w:bookmarkStart w:id="2400" w:name="_Toc97752060"/>
      <w:bookmarkStart w:id="2401" w:name="_Toc152042594"/>
      <w:bookmarkStart w:id="2402" w:name="_Toc85443525"/>
      <w:bookmarkStart w:id="2403" w:name="_Toc527485333"/>
      <w:bookmarkStart w:id="2404" w:name="_Toc300835232"/>
      <w:bookmarkStart w:id="2405" w:name="_Toc474179009"/>
      <w:bookmarkStart w:id="2406" w:name="_Toc474178540"/>
      <w:bookmarkStart w:id="2407" w:name="_Toc480918968"/>
      <w:bookmarkStart w:id="2408" w:name="_Toc499310095"/>
      <w:bookmarkStart w:id="2409" w:name="_Toc451244256"/>
      <w:bookmarkStart w:id="2410" w:name="_Toc480918823"/>
      <w:bookmarkStart w:id="2411" w:name="_Toc499310665"/>
      <w:bookmarkStart w:id="2412" w:name="_Toc23804"/>
      <w:bookmarkStart w:id="2413" w:name="_Toc480918591"/>
      <w:bookmarkStart w:id="2414" w:name="_Toc152045805"/>
      <w:r>
        <w:rPr>
          <w:rFonts w:hint="eastAsia"/>
        </w:rPr>
        <w:t>（七）主要人员简历表</w:t>
      </w:r>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p>
    <w:p w14:paraId="61975A24">
      <w:pPr>
        <w:spacing w:line="400" w:lineRule="exact"/>
        <w:ind w:left="420"/>
        <w:rPr>
          <w:rFonts w:ascii="宋体" w:hAnsi="宋体"/>
        </w:rPr>
      </w:pPr>
      <w:r>
        <w:rPr>
          <w:rFonts w:hint="eastAsia" w:ascii="宋体" w:hAnsi="宋体"/>
        </w:rPr>
        <w:t>主要人员简历表”中提供拟派项目经理、技术负责人的相关资料。</w:t>
      </w:r>
    </w:p>
    <w:p w14:paraId="3E803345">
      <w:pPr>
        <w:topLinePunct/>
        <w:spacing w:line="440" w:lineRule="exact"/>
        <w:ind w:firstLine="420" w:firstLineChars="200"/>
      </w:pPr>
      <w:r>
        <w:rPr>
          <w:rFonts w:hint="eastAsia"/>
        </w:rPr>
        <w:t>技术负责人应附身份证、职称证、学历证复印件。</w:t>
      </w:r>
    </w:p>
    <w:tbl>
      <w:tblPr>
        <w:tblStyle w:val="7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357"/>
        <w:gridCol w:w="722"/>
        <w:gridCol w:w="927"/>
        <w:gridCol w:w="1065"/>
        <w:gridCol w:w="706"/>
        <w:gridCol w:w="1261"/>
        <w:gridCol w:w="163"/>
        <w:gridCol w:w="2134"/>
      </w:tblGrid>
      <w:tr w14:paraId="333EB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7" w:type="dxa"/>
            <w:vAlign w:val="center"/>
          </w:tcPr>
          <w:p w14:paraId="4E85C968">
            <w:pPr>
              <w:spacing w:line="440" w:lineRule="exact"/>
              <w:jc w:val="center"/>
              <w:rPr>
                <w:rFonts w:ascii="宋体" w:hAnsi="宋体"/>
                <w:szCs w:val="21"/>
              </w:rPr>
            </w:pPr>
            <w:r>
              <w:rPr>
                <w:rFonts w:ascii="宋体" w:hAnsi="宋体"/>
                <w:szCs w:val="21"/>
              </w:rPr>
              <w:t>姓  名</w:t>
            </w:r>
          </w:p>
        </w:tc>
        <w:tc>
          <w:tcPr>
            <w:tcW w:w="1079" w:type="dxa"/>
            <w:gridSpan w:val="2"/>
            <w:vAlign w:val="center"/>
          </w:tcPr>
          <w:p w14:paraId="534A2196">
            <w:pPr>
              <w:spacing w:line="440" w:lineRule="exact"/>
              <w:jc w:val="center"/>
              <w:rPr>
                <w:rFonts w:ascii="宋体" w:hAnsi="宋体"/>
                <w:szCs w:val="21"/>
              </w:rPr>
            </w:pPr>
          </w:p>
        </w:tc>
        <w:tc>
          <w:tcPr>
            <w:tcW w:w="927" w:type="dxa"/>
            <w:vAlign w:val="center"/>
          </w:tcPr>
          <w:p w14:paraId="6D46D9AE">
            <w:pPr>
              <w:spacing w:line="440" w:lineRule="exact"/>
              <w:jc w:val="center"/>
              <w:rPr>
                <w:rFonts w:ascii="宋体" w:hAnsi="宋体"/>
                <w:szCs w:val="21"/>
              </w:rPr>
            </w:pPr>
            <w:r>
              <w:rPr>
                <w:rFonts w:ascii="宋体" w:hAnsi="宋体"/>
                <w:szCs w:val="21"/>
              </w:rPr>
              <w:t>年 龄</w:t>
            </w:r>
          </w:p>
        </w:tc>
        <w:tc>
          <w:tcPr>
            <w:tcW w:w="1065" w:type="dxa"/>
            <w:vAlign w:val="center"/>
          </w:tcPr>
          <w:p w14:paraId="502BFA5B">
            <w:pPr>
              <w:spacing w:line="440" w:lineRule="exact"/>
              <w:jc w:val="center"/>
              <w:rPr>
                <w:rFonts w:ascii="宋体" w:hAnsi="宋体"/>
                <w:szCs w:val="21"/>
              </w:rPr>
            </w:pPr>
          </w:p>
        </w:tc>
        <w:tc>
          <w:tcPr>
            <w:tcW w:w="2130" w:type="dxa"/>
            <w:gridSpan w:val="3"/>
            <w:vAlign w:val="center"/>
          </w:tcPr>
          <w:p w14:paraId="7FC8640A">
            <w:pPr>
              <w:spacing w:line="440" w:lineRule="exact"/>
              <w:jc w:val="center"/>
              <w:rPr>
                <w:rFonts w:ascii="宋体" w:hAnsi="宋体"/>
                <w:szCs w:val="21"/>
              </w:rPr>
            </w:pPr>
            <w:r>
              <w:rPr>
                <w:rFonts w:ascii="宋体" w:hAnsi="宋体"/>
                <w:szCs w:val="21"/>
              </w:rPr>
              <w:t>学历</w:t>
            </w:r>
          </w:p>
        </w:tc>
        <w:tc>
          <w:tcPr>
            <w:tcW w:w="2134" w:type="dxa"/>
            <w:vAlign w:val="center"/>
          </w:tcPr>
          <w:p w14:paraId="353F061C">
            <w:pPr>
              <w:spacing w:line="440" w:lineRule="exact"/>
              <w:jc w:val="center"/>
              <w:rPr>
                <w:rFonts w:ascii="宋体" w:hAnsi="宋体"/>
                <w:szCs w:val="21"/>
              </w:rPr>
            </w:pPr>
          </w:p>
        </w:tc>
      </w:tr>
      <w:tr w14:paraId="38FCE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7" w:type="dxa"/>
            <w:vAlign w:val="center"/>
          </w:tcPr>
          <w:p w14:paraId="0B016EF6">
            <w:pPr>
              <w:spacing w:line="440" w:lineRule="exact"/>
              <w:jc w:val="center"/>
              <w:rPr>
                <w:rFonts w:ascii="宋体" w:hAnsi="宋体"/>
                <w:szCs w:val="21"/>
              </w:rPr>
            </w:pPr>
            <w:r>
              <w:rPr>
                <w:rFonts w:ascii="宋体" w:hAnsi="宋体"/>
                <w:szCs w:val="21"/>
              </w:rPr>
              <w:t>职  称</w:t>
            </w:r>
          </w:p>
        </w:tc>
        <w:tc>
          <w:tcPr>
            <w:tcW w:w="1079" w:type="dxa"/>
            <w:gridSpan w:val="2"/>
            <w:vAlign w:val="center"/>
          </w:tcPr>
          <w:p w14:paraId="39684519">
            <w:pPr>
              <w:spacing w:line="440" w:lineRule="exact"/>
              <w:jc w:val="center"/>
              <w:rPr>
                <w:rFonts w:ascii="宋体" w:hAnsi="宋体"/>
                <w:szCs w:val="21"/>
              </w:rPr>
            </w:pPr>
          </w:p>
        </w:tc>
        <w:tc>
          <w:tcPr>
            <w:tcW w:w="927" w:type="dxa"/>
            <w:vAlign w:val="center"/>
          </w:tcPr>
          <w:p w14:paraId="58079B21">
            <w:pPr>
              <w:spacing w:line="440" w:lineRule="exact"/>
              <w:jc w:val="center"/>
              <w:rPr>
                <w:rFonts w:ascii="宋体" w:hAnsi="宋体"/>
                <w:szCs w:val="21"/>
              </w:rPr>
            </w:pPr>
            <w:r>
              <w:rPr>
                <w:rFonts w:ascii="宋体" w:hAnsi="宋体"/>
                <w:szCs w:val="21"/>
              </w:rPr>
              <w:t>职 务</w:t>
            </w:r>
          </w:p>
        </w:tc>
        <w:tc>
          <w:tcPr>
            <w:tcW w:w="1065" w:type="dxa"/>
            <w:vAlign w:val="center"/>
          </w:tcPr>
          <w:p w14:paraId="74387D7B">
            <w:pPr>
              <w:spacing w:line="440" w:lineRule="exact"/>
              <w:jc w:val="center"/>
              <w:rPr>
                <w:rFonts w:ascii="宋体" w:hAnsi="宋体"/>
                <w:szCs w:val="21"/>
              </w:rPr>
            </w:pPr>
          </w:p>
        </w:tc>
        <w:tc>
          <w:tcPr>
            <w:tcW w:w="2130" w:type="dxa"/>
            <w:gridSpan w:val="3"/>
            <w:vAlign w:val="center"/>
          </w:tcPr>
          <w:p w14:paraId="010FFF56">
            <w:pPr>
              <w:spacing w:line="440" w:lineRule="exact"/>
              <w:jc w:val="center"/>
              <w:rPr>
                <w:rFonts w:ascii="宋体" w:hAnsi="宋体"/>
                <w:szCs w:val="21"/>
              </w:rPr>
            </w:pPr>
            <w:r>
              <w:rPr>
                <w:rFonts w:ascii="宋体" w:hAnsi="宋体"/>
                <w:szCs w:val="21"/>
              </w:rPr>
              <w:t>拟在本合同任职</w:t>
            </w:r>
          </w:p>
        </w:tc>
        <w:tc>
          <w:tcPr>
            <w:tcW w:w="2134" w:type="dxa"/>
            <w:vAlign w:val="center"/>
          </w:tcPr>
          <w:p w14:paraId="55BD571C">
            <w:pPr>
              <w:spacing w:line="440" w:lineRule="exact"/>
              <w:jc w:val="center"/>
              <w:rPr>
                <w:rFonts w:ascii="宋体" w:hAnsi="宋体"/>
                <w:szCs w:val="21"/>
              </w:rPr>
            </w:pPr>
          </w:p>
        </w:tc>
      </w:tr>
      <w:tr w14:paraId="0143F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7" w:type="dxa"/>
            <w:vAlign w:val="center"/>
          </w:tcPr>
          <w:p w14:paraId="3BE10767">
            <w:pPr>
              <w:spacing w:line="440" w:lineRule="exact"/>
              <w:jc w:val="center"/>
              <w:rPr>
                <w:rFonts w:ascii="宋体" w:hAnsi="宋体"/>
                <w:szCs w:val="21"/>
              </w:rPr>
            </w:pPr>
            <w:r>
              <w:rPr>
                <w:rFonts w:ascii="宋体" w:hAnsi="宋体"/>
                <w:szCs w:val="21"/>
              </w:rPr>
              <w:t>毕业学校</w:t>
            </w:r>
          </w:p>
        </w:tc>
        <w:tc>
          <w:tcPr>
            <w:tcW w:w="7335" w:type="dxa"/>
            <w:gridSpan w:val="8"/>
          </w:tcPr>
          <w:p w14:paraId="79A58792">
            <w:pPr>
              <w:spacing w:line="440" w:lineRule="exact"/>
              <w:ind w:left="945"/>
              <w:rPr>
                <w:rFonts w:ascii="宋体" w:hAnsi="宋体"/>
                <w:szCs w:val="21"/>
              </w:rPr>
            </w:pPr>
            <w:r>
              <w:rPr>
                <w:rFonts w:ascii="宋体" w:hAnsi="宋体"/>
                <w:szCs w:val="21"/>
              </w:rPr>
              <w:t>年毕业于            学校        专业</w:t>
            </w:r>
          </w:p>
        </w:tc>
      </w:tr>
      <w:tr w14:paraId="39AF0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vAlign w:val="center"/>
          </w:tcPr>
          <w:p w14:paraId="1156D423">
            <w:pPr>
              <w:spacing w:line="440" w:lineRule="exact"/>
              <w:rPr>
                <w:rFonts w:ascii="宋体" w:hAnsi="宋体"/>
                <w:szCs w:val="21"/>
              </w:rPr>
            </w:pPr>
            <w:r>
              <w:rPr>
                <w:rFonts w:ascii="宋体" w:hAnsi="宋体"/>
                <w:szCs w:val="21"/>
              </w:rPr>
              <w:t>主要工作经历</w:t>
            </w:r>
          </w:p>
        </w:tc>
      </w:tr>
      <w:tr w14:paraId="032E0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4" w:type="dxa"/>
            <w:gridSpan w:val="2"/>
            <w:vAlign w:val="center"/>
          </w:tcPr>
          <w:p w14:paraId="5FE84E77">
            <w:pPr>
              <w:spacing w:line="440" w:lineRule="exact"/>
              <w:jc w:val="center"/>
              <w:rPr>
                <w:rFonts w:ascii="宋体" w:hAnsi="宋体"/>
                <w:szCs w:val="21"/>
              </w:rPr>
            </w:pPr>
            <w:r>
              <w:rPr>
                <w:rFonts w:ascii="宋体" w:hAnsi="宋体"/>
                <w:szCs w:val="21"/>
              </w:rPr>
              <w:t>时  间</w:t>
            </w:r>
          </w:p>
        </w:tc>
        <w:tc>
          <w:tcPr>
            <w:tcW w:w="3420" w:type="dxa"/>
            <w:gridSpan w:val="4"/>
            <w:vAlign w:val="center"/>
          </w:tcPr>
          <w:p w14:paraId="5FCD0A4F">
            <w:pPr>
              <w:spacing w:line="440" w:lineRule="exact"/>
              <w:jc w:val="center"/>
              <w:rPr>
                <w:rFonts w:ascii="宋体" w:hAnsi="宋体"/>
                <w:szCs w:val="21"/>
              </w:rPr>
            </w:pPr>
            <w:r>
              <w:rPr>
                <w:rFonts w:ascii="宋体" w:hAnsi="宋体"/>
                <w:szCs w:val="21"/>
              </w:rPr>
              <w:t>参加过的类似项目</w:t>
            </w:r>
          </w:p>
        </w:tc>
        <w:tc>
          <w:tcPr>
            <w:tcW w:w="1261" w:type="dxa"/>
            <w:vAlign w:val="center"/>
          </w:tcPr>
          <w:p w14:paraId="6D652EE0">
            <w:pPr>
              <w:spacing w:line="440" w:lineRule="exact"/>
              <w:jc w:val="center"/>
              <w:rPr>
                <w:rFonts w:ascii="宋体" w:hAnsi="宋体"/>
                <w:szCs w:val="21"/>
              </w:rPr>
            </w:pPr>
            <w:r>
              <w:rPr>
                <w:rFonts w:ascii="宋体" w:hAnsi="宋体"/>
                <w:szCs w:val="21"/>
              </w:rPr>
              <w:t>担任职务</w:t>
            </w:r>
          </w:p>
        </w:tc>
        <w:tc>
          <w:tcPr>
            <w:tcW w:w="2297" w:type="dxa"/>
            <w:gridSpan w:val="2"/>
            <w:vAlign w:val="center"/>
          </w:tcPr>
          <w:p w14:paraId="009605D5">
            <w:pPr>
              <w:spacing w:line="440" w:lineRule="exact"/>
              <w:jc w:val="center"/>
              <w:rPr>
                <w:rFonts w:ascii="宋体" w:hAnsi="宋体"/>
                <w:szCs w:val="21"/>
              </w:rPr>
            </w:pPr>
            <w:r>
              <w:rPr>
                <w:rFonts w:ascii="宋体" w:hAnsi="宋体"/>
                <w:szCs w:val="21"/>
              </w:rPr>
              <w:t>发包人及联系电话</w:t>
            </w:r>
          </w:p>
        </w:tc>
      </w:tr>
      <w:tr w14:paraId="53BA1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tcPr>
          <w:p w14:paraId="3C6F3D9F">
            <w:pPr>
              <w:spacing w:line="440" w:lineRule="exact"/>
              <w:rPr>
                <w:rFonts w:ascii="宋体" w:hAnsi="宋体"/>
                <w:szCs w:val="21"/>
              </w:rPr>
            </w:pPr>
          </w:p>
        </w:tc>
        <w:tc>
          <w:tcPr>
            <w:tcW w:w="3420" w:type="dxa"/>
            <w:gridSpan w:val="4"/>
          </w:tcPr>
          <w:p w14:paraId="22D575E5">
            <w:pPr>
              <w:spacing w:line="440" w:lineRule="exact"/>
              <w:rPr>
                <w:rFonts w:ascii="宋体" w:hAnsi="宋体"/>
                <w:szCs w:val="21"/>
              </w:rPr>
            </w:pPr>
          </w:p>
        </w:tc>
        <w:tc>
          <w:tcPr>
            <w:tcW w:w="1261" w:type="dxa"/>
          </w:tcPr>
          <w:p w14:paraId="1774F644">
            <w:pPr>
              <w:spacing w:line="440" w:lineRule="exact"/>
              <w:rPr>
                <w:rFonts w:ascii="宋体" w:hAnsi="宋体"/>
                <w:szCs w:val="21"/>
              </w:rPr>
            </w:pPr>
          </w:p>
        </w:tc>
        <w:tc>
          <w:tcPr>
            <w:tcW w:w="2297" w:type="dxa"/>
            <w:gridSpan w:val="2"/>
          </w:tcPr>
          <w:p w14:paraId="75E10ADE">
            <w:pPr>
              <w:spacing w:line="440" w:lineRule="exact"/>
              <w:rPr>
                <w:rFonts w:ascii="宋体" w:hAnsi="宋体"/>
                <w:szCs w:val="21"/>
              </w:rPr>
            </w:pPr>
          </w:p>
        </w:tc>
      </w:tr>
      <w:tr w14:paraId="1C518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tcPr>
          <w:p w14:paraId="4FE2523E">
            <w:pPr>
              <w:spacing w:line="440" w:lineRule="exact"/>
              <w:rPr>
                <w:rFonts w:ascii="宋体" w:hAnsi="宋体"/>
                <w:szCs w:val="21"/>
              </w:rPr>
            </w:pPr>
          </w:p>
        </w:tc>
        <w:tc>
          <w:tcPr>
            <w:tcW w:w="3420" w:type="dxa"/>
            <w:gridSpan w:val="4"/>
          </w:tcPr>
          <w:p w14:paraId="0E873547">
            <w:pPr>
              <w:spacing w:line="440" w:lineRule="exact"/>
              <w:rPr>
                <w:rFonts w:ascii="宋体" w:hAnsi="宋体"/>
                <w:szCs w:val="21"/>
              </w:rPr>
            </w:pPr>
          </w:p>
        </w:tc>
        <w:tc>
          <w:tcPr>
            <w:tcW w:w="1261" w:type="dxa"/>
          </w:tcPr>
          <w:p w14:paraId="47DD1B47">
            <w:pPr>
              <w:spacing w:line="440" w:lineRule="exact"/>
              <w:rPr>
                <w:rFonts w:ascii="宋体" w:hAnsi="宋体"/>
                <w:szCs w:val="21"/>
              </w:rPr>
            </w:pPr>
          </w:p>
        </w:tc>
        <w:tc>
          <w:tcPr>
            <w:tcW w:w="2297" w:type="dxa"/>
            <w:gridSpan w:val="2"/>
          </w:tcPr>
          <w:p w14:paraId="69670D7C">
            <w:pPr>
              <w:spacing w:line="440" w:lineRule="exact"/>
              <w:rPr>
                <w:rFonts w:ascii="宋体" w:hAnsi="宋体"/>
                <w:szCs w:val="21"/>
              </w:rPr>
            </w:pPr>
          </w:p>
        </w:tc>
      </w:tr>
      <w:tr w14:paraId="5795C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tcPr>
          <w:p w14:paraId="169D2C50">
            <w:pPr>
              <w:spacing w:line="440" w:lineRule="exact"/>
              <w:rPr>
                <w:rFonts w:ascii="宋体" w:hAnsi="宋体"/>
                <w:szCs w:val="21"/>
              </w:rPr>
            </w:pPr>
          </w:p>
        </w:tc>
        <w:tc>
          <w:tcPr>
            <w:tcW w:w="3420" w:type="dxa"/>
            <w:gridSpan w:val="4"/>
          </w:tcPr>
          <w:p w14:paraId="7A71E81F">
            <w:pPr>
              <w:spacing w:line="440" w:lineRule="exact"/>
              <w:rPr>
                <w:rFonts w:ascii="宋体" w:hAnsi="宋体"/>
                <w:szCs w:val="21"/>
              </w:rPr>
            </w:pPr>
          </w:p>
        </w:tc>
        <w:tc>
          <w:tcPr>
            <w:tcW w:w="1261" w:type="dxa"/>
          </w:tcPr>
          <w:p w14:paraId="18E9DD6A">
            <w:pPr>
              <w:spacing w:line="440" w:lineRule="exact"/>
              <w:rPr>
                <w:rFonts w:ascii="宋体" w:hAnsi="宋体"/>
                <w:szCs w:val="21"/>
              </w:rPr>
            </w:pPr>
          </w:p>
        </w:tc>
        <w:tc>
          <w:tcPr>
            <w:tcW w:w="2297" w:type="dxa"/>
            <w:gridSpan w:val="2"/>
          </w:tcPr>
          <w:p w14:paraId="60B63A48">
            <w:pPr>
              <w:spacing w:line="440" w:lineRule="exact"/>
              <w:rPr>
                <w:rFonts w:ascii="宋体" w:hAnsi="宋体"/>
                <w:szCs w:val="21"/>
              </w:rPr>
            </w:pPr>
          </w:p>
        </w:tc>
      </w:tr>
      <w:tr w14:paraId="5E7D8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662F474A">
            <w:pPr>
              <w:spacing w:line="440" w:lineRule="exact"/>
              <w:rPr>
                <w:rFonts w:ascii="宋体" w:hAnsi="宋体"/>
                <w:szCs w:val="21"/>
              </w:rPr>
            </w:pPr>
          </w:p>
        </w:tc>
        <w:tc>
          <w:tcPr>
            <w:tcW w:w="3420" w:type="dxa"/>
            <w:gridSpan w:val="4"/>
            <w:vAlign w:val="center"/>
          </w:tcPr>
          <w:p w14:paraId="19EFF8C1">
            <w:pPr>
              <w:spacing w:line="440" w:lineRule="exact"/>
              <w:rPr>
                <w:rFonts w:ascii="宋体" w:hAnsi="宋体"/>
                <w:szCs w:val="21"/>
              </w:rPr>
            </w:pPr>
          </w:p>
        </w:tc>
        <w:tc>
          <w:tcPr>
            <w:tcW w:w="1261" w:type="dxa"/>
            <w:vAlign w:val="center"/>
          </w:tcPr>
          <w:p w14:paraId="7CA4587F">
            <w:pPr>
              <w:spacing w:line="440" w:lineRule="exact"/>
              <w:rPr>
                <w:rFonts w:ascii="宋体" w:hAnsi="宋体"/>
                <w:szCs w:val="21"/>
              </w:rPr>
            </w:pPr>
          </w:p>
        </w:tc>
        <w:tc>
          <w:tcPr>
            <w:tcW w:w="2297" w:type="dxa"/>
            <w:gridSpan w:val="2"/>
            <w:vAlign w:val="center"/>
          </w:tcPr>
          <w:p w14:paraId="4A38B3EE">
            <w:pPr>
              <w:spacing w:line="440" w:lineRule="exact"/>
              <w:rPr>
                <w:rFonts w:ascii="宋体" w:hAnsi="宋体"/>
                <w:szCs w:val="21"/>
              </w:rPr>
            </w:pPr>
          </w:p>
        </w:tc>
      </w:tr>
      <w:tr w14:paraId="6CB7D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5D4F0111">
            <w:pPr>
              <w:spacing w:line="440" w:lineRule="exact"/>
              <w:rPr>
                <w:rFonts w:ascii="宋体" w:hAnsi="宋体"/>
                <w:szCs w:val="21"/>
              </w:rPr>
            </w:pPr>
          </w:p>
        </w:tc>
        <w:tc>
          <w:tcPr>
            <w:tcW w:w="3420" w:type="dxa"/>
            <w:gridSpan w:val="4"/>
            <w:vAlign w:val="center"/>
          </w:tcPr>
          <w:p w14:paraId="2022911D">
            <w:pPr>
              <w:spacing w:line="440" w:lineRule="exact"/>
              <w:rPr>
                <w:rFonts w:ascii="宋体" w:hAnsi="宋体"/>
                <w:szCs w:val="21"/>
              </w:rPr>
            </w:pPr>
          </w:p>
        </w:tc>
        <w:tc>
          <w:tcPr>
            <w:tcW w:w="1261" w:type="dxa"/>
            <w:vAlign w:val="center"/>
          </w:tcPr>
          <w:p w14:paraId="7434F0D8">
            <w:pPr>
              <w:spacing w:line="440" w:lineRule="exact"/>
              <w:rPr>
                <w:rFonts w:ascii="宋体" w:hAnsi="宋体"/>
                <w:szCs w:val="21"/>
              </w:rPr>
            </w:pPr>
          </w:p>
        </w:tc>
        <w:tc>
          <w:tcPr>
            <w:tcW w:w="2297" w:type="dxa"/>
            <w:gridSpan w:val="2"/>
            <w:vAlign w:val="center"/>
          </w:tcPr>
          <w:p w14:paraId="155FA688">
            <w:pPr>
              <w:spacing w:line="440" w:lineRule="exact"/>
              <w:rPr>
                <w:rFonts w:ascii="宋体" w:hAnsi="宋体"/>
                <w:szCs w:val="21"/>
              </w:rPr>
            </w:pPr>
          </w:p>
        </w:tc>
      </w:tr>
      <w:tr w14:paraId="3EE69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21C9FEBE">
            <w:pPr>
              <w:spacing w:line="440" w:lineRule="exact"/>
              <w:rPr>
                <w:rFonts w:ascii="宋体" w:hAnsi="宋体"/>
                <w:szCs w:val="21"/>
              </w:rPr>
            </w:pPr>
          </w:p>
        </w:tc>
        <w:tc>
          <w:tcPr>
            <w:tcW w:w="3420" w:type="dxa"/>
            <w:gridSpan w:val="4"/>
            <w:vAlign w:val="center"/>
          </w:tcPr>
          <w:p w14:paraId="46C281B4">
            <w:pPr>
              <w:spacing w:line="440" w:lineRule="exact"/>
              <w:rPr>
                <w:rFonts w:ascii="宋体" w:hAnsi="宋体"/>
                <w:szCs w:val="21"/>
              </w:rPr>
            </w:pPr>
          </w:p>
        </w:tc>
        <w:tc>
          <w:tcPr>
            <w:tcW w:w="1261" w:type="dxa"/>
            <w:vAlign w:val="center"/>
          </w:tcPr>
          <w:p w14:paraId="1A8BF955">
            <w:pPr>
              <w:spacing w:line="440" w:lineRule="exact"/>
              <w:rPr>
                <w:rFonts w:ascii="宋体" w:hAnsi="宋体"/>
                <w:szCs w:val="21"/>
              </w:rPr>
            </w:pPr>
          </w:p>
        </w:tc>
        <w:tc>
          <w:tcPr>
            <w:tcW w:w="2297" w:type="dxa"/>
            <w:gridSpan w:val="2"/>
            <w:vAlign w:val="center"/>
          </w:tcPr>
          <w:p w14:paraId="73708AEF">
            <w:pPr>
              <w:spacing w:line="440" w:lineRule="exact"/>
              <w:rPr>
                <w:rFonts w:ascii="宋体" w:hAnsi="宋体"/>
                <w:szCs w:val="21"/>
              </w:rPr>
            </w:pPr>
          </w:p>
        </w:tc>
      </w:tr>
      <w:tr w14:paraId="3F7EB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3D6BCAFD">
            <w:pPr>
              <w:spacing w:line="440" w:lineRule="exact"/>
              <w:rPr>
                <w:rFonts w:ascii="宋体" w:hAnsi="宋体"/>
                <w:szCs w:val="21"/>
              </w:rPr>
            </w:pPr>
          </w:p>
        </w:tc>
        <w:tc>
          <w:tcPr>
            <w:tcW w:w="3420" w:type="dxa"/>
            <w:gridSpan w:val="4"/>
            <w:vAlign w:val="center"/>
          </w:tcPr>
          <w:p w14:paraId="687A6B98">
            <w:pPr>
              <w:spacing w:line="440" w:lineRule="exact"/>
              <w:rPr>
                <w:rFonts w:ascii="宋体" w:hAnsi="宋体"/>
                <w:szCs w:val="21"/>
              </w:rPr>
            </w:pPr>
          </w:p>
        </w:tc>
        <w:tc>
          <w:tcPr>
            <w:tcW w:w="1261" w:type="dxa"/>
            <w:vAlign w:val="center"/>
          </w:tcPr>
          <w:p w14:paraId="723EADE0">
            <w:pPr>
              <w:spacing w:line="440" w:lineRule="exact"/>
              <w:rPr>
                <w:rFonts w:ascii="宋体" w:hAnsi="宋体"/>
                <w:szCs w:val="21"/>
              </w:rPr>
            </w:pPr>
          </w:p>
        </w:tc>
        <w:tc>
          <w:tcPr>
            <w:tcW w:w="2297" w:type="dxa"/>
            <w:gridSpan w:val="2"/>
            <w:vAlign w:val="center"/>
          </w:tcPr>
          <w:p w14:paraId="0BB9F6CF">
            <w:pPr>
              <w:spacing w:line="440" w:lineRule="exact"/>
              <w:rPr>
                <w:rFonts w:ascii="宋体" w:hAnsi="宋体"/>
                <w:szCs w:val="21"/>
              </w:rPr>
            </w:pPr>
          </w:p>
        </w:tc>
      </w:tr>
      <w:tr w14:paraId="626A6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6602828E">
            <w:pPr>
              <w:spacing w:line="440" w:lineRule="exact"/>
              <w:rPr>
                <w:rFonts w:ascii="宋体" w:hAnsi="宋体"/>
                <w:szCs w:val="21"/>
              </w:rPr>
            </w:pPr>
          </w:p>
        </w:tc>
        <w:tc>
          <w:tcPr>
            <w:tcW w:w="3420" w:type="dxa"/>
            <w:gridSpan w:val="4"/>
            <w:vAlign w:val="center"/>
          </w:tcPr>
          <w:p w14:paraId="180C30F2">
            <w:pPr>
              <w:spacing w:line="440" w:lineRule="exact"/>
              <w:rPr>
                <w:rFonts w:ascii="宋体" w:hAnsi="宋体"/>
                <w:szCs w:val="21"/>
              </w:rPr>
            </w:pPr>
          </w:p>
        </w:tc>
        <w:tc>
          <w:tcPr>
            <w:tcW w:w="1261" w:type="dxa"/>
            <w:vAlign w:val="center"/>
          </w:tcPr>
          <w:p w14:paraId="18A56F6F">
            <w:pPr>
              <w:spacing w:line="440" w:lineRule="exact"/>
              <w:rPr>
                <w:rFonts w:ascii="宋体" w:hAnsi="宋体"/>
                <w:szCs w:val="21"/>
              </w:rPr>
            </w:pPr>
          </w:p>
        </w:tc>
        <w:tc>
          <w:tcPr>
            <w:tcW w:w="2297" w:type="dxa"/>
            <w:gridSpan w:val="2"/>
            <w:vAlign w:val="center"/>
          </w:tcPr>
          <w:p w14:paraId="56761D06">
            <w:pPr>
              <w:spacing w:line="440" w:lineRule="exact"/>
              <w:rPr>
                <w:rFonts w:ascii="宋体" w:hAnsi="宋体"/>
                <w:szCs w:val="21"/>
              </w:rPr>
            </w:pPr>
          </w:p>
        </w:tc>
      </w:tr>
      <w:tr w14:paraId="7A744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63DEB7EF">
            <w:pPr>
              <w:spacing w:line="440" w:lineRule="exact"/>
              <w:rPr>
                <w:rFonts w:ascii="宋体" w:hAnsi="宋体"/>
                <w:szCs w:val="21"/>
              </w:rPr>
            </w:pPr>
          </w:p>
        </w:tc>
        <w:tc>
          <w:tcPr>
            <w:tcW w:w="3420" w:type="dxa"/>
            <w:gridSpan w:val="4"/>
            <w:vAlign w:val="center"/>
          </w:tcPr>
          <w:p w14:paraId="4B782E05">
            <w:pPr>
              <w:spacing w:line="440" w:lineRule="exact"/>
              <w:rPr>
                <w:rFonts w:ascii="宋体" w:hAnsi="宋体"/>
                <w:szCs w:val="21"/>
              </w:rPr>
            </w:pPr>
          </w:p>
        </w:tc>
        <w:tc>
          <w:tcPr>
            <w:tcW w:w="1261" w:type="dxa"/>
            <w:vAlign w:val="center"/>
          </w:tcPr>
          <w:p w14:paraId="120AFC8E">
            <w:pPr>
              <w:spacing w:line="440" w:lineRule="exact"/>
              <w:rPr>
                <w:rFonts w:ascii="宋体" w:hAnsi="宋体"/>
                <w:szCs w:val="21"/>
              </w:rPr>
            </w:pPr>
          </w:p>
          <w:bookmarkEnd w:id="2344"/>
          <w:bookmarkEnd w:id="2345"/>
          <w:bookmarkEnd w:id="2346"/>
          <w:bookmarkEnd w:id="2347"/>
          <w:bookmarkEnd w:id="2348"/>
          <w:bookmarkEnd w:id="2349"/>
        </w:tc>
        <w:tc>
          <w:tcPr>
            <w:tcW w:w="2297" w:type="dxa"/>
            <w:gridSpan w:val="2"/>
            <w:vAlign w:val="center"/>
          </w:tcPr>
          <w:p w14:paraId="466E00F3">
            <w:pPr>
              <w:spacing w:line="440" w:lineRule="exact"/>
              <w:rPr>
                <w:rFonts w:ascii="宋体" w:hAnsi="宋体"/>
                <w:szCs w:val="21"/>
              </w:rPr>
            </w:pPr>
          </w:p>
        </w:tc>
      </w:tr>
    </w:tbl>
    <w:p w14:paraId="24A3E13C">
      <w:pPr>
        <w:rPr>
          <w:rFonts w:ascii="宋体" w:hAnsi="宋体"/>
        </w:rPr>
      </w:pPr>
    </w:p>
    <w:p w14:paraId="2DCD4BA0">
      <w:pPr>
        <w:rPr>
          <w:rFonts w:ascii="宋体" w:hAnsi="宋体"/>
        </w:rPr>
      </w:pPr>
    </w:p>
    <w:p w14:paraId="7616C9B8">
      <w:pPr>
        <w:rPr>
          <w:rFonts w:ascii="宋体" w:hAnsi="宋体"/>
        </w:rPr>
      </w:pPr>
    </w:p>
    <w:p w14:paraId="50EB4115">
      <w:pPr>
        <w:rPr>
          <w:rFonts w:ascii="宋体" w:hAnsi="宋体"/>
        </w:rPr>
      </w:pPr>
    </w:p>
    <w:p w14:paraId="1BFB91F6">
      <w:pPr>
        <w:rPr>
          <w:rFonts w:ascii="宋体" w:hAnsi="宋体"/>
        </w:rPr>
      </w:pPr>
    </w:p>
    <w:p w14:paraId="50320EAB">
      <w:pPr>
        <w:rPr>
          <w:rFonts w:ascii="宋体" w:hAnsi="宋体"/>
        </w:rPr>
      </w:pPr>
    </w:p>
    <w:p w14:paraId="23E941A4">
      <w:pPr>
        <w:rPr>
          <w:rFonts w:ascii="宋体" w:hAnsi="宋体"/>
        </w:rPr>
      </w:pPr>
    </w:p>
    <w:p w14:paraId="0B509045">
      <w:pPr>
        <w:rPr>
          <w:rFonts w:ascii="宋体" w:hAnsi="宋体"/>
        </w:rPr>
      </w:pPr>
    </w:p>
    <w:p w14:paraId="4717EDFA">
      <w:pPr>
        <w:rPr>
          <w:rFonts w:ascii="宋体" w:hAnsi="宋体"/>
        </w:rPr>
      </w:pPr>
    </w:p>
    <w:p w14:paraId="706E1606">
      <w:pPr>
        <w:rPr>
          <w:rFonts w:ascii="宋体" w:hAnsi="宋体"/>
        </w:rPr>
      </w:pPr>
    </w:p>
    <w:p w14:paraId="45D7D2E7">
      <w:bookmarkStart w:id="2415" w:name="_Toc513202853"/>
    </w:p>
    <w:bookmarkEnd w:id="2415"/>
    <w:p w14:paraId="5279145F">
      <w:pPr>
        <w:rPr>
          <w:rFonts w:ascii="宋体" w:hAnsi="宋体"/>
          <w:b/>
          <w:sz w:val="36"/>
          <w:szCs w:val="36"/>
        </w:rPr>
      </w:pPr>
    </w:p>
    <w:sectPr>
      <w:headerReference r:id="rId9" w:type="default"/>
      <w:footerReference r:id="rId11" w:type="default"/>
      <w:headerReference r:id="rId10" w:type="even"/>
      <w:footerReference r:id="rId12" w:type="even"/>
      <w:pgSz w:w="11906" w:h="16838"/>
      <w:pgMar w:top="1191" w:right="1191" w:bottom="1191" w:left="1304" w:header="851" w:footer="851" w:gutter="0"/>
      <w:pgNumType w:fmt="decimal"/>
      <w:cols w:space="720" w:num="1"/>
      <w:docGrid w:type="lines" w:linePitch="31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MS Sans Serif">
    <w:altName w:val="Arial"/>
    <w:panose1 w:val="00000000000000000000"/>
    <w:charset w:val="00"/>
    <w:family w:val="swiss"/>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Calibri Light">
    <w:panose1 w:val="020F0302020204030204"/>
    <w:charset w:val="00"/>
    <w:family w:val="swiss"/>
    <w:pitch w:val="default"/>
    <w:sig w:usb0="E4002EFF" w:usb1="C2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ms Rmn">
    <w:altName w:val="Times New Roman"/>
    <w:panose1 w:val="02020603040505020304"/>
    <w:charset w:val="00"/>
    <w:family w:val="roman"/>
    <w:pitch w:val="default"/>
    <w:sig w:usb0="00000000" w:usb1="00000000" w:usb2="00000000" w:usb3="00000000" w:csb0="00000001" w:csb1="00000000"/>
  </w:font>
  <w:font w:name="全真中明體">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
    <w:altName w:val="Lucida Sans Unicode"/>
    <w:panose1 w:val="00000000000000000000"/>
    <w:charset w:val="00"/>
    <w:family w:val="roman"/>
    <w:pitch w:val="default"/>
    <w:sig w:usb0="00000000" w:usb1="00000000" w:usb2="00000000" w:usb3="00000000" w:csb0="00000001" w:csb1="00000000"/>
  </w:font>
  <w:font w:name="Lucida Sans Unicode">
    <w:panose1 w:val="020B0602030504020204"/>
    <w:charset w:val="00"/>
    <w:family w:val="auto"/>
    <w:pitch w:val="default"/>
    <w:sig w:usb0="80001AFF" w:usb1="0000396B" w:usb2="00000000" w:usb3="00000000" w:csb0="200000BF" w:csb1="D7F70000"/>
  </w:font>
  <w:font w:name="仿宋">
    <w:panose1 w:val="02010609060101010101"/>
    <w:charset w:val="86"/>
    <w:family w:val="modern"/>
    <w:pitch w:val="default"/>
    <w:sig w:usb0="800002BF" w:usb1="38CF7CFA" w:usb2="00000016" w:usb3="00000000" w:csb0="00040001" w:csb1="00000000"/>
  </w:font>
  <w:font w:name="CG Times">
    <w:altName w:val="Times New Roman"/>
    <w:panose1 w:val="00000000000000000000"/>
    <w:charset w:val="00"/>
    <w:family w:val="roman"/>
    <w:pitch w:val="default"/>
    <w:sig w:usb0="00000000" w:usb1="00000000" w:usb2="00000000" w:usb3="00000000" w:csb0="00000093" w:csb1="00000000"/>
  </w:font>
  <w:font w:name="Arial Bold">
    <w:altName w:val="Arial"/>
    <w:panose1 w:val="020B0704020202020204"/>
    <w:charset w:val="00"/>
    <w:family w:val="roman"/>
    <w:pitch w:val="default"/>
    <w:sig w:usb0="00000000" w:usb1="00000000" w:usb2="00000000" w:usb3="00000000" w:csb0="00040001" w:csb1="00000000"/>
  </w:font>
  <w:font w:name="ATRotisSemiSans-Bold">
    <w:altName w:val="黑体"/>
    <w:panose1 w:val="00000000000000000000"/>
    <w:charset w:val="86"/>
    <w:family w:val="auto"/>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HiddenHorzOCR">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TimesNewRomanPSMT">
    <w:altName w:val="Times New Roman"/>
    <w:panose1 w:val="00000000000000000000"/>
    <w:charset w:val="00"/>
    <w:family w:val="roman"/>
    <w:pitch w:val="default"/>
    <w:sig w:usb0="00000000" w:usb1="00000000" w:usb2="00000010"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A418F">
    <w:pPr>
      <w:pStyle w:val="47"/>
      <w:pBdr>
        <w:top w:val="thinThickSmallGap" w:color="622423" w:sz="24" w:space="1"/>
      </w:pBdr>
      <w:tabs>
        <w:tab w:val="right" w:pos="9638"/>
        <w:tab w:val="clear" w:pos="4153"/>
        <w:tab w:val="clear" w:pos="8306"/>
      </w:tabs>
      <w:rPr>
        <w:rFonts w:ascii="黑体" w:eastAsia="黑体"/>
        <w:position w:val="-6"/>
        <w:sz w:val="21"/>
        <w:szCs w:val="21"/>
      </w:rPr>
    </w:pPr>
    <w:r>
      <w:rPr>
        <w:rFonts w:hint="eastAsia" w:ascii="黑体" w:eastAsia="黑体"/>
        <w:position w:val="-6"/>
        <w:sz w:val="21"/>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2A86C">
    <w:pPr>
      <w:pStyle w:val="47"/>
      <w:pBdr>
        <w:top w:val="thinThickSmallGap" w:color="622423" w:sz="24" w:space="1"/>
      </w:pBdr>
      <w:tabs>
        <w:tab w:val="right" w:pos="9638"/>
        <w:tab w:val="clear" w:pos="4153"/>
        <w:tab w:val="clear" w:pos="8306"/>
      </w:tabs>
      <w:rPr>
        <w:rFonts w:ascii="华文新魏" w:eastAsia="华文新魏"/>
        <w:position w:val="-6"/>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61EB7">
    <w:pPr>
      <w:pStyle w:val="47"/>
      <w:pBdr>
        <w:top w:val="thinThickSmallGap" w:color="622423" w:sz="24" w:space="1"/>
      </w:pBdr>
      <w:tabs>
        <w:tab w:val="right" w:pos="9638"/>
        <w:tab w:val="clear" w:pos="4153"/>
        <w:tab w:val="clear" w:pos="8306"/>
      </w:tabs>
      <w:jc w:val="center"/>
      <w:rPr>
        <w:rFonts w:ascii="黑体" w:eastAsia="黑体"/>
        <w:position w:val="-6"/>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1F4BB">
    <w:pPr>
      <w:pStyle w:val="47"/>
      <w:pBdr>
        <w:top w:val="thinThickSmallGap" w:color="622423" w:sz="24" w:space="1"/>
      </w:pBdr>
      <w:tabs>
        <w:tab w:val="right" w:pos="9638"/>
        <w:tab w:val="clear" w:pos="4153"/>
        <w:tab w:val="clear" w:pos="8306"/>
      </w:tabs>
      <w:jc w:val="center"/>
      <w:rPr>
        <w:rFonts w:ascii="华文新魏" w:eastAsia="华文新魏"/>
        <w:position w:val="-6"/>
        <w:sz w:val="21"/>
        <w:szCs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AFF37">
    <w:pPr>
      <w:jc w:val="center"/>
      <w:rPr>
        <w:color w:val="A6A6A6"/>
        <w:sz w:val="15"/>
        <w:szCs w:val="15"/>
      </w:rPr>
    </w:pPr>
    <w:r>
      <w:rPr>
        <w:sz w:val="15"/>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2A67D4">
                          <w:pPr>
                            <w:pStyle w:val="47"/>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ogMnjIAQAAmQMAAA4AAAAAAAAAAQAgAAAAHgEAAGRycy9lMm9Eb2Mu&#10;eG1sUEsFBgAAAAAGAAYAWQEAAFgFAAAAAA==&#10;">
              <v:fill on="f" focussize="0,0"/>
              <v:stroke on="f"/>
              <v:imagedata o:title=""/>
              <o:lock v:ext="edit" aspectratio="f"/>
              <v:textbox inset="0mm,0mm,0mm,0mm" style="mso-fit-shape-to-text:t;">
                <w:txbxContent>
                  <w:p w14:paraId="6A2A67D4">
                    <w:pPr>
                      <w:pStyle w:val="47"/>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CC762">
    <w:pPr>
      <w:pStyle w:val="4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C243666">
                          <w:pPr>
                            <w:pStyle w:val="47"/>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&#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JiXBiyQEAAJkDAAAOAAAAAAAAAAEAIAAAAB4BAABkcnMvZTJvRG9j&#10;LnhtbFBLBQYAAAAABgAGAFkBAABZBQAAAAA=&#10;">
              <v:fill on="f" focussize="0,0"/>
              <v:stroke on="f"/>
              <v:imagedata o:title=""/>
              <o:lock v:ext="edit" aspectratio="f"/>
              <v:textbox inset="0mm,0mm,0mm,0mm" style="mso-fit-shape-to-text:t;">
                <w:txbxContent>
                  <w:p w14:paraId="2C243666">
                    <w:pPr>
                      <w:pStyle w:val="47"/>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86BE7">
    <w:pPr>
      <w:pStyle w:val="48"/>
      <w:jc w:val="both"/>
      <w:rPr>
        <w:rFonts w:hint="eastAsia" w:eastAsia="宋体"/>
        <w:sz w:val="13"/>
        <w:szCs w:val="13"/>
        <w:lang w:eastAsia="zh-CN"/>
      </w:rPr>
    </w:pPr>
    <w:r>
      <w:rPr>
        <w:rFonts w:hint="eastAsia" w:ascii="宋体" w:hAnsi="宋体"/>
        <w:sz w:val="13"/>
        <w:szCs w:val="13"/>
        <w:lang w:eastAsia="zh-CN"/>
      </w:rPr>
      <w:t>云南省盐津县普洱集镇山洪沟治理工程</w:t>
    </w:r>
    <w:r>
      <w:rPr>
        <w:rFonts w:hint="eastAsia" w:ascii="宋体" w:hAnsi="宋体"/>
        <w:sz w:val="13"/>
        <w:szCs w:val="13"/>
      </w:rPr>
      <w:t xml:space="preserve">                          </w:t>
    </w:r>
    <w:r>
      <w:rPr>
        <w:rFonts w:hint="eastAsia" w:ascii="宋体" w:hAnsi="宋体"/>
        <w:sz w:val="13"/>
        <w:szCs w:val="13"/>
        <w:lang w:val="en-US" w:eastAsia="zh-CN"/>
      </w:rPr>
      <w:t xml:space="preserve">                                                 </w:t>
    </w:r>
    <w:r>
      <w:rPr>
        <w:rFonts w:hint="eastAsia" w:ascii="宋体" w:hAnsi="宋体"/>
        <w:sz w:val="13"/>
        <w:szCs w:val="13"/>
      </w:rPr>
      <w:t xml:space="preserve">              </w:t>
    </w:r>
    <w:r>
      <w:rPr>
        <w:rFonts w:hint="eastAsia" w:ascii="宋体" w:hAnsi="宋体"/>
        <w:sz w:val="13"/>
        <w:szCs w:val="13"/>
        <w:lang w:eastAsia="zh-CN"/>
      </w:rPr>
      <w:t>云南众创益工程项目管理有限公司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D5441">
    <w:pPr>
      <w:pStyle w:val="48"/>
      <w:jc w:val="both"/>
      <w:rPr>
        <w:rFonts w:hint="eastAsia" w:eastAsia="宋体"/>
        <w:sz w:val="13"/>
        <w:szCs w:val="13"/>
        <w:lang w:eastAsia="zh-CN"/>
      </w:rPr>
    </w:pPr>
    <w:r>
      <w:rPr>
        <w:rFonts w:hint="eastAsia" w:ascii="宋体" w:hAnsi="宋体"/>
        <w:sz w:val="13"/>
        <w:szCs w:val="13"/>
        <w:lang w:eastAsia="zh-CN"/>
      </w:rPr>
      <w:t>云南省盐津县普洱集镇山洪沟治理工程</w:t>
    </w:r>
    <w:r>
      <w:rPr>
        <w:rFonts w:hint="eastAsia" w:ascii="宋体" w:hAnsi="宋体"/>
        <w:sz w:val="13"/>
        <w:szCs w:val="13"/>
      </w:rPr>
      <w:t xml:space="preserve">                    </w:t>
    </w:r>
    <w:r>
      <w:rPr>
        <w:rFonts w:hint="eastAsia" w:ascii="宋体" w:hAnsi="宋体"/>
        <w:sz w:val="13"/>
        <w:szCs w:val="13"/>
        <w:lang w:val="en-US" w:eastAsia="zh-CN"/>
      </w:rPr>
      <w:t xml:space="preserve">                                                     </w:t>
    </w:r>
    <w:r>
      <w:rPr>
        <w:rFonts w:hint="eastAsia" w:ascii="宋体" w:hAnsi="宋体"/>
        <w:sz w:val="13"/>
        <w:szCs w:val="13"/>
      </w:rPr>
      <w:t xml:space="preserve">                     </w:t>
    </w:r>
    <w:r>
      <w:rPr>
        <w:rFonts w:hint="eastAsia" w:ascii="宋体" w:hAnsi="宋体"/>
        <w:sz w:val="13"/>
        <w:szCs w:val="13"/>
        <w:lang w:eastAsia="zh-CN"/>
      </w:rPr>
      <w:t>云南众创益工程项目管理有限公司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CFF88">
    <w:pPr>
      <w:pStyle w:val="48"/>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F0173">
    <w:pPr>
      <w:pStyle w:val="4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65CBA6"/>
    <w:multiLevelType w:val="singleLevel"/>
    <w:tmpl w:val="FD65CBA6"/>
    <w:lvl w:ilvl="0" w:tentative="0">
      <w:start w:val="3"/>
      <w:numFmt w:val="chineseCounting"/>
      <w:suff w:val="space"/>
      <w:lvlText w:val="第%1节"/>
      <w:lvlJc w:val="left"/>
      <w:rPr>
        <w:rFonts w:hint="eastAsia"/>
      </w:rPr>
    </w:lvl>
  </w:abstractNum>
  <w:abstractNum w:abstractNumId="1">
    <w:nsid w:val="229734FF"/>
    <w:multiLevelType w:val="multilevel"/>
    <w:tmpl w:val="229734FF"/>
    <w:lvl w:ilvl="0" w:tentative="0">
      <w:start w:val="1"/>
      <w:numFmt w:val="decimal"/>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2">
    <w:nsid w:val="3AA800C6"/>
    <w:multiLevelType w:val="multilevel"/>
    <w:tmpl w:val="3AA800C6"/>
    <w:lvl w:ilvl="0" w:tentative="0">
      <w:start w:val="1"/>
      <w:numFmt w:val="decimal"/>
      <w:pStyle w:val="596"/>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rPr>
        <w:rFonts w:hint="eastAsia" w:ascii="仿宋_GB2312" w:eastAsia="仿宋_GB2312"/>
      </w:r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3">
    <w:nsid w:val="5B0FF902"/>
    <w:multiLevelType w:val="singleLevel"/>
    <w:tmpl w:val="5B0FF902"/>
    <w:lvl w:ilvl="0" w:tentative="0">
      <w:start w:val="1"/>
      <w:numFmt w:val="decimal"/>
      <w:suff w:val="nothing"/>
      <w:lvlText w:val="%1、"/>
      <w:lvlJc w:val="left"/>
    </w:lvl>
  </w:abstractNum>
  <w:num w:numId="1">
    <w:abstractNumId w:val="2"/>
  </w:num>
  <w:num w:numId="2">
    <w:abstractNumId w:val="1"/>
    <w:lvlOverride w:ilvl="0">
      <w:lvl w:ilvl="0" w:tentative="1">
        <w:start w:val="1"/>
        <w:numFmt w:val="decimal"/>
        <w:lvlText w:val="第%1条"/>
        <w:lvlJc w:val="left"/>
        <w:pPr>
          <w:ind w:left="0" w:firstLine="0"/>
        </w:pPr>
      </w:lvl>
    </w:lvlOverride>
    <w:lvlOverride w:ilvl="1">
      <w:lvl w:ilvl="1" w:tentative="1">
        <w:start w:val="1"/>
        <w:numFmt w:val="decimal"/>
        <w:pStyle w:val="597"/>
        <w:lvlText w:val="%1.%2"/>
        <w:lvlJc w:val="left"/>
        <w:pPr>
          <w:ind w:left="1843" w:firstLine="0"/>
        </w:pPr>
      </w:lvl>
    </w:lvlOverride>
    <w:lvlOverride w:ilvl="2">
      <w:lvl w:ilvl="2" w:tentative="1">
        <w:start w:val="1"/>
        <w:numFmt w:val="decimal"/>
        <w:pStyle w:val="598"/>
        <w:lvlText w:val="%1.%2.%3"/>
        <w:lvlJc w:val="left"/>
        <w:pPr>
          <w:ind w:left="2126" w:firstLine="0"/>
        </w:pPr>
      </w:lvl>
    </w:lvlOverride>
    <w:lvlOverride w:ilvl="3">
      <w:lvl w:ilvl="3" w:tentative="1">
        <w:start w:val="1"/>
        <w:numFmt w:val="decimal"/>
        <w:lvlText w:val="%1.%2.%3.%4"/>
        <w:lvlJc w:val="left"/>
        <w:pPr>
          <w:ind w:left="710" w:firstLine="0"/>
        </w:pPr>
      </w:lvl>
    </w:lvlOverride>
    <w:lvlOverride w:ilvl="4">
      <w:lvl w:ilvl="4" w:tentative="1">
        <w:start w:val="1"/>
        <w:numFmt w:val="decimal"/>
        <w:lvlText w:val="%1.%2.%3.%4.%5"/>
        <w:lvlJc w:val="left"/>
        <w:pPr>
          <w:ind w:left="0" w:firstLine="0"/>
        </w:pPr>
      </w:lvl>
    </w:lvlOverride>
    <w:lvlOverride w:ilvl="5">
      <w:lvl w:ilvl="5" w:tentative="1">
        <w:start w:val="1"/>
        <w:numFmt w:val="decimal"/>
        <w:lvlText w:val="%1.%2.%3.%4.%5.%6"/>
        <w:lvlJc w:val="left"/>
        <w:pPr>
          <w:ind w:left="0" w:firstLine="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0"/>
  <w:bordersDoNotSurroundFooter w:val="0"/>
  <w:hideSpellingErrors/>
  <w:hideGrammaticalErrors/>
  <w:documentProtection w:enforcement="0"/>
  <w:defaultTabStop w:val="420"/>
  <w:evenAndOddHeaders w:val="1"/>
  <w:drawingGridHorizontalSpacing w:val="105"/>
  <w:drawingGridVerticalSpacing w:val="157"/>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M0YzQzMGFjMjUzMGYwODMwZjhmZTEzMTA0N2U0NTcifQ=="/>
  </w:docVars>
  <w:rsids>
    <w:rsidRoot w:val="00172A27"/>
    <w:rsid w:val="00001695"/>
    <w:rsid w:val="000023BC"/>
    <w:rsid w:val="00002CAD"/>
    <w:rsid w:val="00002E82"/>
    <w:rsid w:val="000066D8"/>
    <w:rsid w:val="00006B7D"/>
    <w:rsid w:val="00006C4F"/>
    <w:rsid w:val="0000778A"/>
    <w:rsid w:val="00007804"/>
    <w:rsid w:val="00007A99"/>
    <w:rsid w:val="00011FB7"/>
    <w:rsid w:val="000122DC"/>
    <w:rsid w:val="000129D8"/>
    <w:rsid w:val="00014AC8"/>
    <w:rsid w:val="0001628E"/>
    <w:rsid w:val="000163A3"/>
    <w:rsid w:val="0001681C"/>
    <w:rsid w:val="000178D8"/>
    <w:rsid w:val="000225CE"/>
    <w:rsid w:val="00022643"/>
    <w:rsid w:val="00024730"/>
    <w:rsid w:val="0002772F"/>
    <w:rsid w:val="00027C27"/>
    <w:rsid w:val="00030A8B"/>
    <w:rsid w:val="00030F5D"/>
    <w:rsid w:val="00031928"/>
    <w:rsid w:val="000319F1"/>
    <w:rsid w:val="00031B6D"/>
    <w:rsid w:val="00031E91"/>
    <w:rsid w:val="00032235"/>
    <w:rsid w:val="00032EC3"/>
    <w:rsid w:val="00036BB4"/>
    <w:rsid w:val="00040899"/>
    <w:rsid w:val="000409CD"/>
    <w:rsid w:val="000411C3"/>
    <w:rsid w:val="000413F0"/>
    <w:rsid w:val="0004215B"/>
    <w:rsid w:val="00043EC3"/>
    <w:rsid w:val="00044D29"/>
    <w:rsid w:val="00045DEB"/>
    <w:rsid w:val="00052847"/>
    <w:rsid w:val="00052A91"/>
    <w:rsid w:val="00052B30"/>
    <w:rsid w:val="00053B7F"/>
    <w:rsid w:val="0005448B"/>
    <w:rsid w:val="00054FB8"/>
    <w:rsid w:val="00055B61"/>
    <w:rsid w:val="00057D7E"/>
    <w:rsid w:val="000605CE"/>
    <w:rsid w:val="0006066E"/>
    <w:rsid w:val="00061331"/>
    <w:rsid w:val="000613D3"/>
    <w:rsid w:val="00061F98"/>
    <w:rsid w:val="00062955"/>
    <w:rsid w:val="00063F5C"/>
    <w:rsid w:val="00063F85"/>
    <w:rsid w:val="00064FAB"/>
    <w:rsid w:val="00065381"/>
    <w:rsid w:val="00066385"/>
    <w:rsid w:val="000668CF"/>
    <w:rsid w:val="000676FB"/>
    <w:rsid w:val="00070F84"/>
    <w:rsid w:val="00072D4C"/>
    <w:rsid w:val="000741DF"/>
    <w:rsid w:val="00074D25"/>
    <w:rsid w:val="000755EF"/>
    <w:rsid w:val="00077A89"/>
    <w:rsid w:val="00080289"/>
    <w:rsid w:val="00081CDD"/>
    <w:rsid w:val="00081F8A"/>
    <w:rsid w:val="000822E8"/>
    <w:rsid w:val="000834DA"/>
    <w:rsid w:val="000842C6"/>
    <w:rsid w:val="00084304"/>
    <w:rsid w:val="0008439A"/>
    <w:rsid w:val="0008479E"/>
    <w:rsid w:val="00084A4A"/>
    <w:rsid w:val="0008610F"/>
    <w:rsid w:val="00086876"/>
    <w:rsid w:val="00087425"/>
    <w:rsid w:val="000878F9"/>
    <w:rsid w:val="00090DDB"/>
    <w:rsid w:val="0009248F"/>
    <w:rsid w:val="000951F3"/>
    <w:rsid w:val="00095880"/>
    <w:rsid w:val="000958A4"/>
    <w:rsid w:val="000A24C9"/>
    <w:rsid w:val="000A3295"/>
    <w:rsid w:val="000A44BF"/>
    <w:rsid w:val="000A5619"/>
    <w:rsid w:val="000A62A7"/>
    <w:rsid w:val="000A6B13"/>
    <w:rsid w:val="000A78F0"/>
    <w:rsid w:val="000A7B76"/>
    <w:rsid w:val="000A7BD9"/>
    <w:rsid w:val="000B2C2B"/>
    <w:rsid w:val="000B2D08"/>
    <w:rsid w:val="000B3D9F"/>
    <w:rsid w:val="000C001C"/>
    <w:rsid w:val="000C07D5"/>
    <w:rsid w:val="000C2204"/>
    <w:rsid w:val="000C36ED"/>
    <w:rsid w:val="000C528A"/>
    <w:rsid w:val="000C5C0B"/>
    <w:rsid w:val="000C680E"/>
    <w:rsid w:val="000C6956"/>
    <w:rsid w:val="000C788B"/>
    <w:rsid w:val="000D001A"/>
    <w:rsid w:val="000D1AD7"/>
    <w:rsid w:val="000D2FEC"/>
    <w:rsid w:val="000D4B47"/>
    <w:rsid w:val="000E0A87"/>
    <w:rsid w:val="000E13AC"/>
    <w:rsid w:val="000E4C75"/>
    <w:rsid w:val="000E6174"/>
    <w:rsid w:val="000E704C"/>
    <w:rsid w:val="000E7B6B"/>
    <w:rsid w:val="000F02DE"/>
    <w:rsid w:val="000F0E34"/>
    <w:rsid w:val="000F1F40"/>
    <w:rsid w:val="000F224E"/>
    <w:rsid w:val="000F3283"/>
    <w:rsid w:val="000F379A"/>
    <w:rsid w:val="000F3A58"/>
    <w:rsid w:val="000F7265"/>
    <w:rsid w:val="000F72F8"/>
    <w:rsid w:val="000F77FC"/>
    <w:rsid w:val="000F7A42"/>
    <w:rsid w:val="00100629"/>
    <w:rsid w:val="00101E89"/>
    <w:rsid w:val="00102EB0"/>
    <w:rsid w:val="001033EA"/>
    <w:rsid w:val="00103FE5"/>
    <w:rsid w:val="0010426B"/>
    <w:rsid w:val="00104784"/>
    <w:rsid w:val="00104C0F"/>
    <w:rsid w:val="00106B22"/>
    <w:rsid w:val="00110B4A"/>
    <w:rsid w:val="0011165A"/>
    <w:rsid w:val="00111920"/>
    <w:rsid w:val="00112CB6"/>
    <w:rsid w:val="00113C7B"/>
    <w:rsid w:val="00116E18"/>
    <w:rsid w:val="00117910"/>
    <w:rsid w:val="00120B99"/>
    <w:rsid w:val="00120C6D"/>
    <w:rsid w:val="0012184A"/>
    <w:rsid w:val="00121B4E"/>
    <w:rsid w:val="001223E2"/>
    <w:rsid w:val="00122B64"/>
    <w:rsid w:val="001241CF"/>
    <w:rsid w:val="001264B4"/>
    <w:rsid w:val="00127DF4"/>
    <w:rsid w:val="00130423"/>
    <w:rsid w:val="00131B08"/>
    <w:rsid w:val="001321AA"/>
    <w:rsid w:val="001327D9"/>
    <w:rsid w:val="00133172"/>
    <w:rsid w:val="001337F1"/>
    <w:rsid w:val="00133817"/>
    <w:rsid w:val="00134CAD"/>
    <w:rsid w:val="00135D09"/>
    <w:rsid w:val="001369F5"/>
    <w:rsid w:val="00137E97"/>
    <w:rsid w:val="001404A1"/>
    <w:rsid w:val="00140B80"/>
    <w:rsid w:val="0014115E"/>
    <w:rsid w:val="001413AA"/>
    <w:rsid w:val="0014148E"/>
    <w:rsid w:val="00141A2B"/>
    <w:rsid w:val="00143777"/>
    <w:rsid w:val="001465C9"/>
    <w:rsid w:val="00150102"/>
    <w:rsid w:val="0015031B"/>
    <w:rsid w:val="0015208E"/>
    <w:rsid w:val="00155A08"/>
    <w:rsid w:val="00156692"/>
    <w:rsid w:val="0016008F"/>
    <w:rsid w:val="0016082A"/>
    <w:rsid w:val="001612B1"/>
    <w:rsid w:val="00161B3F"/>
    <w:rsid w:val="00161C7C"/>
    <w:rsid w:val="001637D8"/>
    <w:rsid w:val="00164D66"/>
    <w:rsid w:val="00164E6E"/>
    <w:rsid w:val="00165922"/>
    <w:rsid w:val="00166CF4"/>
    <w:rsid w:val="00170F17"/>
    <w:rsid w:val="001711C8"/>
    <w:rsid w:val="00171F1A"/>
    <w:rsid w:val="001729CF"/>
    <w:rsid w:val="00172A27"/>
    <w:rsid w:val="00173F4A"/>
    <w:rsid w:val="00174908"/>
    <w:rsid w:val="001750E9"/>
    <w:rsid w:val="00177463"/>
    <w:rsid w:val="00177607"/>
    <w:rsid w:val="00177C49"/>
    <w:rsid w:val="00180C5D"/>
    <w:rsid w:val="00182E49"/>
    <w:rsid w:val="001836ED"/>
    <w:rsid w:val="00184582"/>
    <w:rsid w:val="00184781"/>
    <w:rsid w:val="00184C13"/>
    <w:rsid w:val="00185C69"/>
    <w:rsid w:val="00186086"/>
    <w:rsid w:val="001862A3"/>
    <w:rsid w:val="00186913"/>
    <w:rsid w:val="00186D55"/>
    <w:rsid w:val="0019009D"/>
    <w:rsid w:val="0019167B"/>
    <w:rsid w:val="0019176C"/>
    <w:rsid w:val="001920F5"/>
    <w:rsid w:val="00192607"/>
    <w:rsid w:val="00192C99"/>
    <w:rsid w:val="00193224"/>
    <w:rsid w:val="001937D3"/>
    <w:rsid w:val="001937E8"/>
    <w:rsid w:val="00193C13"/>
    <w:rsid w:val="001941FA"/>
    <w:rsid w:val="00194B0C"/>
    <w:rsid w:val="00194C48"/>
    <w:rsid w:val="001A0AAB"/>
    <w:rsid w:val="001A328B"/>
    <w:rsid w:val="001A3975"/>
    <w:rsid w:val="001A56A5"/>
    <w:rsid w:val="001A6A85"/>
    <w:rsid w:val="001B194B"/>
    <w:rsid w:val="001B3BD1"/>
    <w:rsid w:val="001B43C1"/>
    <w:rsid w:val="001B44CC"/>
    <w:rsid w:val="001B49DE"/>
    <w:rsid w:val="001B66FB"/>
    <w:rsid w:val="001B7936"/>
    <w:rsid w:val="001C0DEC"/>
    <w:rsid w:val="001C17B5"/>
    <w:rsid w:val="001C2301"/>
    <w:rsid w:val="001C25D2"/>
    <w:rsid w:val="001C3378"/>
    <w:rsid w:val="001C4230"/>
    <w:rsid w:val="001C4A0B"/>
    <w:rsid w:val="001C5225"/>
    <w:rsid w:val="001C52E5"/>
    <w:rsid w:val="001C6058"/>
    <w:rsid w:val="001D2473"/>
    <w:rsid w:val="001D3EB9"/>
    <w:rsid w:val="001D4ABD"/>
    <w:rsid w:val="001D51F7"/>
    <w:rsid w:val="001D72C0"/>
    <w:rsid w:val="001E0DBE"/>
    <w:rsid w:val="001E0FAA"/>
    <w:rsid w:val="001E131C"/>
    <w:rsid w:val="001E24AB"/>
    <w:rsid w:val="001E347B"/>
    <w:rsid w:val="001E3B2C"/>
    <w:rsid w:val="001E4CBA"/>
    <w:rsid w:val="001E4D10"/>
    <w:rsid w:val="001E57C1"/>
    <w:rsid w:val="001E6395"/>
    <w:rsid w:val="001F05E9"/>
    <w:rsid w:val="001F1631"/>
    <w:rsid w:val="001F19F8"/>
    <w:rsid w:val="001F1EA1"/>
    <w:rsid w:val="001F2F85"/>
    <w:rsid w:val="001F3D8C"/>
    <w:rsid w:val="001F3FFC"/>
    <w:rsid w:val="001F7599"/>
    <w:rsid w:val="002037AD"/>
    <w:rsid w:val="00203E4A"/>
    <w:rsid w:val="00204205"/>
    <w:rsid w:val="0020425D"/>
    <w:rsid w:val="00205635"/>
    <w:rsid w:val="00207549"/>
    <w:rsid w:val="00210593"/>
    <w:rsid w:val="002115C7"/>
    <w:rsid w:val="00211777"/>
    <w:rsid w:val="002168F1"/>
    <w:rsid w:val="00217AE2"/>
    <w:rsid w:val="00217BC1"/>
    <w:rsid w:val="002213D3"/>
    <w:rsid w:val="002214F7"/>
    <w:rsid w:val="00222AA1"/>
    <w:rsid w:val="002230FE"/>
    <w:rsid w:val="00223B9A"/>
    <w:rsid w:val="00223FE4"/>
    <w:rsid w:val="002245F7"/>
    <w:rsid w:val="00225351"/>
    <w:rsid w:val="002262C4"/>
    <w:rsid w:val="002267A8"/>
    <w:rsid w:val="00227727"/>
    <w:rsid w:val="00231CC3"/>
    <w:rsid w:val="00233577"/>
    <w:rsid w:val="002357CD"/>
    <w:rsid w:val="002362D2"/>
    <w:rsid w:val="00241152"/>
    <w:rsid w:val="002446F2"/>
    <w:rsid w:val="002456DD"/>
    <w:rsid w:val="00246588"/>
    <w:rsid w:val="002467A4"/>
    <w:rsid w:val="002467D4"/>
    <w:rsid w:val="00247FCC"/>
    <w:rsid w:val="00250C0F"/>
    <w:rsid w:val="00250D48"/>
    <w:rsid w:val="00250D74"/>
    <w:rsid w:val="002518CE"/>
    <w:rsid w:val="00252F07"/>
    <w:rsid w:val="00253DB4"/>
    <w:rsid w:val="002576FB"/>
    <w:rsid w:val="0026030D"/>
    <w:rsid w:val="00260785"/>
    <w:rsid w:val="002618D0"/>
    <w:rsid w:val="00261BC4"/>
    <w:rsid w:val="00262812"/>
    <w:rsid w:val="00262841"/>
    <w:rsid w:val="00262E06"/>
    <w:rsid w:val="0026407F"/>
    <w:rsid w:val="00265222"/>
    <w:rsid w:val="00267B4C"/>
    <w:rsid w:val="00270709"/>
    <w:rsid w:val="002709B2"/>
    <w:rsid w:val="00270FCB"/>
    <w:rsid w:val="00272701"/>
    <w:rsid w:val="002729E2"/>
    <w:rsid w:val="0027397E"/>
    <w:rsid w:val="00273D23"/>
    <w:rsid w:val="002746B8"/>
    <w:rsid w:val="0027513C"/>
    <w:rsid w:val="002762BC"/>
    <w:rsid w:val="00277A23"/>
    <w:rsid w:val="002828A0"/>
    <w:rsid w:val="0028307E"/>
    <w:rsid w:val="00283220"/>
    <w:rsid w:val="00283D17"/>
    <w:rsid w:val="00283D72"/>
    <w:rsid w:val="00283E29"/>
    <w:rsid w:val="00286262"/>
    <w:rsid w:val="002868BD"/>
    <w:rsid w:val="00286F9C"/>
    <w:rsid w:val="002914D0"/>
    <w:rsid w:val="00291868"/>
    <w:rsid w:val="00293B28"/>
    <w:rsid w:val="00294987"/>
    <w:rsid w:val="0029640D"/>
    <w:rsid w:val="002A0BE7"/>
    <w:rsid w:val="002A3181"/>
    <w:rsid w:val="002A3357"/>
    <w:rsid w:val="002A467F"/>
    <w:rsid w:val="002A6F94"/>
    <w:rsid w:val="002A71AE"/>
    <w:rsid w:val="002A7C00"/>
    <w:rsid w:val="002B02C9"/>
    <w:rsid w:val="002B18CC"/>
    <w:rsid w:val="002B2F55"/>
    <w:rsid w:val="002B3A59"/>
    <w:rsid w:val="002B4DE4"/>
    <w:rsid w:val="002B5B37"/>
    <w:rsid w:val="002B68EA"/>
    <w:rsid w:val="002B7789"/>
    <w:rsid w:val="002C07DF"/>
    <w:rsid w:val="002C2B60"/>
    <w:rsid w:val="002C45C9"/>
    <w:rsid w:val="002C4F3D"/>
    <w:rsid w:val="002C5EDB"/>
    <w:rsid w:val="002C6224"/>
    <w:rsid w:val="002C6ED6"/>
    <w:rsid w:val="002C7866"/>
    <w:rsid w:val="002D1A31"/>
    <w:rsid w:val="002D218B"/>
    <w:rsid w:val="002D22B7"/>
    <w:rsid w:val="002D3F01"/>
    <w:rsid w:val="002D5A6F"/>
    <w:rsid w:val="002D6987"/>
    <w:rsid w:val="002E054E"/>
    <w:rsid w:val="002E0597"/>
    <w:rsid w:val="002E1296"/>
    <w:rsid w:val="002E16E0"/>
    <w:rsid w:val="002E1A40"/>
    <w:rsid w:val="002E1CCA"/>
    <w:rsid w:val="002E259E"/>
    <w:rsid w:val="002E2DDA"/>
    <w:rsid w:val="002E402B"/>
    <w:rsid w:val="002E4840"/>
    <w:rsid w:val="002E4A9E"/>
    <w:rsid w:val="002E62D5"/>
    <w:rsid w:val="002F19CC"/>
    <w:rsid w:val="002F2ACF"/>
    <w:rsid w:val="002F2DF1"/>
    <w:rsid w:val="002F6DBB"/>
    <w:rsid w:val="002F7829"/>
    <w:rsid w:val="002F7AC9"/>
    <w:rsid w:val="002F7AD1"/>
    <w:rsid w:val="002F7B42"/>
    <w:rsid w:val="002F7DE1"/>
    <w:rsid w:val="00301E43"/>
    <w:rsid w:val="00301E7C"/>
    <w:rsid w:val="00301F5B"/>
    <w:rsid w:val="003034AC"/>
    <w:rsid w:val="00304911"/>
    <w:rsid w:val="00304AB6"/>
    <w:rsid w:val="00304E44"/>
    <w:rsid w:val="00305E09"/>
    <w:rsid w:val="00310029"/>
    <w:rsid w:val="00310162"/>
    <w:rsid w:val="003113AE"/>
    <w:rsid w:val="00311601"/>
    <w:rsid w:val="003138F7"/>
    <w:rsid w:val="00313D43"/>
    <w:rsid w:val="00314C70"/>
    <w:rsid w:val="00316B41"/>
    <w:rsid w:val="0031753C"/>
    <w:rsid w:val="00317A75"/>
    <w:rsid w:val="003209C3"/>
    <w:rsid w:val="00320BE1"/>
    <w:rsid w:val="00320E95"/>
    <w:rsid w:val="00322970"/>
    <w:rsid w:val="00323A29"/>
    <w:rsid w:val="00323CB7"/>
    <w:rsid w:val="00325D16"/>
    <w:rsid w:val="00326CC6"/>
    <w:rsid w:val="003271F8"/>
    <w:rsid w:val="00327BD9"/>
    <w:rsid w:val="00327F59"/>
    <w:rsid w:val="00330B37"/>
    <w:rsid w:val="00330B8D"/>
    <w:rsid w:val="00330CE2"/>
    <w:rsid w:val="003331C8"/>
    <w:rsid w:val="0033361B"/>
    <w:rsid w:val="003340FF"/>
    <w:rsid w:val="00337119"/>
    <w:rsid w:val="0034044A"/>
    <w:rsid w:val="003428F1"/>
    <w:rsid w:val="00342BA3"/>
    <w:rsid w:val="00343E75"/>
    <w:rsid w:val="00352671"/>
    <w:rsid w:val="00355422"/>
    <w:rsid w:val="0035564E"/>
    <w:rsid w:val="00355EEF"/>
    <w:rsid w:val="00355F1F"/>
    <w:rsid w:val="00360ECB"/>
    <w:rsid w:val="00362E0B"/>
    <w:rsid w:val="00363743"/>
    <w:rsid w:val="00363D66"/>
    <w:rsid w:val="00366F8C"/>
    <w:rsid w:val="00367101"/>
    <w:rsid w:val="00370C97"/>
    <w:rsid w:val="003719D8"/>
    <w:rsid w:val="003720CD"/>
    <w:rsid w:val="0037473D"/>
    <w:rsid w:val="003825D0"/>
    <w:rsid w:val="0038354F"/>
    <w:rsid w:val="003864B5"/>
    <w:rsid w:val="00387041"/>
    <w:rsid w:val="003879E1"/>
    <w:rsid w:val="003901D2"/>
    <w:rsid w:val="003903F7"/>
    <w:rsid w:val="00390EF5"/>
    <w:rsid w:val="00391E07"/>
    <w:rsid w:val="003947E5"/>
    <w:rsid w:val="00395803"/>
    <w:rsid w:val="0039589A"/>
    <w:rsid w:val="00395EDC"/>
    <w:rsid w:val="0039606E"/>
    <w:rsid w:val="00396738"/>
    <w:rsid w:val="0039706A"/>
    <w:rsid w:val="003A0281"/>
    <w:rsid w:val="003A02D4"/>
    <w:rsid w:val="003A11B4"/>
    <w:rsid w:val="003A2414"/>
    <w:rsid w:val="003A351F"/>
    <w:rsid w:val="003A3884"/>
    <w:rsid w:val="003A3964"/>
    <w:rsid w:val="003A43CD"/>
    <w:rsid w:val="003A4C09"/>
    <w:rsid w:val="003A4D59"/>
    <w:rsid w:val="003A6386"/>
    <w:rsid w:val="003B0686"/>
    <w:rsid w:val="003B09C0"/>
    <w:rsid w:val="003B0D25"/>
    <w:rsid w:val="003B1575"/>
    <w:rsid w:val="003B1C9D"/>
    <w:rsid w:val="003B6FC7"/>
    <w:rsid w:val="003B73AA"/>
    <w:rsid w:val="003B7D0B"/>
    <w:rsid w:val="003C02E0"/>
    <w:rsid w:val="003C0708"/>
    <w:rsid w:val="003C0FB3"/>
    <w:rsid w:val="003C18E3"/>
    <w:rsid w:val="003C190C"/>
    <w:rsid w:val="003C1C48"/>
    <w:rsid w:val="003C31B7"/>
    <w:rsid w:val="003C42BB"/>
    <w:rsid w:val="003C78BF"/>
    <w:rsid w:val="003C7FE5"/>
    <w:rsid w:val="003D2429"/>
    <w:rsid w:val="003D3626"/>
    <w:rsid w:val="003D5DFD"/>
    <w:rsid w:val="003D5F0A"/>
    <w:rsid w:val="003D724A"/>
    <w:rsid w:val="003D793D"/>
    <w:rsid w:val="003E02FD"/>
    <w:rsid w:val="003E1713"/>
    <w:rsid w:val="003E281B"/>
    <w:rsid w:val="003E2EAE"/>
    <w:rsid w:val="003E532C"/>
    <w:rsid w:val="003E595D"/>
    <w:rsid w:val="003E60C8"/>
    <w:rsid w:val="003E675D"/>
    <w:rsid w:val="003E6D22"/>
    <w:rsid w:val="003E7AA6"/>
    <w:rsid w:val="003F0C9E"/>
    <w:rsid w:val="003F341A"/>
    <w:rsid w:val="003F3720"/>
    <w:rsid w:val="003F381B"/>
    <w:rsid w:val="003F4430"/>
    <w:rsid w:val="003F5251"/>
    <w:rsid w:val="003F608A"/>
    <w:rsid w:val="003F6E30"/>
    <w:rsid w:val="003F7CA1"/>
    <w:rsid w:val="0040087F"/>
    <w:rsid w:val="004021C8"/>
    <w:rsid w:val="004023F7"/>
    <w:rsid w:val="00405530"/>
    <w:rsid w:val="0040600A"/>
    <w:rsid w:val="004072F0"/>
    <w:rsid w:val="00407662"/>
    <w:rsid w:val="00407DFA"/>
    <w:rsid w:val="0041034B"/>
    <w:rsid w:val="00410713"/>
    <w:rsid w:val="0041190A"/>
    <w:rsid w:val="00413205"/>
    <w:rsid w:val="00414747"/>
    <w:rsid w:val="00414A4E"/>
    <w:rsid w:val="00415506"/>
    <w:rsid w:val="00416049"/>
    <w:rsid w:val="004204A9"/>
    <w:rsid w:val="00421186"/>
    <w:rsid w:val="004243A2"/>
    <w:rsid w:val="004262A9"/>
    <w:rsid w:val="00426E08"/>
    <w:rsid w:val="0042734B"/>
    <w:rsid w:val="00427EB2"/>
    <w:rsid w:val="00430780"/>
    <w:rsid w:val="004321B2"/>
    <w:rsid w:val="00432768"/>
    <w:rsid w:val="004328DB"/>
    <w:rsid w:val="004330E0"/>
    <w:rsid w:val="00433A83"/>
    <w:rsid w:val="00434032"/>
    <w:rsid w:val="00434840"/>
    <w:rsid w:val="00434E90"/>
    <w:rsid w:val="00435B7A"/>
    <w:rsid w:val="0043727A"/>
    <w:rsid w:val="00437BC7"/>
    <w:rsid w:val="00441438"/>
    <w:rsid w:val="0044182C"/>
    <w:rsid w:val="00442963"/>
    <w:rsid w:val="004432E4"/>
    <w:rsid w:val="00446641"/>
    <w:rsid w:val="004471B2"/>
    <w:rsid w:val="00451AAB"/>
    <w:rsid w:val="0045221F"/>
    <w:rsid w:val="00452760"/>
    <w:rsid w:val="00455245"/>
    <w:rsid w:val="004560F2"/>
    <w:rsid w:val="00456755"/>
    <w:rsid w:val="0045693C"/>
    <w:rsid w:val="00456F14"/>
    <w:rsid w:val="00457A9A"/>
    <w:rsid w:val="0046002A"/>
    <w:rsid w:val="00460308"/>
    <w:rsid w:val="00460696"/>
    <w:rsid w:val="004610B4"/>
    <w:rsid w:val="00462259"/>
    <w:rsid w:val="00462ADE"/>
    <w:rsid w:val="00463E93"/>
    <w:rsid w:val="004658D6"/>
    <w:rsid w:val="00465ECB"/>
    <w:rsid w:val="00467468"/>
    <w:rsid w:val="00470780"/>
    <w:rsid w:val="00470F1D"/>
    <w:rsid w:val="00472A03"/>
    <w:rsid w:val="004735AA"/>
    <w:rsid w:val="00473638"/>
    <w:rsid w:val="0047418D"/>
    <w:rsid w:val="004747BC"/>
    <w:rsid w:val="00476B36"/>
    <w:rsid w:val="00477B26"/>
    <w:rsid w:val="00477C24"/>
    <w:rsid w:val="00483C79"/>
    <w:rsid w:val="004874EF"/>
    <w:rsid w:val="0049373A"/>
    <w:rsid w:val="00494004"/>
    <w:rsid w:val="004959E8"/>
    <w:rsid w:val="00497525"/>
    <w:rsid w:val="00497C7E"/>
    <w:rsid w:val="004A0543"/>
    <w:rsid w:val="004A2271"/>
    <w:rsid w:val="004A4118"/>
    <w:rsid w:val="004A4A89"/>
    <w:rsid w:val="004B135A"/>
    <w:rsid w:val="004B1D6D"/>
    <w:rsid w:val="004B2285"/>
    <w:rsid w:val="004B287F"/>
    <w:rsid w:val="004B61DE"/>
    <w:rsid w:val="004B6B73"/>
    <w:rsid w:val="004B7B35"/>
    <w:rsid w:val="004C302C"/>
    <w:rsid w:val="004C3575"/>
    <w:rsid w:val="004C36D7"/>
    <w:rsid w:val="004C5054"/>
    <w:rsid w:val="004C5931"/>
    <w:rsid w:val="004C6126"/>
    <w:rsid w:val="004C6329"/>
    <w:rsid w:val="004C63D7"/>
    <w:rsid w:val="004D3D85"/>
    <w:rsid w:val="004D4184"/>
    <w:rsid w:val="004D41F0"/>
    <w:rsid w:val="004D47EC"/>
    <w:rsid w:val="004D5527"/>
    <w:rsid w:val="004D60CD"/>
    <w:rsid w:val="004D64C9"/>
    <w:rsid w:val="004D79D5"/>
    <w:rsid w:val="004D7B17"/>
    <w:rsid w:val="004E16A2"/>
    <w:rsid w:val="004E2E2F"/>
    <w:rsid w:val="004E32AA"/>
    <w:rsid w:val="004E440E"/>
    <w:rsid w:val="004E59EB"/>
    <w:rsid w:val="004E62C8"/>
    <w:rsid w:val="004F05E4"/>
    <w:rsid w:val="004F1622"/>
    <w:rsid w:val="004F18C0"/>
    <w:rsid w:val="004F30C5"/>
    <w:rsid w:val="004F40F8"/>
    <w:rsid w:val="004F5510"/>
    <w:rsid w:val="004F5CF2"/>
    <w:rsid w:val="00500285"/>
    <w:rsid w:val="005005AA"/>
    <w:rsid w:val="00500B1B"/>
    <w:rsid w:val="00500FA2"/>
    <w:rsid w:val="00501151"/>
    <w:rsid w:val="005011A4"/>
    <w:rsid w:val="00501EFA"/>
    <w:rsid w:val="00502239"/>
    <w:rsid w:val="00502CFF"/>
    <w:rsid w:val="0050364E"/>
    <w:rsid w:val="00503DA0"/>
    <w:rsid w:val="00504BB1"/>
    <w:rsid w:val="00505A57"/>
    <w:rsid w:val="00506D62"/>
    <w:rsid w:val="00510936"/>
    <w:rsid w:val="005125A0"/>
    <w:rsid w:val="00513499"/>
    <w:rsid w:val="00514700"/>
    <w:rsid w:val="005154BE"/>
    <w:rsid w:val="00516A15"/>
    <w:rsid w:val="00516FCE"/>
    <w:rsid w:val="0051700B"/>
    <w:rsid w:val="0052108A"/>
    <w:rsid w:val="005222D1"/>
    <w:rsid w:val="00522604"/>
    <w:rsid w:val="0052330B"/>
    <w:rsid w:val="00523F98"/>
    <w:rsid w:val="00523FD7"/>
    <w:rsid w:val="00525D44"/>
    <w:rsid w:val="00531912"/>
    <w:rsid w:val="005329AF"/>
    <w:rsid w:val="00537E08"/>
    <w:rsid w:val="0054037B"/>
    <w:rsid w:val="00540551"/>
    <w:rsid w:val="005405E1"/>
    <w:rsid w:val="005420E7"/>
    <w:rsid w:val="005432F3"/>
    <w:rsid w:val="005436AA"/>
    <w:rsid w:val="00544074"/>
    <w:rsid w:val="005441E9"/>
    <w:rsid w:val="005448C6"/>
    <w:rsid w:val="00544C05"/>
    <w:rsid w:val="00545665"/>
    <w:rsid w:val="00546DEB"/>
    <w:rsid w:val="00546EDA"/>
    <w:rsid w:val="005476A9"/>
    <w:rsid w:val="00547DF6"/>
    <w:rsid w:val="005501E8"/>
    <w:rsid w:val="00550FDF"/>
    <w:rsid w:val="00550FEE"/>
    <w:rsid w:val="005519F0"/>
    <w:rsid w:val="00551E40"/>
    <w:rsid w:val="0055250A"/>
    <w:rsid w:val="00552BEC"/>
    <w:rsid w:val="00552CFB"/>
    <w:rsid w:val="00553F01"/>
    <w:rsid w:val="00554449"/>
    <w:rsid w:val="00557E67"/>
    <w:rsid w:val="005609D5"/>
    <w:rsid w:val="00561058"/>
    <w:rsid w:val="0056117A"/>
    <w:rsid w:val="00561C23"/>
    <w:rsid w:val="00562FCA"/>
    <w:rsid w:val="005638D8"/>
    <w:rsid w:val="00564C3D"/>
    <w:rsid w:val="0056541F"/>
    <w:rsid w:val="00566CCA"/>
    <w:rsid w:val="00567478"/>
    <w:rsid w:val="00567C0C"/>
    <w:rsid w:val="00572011"/>
    <w:rsid w:val="00572EE8"/>
    <w:rsid w:val="00573625"/>
    <w:rsid w:val="00573A2D"/>
    <w:rsid w:val="00573BDA"/>
    <w:rsid w:val="00573CCD"/>
    <w:rsid w:val="00575739"/>
    <w:rsid w:val="00577A6F"/>
    <w:rsid w:val="00582020"/>
    <w:rsid w:val="0058311B"/>
    <w:rsid w:val="0058328A"/>
    <w:rsid w:val="00583969"/>
    <w:rsid w:val="005855FA"/>
    <w:rsid w:val="0058673D"/>
    <w:rsid w:val="00586B56"/>
    <w:rsid w:val="00591AC8"/>
    <w:rsid w:val="00593840"/>
    <w:rsid w:val="005938C7"/>
    <w:rsid w:val="005955DB"/>
    <w:rsid w:val="00595EB5"/>
    <w:rsid w:val="00596D68"/>
    <w:rsid w:val="005A2429"/>
    <w:rsid w:val="005A2DF2"/>
    <w:rsid w:val="005A3072"/>
    <w:rsid w:val="005A4574"/>
    <w:rsid w:val="005B067D"/>
    <w:rsid w:val="005B08BC"/>
    <w:rsid w:val="005B1460"/>
    <w:rsid w:val="005B152A"/>
    <w:rsid w:val="005B1915"/>
    <w:rsid w:val="005B19CA"/>
    <w:rsid w:val="005B2BFF"/>
    <w:rsid w:val="005B3E73"/>
    <w:rsid w:val="005B40F5"/>
    <w:rsid w:val="005B4BA5"/>
    <w:rsid w:val="005B4D2F"/>
    <w:rsid w:val="005B6B93"/>
    <w:rsid w:val="005B769F"/>
    <w:rsid w:val="005C0D28"/>
    <w:rsid w:val="005C2029"/>
    <w:rsid w:val="005C30DE"/>
    <w:rsid w:val="005C3C5F"/>
    <w:rsid w:val="005C57ED"/>
    <w:rsid w:val="005C695C"/>
    <w:rsid w:val="005C6A9C"/>
    <w:rsid w:val="005C7CA6"/>
    <w:rsid w:val="005D01D5"/>
    <w:rsid w:val="005D0B6D"/>
    <w:rsid w:val="005D22CD"/>
    <w:rsid w:val="005D2BE0"/>
    <w:rsid w:val="005D46FC"/>
    <w:rsid w:val="005D568F"/>
    <w:rsid w:val="005E0AA9"/>
    <w:rsid w:val="005E0C4D"/>
    <w:rsid w:val="005E1C95"/>
    <w:rsid w:val="005E27D9"/>
    <w:rsid w:val="005E2A36"/>
    <w:rsid w:val="005E32D2"/>
    <w:rsid w:val="005E4DBA"/>
    <w:rsid w:val="005E5389"/>
    <w:rsid w:val="005E577F"/>
    <w:rsid w:val="005E7119"/>
    <w:rsid w:val="005F082E"/>
    <w:rsid w:val="005F0893"/>
    <w:rsid w:val="005F1C1F"/>
    <w:rsid w:val="005F2DDA"/>
    <w:rsid w:val="005F2EA3"/>
    <w:rsid w:val="005F7C78"/>
    <w:rsid w:val="006001F4"/>
    <w:rsid w:val="00600B64"/>
    <w:rsid w:val="00601C06"/>
    <w:rsid w:val="0060374B"/>
    <w:rsid w:val="00604349"/>
    <w:rsid w:val="00605CD1"/>
    <w:rsid w:val="00606989"/>
    <w:rsid w:val="00607D1C"/>
    <w:rsid w:val="00607D74"/>
    <w:rsid w:val="00610882"/>
    <w:rsid w:val="00610C4E"/>
    <w:rsid w:val="0061114E"/>
    <w:rsid w:val="006123B6"/>
    <w:rsid w:val="00612F27"/>
    <w:rsid w:val="006132AA"/>
    <w:rsid w:val="0061387C"/>
    <w:rsid w:val="00614C11"/>
    <w:rsid w:val="00614E84"/>
    <w:rsid w:val="00622141"/>
    <w:rsid w:val="00623F11"/>
    <w:rsid w:val="0062435B"/>
    <w:rsid w:val="006254C8"/>
    <w:rsid w:val="00625B5E"/>
    <w:rsid w:val="00626D3D"/>
    <w:rsid w:val="006278C5"/>
    <w:rsid w:val="00631C4B"/>
    <w:rsid w:val="00632C99"/>
    <w:rsid w:val="0063732E"/>
    <w:rsid w:val="00637F43"/>
    <w:rsid w:val="00637FD6"/>
    <w:rsid w:val="006402DC"/>
    <w:rsid w:val="0064081E"/>
    <w:rsid w:val="0064086D"/>
    <w:rsid w:val="006416A7"/>
    <w:rsid w:val="0064277C"/>
    <w:rsid w:val="00642EA1"/>
    <w:rsid w:val="0064352B"/>
    <w:rsid w:val="006507EE"/>
    <w:rsid w:val="00651ED7"/>
    <w:rsid w:val="00652651"/>
    <w:rsid w:val="006528AB"/>
    <w:rsid w:val="0065372D"/>
    <w:rsid w:val="0065437D"/>
    <w:rsid w:val="006545D2"/>
    <w:rsid w:val="00655679"/>
    <w:rsid w:val="00656698"/>
    <w:rsid w:val="00656F26"/>
    <w:rsid w:val="00661847"/>
    <w:rsid w:val="0066293F"/>
    <w:rsid w:val="00663427"/>
    <w:rsid w:val="0066371D"/>
    <w:rsid w:val="006649AA"/>
    <w:rsid w:val="00664A8C"/>
    <w:rsid w:val="006718AA"/>
    <w:rsid w:val="0067338C"/>
    <w:rsid w:val="00673BCE"/>
    <w:rsid w:val="00673E54"/>
    <w:rsid w:val="006741AE"/>
    <w:rsid w:val="006744E9"/>
    <w:rsid w:val="00674503"/>
    <w:rsid w:val="00675EC8"/>
    <w:rsid w:val="006828E9"/>
    <w:rsid w:val="00682C41"/>
    <w:rsid w:val="0068519D"/>
    <w:rsid w:val="006852E2"/>
    <w:rsid w:val="0068718D"/>
    <w:rsid w:val="0069084F"/>
    <w:rsid w:val="00690B13"/>
    <w:rsid w:val="00691502"/>
    <w:rsid w:val="006919C6"/>
    <w:rsid w:val="006931D7"/>
    <w:rsid w:val="0069494A"/>
    <w:rsid w:val="006949CE"/>
    <w:rsid w:val="00697302"/>
    <w:rsid w:val="006973B8"/>
    <w:rsid w:val="006A012A"/>
    <w:rsid w:val="006A06D9"/>
    <w:rsid w:val="006A3969"/>
    <w:rsid w:val="006A5466"/>
    <w:rsid w:val="006A59D5"/>
    <w:rsid w:val="006A67DC"/>
    <w:rsid w:val="006B3B9D"/>
    <w:rsid w:val="006B3CA3"/>
    <w:rsid w:val="006B54B9"/>
    <w:rsid w:val="006B56D9"/>
    <w:rsid w:val="006B5A59"/>
    <w:rsid w:val="006B69D2"/>
    <w:rsid w:val="006B6D91"/>
    <w:rsid w:val="006C1000"/>
    <w:rsid w:val="006C12A7"/>
    <w:rsid w:val="006C2418"/>
    <w:rsid w:val="006C3D50"/>
    <w:rsid w:val="006C3F0F"/>
    <w:rsid w:val="006C5728"/>
    <w:rsid w:val="006C5A5B"/>
    <w:rsid w:val="006C6932"/>
    <w:rsid w:val="006D045E"/>
    <w:rsid w:val="006D0A9C"/>
    <w:rsid w:val="006D0C90"/>
    <w:rsid w:val="006D194C"/>
    <w:rsid w:val="006D1B47"/>
    <w:rsid w:val="006D49B2"/>
    <w:rsid w:val="006E144C"/>
    <w:rsid w:val="006E34C9"/>
    <w:rsid w:val="006E3BA1"/>
    <w:rsid w:val="006E4047"/>
    <w:rsid w:val="006E4309"/>
    <w:rsid w:val="006E4DFC"/>
    <w:rsid w:val="006E5B68"/>
    <w:rsid w:val="006E7762"/>
    <w:rsid w:val="006F068D"/>
    <w:rsid w:val="006F0774"/>
    <w:rsid w:val="006F161D"/>
    <w:rsid w:val="006F1BB8"/>
    <w:rsid w:val="006F2D00"/>
    <w:rsid w:val="006F35D3"/>
    <w:rsid w:val="006F4552"/>
    <w:rsid w:val="006F4FBC"/>
    <w:rsid w:val="0070066F"/>
    <w:rsid w:val="00701744"/>
    <w:rsid w:val="0070196F"/>
    <w:rsid w:val="00702B9F"/>
    <w:rsid w:val="00703097"/>
    <w:rsid w:val="0070439D"/>
    <w:rsid w:val="007068C0"/>
    <w:rsid w:val="00712FC3"/>
    <w:rsid w:val="0071342A"/>
    <w:rsid w:val="0071479A"/>
    <w:rsid w:val="00714E66"/>
    <w:rsid w:val="0071774D"/>
    <w:rsid w:val="0071778B"/>
    <w:rsid w:val="00721189"/>
    <w:rsid w:val="0072271E"/>
    <w:rsid w:val="0072290E"/>
    <w:rsid w:val="00723F77"/>
    <w:rsid w:val="0072472A"/>
    <w:rsid w:val="007259D4"/>
    <w:rsid w:val="007269CD"/>
    <w:rsid w:val="0073001C"/>
    <w:rsid w:val="00731B28"/>
    <w:rsid w:val="00732FE9"/>
    <w:rsid w:val="00736153"/>
    <w:rsid w:val="00737ECE"/>
    <w:rsid w:val="0074297E"/>
    <w:rsid w:val="00742D68"/>
    <w:rsid w:val="00744325"/>
    <w:rsid w:val="00744367"/>
    <w:rsid w:val="00745DB0"/>
    <w:rsid w:val="007467EA"/>
    <w:rsid w:val="0074756E"/>
    <w:rsid w:val="0075088F"/>
    <w:rsid w:val="0075171B"/>
    <w:rsid w:val="007522FD"/>
    <w:rsid w:val="007532F4"/>
    <w:rsid w:val="00753BBE"/>
    <w:rsid w:val="00755DE2"/>
    <w:rsid w:val="00756676"/>
    <w:rsid w:val="007579B5"/>
    <w:rsid w:val="00757AB2"/>
    <w:rsid w:val="007609E8"/>
    <w:rsid w:val="0076423E"/>
    <w:rsid w:val="00767F04"/>
    <w:rsid w:val="00770F5E"/>
    <w:rsid w:val="007713F2"/>
    <w:rsid w:val="00772CC2"/>
    <w:rsid w:val="0077300B"/>
    <w:rsid w:val="00773277"/>
    <w:rsid w:val="007759B4"/>
    <w:rsid w:val="00775C79"/>
    <w:rsid w:val="00776570"/>
    <w:rsid w:val="0078010E"/>
    <w:rsid w:val="00780156"/>
    <w:rsid w:val="00780252"/>
    <w:rsid w:val="007826B6"/>
    <w:rsid w:val="00783757"/>
    <w:rsid w:val="007860A7"/>
    <w:rsid w:val="00786B0E"/>
    <w:rsid w:val="00787D7D"/>
    <w:rsid w:val="00787E6A"/>
    <w:rsid w:val="00791711"/>
    <w:rsid w:val="00792A11"/>
    <w:rsid w:val="00794358"/>
    <w:rsid w:val="00794759"/>
    <w:rsid w:val="00795394"/>
    <w:rsid w:val="00797123"/>
    <w:rsid w:val="00797217"/>
    <w:rsid w:val="00797840"/>
    <w:rsid w:val="007A0439"/>
    <w:rsid w:val="007A0976"/>
    <w:rsid w:val="007A106E"/>
    <w:rsid w:val="007A10AB"/>
    <w:rsid w:val="007A1D83"/>
    <w:rsid w:val="007A2F11"/>
    <w:rsid w:val="007A326B"/>
    <w:rsid w:val="007A39ED"/>
    <w:rsid w:val="007A4EF9"/>
    <w:rsid w:val="007A4FE9"/>
    <w:rsid w:val="007A5CCE"/>
    <w:rsid w:val="007A6126"/>
    <w:rsid w:val="007A739E"/>
    <w:rsid w:val="007B0C55"/>
    <w:rsid w:val="007B19C8"/>
    <w:rsid w:val="007B2ADC"/>
    <w:rsid w:val="007B3115"/>
    <w:rsid w:val="007B35E0"/>
    <w:rsid w:val="007B36BB"/>
    <w:rsid w:val="007B4A3C"/>
    <w:rsid w:val="007B50B8"/>
    <w:rsid w:val="007B5268"/>
    <w:rsid w:val="007B55CE"/>
    <w:rsid w:val="007C0474"/>
    <w:rsid w:val="007C1997"/>
    <w:rsid w:val="007C26D7"/>
    <w:rsid w:val="007C311F"/>
    <w:rsid w:val="007C32FD"/>
    <w:rsid w:val="007C3843"/>
    <w:rsid w:val="007C491A"/>
    <w:rsid w:val="007C4952"/>
    <w:rsid w:val="007C64F0"/>
    <w:rsid w:val="007C7FC1"/>
    <w:rsid w:val="007D0568"/>
    <w:rsid w:val="007D1A13"/>
    <w:rsid w:val="007D2723"/>
    <w:rsid w:val="007D2B65"/>
    <w:rsid w:val="007D4A8C"/>
    <w:rsid w:val="007D4ABA"/>
    <w:rsid w:val="007D5539"/>
    <w:rsid w:val="007D579A"/>
    <w:rsid w:val="007D7611"/>
    <w:rsid w:val="007E0663"/>
    <w:rsid w:val="007E0C54"/>
    <w:rsid w:val="007E15B4"/>
    <w:rsid w:val="007E3F88"/>
    <w:rsid w:val="007E40B0"/>
    <w:rsid w:val="007E4B0D"/>
    <w:rsid w:val="007E5AFF"/>
    <w:rsid w:val="007E5CB4"/>
    <w:rsid w:val="007E6A3E"/>
    <w:rsid w:val="007E6D69"/>
    <w:rsid w:val="007F088B"/>
    <w:rsid w:val="007F0D53"/>
    <w:rsid w:val="007F1CBD"/>
    <w:rsid w:val="007F2509"/>
    <w:rsid w:val="007F37F3"/>
    <w:rsid w:val="007F4E37"/>
    <w:rsid w:val="007F54D2"/>
    <w:rsid w:val="007F5C40"/>
    <w:rsid w:val="007F5E63"/>
    <w:rsid w:val="007F6831"/>
    <w:rsid w:val="00801A32"/>
    <w:rsid w:val="00801AE6"/>
    <w:rsid w:val="0080422B"/>
    <w:rsid w:val="008044CD"/>
    <w:rsid w:val="0080501A"/>
    <w:rsid w:val="00805F0C"/>
    <w:rsid w:val="00805FE0"/>
    <w:rsid w:val="00806751"/>
    <w:rsid w:val="008107FC"/>
    <w:rsid w:val="008119D1"/>
    <w:rsid w:val="0081266E"/>
    <w:rsid w:val="0081387B"/>
    <w:rsid w:val="008138AC"/>
    <w:rsid w:val="00813ADB"/>
    <w:rsid w:val="00815EF4"/>
    <w:rsid w:val="008164C3"/>
    <w:rsid w:val="0081691D"/>
    <w:rsid w:val="00816F2D"/>
    <w:rsid w:val="00817892"/>
    <w:rsid w:val="00820C9A"/>
    <w:rsid w:val="0082241A"/>
    <w:rsid w:val="0082250E"/>
    <w:rsid w:val="00822907"/>
    <w:rsid w:val="00824D4D"/>
    <w:rsid w:val="00824EDE"/>
    <w:rsid w:val="008250F7"/>
    <w:rsid w:val="00825FBF"/>
    <w:rsid w:val="0082646F"/>
    <w:rsid w:val="00826E64"/>
    <w:rsid w:val="0082779E"/>
    <w:rsid w:val="00827E04"/>
    <w:rsid w:val="00830DC2"/>
    <w:rsid w:val="0083187F"/>
    <w:rsid w:val="008322DA"/>
    <w:rsid w:val="00832C12"/>
    <w:rsid w:val="00832E70"/>
    <w:rsid w:val="008332B6"/>
    <w:rsid w:val="0083418D"/>
    <w:rsid w:val="008341F4"/>
    <w:rsid w:val="00834955"/>
    <w:rsid w:val="00834FD8"/>
    <w:rsid w:val="00835212"/>
    <w:rsid w:val="00835CB4"/>
    <w:rsid w:val="00837A82"/>
    <w:rsid w:val="00840092"/>
    <w:rsid w:val="008437C0"/>
    <w:rsid w:val="00844B99"/>
    <w:rsid w:val="008454F2"/>
    <w:rsid w:val="008467A4"/>
    <w:rsid w:val="008513BA"/>
    <w:rsid w:val="0085297B"/>
    <w:rsid w:val="00852ECC"/>
    <w:rsid w:val="00853333"/>
    <w:rsid w:val="00854F25"/>
    <w:rsid w:val="0085574C"/>
    <w:rsid w:val="008567DE"/>
    <w:rsid w:val="0086161A"/>
    <w:rsid w:val="0086167F"/>
    <w:rsid w:val="0086403D"/>
    <w:rsid w:val="0086504F"/>
    <w:rsid w:val="00867F4D"/>
    <w:rsid w:val="00871132"/>
    <w:rsid w:val="008724AA"/>
    <w:rsid w:val="008725F4"/>
    <w:rsid w:val="00872946"/>
    <w:rsid w:val="00872B67"/>
    <w:rsid w:val="008739C8"/>
    <w:rsid w:val="00873F3E"/>
    <w:rsid w:val="00874494"/>
    <w:rsid w:val="00876901"/>
    <w:rsid w:val="008812AF"/>
    <w:rsid w:val="00881D8A"/>
    <w:rsid w:val="00884B99"/>
    <w:rsid w:val="008854A7"/>
    <w:rsid w:val="00885EB9"/>
    <w:rsid w:val="0089007F"/>
    <w:rsid w:val="0089079C"/>
    <w:rsid w:val="00890A90"/>
    <w:rsid w:val="00891DB3"/>
    <w:rsid w:val="0089265B"/>
    <w:rsid w:val="0089268D"/>
    <w:rsid w:val="00893BF5"/>
    <w:rsid w:val="00897034"/>
    <w:rsid w:val="00897AC2"/>
    <w:rsid w:val="008A0485"/>
    <w:rsid w:val="008A0DE0"/>
    <w:rsid w:val="008A12D2"/>
    <w:rsid w:val="008A1E3E"/>
    <w:rsid w:val="008A41F7"/>
    <w:rsid w:val="008A441B"/>
    <w:rsid w:val="008A582B"/>
    <w:rsid w:val="008A5D2E"/>
    <w:rsid w:val="008A5F43"/>
    <w:rsid w:val="008A6735"/>
    <w:rsid w:val="008A710F"/>
    <w:rsid w:val="008A7942"/>
    <w:rsid w:val="008A7F1A"/>
    <w:rsid w:val="008B1757"/>
    <w:rsid w:val="008B19BD"/>
    <w:rsid w:val="008B2ADA"/>
    <w:rsid w:val="008B38F4"/>
    <w:rsid w:val="008B3C69"/>
    <w:rsid w:val="008B46B7"/>
    <w:rsid w:val="008B546E"/>
    <w:rsid w:val="008B5834"/>
    <w:rsid w:val="008B649C"/>
    <w:rsid w:val="008B674A"/>
    <w:rsid w:val="008B7256"/>
    <w:rsid w:val="008B7507"/>
    <w:rsid w:val="008C28D0"/>
    <w:rsid w:val="008C2D0C"/>
    <w:rsid w:val="008C545E"/>
    <w:rsid w:val="008C5C21"/>
    <w:rsid w:val="008C63BC"/>
    <w:rsid w:val="008C6820"/>
    <w:rsid w:val="008C69F8"/>
    <w:rsid w:val="008C792C"/>
    <w:rsid w:val="008D0446"/>
    <w:rsid w:val="008D0588"/>
    <w:rsid w:val="008D0D35"/>
    <w:rsid w:val="008D1DF0"/>
    <w:rsid w:val="008D20F1"/>
    <w:rsid w:val="008D3CE6"/>
    <w:rsid w:val="008D4729"/>
    <w:rsid w:val="008D6CF6"/>
    <w:rsid w:val="008D74E2"/>
    <w:rsid w:val="008D79D4"/>
    <w:rsid w:val="008E11EC"/>
    <w:rsid w:val="008E3854"/>
    <w:rsid w:val="008E3D3A"/>
    <w:rsid w:val="008E44D1"/>
    <w:rsid w:val="008E5365"/>
    <w:rsid w:val="008E6D8E"/>
    <w:rsid w:val="008E7241"/>
    <w:rsid w:val="008E7343"/>
    <w:rsid w:val="008E74CD"/>
    <w:rsid w:val="008E78A1"/>
    <w:rsid w:val="008E7F4F"/>
    <w:rsid w:val="008F04E5"/>
    <w:rsid w:val="008F22E1"/>
    <w:rsid w:val="008F2322"/>
    <w:rsid w:val="008F3243"/>
    <w:rsid w:val="008F35E1"/>
    <w:rsid w:val="008F4BDA"/>
    <w:rsid w:val="008F512B"/>
    <w:rsid w:val="008F66EA"/>
    <w:rsid w:val="008F6AE4"/>
    <w:rsid w:val="008F6DEC"/>
    <w:rsid w:val="008F6E93"/>
    <w:rsid w:val="00900010"/>
    <w:rsid w:val="0090122F"/>
    <w:rsid w:val="009030E3"/>
    <w:rsid w:val="009031A1"/>
    <w:rsid w:val="00903B1F"/>
    <w:rsid w:val="00906161"/>
    <w:rsid w:val="00906559"/>
    <w:rsid w:val="009075E2"/>
    <w:rsid w:val="0091001F"/>
    <w:rsid w:val="00910E3E"/>
    <w:rsid w:val="00911761"/>
    <w:rsid w:val="00913767"/>
    <w:rsid w:val="00916DCB"/>
    <w:rsid w:val="0091790A"/>
    <w:rsid w:val="00920742"/>
    <w:rsid w:val="0092124F"/>
    <w:rsid w:val="00923E7D"/>
    <w:rsid w:val="00925489"/>
    <w:rsid w:val="009262FC"/>
    <w:rsid w:val="00926451"/>
    <w:rsid w:val="00927641"/>
    <w:rsid w:val="009277C4"/>
    <w:rsid w:val="009279C8"/>
    <w:rsid w:val="009360A0"/>
    <w:rsid w:val="00937441"/>
    <w:rsid w:val="00937918"/>
    <w:rsid w:val="00940495"/>
    <w:rsid w:val="00940CB6"/>
    <w:rsid w:val="00942714"/>
    <w:rsid w:val="00943573"/>
    <w:rsid w:val="00943B41"/>
    <w:rsid w:val="00950EFE"/>
    <w:rsid w:val="009511A2"/>
    <w:rsid w:val="00952AEA"/>
    <w:rsid w:val="00952D0D"/>
    <w:rsid w:val="00953084"/>
    <w:rsid w:val="0095317A"/>
    <w:rsid w:val="009531A7"/>
    <w:rsid w:val="00955612"/>
    <w:rsid w:val="0095646B"/>
    <w:rsid w:val="00956537"/>
    <w:rsid w:val="00956A6C"/>
    <w:rsid w:val="00956D48"/>
    <w:rsid w:val="00957589"/>
    <w:rsid w:val="00961483"/>
    <w:rsid w:val="00964248"/>
    <w:rsid w:val="00967342"/>
    <w:rsid w:val="00967A2C"/>
    <w:rsid w:val="00970FC8"/>
    <w:rsid w:val="00972314"/>
    <w:rsid w:val="00974F51"/>
    <w:rsid w:val="00975A4E"/>
    <w:rsid w:val="00976C0A"/>
    <w:rsid w:val="00976F83"/>
    <w:rsid w:val="0097713A"/>
    <w:rsid w:val="00982553"/>
    <w:rsid w:val="009828CC"/>
    <w:rsid w:val="00985055"/>
    <w:rsid w:val="009862D8"/>
    <w:rsid w:val="009872D1"/>
    <w:rsid w:val="009879F3"/>
    <w:rsid w:val="00990572"/>
    <w:rsid w:val="00990BC2"/>
    <w:rsid w:val="00990C64"/>
    <w:rsid w:val="009914AF"/>
    <w:rsid w:val="00991D74"/>
    <w:rsid w:val="009923FC"/>
    <w:rsid w:val="00992816"/>
    <w:rsid w:val="00995715"/>
    <w:rsid w:val="00995A87"/>
    <w:rsid w:val="00996070"/>
    <w:rsid w:val="00996FB0"/>
    <w:rsid w:val="009972AD"/>
    <w:rsid w:val="00997732"/>
    <w:rsid w:val="009A0DDD"/>
    <w:rsid w:val="009A0E3A"/>
    <w:rsid w:val="009A1A73"/>
    <w:rsid w:val="009A2CA6"/>
    <w:rsid w:val="009A405F"/>
    <w:rsid w:val="009A45B8"/>
    <w:rsid w:val="009A5B3E"/>
    <w:rsid w:val="009A5D54"/>
    <w:rsid w:val="009A6587"/>
    <w:rsid w:val="009A71A7"/>
    <w:rsid w:val="009B258F"/>
    <w:rsid w:val="009B2FEA"/>
    <w:rsid w:val="009B3B23"/>
    <w:rsid w:val="009B548F"/>
    <w:rsid w:val="009B6F1C"/>
    <w:rsid w:val="009B72DB"/>
    <w:rsid w:val="009B73C1"/>
    <w:rsid w:val="009C0F15"/>
    <w:rsid w:val="009C2A15"/>
    <w:rsid w:val="009C3060"/>
    <w:rsid w:val="009C32F6"/>
    <w:rsid w:val="009C4DAA"/>
    <w:rsid w:val="009C5235"/>
    <w:rsid w:val="009C571F"/>
    <w:rsid w:val="009C7860"/>
    <w:rsid w:val="009D01CC"/>
    <w:rsid w:val="009D0D8C"/>
    <w:rsid w:val="009D23AA"/>
    <w:rsid w:val="009D37D5"/>
    <w:rsid w:val="009D3EA7"/>
    <w:rsid w:val="009D4657"/>
    <w:rsid w:val="009D4E94"/>
    <w:rsid w:val="009D60B5"/>
    <w:rsid w:val="009D67EA"/>
    <w:rsid w:val="009E0CD8"/>
    <w:rsid w:val="009E2E5F"/>
    <w:rsid w:val="009E3A25"/>
    <w:rsid w:val="009F0773"/>
    <w:rsid w:val="009F21CE"/>
    <w:rsid w:val="009F2BA2"/>
    <w:rsid w:val="009F39B4"/>
    <w:rsid w:val="009F4044"/>
    <w:rsid w:val="009F44A0"/>
    <w:rsid w:val="009F52ED"/>
    <w:rsid w:val="00A017DD"/>
    <w:rsid w:val="00A030A3"/>
    <w:rsid w:val="00A03732"/>
    <w:rsid w:val="00A046AD"/>
    <w:rsid w:val="00A05A10"/>
    <w:rsid w:val="00A05B72"/>
    <w:rsid w:val="00A06FFC"/>
    <w:rsid w:val="00A0779D"/>
    <w:rsid w:val="00A11222"/>
    <w:rsid w:val="00A11337"/>
    <w:rsid w:val="00A11CB9"/>
    <w:rsid w:val="00A125CB"/>
    <w:rsid w:val="00A148AC"/>
    <w:rsid w:val="00A15369"/>
    <w:rsid w:val="00A16348"/>
    <w:rsid w:val="00A16F8B"/>
    <w:rsid w:val="00A179A6"/>
    <w:rsid w:val="00A179B8"/>
    <w:rsid w:val="00A21061"/>
    <w:rsid w:val="00A21AF6"/>
    <w:rsid w:val="00A21FE7"/>
    <w:rsid w:val="00A22685"/>
    <w:rsid w:val="00A26C2D"/>
    <w:rsid w:val="00A27BF0"/>
    <w:rsid w:val="00A30B0A"/>
    <w:rsid w:val="00A30D6C"/>
    <w:rsid w:val="00A323DB"/>
    <w:rsid w:val="00A335E4"/>
    <w:rsid w:val="00A34647"/>
    <w:rsid w:val="00A34D24"/>
    <w:rsid w:val="00A34DE7"/>
    <w:rsid w:val="00A350FB"/>
    <w:rsid w:val="00A3542B"/>
    <w:rsid w:val="00A35A1B"/>
    <w:rsid w:val="00A35DD4"/>
    <w:rsid w:val="00A3631F"/>
    <w:rsid w:val="00A403DA"/>
    <w:rsid w:val="00A40C47"/>
    <w:rsid w:val="00A4459A"/>
    <w:rsid w:val="00A44B99"/>
    <w:rsid w:val="00A45C30"/>
    <w:rsid w:val="00A45FCB"/>
    <w:rsid w:val="00A4710A"/>
    <w:rsid w:val="00A50729"/>
    <w:rsid w:val="00A50A56"/>
    <w:rsid w:val="00A525BC"/>
    <w:rsid w:val="00A5328F"/>
    <w:rsid w:val="00A53A3C"/>
    <w:rsid w:val="00A53C56"/>
    <w:rsid w:val="00A53FC8"/>
    <w:rsid w:val="00A54DFE"/>
    <w:rsid w:val="00A560E0"/>
    <w:rsid w:val="00A57E63"/>
    <w:rsid w:val="00A60C42"/>
    <w:rsid w:val="00A623B9"/>
    <w:rsid w:val="00A62BD8"/>
    <w:rsid w:val="00A63041"/>
    <w:rsid w:val="00A63B15"/>
    <w:rsid w:val="00A66A94"/>
    <w:rsid w:val="00A67212"/>
    <w:rsid w:val="00A67A46"/>
    <w:rsid w:val="00A71BE4"/>
    <w:rsid w:val="00A735DB"/>
    <w:rsid w:val="00A74412"/>
    <w:rsid w:val="00A745BA"/>
    <w:rsid w:val="00A74EDC"/>
    <w:rsid w:val="00A76F11"/>
    <w:rsid w:val="00A818FD"/>
    <w:rsid w:val="00A81E65"/>
    <w:rsid w:val="00A81F1A"/>
    <w:rsid w:val="00A83D62"/>
    <w:rsid w:val="00A84434"/>
    <w:rsid w:val="00A85211"/>
    <w:rsid w:val="00A87C52"/>
    <w:rsid w:val="00A90278"/>
    <w:rsid w:val="00A92995"/>
    <w:rsid w:val="00A935A9"/>
    <w:rsid w:val="00A94F6E"/>
    <w:rsid w:val="00A9645E"/>
    <w:rsid w:val="00AA1FF5"/>
    <w:rsid w:val="00AA4809"/>
    <w:rsid w:val="00AA5B8C"/>
    <w:rsid w:val="00AA689E"/>
    <w:rsid w:val="00AA7554"/>
    <w:rsid w:val="00AA7D67"/>
    <w:rsid w:val="00AB02EA"/>
    <w:rsid w:val="00AB07E0"/>
    <w:rsid w:val="00AB0A2C"/>
    <w:rsid w:val="00AB1B6E"/>
    <w:rsid w:val="00AB2536"/>
    <w:rsid w:val="00AB28B3"/>
    <w:rsid w:val="00AB3A36"/>
    <w:rsid w:val="00AB5B85"/>
    <w:rsid w:val="00AB6355"/>
    <w:rsid w:val="00AB6420"/>
    <w:rsid w:val="00AB7493"/>
    <w:rsid w:val="00AC026D"/>
    <w:rsid w:val="00AC0936"/>
    <w:rsid w:val="00AC0970"/>
    <w:rsid w:val="00AC0E1A"/>
    <w:rsid w:val="00AC1F47"/>
    <w:rsid w:val="00AC2447"/>
    <w:rsid w:val="00AC390A"/>
    <w:rsid w:val="00AC3CC1"/>
    <w:rsid w:val="00AC6225"/>
    <w:rsid w:val="00AD0845"/>
    <w:rsid w:val="00AD2B5B"/>
    <w:rsid w:val="00AD3AB2"/>
    <w:rsid w:val="00AD3E79"/>
    <w:rsid w:val="00AD408C"/>
    <w:rsid w:val="00AD4780"/>
    <w:rsid w:val="00AD7118"/>
    <w:rsid w:val="00AD763B"/>
    <w:rsid w:val="00AD7895"/>
    <w:rsid w:val="00AE053F"/>
    <w:rsid w:val="00AE09D8"/>
    <w:rsid w:val="00AE11B1"/>
    <w:rsid w:val="00AE143A"/>
    <w:rsid w:val="00AE143B"/>
    <w:rsid w:val="00AE48FE"/>
    <w:rsid w:val="00AE54CB"/>
    <w:rsid w:val="00AE565C"/>
    <w:rsid w:val="00AE5A46"/>
    <w:rsid w:val="00AE66B3"/>
    <w:rsid w:val="00AE7EBC"/>
    <w:rsid w:val="00AE7FE7"/>
    <w:rsid w:val="00AF07D7"/>
    <w:rsid w:val="00AF0973"/>
    <w:rsid w:val="00AF18A3"/>
    <w:rsid w:val="00AF29FC"/>
    <w:rsid w:val="00AF4E40"/>
    <w:rsid w:val="00AF5CA5"/>
    <w:rsid w:val="00AF5D31"/>
    <w:rsid w:val="00B011C1"/>
    <w:rsid w:val="00B028C2"/>
    <w:rsid w:val="00B02E52"/>
    <w:rsid w:val="00B0365B"/>
    <w:rsid w:val="00B0415D"/>
    <w:rsid w:val="00B04E7C"/>
    <w:rsid w:val="00B079F6"/>
    <w:rsid w:val="00B104A9"/>
    <w:rsid w:val="00B1120D"/>
    <w:rsid w:val="00B1295F"/>
    <w:rsid w:val="00B12C49"/>
    <w:rsid w:val="00B14504"/>
    <w:rsid w:val="00B15429"/>
    <w:rsid w:val="00B158A2"/>
    <w:rsid w:val="00B1735F"/>
    <w:rsid w:val="00B1737D"/>
    <w:rsid w:val="00B1752B"/>
    <w:rsid w:val="00B206AC"/>
    <w:rsid w:val="00B21A26"/>
    <w:rsid w:val="00B22280"/>
    <w:rsid w:val="00B22FA1"/>
    <w:rsid w:val="00B23B44"/>
    <w:rsid w:val="00B25CB6"/>
    <w:rsid w:val="00B2666F"/>
    <w:rsid w:val="00B270C7"/>
    <w:rsid w:val="00B271DA"/>
    <w:rsid w:val="00B27255"/>
    <w:rsid w:val="00B320F6"/>
    <w:rsid w:val="00B33E6F"/>
    <w:rsid w:val="00B33F09"/>
    <w:rsid w:val="00B350C2"/>
    <w:rsid w:val="00B3549C"/>
    <w:rsid w:val="00B3649A"/>
    <w:rsid w:val="00B3777F"/>
    <w:rsid w:val="00B40463"/>
    <w:rsid w:val="00B42528"/>
    <w:rsid w:val="00B42B43"/>
    <w:rsid w:val="00B44328"/>
    <w:rsid w:val="00B46E2B"/>
    <w:rsid w:val="00B5122A"/>
    <w:rsid w:val="00B55093"/>
    <w:rsid w:val="00B56252"/>
    <w:rsid w:val="00B57689"/>
    <w:rsid w:val="00B57FD1"/>
    <w:rsid w:val="00B603ED"/>
    <w:rsid w:val="00B62CC0"/>
    <w:rsid w:val="00B63BA6"/>
    <w:rsid w:val="00B64939"/>
    <w:rsid w:val="00B655D2"/>
    <w:rsid w:val="00B658AE"/>
    <w:rsid w:val="00B65902"/>
    <w:rsid w:val="00B65923"/>
    <w:rsid w:val="00B6757C"/>
    <w:rsid w:val="00B675AE"/>
    <w:rsid w:val="00B67A33"/>
    <w:rsid w:val="00B70B87"/>
    <w:rsid w:val="00B72C9F"/>
    <w:rsid w:val="00B748E7"/>
    <w:rsid w:val="00B74B6F"/>
    <w:rsid w:val="00B74FB6"/>
    <w:rsid w:val="00B75360"/>
    <w:rsid w:val="00B820B5"/>
    <w:rsid w:val="00B822FC"/>
    <w:rsid w:val="00B82D3A"/>
    <w:rsid w:val="00B82D8B"/>
    <w:rsid w:val="00B864EE"/>
    <w:rsid w:val="00B870A3"/>
    <w:rsid w:val="00B873EF"/>
    <w:rsid w:val="00B8773C"/>
    <w:rsid w:val="00B91201"/>
    <w:rsid w:val="00B92354"/>
    <w:rsid w:val="00B92E19"/>
    <w:rsid w:val="00B93259"/>
    <w:rsid w:val="00B936AF"/>
    <w:rsid w:val="00B93AE2"/>
    <w:rsid w:val="00B95640"/>
    <w:rsid w:val="00B956CB"/>
    <w:rsid w:val="00B96CA4"/>
    <w:rsid w:val="00BA041E"/>
    <w:rsid w:val="00BA12D3"/>
    <w:rsid w:val="00BA1CF7"/>
    <w:rsid w:val="00BA208C"/>
    <w:rsid w:val="00BA4299"/>
    <w:rsid w:val="00BA55FA"/>
    <w:rsid w:val="00BA6209"/>
    <w:rsid w:val="00BA7989"/>
    <w:rsid w:val="00BB0276"/>
    <w:rsid w:val="00BB0348"/>
    <w:rsid w:val="00BB18C7"/>
    <w:rsid w:val="00BB394E"/>
    <w:rsid w:val="00BB67CF"/>
    <w:rsid w:val="00BC4974"/>
    <w:rsid w:val="00BC677D"/>
    <w:rsid w:val="00BD0792"/>
    <w:rsid w:val="00BD1432"/>
    <w:rsid w:val="00BD56F2"/>
    <w:rsid w:val="00BD66CF"/>
    <w:rsid w:val="00BE1AFA"/>
    <w:rsid w:val="00BE1D5D"/>
    <w:rsid w:val="00BE2B26"/>
    <w:rsid w:val="00BE3FE9"/>
    <w:rsid w:val="00BE460C"/>
    <w:rsid w:val="00BE4711"/>
    <w:rsid w:val="00BE49BC"/>
    <w:rsid w:val="00BE4A64"/>
    <w:rsid w:val="00BE61BB"/>
    <w:rsid w:val="00BF0732"/>
    <w:rsid w:val="00BF0E43"/>
    <w:rsid w:val="00BF1EFB"/>
    <w:rsid w:val="00BF23B2"/>
    <w:rsid w:val="00BF450A"/>
    <w:rsid w:val="00BF46E2"/>
    <w:rsid w:val="00BF582D"/>
    <w:rsid w:val="00BF60D7"/>
    <w:rsid w:val="00BF664D"/>
    <w:rsid w:val="00BF6BB2"/>
    <w:rsid w:val="00BF6F0F"/>
    <w:rsid w:val="00BF6FC1"/>
    <w:rsid w:val="00BF72D8"/>
    <w:rsid w:val="00BF7512"/>
    <w:rsid w:val="00BF7680"/>
    <w:rsid w:val="00C00B78"/>
    <w:rsid w:val="00C00E53"/>
    <w:rsid w:val="00C03375"/>
    <w:rsid w:val="00C04CAF"/>
    <w:rsid w:val="00C04CDC"/>
    <w:rsid w:val="00C07678"/>
    <w:rsid w:val="00C07C14"/>
    <w:rsid w:val="00C11B02"/>
    <w:rsid w:val="00C130B5"/>
    <w:rsid w:val="00C132F3"/>
    <w:rsid w:val="00C13544"/>
    <w:rsid w:val="00C13850"/>
    <w:rsid w:val="00C13AA5"/>
    <w:rsid w:val="00C14C08"/>
    <w:rsid w:val="00C15397"/>
    <w:rsid w:val="00C15597"/>
    <w:rsid w:val="00C16354"/>
    <w:rsid w:val="00C1698A"/>
    <w:rsid w:val="00C16DA9"/>
    <w:rsid w:val="00C17674"/>
    <w:rsid w:val="00C2088D"/>
    <w:rsid w:val="00C208BB"/>
    <w:rsid w:val="00C2124D"/>
    <w:rsid w:val="00C25A04"/>
    <w:rsid w:val="00C27064"/>
    <w:rsid w:val="00C27946"/>
    <w:rsid w:val="00C32957"/>
    <w:rsid w:val="00C32D04"/>
    <w:rsid w:val="00C3322F"/>
    <w:rsid w:val="00C33760"/>
    <w:rsid w:val="00C35FC9"/>
    <w:rsid w:val="00C42B40"/>
    <w:rsid w:val="00C43184"/>
    <w:rsid w:val="00C43818"/>
    <w:rsid w:val="00C43FF0"/>
    <w:rsid w:val="00C44700"/>
    <w:rsid w:val="00C44D80"/>
    <w:rsid w:val="00C44F42"/>
    <w:rsid w:val="00C4531E"/>
    <w:rsid w:val="00C45610"/>
    <w:rsid w:val="00C45950"/>
    <w:rsid w:val="00C47990"/>
    <w:rsid w:val="00C50893"/>
    <w:rsid w:val="00C5090E"/>
    <w:rsid w:val="00C51350"/>
    <w:rsid w:val="00C51835"/>
    <w:rsid w:val="00C522EA"/>
    <w:rsid w:val="00C53843"/>
    <w:rsid w:val="00C53F17"/>
    <w:rsid w:val="00C54158"/>
    <w:rsid w:val="00C54775"/>
    <w:rsid w:val="00C54A66"/>
    <w:rsid w:val="00C5550C"/>
    <w:rsid w:val="00C57BE5"/>
    <w:rsid w:val="00C6218D"/>
    <w:rsid w:val="00C63DFE"/>
    <w:rsid w:val="00C66A68"/>
    <w:rsid w:val="00C66E36"/>
    <w:rsid w:val="00C71AE1"/>
    <w:rsid w:val="00C71C27"/>
    <w:rsid w:val="00C76048"/>
    <w:rsid w:val="00C8273C"/>
    <w:rsid w:val="00C83862"/>
    <w:rsid w:val="00C8499E"/>
    <w:rsid w:val="00C8557B"/>
    <w:rsid w:val="00C86680"/>
    <w:rsid w:val="00C86E58"/>
    <w:rsid w:val="00C871ED"/>
    <w:rsid w:val="00C87258"/>
    <w:rsid w:val="00C8735D"/>
    <w:rsid w:val="00C873A0"/>
    <w:rsid w:val="00C915B9"/>
    <w:rsid w:val="00C9248F"/>
    <w:rsid w:val="00C93ABC"/>
    <w:rsid w:val="00C93B92"/>
    <w:rsid w:val="00C9422F"/>
    <w:rsid w:val="00C949FB"/>
    <w:rsid w:val="00C954ED"/>
    <w:rsid w:val="00C9751D"/>
    <w:rsid w:val="00CA0067"/>
    <w:rsid w:val="00CA08AE"/>
    <w:rsid w:val="00CA0EEF"/>
    <w:rsid w:val="00CA15BE"/>
    <w:rsid w:val="00CA2C51"/>
    <w:rsid w:val="00CA3819"/>
    <w:rsid w:val="00CA52A5"/>
    <w:rsid w:val="00CA6EAA"/>
    <w:rsid w:val="00CA7667"/>
    <w:rsid w:val="00CA7AFC"/>
    <w:rsid w:val="00CB0418"/>
    <w:rsid w:val="00CB0496"/>
    <w:rsid w:val="00CB04B8"/>
    <w:rsid w:val="00CB104F"/>
    <w:rsid w:val="00CB137D"/>
    <w:rsid w:val="00CB1422"/>
    <w:rsid w:val="00CB14F4"/>
    <w:rsid w:val="00CB1C91"/>
    <w:rsid w:val="00CB2A74"/>
    <w:rsid w:val="00CB3285"/>
    <w:rsid w:val="00CB4AAF"/>
    <w:rsid w:val="00CB5862"/>
    <w:rsid w:val="00CB60DD"/>
    <w:rsid w:val="00CB60EA"/>
    <w:rsid w:val="00CB7B1F"/>
    <w:rsid w:val="00CD00C8"/>
    <w:rsid w:val="00CD1E96"/>
    <w:rsid w:val="00CD2D83"/>
    <w:rsid w:val="00CD3C16"/>
    <w:rsid w:val="00CD6881"/>
    <w:rsid w:val="00CD6D00"/>
    <w:rsid w:val="00CE2B1C"/>
    <w:rsid w:val="00CE3223"/>
    <w:rsid w:val="00CE325D"/>
    <w:rsid w:val="00CE7D85"/>
    <w:rsid w:val="00CF11F3"/>
    <w:rsid w:val="00CF28D2"/>
    <w:rsid w:val="00CF43B5"/>
    <w:rsid w:val="00CF5B7D"/>
    <w:rsid w:val="00CF79CD"/>
    <w:rsid w:val="00D00E54"/>
    <w:rsid w:val="00D01093"/>
    <w:rsid w:val="00D03807"/>
    <w:rsid w:val="00D03CD5"/>
    <w:rsid w:val="00D05250"/>
    <w:rsid w:val="00D0543C"/>
    <w:rsid w:val="00D06B0D"/>
    <w:rsid w:val="00D07D1D"/>
    <w:rsid w:val="00D10217"/>
    <w:rsid w:val="00D1082A"/>
    <w:rsid w:val="00D11296"/>
    <w:rsid w:val="00D11E1C"/>
    <w:rsid w:val="00D14649"/>
    <w:rsid w:val="00D14AAA"/>
    <w:rsid w:val="00D155E7"/>
    <w:rsid w:val="00D16472"/>
    <w:rsid w:val="00D219EE"/>
    <w:rsid w:val="00D21ED0"/>
    <w:rsid w:val="00D239DC"/>
    <w:rsid w:val="00D23AA3"/>
    <w:rsid w:val="00D25183"/>
    <w:rsid w:val="00D2773A"/>
    <w:rsid w:val="00D30DB8"/>
    <w:rsid w:val="00D30EB7"/>
    <w:rsid w:val="00D31696"/>
    <w:rsid w:val="00D34F4D"/>
    <w:rsid w:val="00D35B72"/>
    <w:rsid w:val="00D36636"/>
    <w:rsid w:val="00D3683A"/>
    <w:rsid w:val="00D36FB1"/>
    <w:rsid w:val="00D372E5"/>
    <w:rsid w:val="00D40853"/>
    <w:rsid w:val="00D40DEF"/>
    <w:rsid w:val="00D40FE9"/>
    <w:rsid w:val="00D4158F"/>
    <w:rsid w:val="00D435B1"/>
    <w:rsid w:val="00D43B73"/>
    <w:rsid w:val="00D43EBB"/>
    <w:rsid w:val="00D46977"/>
    <w:rsid w:val="00D46A28"/>
    <w:rsid w:val="00D46A4B"/>
    <w:rsid w:val="00D47694"/>
    <w:rsid w:val="00D479D7"/>
    <w:rsid w:val="00D47E5E"/>
    <w:rsid w:val="00D502CB"/>
    <w:rsid w:val="00D5093F"/>
    <w:rsid w:val="00D5216A"/>
    <w:rsid w:val="00D538CD"/>
    <w:rsid w:val="00D556DB"/>
    <w:rsid w:val="00D56145"/>
    <w:rsid w:val="00D5665A"/>
    <w:rsid w:val="00D569D9"/>
    <w:rsid w:val="00D5766C"/>
    <w:rsid w:val="00D6175D"/>
    <w:rsid w:val="00D619F1"/>
    <w:rsid w:val="00D61BE5"/>
    <w:rsid w:val="00D628F0"/>
    <w:rsid w:val="00D6318F"/>
    <w:rsid w:val="00D63F45"/>
    <w:rsid w:val="00D64B71"/>
    <w:rsid w:val="00D65D9F"/>
    <w:rsid w:val="00D65E11"/>
    <w:rsid w:val="00D65F69"/>
    <w:rsid w:val="00D660CC"/>
    <w:rsid w:val="00D671B6"/>
    <w:rsid w:val="00D7040A"/>
    <w:rsid w:val="00D70963"/>
    <w:rsid w:val="00D728D3"/>
    <w:rsid w:val="00D730A8"/>
    <w:rsid w:val="00D731B5"/>
    <w:rsid w:val="00D73722"/>
    <w:rsid w:val="00D73C6A"/>
    <w:rsid w:val="00D755F8"/>
    <w:rsid w:val="00D75750"/>
    <w:rsid w:val="00D75ACA"/>
    <w:rsid w:val="00D76563"/>
    <w:rsid w:val="00D81E2C"/>
    <w:rsid w:val="00D829B9"/>
    <w:rsid w:val="00D8341B"/>
    <w:rsid w:val="00D8349B"/>
    <w:rsid w:val="00D83F30"/>
    <w:rsid w:val="00D84525"/>
    <w:rsid w:val="00D846AF"/>
    <w:rsid w:val="00D85E22"/>
    <w:rsid w:val="00D86060"/>
    <w:rsid w:val="00D87DFA"/>
    <w:rsid w:val="00D87FBB"/>
    <w:rsid w:val="00D91745"/>
    <w:rsid w:val="00D92C01"/>
    <w:rsid w:val="00D93895"/>
    <w:rsid w:val="00D93E68"/>
    <w:rsid w:val="00D9509E"/>
    <w:rsid w:val="00D9564A"/>
    <w:rsid w:val="00D97BED"/>
    <w:rsid w:val="00DA0777"/>
    <w:rsid w:val="00DA10AD"/>
    <w:rsid w:val="00DA1CDC"/>
    <w:rsid w:val="00DA2E20"/>
    <w:rsid w:val="00DA4549"/>
    <w:rsid w:val="00DA5A6B"/>
    <w:rsid w:val="00DA79A7"/>
    <w:rsid w:val="00DB078C"/>
    <w:rsid w:val="00DB081A"/>
    <w:rsid w:val="00DB1662"/>
    <w:rsid w:val="00DB16D8"/>
    <w:rsid w:val="00DB1A74"/>
    <w:rsid w:val="00DB1B3A"/>
    <w:rsid w:val="00DB3465"/>
    <w:rsid w:val="00DB4AD4"/>
    <w:rsid w:val="00DB4D40"/>
    <w:rsid w:val="00DB5300"/>
    <w:rsid w:val="00DB5A1E"/>
    <w:rsid w:val="00DB65E6"/>
    <w:rsid w:val="00DB6D0D"/>
    <w:rsid w:val="00DB76B8"/>
    <w:rsid w:val="00DB7B65"/>
    <w:rsid w:val="00DC0319"/>
    <w:rsid w:val="00DC0B2D"/>
    <w:rsid w:val="00DC2033"/>
    <w:rsid w:val="00DC48E7"/>
    <w:rsid w:val="00DC54C8"/>
    <w:rsid w:val="00DD0C9F"/>
    <w:rsid w:val="00DD140C"/>
    <w:rsid w:val="00DD2C34"/>
    <w:rsid w:val="00DD3FE3"/>
    <w:rsid w:val="00DD584C"/>
    <w:rsid w:val="00DD6FAC"/>
    <w:rsid w:val="00DE31C1"/>
    <w:rsid w:val="00DE378F"/>
    <w:rsid w:val="00DE4017"/>
    <w:rsid w:val="00DE49FC"/>
    <w:rsid w:val="00DE51BC"/>
    <w:rsid w:val="00DE5490"/>
    <w:rsid w:val="00DE5A9A"/>
    <w:rsid w:val="00DE7273"/>
    <w:rsid w:val="00DF3F3D"/>
    <w:rsid w:val="00DF469C"/>
    <w:rsid w:val="00DF470E"/>
    <w:rsid w:val="00DF5506"/>
    <w:rsid w:val="00DF5761"/>
    <w:rsid w:val="00DF76BC"/>
    <w:rsid w:val="00DF77FE"/>
    <w:rsid w:val="00E01719"/>
    <w:rsid w:val="00E04778"/>
    <w:rsid w:val="00E06F20"/>
    <w:rsid w:val="00E13217"/>
    <w:rsid w:val="00E138E3"/>
    <w:rsid w:val="00E157C6"/>
    <w:rsid w:val="00E17021"/>
    <w:rsid w:val="00E176C5"/>
    <w:rsid w:val="00E211C3"/>
    <w:rsid w:val="00E21E87"/>
    <w:rsid w:val="00E2280C"/>
    <w:rsid w:val="00E23C19"/>
    <w:rsid w:val="00E23F39"/>
    <w:rsid w:val="00E257B2"/>
    <w:rsid w:val="00E27E0E"/>
    <w:rsid w:val="00E30194"/>
    <w:rsid w:val="00E31205"/>
    <w:rsid w:val="00E31B78"/>
    <w:rsid w:val="00E3216F"/>
    <w:rsid w:val="00E32BE6"/>
    <w:rsid w:val="00E34B38"/>
    <w:rsid w:val="00E35993"/>
    <w:rsid w:val="00E365B2"/>
    <w:rsid w:val="00E42104"/>
    <w:rsid w:val="00E440E5"/>
    <w:rsid w:val="00E448F9"/>
    <w:rsid w:val="00E46163"/>
    <w:rsid w:val="00E4629E"/>
    <w:rsid w:val="00E503D7"/>
    <w:rsid w:val="00E528D6"/>
    <w:rsid w:val="00E53EE1"/>
    <w:rsid w:val="00E559BB"/>
    <w:rsid w:val="00E56877"/>
    <w:rsid w:val="00E56AE0"/>
    <w:rsid w:val="00E57EEC"/>
    <w:rsid w:val="00E62243"/>
    <w:rsid w:val="00E62DA3"/>
    <w:rsid w:val="00E63CD1"/>
    <w:rsid w:val="00E64A65"/>
    <w:rsid w:val="00E64CA2"/>
    <w:rsid w:val="00E66B04"/>
    <w:rsid w:val="00E679CA"/>
    <w:rsid w:val="00E70C20"/>
    <w:rsid w:val="00E7256F"/>
    <w:rsid w:val="00E725A2"/>
    <w:rsid w:val="00E73C3A"/>
    <w:rsid w:val="00E73CCC"/>
    <w:rsid w:val="00E73F02"/>
    <w:rsid w:val="00E7519D"/>
    <w:rsid w:val="00E75DEA"/>
    <w:rsid w:val="00E77D75"/>
    <w:rsid w:val="00E77E32"/>
    <w:rsid w:val="00E80B9C"/>
    <w:rsid w:val="00E8260C"/>
    <w:rsid w:val="00E83290"/>
    <w:rsid w:val="00E836C8"/>
    <w:rsid w:val="00E83B60"/>
    <w:rsid w:val="00E86163"/>
    <w:rsid w:val="00E86791"/>
    <w:rsid w:val="00E9160C"/>
    <w:rsid w:val="00E91EE0"/>
    <w:rsid w:val="00E92410"/>
    <w:rsid w:val="00E92B08"/>
    <w:rsid w:val="00E93B6C"/>
    <w:rsid w:val="00E962F1"/>
    <w:rsid w:val="00E96A85"/>
    <w:rsid w:val="00E97C00"/>
    <w:rsid w:val="00E97FAB"/>
    <w:rsid w:val="00EA0E3A"/>
    <w:rsid w:val="00EA12F3"/>
    <w:rsid w:val="00EA2417"/>
    <w:rsid w:val="00EA4482"/>
    <w:rsid w:val="00EA749E"/>
    <w:rsid w:val="00EA7CF3"/>
    <w:rsid w:val="00EB2208"/>
    <w:rsid w:val="00EB2EF7"/>
    <w:rsid w:val="00EB3B20"/>
    <w:rsid w:val="00EB3C23"/>
    <w:rsid w:val="00EB3F38"/>
    <w:rsid w:val="00EB7E47"/>
    <w:rsid w:val="00EC050B"/>
    <w:rsid w:val="00EC0964"/>
    <w:rsid w:val="00EC2759"/>
    <w:rsid w:val="00EC356B"/>
    <w:rsid w:val="00EC55B4"/>
    <w:rsid w:val="00EC6F43"/>
    <w:rsid w:val="00EC7A26"/>
    <w:rsid w:val="00EC7BF1"/>
    <w:rsid w:val="00ED0A62"/>
    <w:rsid w:val="00ED1E97"/>
    <w:rsid w:val="00ED239C"/>
    <w:rsid w:val="00ED25C3"/>
    <w:rsid w:val="00ED6CC6"/>
    <w:rsid w:val="00ED7742"/>
    <w:rsid w:val="00EE1498"/>
    <w:rsid w:val="00EE3757"/>
    <w:rsid w:val="00EE651E"/>
    <w:rsid w:val="00EE78EF"/>
    <w:rsid w:val="00EF0F24"/>
    <w:rsid w:val="00EF16AC"/>
    <w:rsid w:val="00EF2080"/>
    <w:rsid w:val="00EF2129"/>
    <w:rsid w:val="00EF3A13"/>
    <w:rsid w:val="00EF3A6E"/>
    <w:rsid w:val="00EF5308"/>
    <w:rsid w:val="00EF6418"/>
    <w:rsid w:val="00EF6516"/>
    <w:rsid w:val="00EF7058"/>
    <w:rsid w:val="00EF7B09"/>
    <w:rsid w:val="00F003E3"/>
    <w:rsid w:val="00F006B3"/>
    <w:rsid w:val="00F01F73"/>
    <w:rsid w:val="00F02CDB"/>
    <w:rsid w:val="00F045C0"/>
    <w:rsid w:val="00F047C3"/>
    <w:rsid w:val="00F05FDD"/>
    <w:rsid w:val="00F06881"/>
    <w:rsid w:val="00F06E2A"/>
    <w:rsid w:val="00F07600"/>
    <w:rsid w:val="00F11CDC"/>
    <w:rsid w:val="00F12773"/>
    <w:rsid w:val="00F13E81"/>
    <w:rsid w:val="00F15203"/>
    <w:rsid w:val="00F16D7B"/>
    <w:rsid w:val="00F1720A"/>
    <w:rsid w:val="00F17D5B"/>
    <w:rsid w:val="00F205D5"/>
    <w:rsid w:val="00F2322B"/>
    <w:rsid w:val="00F2752C"/>
    <w:rsid w:val="00F30B73"/>
    <w:rsid w:val="00F31A1A"/>
    <w:rsid w:val="00F31B28"/>
    <w:rsid w:val="00F31D74"/>
    <w:rsid w:val="00F33118"/>
    <w:rsid w:val="00F34F98"/>
    <w:rsid w:val="00F40C7A"/>
    <w:rsid w:val="00F40FB9"/>
    <w:rsid w:val="00F41287"/>
    <w:rsid w:val="00F4159D"/>
    <w:rsid w:val="00F4176A"/>
    <w:rsid w:val="00F440DB"/>
    <w:rsid w:val="00F443E4"/>
    <w:rsid w:val="00F465DC"/>
    <w:rsid w:val="00F50BC8"/>
    <w:rsid w:val="00F50F46"/>
    <w:rsid w:val="00F51846"/>
    <w:rsid w:val="00F52592"/>
    <w:rsid w:val="00F528BF"/>
    <w:rsid w:val="00F53432"/>
    <w:rsid w:val="00F5401B"/>
    <w:rsid w:val="00F550EF"/>
    <w:rsid w:val="00F6061D"/>
    <w:rsid w:val="00F6094A"/>
    <w:rsid w:val="00F609B6"/>
    <w:rsid w:val="00F61A05"/>
    <w:rsid w:val="00F61BC6"/>
    <w:rsid w:val="00F627B5"/>
    <w:rsid w:val="00F62AF7"/>
    <w:rsid w:val="00F64536"/>
    <w:rsid w:val="00F65113"/>
    <w:rsid w:val="00F6519E"/>
    <w:rsid w:val="00F659BF"/>
    <w:rsid w:val="00F70844"/>
    <w:rsid w:val="00F70FDC"/>
    <w:rsid w:val="00F7294F"/>
    <w:rsid w:val="00F73CFC"/>
    <w:rsid w:val="00F75357"/>
    <w:rsid w:val="00F7597C"/>
    <w:rsid w:val="00F76C45"/>
    <w:rsid w:val="00F76F64"/>
    <w:rsid w:val="00F77B14"/>
    <w:rsid w:val="00F80B82"/>
    <w:rsid w:val="00F818E1"/>
    <w:rsid w:val="00F81DB5"/>
    <w:rsid w:val="00F81EBF"/>
    <w:rsid w:val="00F846D4"/>
    <w:rsid w:val="00F84885"/>
    <w:rsid w:val="00F869F7"/>
    <w:rsid w:val="00F9029D"/>
    <w:rsid w:val="00F93D0D"/>
    <w:rsid w:val="00F9410E"/>
    <w:rsid w:val="00F94EEF"/>
    <w:rsid w:val="00F95193"/>
    <w:rsid w:val="00F95AF6"/>
    <w:rsid w:val="00F971E8"/>
    <w:rsid w:val="00F97BE7"/>
    <w:rsid w:val="00FA04C8"/>
    <w:rsid w:val="00FA11E9"/>
    <w:rsid w:val="00FA13B0"/>
    <w:rsid w:val="00FA2623"/>
    <w:rsid w:val="00FA38C4"/>
    <w:rsid w:val="00FA3C2C"/>
    <w:rsid w:val="00FA490C"/>
    <w:rsid w:val="00FA4B8B"/>
    <w:rsid w:val="00FA4FC5"/>
    <w:rsid w:val="00FA5FC7"/>
    <w:rsid w:val="00FA7B83"/>
    <w:rsid w:val="00FB056B"/>
    <w:rsid w:val="00FB134D"/>
    <w:rsid w:val="00FB213B"/>
    <w:rsid w:val="00FB3C26"/>
    <w:rsid w:val="00FB3D44"/>
    <w:rsid w:val="00FB3E27"/>
    <w:rsid w:val="00FB5B52"/>
    <w:rsid w:val="00FB5F5E"/>
    <w:rsid w:val="00FB757F"/>
    <w:rsid w:val="00FB79B9"/>
    <w:rsid w:val="00FC1102"/>
    <w:rsid w:val="00FC1E54"/>
    <w:rsid w:val="00FC1F98"/>
    <w:rsid w:val="00FC2196"/>
    <w:rsid w:val="00FC3004"/>
    <w:rsid w:val="00FC45C6"/>
    <w:rsid w:val="00FC50CD"/>
    <w:rsid w:val="00FC5B03"/>
    <w:rsid w:val="00FC6A30"/>
    <w:rsid w:val="00FC7C04"/>
    <w:rsid w:val="00FD11F4"/>
    <w:rsid w:val="00FD242D"/>
    <w:rsid w:val="00FD28EA"/>
    <w:rsid w:val="00FD3DA7"/>
    <w:rsid w:val="00FD3E7B"/>
    <w:rsid w:val="00FD4800"/>
    <w:rsid w:val="00FD4BEE"/>
    <w:rsid w:val="00FD5129"/>
    <w:rsid w:val="00FD552E"/>
    <w:rsid w:val="00FD7982"/>
    <w:rsid w:val="00FE160E"/>
    <w:rsid w:val="00FE2E1A"/>
    <w:rsid w:val="00FE64B0"/>
    <w:rsid w:val="00FE6948"/>
    <w:rsid w:val="00FE6A3E"/>
    <w:rsid w:val="00FE7608"/>
    <w:rsid w:val="00FE76E9"/>
    <w:rsid w:val="00FF02D3"/>
    <w:rsid w:val="00FF140B"/>
    <w:rsid w:val="00FF18CF"/>
    <w:rsid w:val="00FF40E6"/>
    <w:rsid w:val="00FF50FC"/>
    <w:rsid w:val="00FF537E"/>
    <w:rsid w:val="00FF63F0"/>
    <w:rsid w:val="00FF6D6B"/>
    <w:rsid w:val="0120545F"/>
    <w:rsid w:val="01467E48"/>
    <w:rsid w:val="01A37FCD"/>
    <w:rsid w:val="01C53744"/>
    <w:rsid w:val="01C56268"/>
    <w:rsid w:val="024319EE"/>
    <w:rsid w:val="024E5EDA"/>
    <w:rsid w:val="02630870"/>
    <w:rsid w:val="02C95F7F"/>
    <w:rsid w:val="032D29B2"/>
    <w:rsid w:val="03327FC8"/>
    <w:rsid w:val="03A402BE"/>
    <w:rsid w:val="0438775D"/>
    <w:rsid w:val="049E4688"/>
    <w:rsid w:val="04A32977"/>
    <w:rsid w:val="04A4206E"/>
    <w:rsid w:val="04AE4AB7"/>
    <w:rsid w:val="04BE07B2"/>
    <w:rsid w:val="04D247B3"/>
    <w:rsid w:val="05C6487A"/>
    <w:rsid w:val="05CC4C6F"/>
    <w:rsid w:val="05CF4F9C"/>
    <w:rsid w:val="05D75FA0"/>
    <w:rsid w:val="069A435F"/>
    <w:rsid w:val="06B7340B"/>
    <w:rsid w:val="07032393"/>
    <w:rsid w:val="071E0478"/>
    <w:rsid w:val="07F94BB1"/>
    <w:rsid w:val="08027154"/>
    <w:rsid w:val="080F243A"/>
    <w:rsid w:val="081348D8"/>
    <w:rsid w:val="08193505"/>
    <w:rsid w:val="085B5D70"/>
    <w:rsid w:val="085F360E"/>
    <w:rsid w:val="08E151E5"/>
    <w:rsid w:val="08E9737B"/>
    <w:rsid w:val="09370027"/>
    <w:rsid w:val="097F7731"/>
    <w:rsid w:val="09BE54A1"/>
    <w:rsid w:val="0A0768C3"/>
    <w:rsid w:val="0A096055"/>
    <w:rsid w:val="0A371065"/>
    <w:rsid w:val="0A557DF4"/>
    <w:rsid w:val="0ADD2D31"/>
    <w:rsid w:val="0B9449C5"/>
    <w:rsid w:val="0BB06767"/>
    <w:rsid w:val="0BF50877"/>
    <w:rsid w:val="0BFE0B9D"/>
    <w:rsid w:val="0C2B5158"/>
    <w:rsid w:val="0CA96EE6"/>
    <w:rsid w:val="0DF10765"/>
    <w:rsid w:val="0DF22048"/>
    <w:rsid w:val="0DFA6FB1"/>
    <w:rsid w:val="0E06527C"/>
    <w:rsid w:val="0E13321E"/>
    <w:rsid w:val="0E171953"/>
    <w:rsid w:val="0E2F2295"/>
    <w:rsid w:val="0E4E0267"/>
    <w:rsid w:val="0E5A6407"/>
    <w:rsid w:val="0E6179B4"/>
    <w:rsid w:val="0E7070E1"/>
    <w:rsid w:val="0F2F0962"/>
    <w:rsid w:val="0F515657"/>
    <w:rsid w:val="0F76497E"/>
    <w:rsid w:val="0FAC730D"/>
    <w:rsid w:val="0FC34888"/>
    <w:rsid w:val="0FFF650E"/>
    <w:rsid w:val="101D52BA"/>
    <w:rsid w:val="10340E18"/>
    <w:rsid w:val="10423720"/>
    <w:rsid w:val="106A6A43"/>
    <w:rsid w:val="10863702"/>
    <w:rsid w:val="10DB4AB8"/>
    <w:rsid w:val="10E012C0"/>
    <w:rsid w:val="10E70A61"/>
    <w:rsid w:val="11722581"/>
    <w:rsid w:val="11A75DD3"/>
    <w:rsid w:val="123B6494"/>
    <w:rsid w:val="124D1ECC"/>
    <w:rsid w:val="125666E6"/>
    <w:rsid w:val="12726B38"/>
    <w:rsid w:val="12D7427A"/>
    <w:rsid w:val="12DF6468"/>
    <w:rsid w:val="12F6113C"/>
    <w:rsid w:val="12FE7F72"/>
    <w:rsid w:val="13404AE5"/>
    <w:rsid w:val="13CB6CA1"/>
    <w:rsid w:val="14327BAE"/>
    <w:rsid w:val="145558C5"/>
    <w:rsid w:val="14634DFD"/>
    <w:rsid w:val="147C1E4E"/>
    <w:rsid w:val="14B95F93"/>
    <w:rsid w:val="14BA506B"/>
    <w:rsid w:val="14F6108B"/>
    <w:rsid w:val="153C5E15"/>
    <w:rsid w:val="15A82943"/>
    <w:rsid w:val="15B82589"/>
    <w:rsid w:val="16414905"/>
    <w:rsid w:val="17292502"/>
    <w:rsid w:val="17355656"/>
    <w:rsid w:val="18214649"/>
    <w:rsid w:val="182A212E"/>
    <w:rsid w:val="185077DC"/>
    <w:rsid w:val="19082432"/>
    <w:rsid w:val="192F7285"/>
    <w:rsid w:val="198523AB"/>
    <w:rsid w:val="19894FB1"/>
    <w:rsid w:val="19B5108C"/>
    <w:rsid w:val="1A0101DD"/>
    <w:rsid w:val="1A1B6B97"/>
    <w:rsid w:val="1A897C1D"/>
    <w:rsid w:val="1A8A6217"/>
    <w:rsid w:val="1A9E5500"/>
    <w:rsid w:val="1AA55950"/>
    <w:rsid w:val="1AAC532B"/>
    <w:rsid w:val="1B114D69"/>
    <w:rsid w:val="1B7F7565"/>
    <w:rsid w:val="1BBF0843"/>
    <w:rsid w:val="1BC56A0B"/>
    <w:rsid w:val="1BD4502F"/>
    <w:rsid w:val="1C142988"/>
    <w:rsid w:val="1C8B6147"/>
    <w:rsid w:val="1C9D333D"/>
    <w:rsid w:val="1CD0115F"/>
    <w:rsid w:val="1CDF5C21"/>
    <w:rsid w:val="1D1939E6"/>
    <w:rsid w:val="1D363C08"/>
    <w:rsid w:val="1D423A00"/>
    <w:rsid w:val="1E13242F"/>
    <w:rsid w:val="1E2916B9"/>
    <w:rsid w:val="1E4201B9"/>
    <w:rsid w:val="1E672DC4"/>
    <w:rsid w:val="1EB4798B"/>
    <w:rsid w:val="1EC10A86"/>
    <w:rsid w:val="1F7441D8"/>
    <w:rsid w:val="20427645"/>
    <w:rsid w:val="20C730B9"/>
    <w:rsid w:val="210E2C0D"/>
    <w:rsid w:val="211A2370"/>
    <w:rsid w:val="217A0B16"/>
    <w:rsid w:val="21895E94"/>
    <w:rsid w:val="219914E7"/>
    <w:rsid w:val="220B4DE2"/>
    <w:rsid w:val="225A362D"/>
    <w:rsid w:val="227010B6"/>
    <w:rsid w:val="22A549AE"/>
    <w:rsid w:val="22D73172"/>
    <w:rsid w:val="22FE6FD1"/>
    <w:rsid w:val="230E4DDA"/>
    <w:rsid w:val="2347268B"/>
    <w:rsid w:val="237859B1"/>
    <w:rsid w:val="2391130D"/>
    <w:rsid w:val="23BA3B3F"/>
    <w:rsid w:val="23C57381"/>
    <w:rsid w:val="23CB4E6E"/>
    <w:rsid w:val="23CC6F1F"/>
    <w:rsid w:val="23E23979"/>
    <w:rsid w:val="2403533D"/>
    <w:rsid w:val="24344A6D"/>
    <w:rsid w:val="258648EE"/>
    <w:rsid w:val="25A53853"/>
    <w:rsid w:val="25B575B2"/>
    <w:rsid w:val="25C9264B"/>
    <w:rsid w:val="25D21167"/>
    <w:rsid w:val="263D7F73"/>
    <w:rsid w:val="26A32C72"/>
    <w:rsid w:val="26D46B1D"/>
    <w:rsid w:val="270E6F6A"/>
    <w:rsid w:val="272713AE"/>
    <w:rsid w:val="274663F5"/>
    <w:rsid w:val="27B012EA"/>
    <w:rsid w:val="28374229"/>
    <w:rsid w:val="283A362B"/>
    <w:rsid w:val="288B6E61"/>
    <w:rsid w:val="28B44E41"/>
    <w:rsid w:val="28CB21A2"/>
    <w:rsid w:val="28FF1356"/>
    <w:rsid w:val="29286DF5"/>
    <w:rsid w:val="29445D94"/>
    <w:rsid w:val="29DA08EE"/>
    <w:rsid w:val="2A6308E4"/>
    <w:rsid w:val="2B0B17ED"/>
    <w:rsid w:val="2B2568D0"/>
    <w:rsid w:val="2B2F41EC"/>
    <w:rsid w:val="2B675630"/>
    <w:rsid w:val="2BA04A29"/>
    <w:rsid w:val="2BFB5EAA"/>
    <w:rsid w:val="2C077995"/>
    <w:rsid w:val="2C452446"/>
    <w:rsid w:val="2C7216FE"/>
    <w:rsid w:val="2D6A4923"/>
    <w:rsid w:val="2DEF11DD"/>
    <w:rsid w:val="2E8F2FBA"/>
    <w:rsid w:val="2E991E67"/>
    <w:rsid w:val="2EE16F5D"/>
    <w:rsid w:val="2F121362"/>
    <w:rsid w:val="2F2B615B"/>
    <w:rsid w:val="2F31153D"/>
    <w:rsid w:val="30422245"/>
    <w:rsid w:val="30503D83"/>
    <w:rsid w:val="31165A6E"/>
    <w:rsid w:val="316E7B6E"/>
    <w:rsid w:val="31E35124"/>
    <w:rsid w:val="31E459A8"/>
    <w:rsid w:val="323D1A1A"/>
    <w:rsid w:val="326242C7"/>
    <w:rsid w:val="32A221C5"/>
    <w:rsid w:val="33064502"/>
    <w:rsid w:val="33AB75BE"/>
    <w:rsid w:val="33B311D9"/>
    <w:rsid w:val="33F149F3"/>
    <w:rsid w:val="347C1A96"/>
    <w:rsid w:val="34A9412D"/>
    <w:rsid w:val="34AF27F6"/>
    <w:rsid w:val="34D77326"/>
    <w:rsid w:val="35936CC5"/>
    <w:rsid w:val="35AD0EC9"/>
    <w:rsid w:val="35E95CB5"/>
    <w:rsid w:val="361527AC"/>
    <w:rsid w:val="3645713F"/>
    <w:rsid w:val="369C3CE1"/>
    <w:rsid w:val="37051B32"/>
    <w:rsid w:val="371431DC"/>
    <w:rsid w:val="384750CA"/>
    <w:rsid w:val="38961AFF"/>
    <w:rsid w:val="38A22F53"/>
    <w:rsid w:val="391A239F"/>
    <w:rsid w:val="39600F87"/>
    <w:rsid w:val="39625A79"/>
    <w:rsid w:val="39626FA5"/>
    <w:rsid w:val="39732755"/>
    <w:rsid w:val="39A75C82"/>
    <w:rsid w:val="39D660FF"/>
    <w:rsid w:val="3A134D06"/>
    <w:rsid w:val="3A357430"/>
    <w:rsid w:val="3A390F56"/>
    <w:rsid w:val="3A9C574C"/>
    <w:rsid w:val="3AB53773"/>
    <w:rsid w:val="3AB716A9"/>
    <w:rsid w:val="3AD923FD"/>
    <w:rsid w:val="3BE576A3"/>
    <w:rsid w:val="3C006139"/>
    <w:rsid w:val="3C17152E"/>
    <w:rsid w:val="3C1E0AB5"/>
    <w:rsid w:val="3C47026A"/>
    <w:rsid w:val="3C663606"/>
    <w:rsid w:val="3C6E6F84"/>
    <w:rsid w:val="3C7E0BE0"/>
    <w:rsid w:val="3D247E88"/>
    <w:rsid w:val="3D2D3C93"/>
    <w:rsid w:val="3DA703AF"/>
    <w:rsid w:val="3DA91663"/>
    <w:rsid w:val="3DB0310D"/>
    <w:rsid w:val="3DF86104"/>
    <w:rsid w:val="3DFE4FF4"/>
    <w:rsid w:val="3E2F7944"/>
    <w:rsid w:val="3EAB1F80"/>
    <w:rsid w:val="3ECD384A"/>
    <w:rsid w:val="3F0A2A48"/>
    <w:rsid w:val="3F197792"/>
    <w:rsid w:val="3F8B0C6B"/>
    <w:rsid w:val="3F8B4C43"/>
    <w:rsid w:val="3FD76E79"/>
    <w:rsid w:val="3FF13861"/>
    <w:rsid w:val="402809F0"/>
    <w:rsid w:val="40552625"/>
    <w:rsid w:val="40764F0D"/>
    <w:rsid w:val="407D2D61"/>
    <w:rsid w:val="41132F0D"/>
    <w:rsid w:val="4113352F"/>
    <w:rsid w:val="41297D39"/>
    <w:rsid w:val="421F1AE3"/>
    <w:rsid w:val="425F0370"/>
    <w:rsid w:val="4263727A"/>
    <w:rsid w:val="426B2E12"/>
    <w:rsid w:val="429C453B"/>
    <w:rsid w:val="42B71375"/>
    <w:rsid w:val="42D6212F"/>
    <w:rsid w:val="42E46F09"/>
    <w:rsid w:val="43256F7C"/>
    <w:rsid w:val="43283100"/>
    <w:rsid w:val="435F2FA9"/>
    <w:rsid w:val="43A074BD"/>
    <w:rsid w:val="44737D0C"/>
    <w:rsid w:val="44A314FC"/>
    <w:rsid w:val="44F73F3C"/>
    <w:rsid w:val="452779D7"/>
    <w:rsid w:val="45667082"/>
    <w:rsid w:val="457C0654"/>
    <w:rsid w:val="46694D94"/>
    <w:rsid w:val="470B1A25"/>
    <w:rsid w:val="471A6F33"/>
    <w:rsid w:val="474A5DE2"/>
    <w:rsid w:val="4753060C"/>
    <w:rsid w:val="47834C8E"/>
    <w:rsid w:val="47D2474A"/>
    <w:rsid w:val="47DB54FF"/>
    <w:rsid w:val="484F71FC"/>
    <w:rsid w:val="492434D0"/>
    <w:rsid w:val="49246B4D"/>
    <w:rsid w:val="49680D51"/>
    <w:rsid w:val="499A783E"/>
    <w:rsid w:val="499C2095"/>
    <w:rsid w:val="49B02FC2"/>
    <w:rsid w:val="49E2526B"/>
    <w:rsid w:val="4A78407C"/>
    <w:rsid w:val="4AB022EE"/>
    <w:rsid w:val="4AC76BB9"/>
    <w:rsid w:val="4AFA6284"/>
    <w:rsid w:val="4B2D1795"/>
    <w:rsid w:val="4B4D01E3"/>
    <w:rsid w:val="4B843252"/>
    <w:rsid w:val="4BD25781"/>
    <w:rsid w:val="4BEA4569"/>
    <w:rsid w:val="4C016248"/>
    <w:rsid w:val="4C52400C"/>
    <w:rsid w:val="4CDB272C"/>
    <w:rsid w:val="4CE62DEA"/>
    <w:rsid w:val="4CF937B9"/>
    <w:rsid w:val="4D3C7D71"/>
    <w:rsid w:val="4D3D06B4"/>
    <w:rsid w:val="4D593484"/>
    <w:rsid w:val="4D8370EF"/>
    <w:rsid w:val="4DE45747"/>
    <w:rsid w:val="4DEA4CF4"/>
    <w:rsid w:val="4DF41195"/>
    <w:rsid w:val="4ECF2CFE"/>
    <w:rsid w:val="4EF474AD"/>
    <w:rsid w:val="4F6E5466"/>
    <w:rsid w:val="4FBA4253"/>
    <w:rsid w:val="4FE779B5"/>
    <w:rsid w:val="4FEE5D40"/>
    <w:rsid w:val="50001A81"/>
    <w:rsid w:val="5011239A"/>
    <w:rsid w:val="50607477"/>
    <w:rsid w:val="50894012"/>
    <w:rsid w:val="50AA7C4D"/>
    <w:rsid w:val="50C11B33"/>
    <w:rsid w:val="512424FC"/>
    <w:rsid w:val="51BB14EE"/>
    <w:rsid w:val="522D76A3"/>
    <w:rsid w:val="52AD5EA9"/>
    <w:rsid w:val="5342560B"/>
    <w:rsid w:val="538B1993"/>
    <w:rsid w:val="53C02053"/>
    <w:rsid w:val="53EF707A"/>
    <w:rsid w:val="5457344F"/>
    <w:rsid w:val="549E05E7"/>
    <w:rsid w:val="54D95566"/>
    <w:rsid w:val="552B1EEE"/>
    <w:rsid w:val="555D0420"/>
    <w:rsid w:val="55F14999"/>
    <w:rsid w:val="561F5B57"/>
    <w:rsid w:val="562E458D"/>
    <w:rsid w:val="56567F7E"/>
    <w:rsid w:val="56882CE5"/>
    <w:rsid w:val="56B40D97"/>
    <w:rsid w:val="56B829A0"/>
    <w:rsid w:val="56C65BD3"/>
    <w:rsid w:val="5714248B"/>
    <w:rsid w:val="573F32D8"/>
    <w:rsid w:val="577C5515"/>
    <w:rsid w:val="57A777B2"/>
    <w:rsid w:val="57FD4865"/>
    <w:rsid w:val="581C3D04"/>
    <w:rsid w:val="58682E02"/>
    <w:rsid w:val="586C0C93"/>
    <w:rsid w:val="588D2546"/>
    <w:rsid w:val="58B5397E"/>
    <w:rsid w:val="5926587D"/>
    <w:rsid w:val="59456266"/>
    <w:rsid w:val="595709EA"/>
    <w:rsid w:val="598D7958"/>
    <w:rsid w:val="59D24E25"/>
    <w:rsid w:val="5A474A02"/>
    <w:rsid w:val="5A517EA9"/>
    <w:rsid w:val="5A5807D5"/>
    <w:rsid w:val="5A8A4E2E"/>
    <w:rsid w:val="5ADB79A9"/>
    <w:rsid w:val="5AF70051"/>
    <w:rsid w:val="5B00142F"/>
    <w:rsid w:val="5B4E6F97"/>
    <w:rsid w:val="5B9B5880"/>
    <w:rsid w:val="5BBB1CD5"/>
    <w:rsid w:val="5BDB783C"/>
    <w:rsid w:val="5C412991"/>
    <w:rsid w:val="5C497637"/>
    <w:rsid w:val="5C9B52C2"/>
    <w:rsid w:val="5CE84CF0"/>
    <w:rsid w:val="5CEC1E98"/>
    <w:rsid w:val="5D403159"/>
    <w:rsid w:val="5D451A64"/>
    <w:rsid w:val="5DB5032A"/>
    <w:rsid w:val="5E117F5A"/>
    <w:rsid w:val="5E174923"/>
    <w:rsid w:val="5E3623E4"/>
    <w:rsid w:val="5E456395"/>
    <w:rsid w:val="5E6B4C9D"/>
    <w:rsid w:val="5F010C38"/>
    <w:rsid w:val="5F021BA0"/>
    <w:rsid w:val="5F0C2A2C"/>
    <w:rsid w:val="5F1D4AC7"/>
    <w:rsid w:val="5FF41A82"/>
    <w:rsid w:val="602D7B4A"/>
    <w:rsid w:val="605955D5"/>
    <w:rsid w:val="60673909"/>
    <w:rsid w:val="60791B33"/>
    <w:rsid w:val="60B30642"/>
    <w:rsid w:val="60DF64A9"/>
    <w:rsid w:val="6160324A"/>
    <w:rsid w:val="61606777"/>
    <w:rsid w:val="619E08CA"/>
    <w:rsid w:val="61C65A4B"/>
    <w:rsid w:val="62480DE5"/>
    <w:rsid w:val="6266194A"/>
    <w:rsid w:val="626F534B"/>
    <w:rsid w:val="629266D1"/>
    <w:rsid w:val="62AB77B0"/>
    <w:rsid w:val="62C103BA"/>
    <w:rsid w:val="62F45DC3"/>
    <w:rsid w:val="63371D4C"/>
    <w:rsid w:val="63520F1A"/>
    <w:rsid w:val="63BE65AF"/>
    <w:rsid w:val="640242FD"/>
    <w:rsid w:val="642541D6"/>
    <w:rsid w:val="643B7C76"/>
    <w:rsid w:val="644864D3"/>
    <w:rsid w:val="64634B85"/>
    <w:rsid w:val="64DD4813"/>
    <w:rsid w:val="64E03C5E"/>
    <w:rsid w:val="6535412E"/>
    <w:rsid w:val="655A6925"/>
    <w:rsid w:val="6587423C"/>
    <w:rsid w:val="65A662C8"/>
    <w:rsid w:val="65FC5A08"/>
    <w:rsid w:val="660829AF"/>
    <w:rsid w:val="66481A1E"/>
    <w:rsid w:val="669E00AA"/>
    <w:rsid w:val="66A774D5"/>
    <w:rsid w:val="66FE4F15"/>
    <w:rsid w:val="673768F3"/>
    <w:rsid w:val="67EC5806"/>
    <w:rsid w:val="6877090B"/>
    <w:rsid w:val="687F237F"/>
    <w:rsid w:val="68A33FC6"/>
    <w:rsid w:val="68B13A37"/>
    <w:rsid w:val="68B56BC6"/>
    <w:rsid w:val="68E368B4"/>
    <w:rsid w:val="69073940"/>
    <w:rsid w:val="690A1053"/>
    <w:rsid w:val="691152C6"/>
    <w:rsid w:val="69321B42"/>
    <w:rsid w:val="69653F73"/>
    <w:rsid w:val="69FB5277"/>
    <w:rsid w:val="6A032CC6"/>
    <w:rsid w:val="6A2C6AFD"/>
    <w:rsid w:val="6A5D1C82"/>
    <w:rsid w:val="6AD53C9A"/>
    <w:rsid w:val="6AE9477C"/>
    <w:rsid w:val="6B2C1F24"/>
    <w:rsid w:val="6BAA311E"/>
    <w:rsid w:val="6BF66154"/>
    <w:rsid w:val="6C574E3E"/>
    <w:rsid w:val="6C5C2C34"/>
    <w:rsid w:val="6CC92B1F"/>
    <w:rsid w:val="6CD568F7"/>
    <w:rsid w:val="6CDF6F62"/>
    <w:rsid w:val="6D127ECD"/>
    <w:rsid w:val="6D365FCA"/>
    <w:rsid w:val="6D3777B2"/>
    <w:rsid w:val="6D396BC6"/>
    <w:rsid w:val="6D4A22B5"/>
    <w:rsid w:val="6D604A0F"/>
    <w:rsid w:val="6D68758C"/>
    <w:rsid w:val="6D6E03F0"/>
    <w:rsid w:val="6D782E13"/>
    <w:rsid w:val="6DDF581C"/>
    <w:rsid w:val="6DF14D30"/>
    <w:rsid w:val="6EC032C8"/>
    <w:rsid w:val="6ECF44DB"/>
    <w:rsid w:val="6ECF49A5"/>
    <w:rsid w:val="6F2574CC"/>
    <w:rsid w:val="6F327E52"/>
    <w:rsid w:val="6F7C5E7E"/>
    <w:rsid w:val="6FE14E47"/>
    <w:rsid w:val="702D46FF"/>
    <w:rsid w:val="70354329"/>
    <w:rsid w:val="7040659E"/>
    <w:rsid w:val="704D2F6D"/>
    <w:rsid w:val="70FA0F6D"/>
    <w:rsid w:val="710B62FE"/>
    <w:rsid w:val="711A1DBB"/>
    <w:rsid w:val="715564E0"/>
    <w:rsid w:val="71600452"/>
    <w:rsid w:val="71933B30"/>
    <w:rsid w:val="71AF5789"/>
    <w:rsid w:val="720D1A96"/>
    <w:rsid w:val="72117BAB"/>
    <w:rsid w:val="721F5092"/>
    <w:rsid w:val="728034EB"/>
    <w:rsid w:val="729079A5"/>
    <w:rsid w:val="729D1757"/>
    <w:rsid w:val="72E447E4"/>
    <w:rsid w:val="73202955"/>
    <w:rsid w:val="732F5793"/>
    <w:rsid w:val="74090C9D"/>
    <w:rsid w:val="741E75EC"/>
    <w:rsid w:val="74621649"/>
    <w:rsid w:val="746777EE"/>
    <w:rsid w:val="747509E5"/>
    <w:rsid w:val="74A25132"/>
    <w:rsid w:val="74CB4ECE"/>
    <w:rsid w:val="750F6D76"/>
    <w:rsid w:val="75711D5F"/>
    <w:rsid w:val="75B2258E"/>
    <w:rsid w:val="75D54264"/>
    <w:rsid w:val="75DE663D"/>
    <w:rsid w:val="766A1C7F"/>
    <w:rsid w:val="766F18BF"/>
    <w:rsid w:val="772C10D5"/>
    <w:rsid w:val="775B51F5"/>
    <w:rsid w:val="77672E55"/>
    <w:rsid w:val="77FC3C31"/>
    <w:rsid w:val="78123D16"/>
    <w:rsid w:val="78252782"/>
    <w:rsid w:val="785745C4"/>
    <w:rsid w:val="78615304"/>
    <w:rsid w:val="78AE2384"/>
    <w:rsid w:val="78AE5234"/>
    <w:rsid w:val="79206DE5"/>
    <w:rsid w:val="79327876"/>
    <w:rsid w:val="79454D40"/>
    <w:rsid w:val="795822D1"/>
    <w:rsid w:val="79935C7F"/>
    <w:rsid w:val="79AD445D"/>
    <w:rsid w:val="79DD093B"/>
    <w:rsid w:val="79ED7F12"/>
    <w:rsid w:val="7A0D1241"/>
    <w:rsid w:val="7A18594C"/>
    <w:rsid w:val="7A2218BD"/>
    <w:rsid w:val="7A872302"/>
    <w:rsid w:val="7A8C494C"/>
    <w:rsid w:val="7A93431E"/>
    <w:rsid w:val="7AFA13F1"/>
    <w:rsid w:val="7B170D04"/>
    <w:rsid w:val="7B231E74"/>
    <w:rsid w:val="7B281A0E"/>
    <w:rsid w:val="7B682CA3"/>
    <w:rsid w:val="7BF5023D"/>
    <w:rsid w:val="7C035159"/>
    <w:rsid w:val="7C4255AD"/>
    <w:rsid w:val="7C8F5E57"/>
    <w:rsid w:val="7CBA2E40"/>
    <w:rsid w:val="7CBE6E82"/>
    <w:rsid w:val="7CFB2D3F"/>
    <w:rsid w:val="7D034BDB"/>
    <w:rsid w:val="7D16237F"/>
    <w:rsid w:val="7DA57A41"/>
    <w:rsid w:val="7DBE77E1"/>
    <w:rsid w:val="7E454517"/>
    <w:rsid w:val="7E57275E"/>
    <w:rsid w:val="7F325087"/>
    <w:rsid w:val="7F3E2DCE"/>
    <w:rsid w:val="7F522508"/>
    <w:rsid w:val="7F5E723F"/>
    <w:rsid w:val="7F790FFF"/>
    <w:rsid w:val="7FC021E9"/>
  </w:rsids>
  <m:mathPr>
    <m:mathFont m:val="Cambria Math"/>
    <m:brkBin m:val="before"/>
    <m:brkBinSub m:val="--"/>
    <m:smallFrac m:val="0"/>
    <m:dispDef/>
    <m:lMargin m:val="0"/>
    <m:rMargin m:val="0"/>
    <m:defJc m:val="centerGroup"/>
    <m:wrapRight m:val="1"/>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qFormat="1" w:unhideWhenUsed="0" w:uiPriority="0" w:semiHidden="0" w:name="endnote text"/>
    <w:lsdException w:qFormat="1" w:unhideWhenUsed="0" w:uiPriority="0" w:semiHidden="0" w:name="table of authorities"/>
    <w:lsdException w:uiPriority="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0" w:name="List 4"/>
    <w:lsdException w:qFormat="1" w:unhideWhenUsed="0" w:uiPriority="99" w:semiHidden="0" w:name="List 5"/>
    <w:lsdException w:uiPriority="0" w:name="List Bullet 2"/>
    <w:lsdException w:qFormat="1" w:unhideWhenUsed="0" w:uiPriority="0" w:semiHidden="0" w:name="List Bullet 3"/>
    <w:lsdException w:uiPriority="0" w:name="List Bullet 4"/>
    <w:lsdException w:uiPriority="0" w:name="List Bullet 5"/>
    <w:lsdException w:qFormat="1" w:unhideWhenUsed="0" w:uiPriority="0" w:semiHidden="0" w:name="List Number 2"/>
    <w:lsdException w:uiPriority="0" w:name="List Number 3"/>
    <w:lsdException w:qFormat="1" w:unhideWhenUsed="0" w:uiPriority="0" w:semiHidden="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03"/>
    <w:qFormat/>
    <w:uiPriority w:val="0"/>
    <w:pPr>
      <w:keepNext/>
      <w:keepLines/>
      <w:spacing w:beforeLines="100" w:afterLines="100" w:line="360" w:lineRule="auto"/>
      <w:ind w:left="-735"/>
      <w:jc w:val="center"/>
      <w:outlineLvl w:val="0"/>
    </w:pPr>
    <w:rPr>
      <w:rFonts w:ascii="宋体"/>
      <w:b/>
      <w:bCs/>
      <w:kern w:val="44"/>
      <w:sz w:val="30"/>
      <w:szCs w:val="30"/>
    </w:rPr>
  </w:style>
  <w:style w:type="paragraph" w:styleId="5">
    <w:name w:val="heading 2"/>
    <w:basedOn w:val="1"/>
    <w:next w:val="1"/>
    <w:link w:val="113"/>
    <w:qFormat/>
    <w:uiPriority w:val="0"/>
    <w:pPr>
      <w:keepNext/>
      <w:tabs>
        <w:tab w:val="left" w:pos="840"/>
        <w:tab w:val="left" w:pos="1692"/>
      </w:tabs>
      <w:spacing w:beforeLines="50" w:line="360" w:lineRule="auto"/>
      <w:ind w:left="2492" w:hanging="692"/>
      <w:outlineLvl w:val="1"/>
    </w:pPr>
    <w:rPr>
      <w:rFonts w:ascii="宋体" w:hAnsi="Arial"/>
      <w:b/>
      <w:bCs/>
      <w:sz w:val="24"/>
    </w:rPr>
  </w:style>
  <w:style w:type="paragraph" w:styleId="6">
    <w:name w:val="heading 3"/>
    <w:basedOn w:val="1"/>
    <w:next w:val="1"/>
    <w:link w:val="121"/>
    <w:qFormat/>
    <w:uiPriority w:val="0"/>
    <w:pPr>
      <w:keepNext/>
      <w:tabs>
        <w:tab w:val="left" w:pos="360"/>
      </w:tabs>
      <w:spacing w:beforeLines="50" w:line="460" w:lineRule="exact"/>
      <w:outlineLvl w:val="2"/>
    </w:pPr>
    <w:rPr>
      <w:rFonts w:ascii="宋体" w:hAnsi="宋体"/>
      <w:sz w:val="30"/>
      <w:szCs w:val="30"/>
    </w:rPr>
  </w:style>
  <w:style w:type="paragraph" w:styleId="7">
    <w:name w:val="heading 4"/>
    <w:basedOn w:val="1"/>
    <w:next w:val="1"/>
    <w:link w:val="185"/>
    <w:qFormat/>
    <w:uiPriority w:val="0"/>
    <w:pPr>
      <w:spacing w:line="300" w:lineRule="auto"/>
      <w:outlineLvl w:val="3"/>
    </w:pPr>
    <w:rPr>
      <w:rFonts w:ascii="宋体" w:hAnsi="Arial"/>
      <w:b/>
      <w:bCs/>
      <w:sz w:val="24"/>
    </w:rPr>
  </w:style>
  <w:style w:type="paragraph" w:styleId="8">
    <w:name w:val="heading 5"/>
    <w:basedOn w:val="5"/>
    <w:next w:val="1"/>
    <w:link w:val="204"/>
    <w:qFormat/>
    <w:uiPriority w:val="0"/>
    <w:pPr>
      <w:keepLines/>
      <w:tabs>
        <w:tab w:val="clear" w:pos="840"/>
      </w:tabs>
      <w:adjustRightInd w:val="0"/>
      <w:spacing w:beforeLines="0" w:line="360" w:lineRule="atLeast"/>
      <w:ind w:left="0" w:firstLine="0"/>
      <w:textAlignment w:val="baseline"/>
      <w:outlineLvl w:val="4"/>
    </w:pPr>
    <w:rPr>
      <w:rFonts w:ascii="Times New Roman" w:hAnsi="Times New Roman"/>
      <w:b w:val="0"/>
      <w:bCs w:val="0"/>
      <w:kern w:val="0"/>
      <w:szCs w:val="20"/>
    </w:rPr>
  </w:style>
  <w:style w:type="paragraph" w:styleId="9">
    <w:name w:val="heading 6"/>
    <w:basedOn w:val="5"/>
    <w:next w:val="1"/>
    <w:link w:val="135"/>
    <w:qFormat/>
    <w:uiPriority w:val="0"/>
    <w:pPr>
      <w:keepLines/>
      <w:tabs>
        <w:tab w:val="clear" w:pos="840"/>
      </w:tabs>
      <w:adjustRightInd w:val="0"/>
      <w:spacing w:beforeLines="0" w:line="360" w:lineRule="atLeast"/>
      <w:ind w:left="0" w:firstLine="0"/>
      <w:textAlignment w:val="baseline"/>
      <w:outlineLvl w:val="5"/>
    </w:pPr>
    <w:rPr>
      <w:rFonts w:ascii="Times New Roman" w:hAnsi="Times New Roman"/>
      <w:b w:val="0"/>
      <w:bCs w:val="0"/>
      <w:kern w:val="0"/>
      <w:szCs w:val="20"/>
    </w:rPr>
  </w:style>
  <w:style w:type="paragraph" w:styleId="10">
    <w:name w:val="heading 7"/>
    <w:basedOn w:val="1"/>
    <w:next w:val="1"/>
    <w:link w:val="173"/>
    <w:qFormat/>
    <w:uiPriority w:val="0"/>
    <w:pPr>
      <w:keepNext/>
      <w:keepLines/>
      <w:adjustRightInd w:val="0"/>
      <w:spacing w:line="360" w:lineRule="atLeast"/>
      <w:textAlignment w:val="baseline"/>
      <w:outlineLvl w:val="6"/>
    </w:pPr>
    <w:rPr>
      <w:kern w:val="0"/>
      <w:sz w:val="24"/>
      <w:szCs w:val="20"/>
    </w:rPr>
  </w:style>
  <w:style w:type="paragraph" w:styleId="11">
    <w:name w:val="heading 8"/>
    <w:basedOn w:val="10"/>
    <w:next w:val="1"/>
    <w:link w:val="128"/>
    <w:qFormat/>
    <w:uiPriority w:val="0"/>
    <w:pPr>
      <w:outlineLvl w:val="7"/>
    </w:pPr>
  </w:style>
  <w:style w:type="paragraph" w:styleId="12">
    <w:name w:val="heading 9"/>
    <w:basedOn w:val="1"/>
    <w:next w:val="1"/>
    <w:link w:val="161"/>
    <w:qFormat/>
    <w:uiPriority w:val="0"/>
    <w:pPr>
      <w:keepNext/>
      <w:keepLines/>
      <w:adjustRightInd w:val="0"/>
      <w:spacing w:line="360" w:lineRule="atLeast"/>
      <w:textAlignment w:val="baseline"/>
      <w:outlineLvl w:val="8"/>
    </w:pPr>
    <w:rPr>
      <w:kern w:val="0"/>
      <w:sz w:val="24"/>
      <w:szCs w:val="20"/>
    </w:rPr>
  </w:style>
  <w:style w:type="character" w:default="1" w:styleId="75">
    <w:name w:val="Default Paragraph Font"/>
    <w:semiHidden/>
    <w:unhideWhenUsed/>
    <w:qFormat/>
    <w:uiPriority w:val="1"/>
  </w:style>
  <w:style w:type="table" w:default="1" w:styleId="73">
    <w:name w:val="Normal Table"/>
    <w:semiHidden/>
    <w:unhideWhenUsed/>
    <w:qFormat/>
    <w:uiPriority w:val="99"/>
    <w:tblPr>
      <w:tblCellMar>
        <w:top w:w="0" w:type="dxa"/>
        <w:left w:w="108" w:type="dxa"/>
        <w:bottom w:w="0" w:type="dxa"/>
        <w:right w:w="108" w:type="dxa"/>
      </w:tblCellMar>
    </w:tblPr>
  </w:style>
  <w:style w:type="paragraph" w:customStyle="1" w:styleId="2">
    <w:name w:val="Body Text First Indent 21"/>
    <w:basedOn w:val="3"/>
    <w:qFormat/>
    <w:uiPriority w:val="0"/>
    <w:pPr>
      <w:spacing w:after="120" w:afterLines="0" w:line="240" w:lineRule="auto"/>
      <w:ind w:left="420" w:leftChars="200" w:firstLine="420" w:firstLineChars="200"/>
    </w:pPr>
    <w:rPr>
      <w:szCs w:val="20"/>
    </w:rPr>
  </w:style>
  <w:style w:type="paragraph" w:customStyle="1" w:styleId="3">
    <w:name w:val="Body Text Indent1"/>
    <w:basedOn w:val="1"/>
    <w:qFormat/>
    <w:uiPriority w:val="0"/>
    <w:pPr>
      <w:spacing w:after="120" w:afterLines="0"/>
      <w:ind w:left="200" w:leftChars="200"/>
    </w:pPr>
    <w:rPr>
      <w:rFonts w:ascii="Times New Roman" w:hAnsi="Times New Roman" w:eastAsia="宋体" w:cs="Times New Roman"/>
      <w:kern w:val="0"/>
      <w:szCs w:val="24"/>
    </w:rPr>
  </w:style>
  <w:style w:type="paragraph" w:styleId="13">
    <w:name w:val="List 3"/>
    <w:basedOn w:val="1"/>
    <w:qFormat/>
    <w:uiPriority w:val="0"/>
    <w:pPr>
      <w:ind w:left="100" w:leftChars="400" w:hanging="200" w:hangingChars="200"/>
    </w:pPr>
  </w:style>
  <w:style w:type="paragraph" w:styleId="14">
    <w:name w:val="toc 7"/>
    <w:basedOn w:val="1"/>
    <w:next w:val="1"/>
    <w:qFormat/>
    <w:uiPriority w:val="0"/>
    <w:pPr>
      <w:widowControl/>
      <w:ind w:left="1440"/>
      <w:jc w:val="left"/>
    </w:pPr>
    <w:rPr>
      <w:kern w:val="0"/>
      <w:sz w:val="18"/>
      <w:szCs w:val="18"/>
    </w:rPr>
  </w:style>
  <w:style w:type="paragraph" w:styleId="15">
    <w:name w:val="List Number 2"/>
    <w:basedOn w:val="1"/>
    <w:qFormat/>
    <w:uiPriority w:val="0"/>
    <w:pPr>
      <w:tabs>
        <w:tab w:val="left" w:pos="360"/>
        <w:tab w:val="left" w:pos="1200"/>
      </w:tabs>
      <w:jc w:val="left"/>
    </w:pPr>
    <w:rPr>
      <w:rFonts w:cs="Arial"/>
      <w:sz w:val="28"/>
      <w:szCs w:val="20"/>
    </w:rPr>
  </w:style>
  <w:style w:type="paragraph" w:styleId="16">
    <w:name w:val="table of authorities"/>
    <w:basedOn w:val="1"/>
    <w:next w:val="1"/>
    <w:qFormat/>
    <w:uiPriority w:val="0"/>
    <w:pPr>
      <w:ind w:left="420" w:leftChars="200"/>
    </w:pPr>
  </w:style>
  <w:style w:type="paragraph" w:styleId="17">
    <w:name w:val="index 8"/>
    <w:basedOn w:val="1"/>
    <w:next w:val="1"/>
    <w:qFormat/>
    <w:uiPriority w:val="0"/>
    <w:pPr>
      <w:spacing w:line="440" w:lineRule="exact"/>
      <w:ind w:left="1400" w:leftChars="1400" w:firstLine="300" w:firstLineChars="300"/>
      <w:jc w:val="left"/>
    </w:pPr>
    <w:rPr>
      <w:rFonts w:ascii="华文细黑" w:hAnsi="华文细黑" w:cs="Arial"/>
      <w:kern w:val="0"/>
      <w:szCs w:val="21"/>
    </w:rPr>
  </w:style>
  <w:style w:type="paragraph" w:styleId="18">
    <w:name w:val="List Number"/>
    <w:basedOn w:val="1"/>
    <w:qFormat/>
    <w:uiPriority w:val="0"/>
    <w:pPr>
      <w:widowControl/>
      <w:overflowPunct w:val="0"/>
      <w:autoSpaceDE w:val="0"/>
      <w:autoSpaceDN w:val="0"/>
      <w:adjustRightInd w:val="0"/>
      <w:ind w:left="425" w:hanging="425"/>
      <w:textAlignment w:val="baseline"/>
    </w:pPr>
    <w:rPr>
      <w:rFonts w:hAnsi="Arial"/>
      <w:kern w:val="0"/>
      <w:sz w:val="28"/>
      <w:szCs w:val="28"/>
    </w:rPr>
  </w:style>
  <w:style w:type="paragraph" w:styleId="19">
    <w:name w:val="Normal Indent"/>
    <w:basedOn w:val="1"/>
    <w:link w:val="100"/>
    <w:qFormat/>
    <w:uiPriority w:val="0"/>
    <w:pPr>
      <w:widowControl/>
      <w:ind w:firstLine="420"/>
      <w:jc w:val="left"/>
    </w:pPr>
    <w:rPr>
      <w:kern w:val="0"/>
      <w:sz w:val="20"/>
      <w:szCs w:val="20"/>
    </w:rPr>
  </w:style>
  <w:style w:type="paragraph" w:styleId="20">
    <w:name w:val="caption"/>
    <w:basedOn w:val="1"/>
    <w:next w:val="1"/>
    <w:qFormat/>
    <w:uiPriority w:val="0"/>
    <w:rPr>
      <w:rFonts w:ascii="Cambria" w:hAnsi="Cambria" w:eastAsia="黑体"/>
      <w:sz w:val="20"/>
      <w:szCs w:val="20"/>
    </w:rPr>
  </w:style>
  <w:style w:type="paragraph" w:styleId="21">
    <w:name w:val="index 5"/>
    <w:basedOn w:val="1"/>
    <w:next w:val="1"/>
    <w:qFormat/>
    <w:uiPriority w:val="0"/>
    <w:pPr>
      <w:spacing w:line="440" w:lineRule="exact"/>
      <w:ind w:left="800" w:leftChars="800" w:firstLine="300" w:firstLineChars="300"/>
      <w:jc w:val="left"/>
    </w:pPr>
    <w:rPr>
      <w:rFonts w:ascii="华文细黑" w:hAnsi="华文细黑" w:cs="Arial"/>
      <w:kern w:val="0"/>
      <w:szCs w:val="21"/>
    </w:rPr>
  </w:style>
  <w:style w:type="paragraph" w:styleId="22">
    <w:name w:val="List Bullet"/>
    <w:basedOn w:val="1"/>
    <w:qFormat/>
    <w:uiPriority w:val="0"/>
    <w:pPr>
      <w:tabs>
        <w:tab w:val="left" w:pos="360"/>
      </w:tabs>
      <w:ind w:left="720" w:hanging="720"/>
    </w:pPr>
  </w:style>
  <w:style w:type="paragraph" w:styleId="23">
    <w:name w:val="Document Map"/>
    <w:basedOn w:val="1"/>
    <w:link w:val="97"/>
    <w:qFormat/>
    <w:uiPriority w:val="0"/>
    <w:pPr>
      <w:shd w:val="clear" w:color="auto" w:fill="000080"/>
    </w:pPr>
  </w:style>
  <w:style w:type="paragraph" w:styleId="24">
    <w:name w:val="toa heading"/>
    <w:basedOn w:val="1"/>
    <w:next w:val="1"/>
    <w:qFormat/>
    <w:uiPriority w:val="0"/>
    <w:pPr>
      <w:spacing w:before="120"/>
    </w:pPr>
    <w:rPr>
      <w:rFonts w:ascii="Arial" w:hAnsi="Arial"/>
      <w:sz w:val="24"/>
      <w:szCs w:val="20"/>
    </w:rPr>
  </w:style>
  <w:style w:type="paragraph" w:styleId="25">
    <w:name w:val="annotation text"/>
    <w:basedOn w:val="1"/>
    <w:link w:val="101"/>
    <w:qFormat/>
    <w:uiPriority w:val="0"/>
    <w:pPr>
      <w:jc w:val="left"/>
    </w:pPr>
  </w:style>
  <w:style w:type="paragraph" w:styleId="26">
    <w:name w:val="index 6"/>
    <w:basedOn w:val="1"/>
    <w:next w:val="1"/>
    <w:qFormat/>
    <w:uiPriority w:val="0"/>
    <w:pPr>
      <w:spacing w:line="440" w:lineRule="exact"/>
      <w:ind w:left="1000" w:leftChars="1000" w:firstLine="300" w:firstLineChars="300"/>
      <w:jc w:val="left"/>
    </w:pPr>
    <w:rPr>
      <w:rFonts w:ascii="华文细黑" w:hAnsi="华文细黑" w:cs="Arial"/>
      <w:kern w:val="0"/>
      <w:szCs w:val="21"/>
    </w:rPr>
  </w:style>
  <w:style w:type="paragraph" w:styleId="27">
    <w:name w:val="Salutation"/>
    <w:basedOn w:val="1"/>
    <w:next w:val="1"/>
    <w:link w:val="142"/>
    <w:qFormat/>
    <w:uiPriority w:val="0"/>
    <w:pPr>
      <w:ind w:firstLine="630" w:firstLineChars="300"/>
      <w:jc w:val="left"/>
    </w:pPr>
    <w:rPr>
      <w:sz w:val="28"/>
      <w:szCs w:val="20"/>
    </w:rPr>
  </w:style>
  <w:style w:type="paragraph" w:styleId="28">
    <w:name w:val="Body Text 3"/>
    <w:basedOn w:val="1"/>
    <w:link w:val="201"/>
    <w:qFormat/>
    <w:uiPriority w:val="0"/>
    <w:rPr>
      <w:rFonts w:ascii="宋体" w:hAnsi="宋体"/>
      <w:color w:val="0000FF"/>
      <w:sz w:val="20"/>
    </w:rPr>
  </w:style>
  <w:style w:type="paragraph" w:styleId="29">
    <w:name w:val="List Bullet 3"/>
    <w:basedOn w:val="1"/>
    <w:qFormat/>
    <w:uiPriority w:val="0"/>
    <w:pPr>
      <w:tabs>
        <w:tab w:val="left" w:pos="1200"/>
      </w:tabs>
      <w:ind w:left="1200" w:hanging="360"/>
      <w:contextualSpacing/>
    </w:pPr>
  </w:style>
  <w:style w:type="paragraph" w:styleId="30">
    <w:name w:val="Body Text"/>
    <w:basedOn w:val="1"/>
    <w:next w:val="1"/>
    <w:link w:val="170"/>
    <w:qFormat/>
    <w:uiPriority w:val="0"/>
    <w:rPr>
      <w:sz w:val="28"/>
    </w:rPr>
  </w:style>
  <w:style w:type="paragraph" w:styleId="31">
    <w:name w:val="Body Text Indent"/>
    <w:basedOn w:val="1"/>
    <w:link w:val="202"/>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szCs w:val="20"/>
    </w:rPr>
  </w:style>
  <w:style w:type="paragraph" w:styleId="32">
    <w:name w:val="List 2"/>
    <w:basedOn w:val="1"/>
    <w:qFormat/>
    <w:uiPriority w:val="0"/>
    <w:pPr>
      <w:ind w:left="100" w:leftChars="200" w:hanging="200" w:hangingChars="200"/>
    </w:pPr>
  </w:style>
  <w:style w:type="paragraph" w:styleId="33">
    <w:name w:val="List Continue"/>
    <w:basedOn w:val="1"/>
    <w:qFormat/>
    <w:uiPriority w:val="0"/>
    <w:pPr>
      <w:spacing w:after="120"/>
      <w:ind w:left="420" w:leftChars="200"/>
    </w:pPr>
    <w:rPr>
      <w:sz w:val="28"/>
    </w:rPr>
  </w:style>
  <w:style w:type="paragraph" w:styleId="34">
    <w:name w:val="Block Text"/>
    <w:basedOn w:val="1"/>
    <w:qFormat/>
    <w:uiPriority w:val="0"/>
    <w:pPr>
      <w:adjustRightInd w:val="0"/>
      <w:ind w:left="420" w:right="33"/>
      <w:jc w:val="left"/>
      <w:textAlignment w:val="baseline"/>
    </w:pPr>
    <w:rPr>
      <w:kern w:val="0"/>
      <w:sz w:val="24"/>
      <w:szCs w:val="20"/>
    </w:rPr>
  </w:style>
  <w:style w:type="paragraph" w:styleId="35">
    <w:name w:val="index 4"/>
    <w:basedOn w:val="1"/>
    <w:next w:val="1"/>
    <w:qFormat/>
    <w:uiPriority w:val="0"/>
    <w:pPr>
      <w:ind w:left="600" w:leftChars="600"/>
    </w:pPr>
  </w:style>
  <w:style w:type="paragraph" w:styleId="36">
    <w:name w:val="toc 5"/>
    <w:basedOn w:val="1"/>
    <w:next w:val="1"/>
    <w:qFormat/>
    <w:uiPriority w:val="0"/>
    <w:pPr>
      <w:widowControl/>
      <w:ind w:left="960"/>
      <w:jc w:val="left"/>
    </w:pPr>
    <w:rPr>
      <w:kern w:val="0"/>
      <w:sz w:val="18"/>
      <w:szCs w:val="18"/>
    </w:rPr>
  </w:style>
  <w:style w:type="paragraph" w:styleId="37">
    <w:name w:val="toc 3"/>
    <w:basedOn w:val="1"/>
    <w:next w:val="1"/>
    <w:qFormat/>
    <w:uiPriority w:val="39"/>
    <w:pPr>
      <w:widowControl/>
      <w:tabs>
        <w:tab w:val="right" w:leader="dot" w:pos="9540"/>
      </w:tabs>
      <w:ind w:left="1" w:hanging="1"/>
      <w:jc w:val="left"/>
    </w:pPr>
    <w:rPr>
      <w:i/>
      <w:iCs/>
      <w:kern w:val="0"/>
      <w:sz w:val="20"/>
      <w:szCs w:val="20"/>
    </w:rPr>
  </w:style>
  <w:style w:type="paragraph" w:styleId="38">
    <w:name w:val="Plain Text"/>
    <w:basedOn w:val="39"/>
    <w:next w:val="39"/>
    <w:link w:val="181"/>
    <w:qFormat/>
    <w:uiPriority w:val="0"/>
    <w:rPr>
      <w:rFonts w:ascii="宋体" w:hAnsi="Courier New"/>
      <w:szCs w:val="20"/>
    </w:rPr>
  </w:style>
  <w:style w:type="paragraph" w:customStyle="1" w:styleId="39">
    <w:name w:val="正文1"/>
    <w:basedOn w:val="1"/>
    <w:qFormat/>
    <w:uiPriority w:val="0"/>
    <w:pPr>
      <w:spacing w:line="360" w:lineRule="auto"/>
      <w:ind w:firstLine="200" w:firstLineChars="200"/>
    </w:pPr>
    <w:rPr>
      <w:rFonts w:ascii="宋体"/>
      <w:szCs w:val="21"/>
    </w:rPr>
  </w:style>
  <w:style w:type="paragraph" w:styleId="40">
    <w:name w:val="List Number 4"/>
    <w:basedOn w:val="1"/>
    <w:qFormat/>
    <w:uiPriority w:val="0"/>
    <w:pPr>
      <w:widowControl/>
      <w:tabs>
        <w:tab w:val="left" w:pos="847"/>
        <w:tab w:val="left" w:pos="1209"/>
        <w:tab w:val="left" w:pos="1418"/>
        <w:tab w:val="left" w:pos="1728"/>
        <w:tab w:val="left" w:pos="2160"/>
        <w:tab w:val="left" w:pos="6521"/>
      </w:tabs>
      <w:ind w:left="1209" w:hanging="420"/>
    </w:pPr>
    <w:rPr>
      <w:rFonts w:ascii="Arial" w:hAnsi="Arial"/>
      <w:kern w:val="0"/>
      <w:sz w:val="22"/>
      <w:szCs w:val="20"/>
      <w:lang w:val="en-GB"/>
    </w:rPr>
  </w:style>
  <w:style w:type="paragraph" w:styleId="41">
    <w:name w:val="toc 8"/>
    <w:basedOn w:val="1"/>
    <w:next w:val="1"/>
    <w:qFormat/>
    <w:uiPriority w:val="0"/>
    <w:pPr>
      <w:widowControl/>
      <w:ind w:left="1680"/>
      <w:jc w:val="left"/>
    </w:pPr>
    <w:rPr>
      <w:kern w:val="0"/>
      <w:sz w:val="18"/>
      <w:szCs w:val="18"/>
    </w:rPr>
  </w:style>
  <w:style w:type="paragraph" w:styleId="42">
    <w:name w:val="index 3"/>
    <w:basedOn w:val="1"/>
    <w:next w:val="1"/>
    <w:qFormat/>
    <w:uiPriority w:val="0"/>
    <w:pPr>
      <w:spacing w:line="440" w:lineRule="exact"/>
      <w:ind w:left="400" w:leftChars="400" w:firstLine="300" w:firstLineChars="300"/>
      <w:jc w:val="left"/>
    </w:pPr>
    <w:rPr>
      <w:rFonts w:ascii="华文细黑" w:hAnsi="华文细黑" w:cs="Arial"/>
      <w:kern w:val="0"/>
      <w:szCs w:val="21"/>
    </w:rPr>
  </w:style>
  <w:style w:type="paragraph" w:styleId="43">
    <w:name w:val="Date"/>
    <w:basedOn w:val="1"/>
    <w:next w:val="1"/>
    <w:link w:val="92"/>
    <w:qFormat/>
    <w:uiPriority w:val="0"/>
    <w:rPr>
      <w:sz w:val="24"/>
      <w:szCs w:val="20"/>
    </w:rPr>
  </w:style>
  <w:style w:type="paragraph" w:styleId="44">
    <w:name w:val="Body Text Indent 2"/>
    <w:basedOn w:val="1"/>
    <w:link w:val="177"/>
    <w:qFormat/>
    <w:uiPriority w:val="0"/>
    <w:pPr>
      <w:spacing w:line="360" w:lineRule="auto"/>
      <w:ind w:left="945" w:leftChars="450" w:firstLine="420"/>
    </w:pPr>
    <w:rPr>
      <w:rFonts w:ascii="宋体"/>
      <w:szCs w:val="21"/>
    </w:rPr>
  </w:style>
  <w:style w:type="paragraph" w:styleId="45">
    <w:name w:val="endnote text"/>
    <w:basedOn w:val="1"/>
    <w:link w:val="160"/>
    <w:qFormat/>
    <w:uiPriority w:val="0"/>
    <w:pPr>
      <w:widowControl/>
      <w:snapToGrid w:val="0"/>
      <w:jc w:val="left"/>
    </w:pPr>
    <w:rPr>
      <w:kern w:val="0"/>
      <w:sz w:val="20"/>
      <w:szCs w:val="20"/>
    </w:rPr>
  </w:style>
  <w:style w:type="paragraph" w:styleId="46">
    <w:name w:val="Balloon Text"/>
    <w:basedOn w:val="1"/>
    <w:link w:val="127"/>
    <w:qFormat/>
    <w:uiPriority w:val="0"/>
    <w:pPr>
      <w:widowControl/>
      <w:jc w:val="left"/>
    </w:pPr>
    <w:rPr>
      <w:kern w:val="0"/>
      <w:sz w:val="18"/>
      <w:szCs w:val="18"/>
    </w:rPr>
  </w:style>
  <w:style w:type="paragraph" w:styleId="47">
    <w:name w:val="footer"/>
    <w:basedOn w:val="1"/>
    <w:link w:val="189"/>
    <w:qFormat/>
    <w:uiPriority w:val="99"/>
    <w:pPr>
      <w:tabs>
        <w:tab w:val="center" w:pos="4153"/>
        <w:tab w:val="right" w:pos="8306"/>
      </w:tabs>
      <w:snapToGrid w:val="0"/>
      <w:jc w:val="left"/>
    </w:pPr>
    <w:rPr>
      <w:sz w:val="18"/>
      <w:szCs w:val="18"/>
    </w:rPr>
  </w:style>
  <w:style w:type="paragraph" w:styleId="48">
    <w:name w:val="header"/>
    <w:basedOn w:val="1"/>
    <w:link w:val="187"/>
    <w:qFormat/>
    <w:uiPriority w:val="0"/>
    <w:pPr>
      <w:pBdr>
        <w:bottom w:val="single" w:color="auto" w:sz="6" w:space="1"/>
      </w:pBdr>
      <w:tabs>
        <w:tab w:val="center" w:pos="4153"/>
        <w:tab w:val="right" w:pos="8306"/>
      </w:tabs>
      <w:snapToGrid w:val="0"/>
      <w:jc w:val="center"/>
    </w:pPr>
    <w:rPr>
      <w:sz w:val="18"/>
      <w:szCs w:val="18"/>
    </w:rPr>
  </w:style>
  <w:style w:type="paragraph" w:styleId="49">
    <w:name w:val="toc 1"/>
    <w:basedOn w:val="1"/>
    <w:next w:val="1"/>
    <w:qFormat/>
    <w:uiPriority w:val="39"/>
    <w:pPr>
      <w:widowControl/>
      <w:tabs>
        <w:tab w:val="right" w:leader="dot" w:pos="9540"/>
      </w:tabs>
      <w:spacing w:before="120" w:after="120"/>
      <w:jc w:val="left"/>
    </w:pPr>
    <w:rPr>
      <w:b/>
      <w:bCs/>
      <w:caps/>
      <w:kern w:val="0"/>
      <w:sz w:val="20"/>
      <w:szCs w:val="20"/>
    </w:rPr>
  </w:style>
  <w:style w:type="paragraph" w:styleId="50">
    <w:name w:val="toc 4"/>
    <w:basedOn w:val="1"/>
    <w:next w:val="1"/>
    <w:qFormat/>
    <w:uiPriority w:val="0"/>
    <w:pPr>
      <w:widowControl/>
      <w:ind w:left="720"/>
      <w:jc w:val="left"/>
    </w:pPr>
    <w:rPr>
      <w:kern w:val="0"/>
      <w:sz w:val="18"/>
      <w:szCs w:val="18"/>
    </w:rPr>
  </w:style>
  <w:style w:type="paragraph" w:styleId="51">
    <w:name w:val="index heading"/>
    <w:basedOn w:val="1"/>
    <w:next w:val="52"/>
    <w:qFormat/>
    <w:uiPriority w:val="0"/>
    <w:pPr>
      <w:spacing w:line="440" w:lineRule="exact"/>
      <w:ind w:firstLine="630" w:firstLineChars="300"/>
      <w:jc w:val="left"/>
    </w:pPr>
    <w:rPr>
      <w:rFonts w:ascii="华文细黑" w:hAnsi="华文细黑" w:cs="Arial"/>
      <w:kern w:val="0"/>
      <w:szCs w:val="21"/>
    </w:rPr>
  </w:style>
  <w:style w:type="paragraph" w:styleId="52">
    <w:name w:val="index 1"/>
    <w:basedOn w:val="1"/>
    <w:next w:val="1"/>
    <w:qFormat/>
    <w:uiPriority w:val="0"/>
    <w:pPr>
      <w:ind w:firstLine="480" w:firstLineChars="200"/>
      <w:jc w:val="center"/>
    </w:pPr>
    <w:rPr>
      <w:sz w:val="24"/>
    </w:rPr>
  </w:style>
  <w:style w:type="paragraph" w:styleId="53">
    <w:name w:val="Subtitle"/>
    <w:basedOn w:val="1"/>
    <w:link w:val="205"/>
    <w:qFormat/>
    <w:uiPriority w:val="0"/>
    <w:pPr>
      <w:spacing w:before="240" w:after="60" w:line="312" w:lineRule="auto"/>
      <w:jc w:val="center"/>
      <w:outlineLvl w:val="1"/>
    </w:pPr>
    <w:rPr>
      <w:rFonts w:ascii="Arial" w:hAnsi="Arial"/>
      <w:b/>
      <w:bCs/>
      <w:kern w:val="28"/>
      <w:sz w:val="32"/>
      <w:szCs w:val="32"/>
    </w:rPr>
  </w:style>
  <w:style w:type="paragraph" w:styleId="54">
    <w:name w:val="List"/>
    <w:basedOn w:val="1"/>
    <w:qFormat/>
    <w:uiPriority w:val="0"/>
    <w:pPr>
      <w:ind w:left="200" w:hanging="200" w:hangingChars="200"/>
    </w:pPr>
    <w:rPr>
      <w:szCs w:val="20"/>
    </w:rPr>
  </w:style>
  <w:style w:type="paragraph" w:styleId="55">
    <w:name w:val="footnote text"/>
    <w:basedOn w:val="1"/>
    <w:link w:val="206"/>
    <w:qFormat/>
    <w:uiPriority w:val="0"/>
    <w:pPr>
      <w:adjustRightInd w:val="0"/>
      <w:spacing w:line="312" w:lineRule="atLeast"/>
      <w:jc w:val="left"/>
      <w:textAlignment w:val="baseline"/>
    </w:pPr>
    <w:rPr>
      <w:kern w:val="0"/>
      <w:sz w:val="18"/>
      <w:szCs w:val="20"/>
    </w:rPr>
  </w:style>
  <w:style w:type="paragraph" w:styleId="56">
    <w:name w:val="toc 6"/>
    <w:basedOn w:val="1"/>
    <w:next w:val="1"/>
    <w:qFormat/>
    <w:uiPriority w:val="0"/>
    <w:pPr>
      <w:widowControl/>
      <w:ind w:left="1200"/>
      <w:jc w:val="left"/>
    </w:pPr>
    <w:rPr>
      <w:kern w:val="0"/>
      <w:sz w:val="18"/>
      <w:szCs w:val="18"/>
    </w:rPr>
  </w:style>
  <w:style w:type="paragraph" w:styleId="57">
    <w:name w:val="List 5"/>
    <w:basedOn w:val="1"/>
    <w:next w:val="58"/>
    <w:qFormat/>
    <w:uiPriority w:val="99"/>
    <w:pPr>
      <w:widowControl w:val="0"/>
      <w:ind w:left="100" w:leftChars="800" w:hanging="200" w:hangingChars="200"/>
      <w:jc w:val="both"/>
    </w:pPr>
  </w:style>
  <w:style w:type="paragraph" w:customStyle="1" w:styleId="58">
    <w:name w:val="目录 51"/>
    <w:basedOn w:val="1"/>
    <w:next w:val="1"/>
    <w:qFormat/>
    <w:uiPriority w:val="0"/>
    <w:pPr>
      <w:ind w:left="630"/>
    </w:pPr>
    <w:rPr>
      <w:sz w:val="20"/>
    </w:rPr>
  </w:style>
  <w:style w:type="paragraph" w:styleId="59">
    <w:name w:val="Body Text Indent 3"/>
    <w:basedOn w:val="1"/>
    <w:link w:val="118"/>
    <w:qFormat/>
    <w:uiPriority w:val="0"/>
    <w:pPr>
      <w:spacing w:line="360" w:lineRule="auto"/>
      <w:ind w:left="945" w:leftChars="450"/>
    </w:pPr>
    <w:rPr>
      <w:rFonts w:ascii="宋体"/>
      <w:szCs w:val="21"/>
    </w:rPr>
  </w:style>
  <w:style w:type="paragraph" w:styleId="60">
    <w:name w:val="index 7"/>
    <w:basedOn w:val="1"/>
    <w:next w:val="1"/>
    <w:qFormat/>
    <w:uiPriority w:val="0"/>
    <w:pPr>
      <w:spacing w:line="440" w:lineRule="exact"/>
      <w:ind w:left="1200" w:leftChars="1200" w:firstLine="300" w:firstLineChars="300"/>
      <w:jc w:val="left"/>
    </w:pPr>
    <w:rPr>
      <w:rFonts w:ascii="华文细黑" w:hAnsi="华文细黑" w:cs="Arial"/>
      <w:kern w:val="0"/>
      <w:szCs w:val="21"/>
    </w:rPr>
  </w:style>
  <w:style w:type="paragraph" w:styleId="61">
    <w:name w:val="index 9"/>
    <w:basedOn w:val="1"/>
    <w:next w:val="1"/>
    <w:qFormat/>
    <w:uiPriority w:val="0"/>
    <w:pPr>
      <w:spacing w:line="440" w:lineRule="exact"/>
      <w:ind w:left="1600" w:leftChars="1600" w:firstLine="300" w:firstLineChars="300"/>
      <w:jc w:val="left"/>
    </w:pPr>
    <w:rPr>
      <w:rFonts w:ascii="华文细黑" w:hAnsi="华文细黑" w:cs="Arial"/>
      <w:kern w:val="0"/>
      <w:szCs w:val="21"/>
    </w:rPr>
  </w:style>
  <w:style w:type="paragraph" w:styleId="62">
    <w:name w:val="toc 2"/>
    <w:basedOn w:val="1"/>
    <w:next w:val="1"/>
    <w:qFormat/>
    <w:uiPriority w:val="39"/>
    <w:pPr>
      <w:widowControl/>
      <w:tabs>
        <w:tab w:val="right" w:leader="dot" w:pos="9540"/>
      </w:tabs>
      <w:ind w:left="240"/>
      <w:jc w:val="left"/>
    </w:pPr>
    <w:rPr>
      <w:smallCaps/>
      <w:kern w:val="0"/>
      <w:sz w:val="20"/>
      <w:szCs w:val="20"/>
    </w:rPr>
  </w:style>
  <w:style w:type="paragraph" w:styleId="63">
    <w:name w:val="toc 9"/>
    <w:basedOn w:val="1"/>
    <w:next w:val="1"/>
    <w:qFormat/>
    <w:uiPriority w:val="0"/>
    <w:pPr>
      <w:widowControl/>
      <w:ind w:left="1920"/>
      <w:jc w:val="left"/>
    </w:pPr>
    <w:rPr>
      <w:kern w:val="0"/>
      <w:sz w:val="18"/>
      <w:szCs w:val="18"/>
    </w:rPr>
  </w:style>
  <w:style w:type="paragraph" w:styleId="64">
    <w:name w:val="Body Text 2"/>
    <w:basedOn w:val="1"/>
    <w:link w:val="119"/>
    <w:qFormat/>
    <w:uiPriority w:val="0"/>
    <w:pPr>
      <w:spacing w:line="560" w:lineRule="exact"/>
      <w:jc w:val="center"/>
    </w:pPr>
    <w:rPr>
      <w:rFonts w:ascii="宋体" w:hAnsi="宋体"/>
      <w:color w:val="000000"/>
      <w:sz w:val="28"/>
    </w:rPr>
  </w:style>
  <w:style w:type="paragraph" w:styleId="65">
    <w:name w:val="List Continue 2"/>
    <w:basedOn w:val="1"/>
    <w:qFormat/>
    <w:uiPriority w:val="0"/>
    <w:pPr>
      <w:spacing w:after="120"/>
      <w:ind w:left="840" w:leftChars="400"/>
      <w:jc w:val="left"/>
    </w:pPr>
    <w:rPr>
      <w:rFonts w:cs="Arial"/>
      <w:szCs w:val="21"/>
    </w:rPr>
  </w:style>
  <w:style w:type="paragraph" w:styleId="66">
    <w:name w:val="HTML Preformatted"/>
    <w:basedOn w:val="1"/>
    <w:link w:val="22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rPr>
  </w:style>
  <w:style w:type="paragraph" w:styleId="67">
    <w:name w:val="Normal (Web)"/>
    <w:basedOn w:val="1"/>
    <w:qFormat/>
    <w:uiPriority w:val="0"/>
    <w:rPr>
      <w:sz w:val="24"/>
    </w:rPr>
  </w:style>
  <w:style w:type="paragraph" w:styleId="68">
    <w:name w:val="index 2"/>
    <w:basedOn w:val="1"/>
    <w:next w:val="1"/>
    <w:qFormat/>
    <w:uiPriority w:val="0"/>
    <w:pPr>
      <w:spacing w:line="440" w:lineRule="exact"/>
      <w:ind w:left="200" w:leftChars="200" w:firstLine="300" w:firstLineChars="300"/>
      <w:jc w:val="left"/>
    </w:pPr>
    <w:rPr>
      <w:rFonts w:ascii="华文细黑" w:hAnsi="华文细黑" w:cs="Arial"/>
      <w:kern w:val="0"/>
      <w:szCs w:val="21"/>
    </w:rPr>
  </w:style>
  <w:style w:type="paragraph" w:styleId="69">
    <w:name w:val="Title"/>
    <w:basedOn w:val="1"/>
    <w:next w:val="1"/>
    <w:link w:val="153"/>
    <w:qFormat/>
    <w:uiPriority w:val="0"/>
    <w:pPr>
      <w:spacing w:before="240" w:after="60"/>
      <w:jc w:val="center"/>
      <w:outlineLvl w:val="0"/>
    </w:pPr>
    <w:rPr>
      <w:rFonts w:ascii="Cambria" w:hAnsi="Cambria"/>
      <w:b/>
      <w:bCs/>
      <w:sz w:val="32"/>
      <w:szCs w:val="32"/>
    </w:rPr>
  </w:style>
  <w:style w:type="paragraph" w:styleId="70">
    <w:name w:val="annotation subject"/>
    <w:basedOn w:val="25"/>
    <w:next w:val="25"/>
    <w:link w:val="193"/>
    <w:qFormat/>
    <w:uiPriority w:val="0"/>
    <w:pPr>
      <w:widowControl/>
    </w:pPr>
    <w:rPr>
      <w:b/>
      <w:bCs/>
      <w:kern w:val="0"/>
      <w:sz w:val="24"/>
    </w:rPr>
  </w:style>
  <w:style w:type="paragraph" w:styleId="71">
    <w:name w:val="Body Text First Indent"/>
    <w:basedOn w:val="30"/>
    <w:next w:val="1"/>
    <w:link w:val="145"/>
    <w:qFormat/>
    <w:uiPriority w:val="0"/>
    <w:pPr>
      <w:spacing w:after="120"/>
      <w:ind w:firstLine="420" w:firstLineChars="100"/>
    </w:pPr>
  </w:style>
  <w:style w:type="paragraph" w:styleId="72">
    <w:name w:val="Body Text First Indent 2"/>
    <w:basedOn w:val="31"/>
    <w:link w:val="107"/>
    <w:qFormat/>
    <w:uiPriority w:val="0"/>
    <w:pPr>
      <w:widowControl w:val="0"/>
      <w:overflowPunct/>
      <w:autoSpaceDE/>
      <w:autoSpaceDN/>
      <w:adjustRightInd/>
      <w:spacing w:after="120" w:line="240" w:lineRule="auto"/>
      <w:ind w:left="420" w:leftChars="200" w:firstLine="420" w:firstLineChars="200"/>
      <w:textAlignment w:val="auto"/>
    </w:pPr>
    <w:rPr>
      <w:rFonts w:ascii="Times New Roman" w:hAnsi="Times New Roman"/>
      <w:spacing w:val="0"/>
      <w:kern w:val="2"/>
      <w:sz w:val="21"/>
    </w:rPr>
  </w:style>
  <w:style w:type="table" w:styleId="74">
    <w:name w:val="Table Grid"/>
    <w:basedOn w:val="7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6">
    <w:name w:val="Strong"/>
    <w:qFormat/>
    <w:uiPriority w:val="0"/>
    <w:rPr>
      <w:rFonts w:ascii="Times New Roman" w:hAnsi="Times New Roman" w:eastAsia="宋体" w:cs="Times New Roman"/>
      <w:b/>
      <w:bCs/>
    </w:rPr>
  </w:style>
  <w:style w:type="character" w:styleId="77">
    <w:name w:val="page number"/>
    <w:basedOn w:val="75"/>
    <w:qFormat/>
    <w:uiPriority w:val="0"/>
    <w:rPr>
      <w:rFonts w:ascii="Times New Roman" w:hAnsi="Times New Roman" w:eastAsia="宋体" w:cs="Times New Roman"/>
    </w:rPr>
  </w:style>
  <w:style w:type="character" w:styleId="78">
    <w:name w:val="FollowedHyperlink"/>
    <w:qFormat/>
    <w:uiPriority w:val="0"/>
    <w:rPr>
      <w:rFonts w:ascii="Times New Roman" w:hAnsi="Times New Roman" w:eastAsia="宋体" w:cs="Times New Roman"/>
      <w:color w:val="800080"/>
      <w:u w:val="single"/>
    </w:rPr>
  </w:style>
  <w:style w:type="character" w:styleId="79">
    <w:name w:val="Emphasis"/>
    <w:qFormat/>
    <w:uiPriority w:val="0"/>
    <w:rPr>
      <w:rFonts w:ascii="Times New Roman" w:hAnsi="Times New Roman" w:eastAsia="宋体" w:cs="Times New Roman"/>
      <w:i/>
      <w:iCs/>
    </w:rPr>
  </w:style>
  <w:style w:type="character" w:styleId="80">
    <w:name w:val="HTML Definition"/>
    <w:qFormat/>
    <w:uiPriority w:val="0"/>
    <w:rPr>
      <w:i/>
    </w:rPr>
  </w:style>
  <w:style w:type="character" w:styleId="81">
    <w:name w:val="Hyperlink"/>
    <w:qFormat/>
    <w:uiPriority w:val="99"/>
    <w:rPr>
      <w:rFonts w:ascii="Times New Roman" w:hAnsi="Times New Roman" w:eastAsia="宋体" w:cs="Times New Roman"/>
      <w:color w:val="0000FF"/>
      <w:u w:val="single"/>
    </w:rPr>
  </w:style>
  <w:style w:type="character" w:styleId="82">
    <w:name w:val="HTML Code"/>
    <w:qFormat/>
    <w:uiPriority w:val="0"/>
    <w:rPr>
      <w:rFonts w:hint="default" w:ascii="Consolas" w:hAnsi="Consolas" w:eastAsia="Consolas" w:cs="Consolas"/>
      <w:color w:val="C7254E"/>
      <w:sz w:val="21"/>
      <w:szCs w:val="21"/>
      <w:shd w:val="clear" w:color="auto" w:fill="F9F2F4"/>
    </w:rPr>
  </w:style>
  <w:style w:type="character" w:styleId="83">
    <w:name w:val="annotation reference"/>
    <w:qFormat/>
    <w:uiPriority w:val="0"/>
    <w:rPr>
      <w:rFonts w:ascii="Times New Roman" w:hAnsi="Times New Roman" w:eastAsia="宋体" w:cs="Times New Roman"/>
      <w:sz w:val="21"/>
      <w:szCs w:val="21"/>
    </w:rPr>
  </w:style>
  <w:style w:type="character" w:styleId="84">
    <w:name w:val="footnote reference"/>
    <w:qFormat/>
    <w:uiPriority w:val="0"/>
    <w:rPr>
      <w:rFonts w:ascii="Times New Roman" w:hAnsi="Times New Roman" w:eastAsia="宋体" w:cs="Times New Roman"/>
      <w:vertAlign w:val="superscript"/>
    </w:rPr>
  </w:style>
  <w:style w:type="character" w:styleId="85">
    <w:name w:val="HTML Keyboard"/>
    <w:qFormat/>
    <w:uiPriority w:val="0"/>
    <w:rPr>
      <w:rFonts w:hint="default" w:ascii="Consolas" w:hAnsi="Consolas" w:eastAsia="Consolas" w:cs="Consolas"/>
      <w:color w:val="FFFFFF"/>
      <w:sz w:val="21"/>
      <w:szCs w:val="21"/>
      <w:shd w:val="clear" w:color="auto" w:fill="333333"/>
    </w:rPr>
  </w:style>
  <w:style w:type="character" w:styleId="86">
    <w:name w:val="HTML Sample"/>
    <w:qFormat/>
    <w:uiPriority w:val="0"/>
    <w:rPr>
      <w:rFonts w:ascii="Consolas" w:hAnsi="Consolas" w:eastAsia="Consolas" w:cs="Consolas"/>
      <w:sz w:val="21"/>
      <w:szCs w:val="21"/>
    </w:rPr>
  </w:style>
  <w:style w:type="paragraph" w:customStyle="1" w:styleId="87">
    <w:name w:val="样式 正文文字缩进 + 小四 首行缩进:  2 字符"/>
    <w:basedOn w:val="1"/>
    <w:qFormat/>
    <w:uiPriority w:val="0"/>
    <w:pPr>
      <w:spacing w:line="600" w:lineRule="exact"/>
      <w:jc w:val="center"/>
    </w:pPr>
    <w:rPr>
      <w:b/>
      <w:u w:val="double"/>
    </w:rPr>
  </w:style>
  <w:style w:type="character" w:customStyle="1" w:styleId="88">
    <w:name w:val="标题 Char Char"/>
    <w:qFormat/>
    <w:uiPriority w:val="0"/>
    <w:rPr>
      <w:rFonts w:ascii="Times New Roman" w:hAnsi="Times New Roman" w:eastAsia="宋体" w:cs="Times New Roman"/>
      <w:b/>
      <w:kern w:val="2"/>
      <w:sz w:val="28"/>
      <w:szCs w:val="24"/>
      <w:lang w:val="en-US" w:eastAsia="zh-CN" w:bidi="ar-SA"/>
    </w:rPr>
  </w:style>
  <w:style w:type="character" w:customStyle="1" w:styleId="89">
    <w:name w:val="标题 Char2"/>
    <w:qFormat/>
    <w:uiPriority w:val="0"/>
    <w:rPr>
      <w:rFonts w:ascii="Calibri Light" w:hAnsi="Calibri Light" w:eastAsia="宋体" w:cs="Times New Roman"/>
      <w:b/>
      <w:bCs/>
      <w:kern w:val="2"/>
      <w:sz w:val="32"/>
      <w:szCs w:val="32"/>
    </w:rPr>
  </w:style>
  <w:style w:type="character" w:customStyle="1" w:styleId="90">
    <w:name w:val="普通文字 Char"/>
    <w:qFormat/>
    <w:uiPriority w:val="0"/>
    <w:rPr>
      <w:rFonts w:ascii="宋体" w:hAnsi="Courier New" w:eastAsia="宋体" w:cs="Times New Roman"/>
      <w:kern w:val="2"/>
      <w:sz w:val="21"/>
      <w:lang w:val="en-US" w:eastAsia="zh-CN" w:bidi="ar-SA"/>
    </w:rPr>
  </w:style>
  <w:style w:type="character" w:customStyle="1" w:styleId="91">
    <w:name w:val="公式 Char Char Char Char"/>
    <w:qFormat/>
    <w:uiPriority w:val="0"/>
    <w:rPr>
      <w:rFonts w:ascii="华文细黑" w:hAnsi="华文细黑" w:eastAsia="华文细黑" w:cs="Arial"/>
      <w:color w:val="000000"/>
      <w:sz w:val="30"/>
      <w:szCs w:val="28"/>
      <w:lang w:val="en-US" w:eastAsia="zh-CN" w:bidi="ar-SA"/>
    </w:rPr>
  </w:style>
  <w:style w:type="character" w:customStyle="1" w:styleId="92">
    <w:name w:val="日期 Char"/>
    <w:link w:val="43"/>
    <w:qFormat/>
    <w:uiPriority w:val="0"/>
    <w:rPr>
      <w:rFonts w:ascii="Times New Roman" w:hAnsi="Times New Roman" w:eastAsia="宋体" w:cs="Times New Roman"/>
      <w:kern w:val="2"/>
      <w:sz w:val="24"/>
    </w:rPr>
  </w:style>
  <w:style w:type="character" w:customStyle="1" w:styleId="93">
    <w:name w:val="u1 Char Char Char Char"/>
    <w:qFormat/>
    <w:uiPriority w:val="0"/>
    <w:rPr>
      <w:rFonts w:ascii="Times New Roman" w:hAnsi="Times New Roman" w:eastAsia="宋体" w:cs="Times New Roman"/>
      <w:b/>
      <w:bCs/>
      <w:kern w:val="2"/>
      <w:sz w:val="32"/>
      <w:szCs w:val="32"/>
      <w:lang w:val="en-US" w:eastAsia="zh-CN" w:bidi="ar-SA"/>
    </w:rPr>
  </w:style>
  <w:style w:type="character" w:customStyle="1" w:styleId="94">
    <w:name w:val="不明显参考1"/>
    <w:qFormat/>
    <w:uiPriority w:val="0"/>
    <w:rPr>
      <w:rFonts w:ascii="Times New Roman" w:hAnsi="Times New Roman" w:eastAsia="宋体" w:cs="Times New Roman"/>
      <w:smallCaps/>
      <w:color w:val="C0504D"/>
      <w:u w:val="single"/>
    </w:rPr>
  </w:style>
  <w:style w:type="character" w:customStyle="1" w:styleId="95">
    <w:name w:val="Default Char Char"/>
    <w:qFormat/>
    <w:uiPriority w:val="0"/>
    <w:rPr>
      <w:rFonts w:ascii="宋体" w:hAnsi="Times New Roman" w:eastAsia="宋体" w:cs="宋体"/>
      <w:color w:val="000000"/>
      <w:sz w:val="24"/>
      <w:szCs w:val="24"/>
      <w:lang w:val="en-US" w:eastAsia="zh-CN" w:bidi="ar-SA"/>
    </w:rPr>
  </w:style>
  <w:style w:type="character" w:customStyle="1" w:styleId="96">
    <w:name w:val="样式 正文文本缩进 + 首行缩进:  2 字符 Char Char"/>
    <w:qFormat/>
    <w:uiPriority w:val="0"/>
    <w:rPr>
      <w:rFonts w:ascii="Times New Roman" w:hAnsi="Times New Roman" w:eastAsia="宋体" w:cs="宋体"/>
      <w:sz w:val="24"/>
      <w:szCs w:val="24"/>
      <w:lang w:val="en-US" w:eastAsia="zh-CN" w:bidi="ar-SA"/>
    </w:rPr>
  </w:style>
  <w:style w:type="character" w:customStyle="1" w:styleId="97">
    <w:name w:val="文档结构图 Char"/>
    <w:link w:val="23"/>
    <w:qFormat/>
    <w:uiPriority w:val="0"/>
    <w:rPr>
      <w:rFonts w:ascii="Times New Roman" w:hAnsi="Times New Roman" w:eastAsia="宋体" w:cs="Times New Roman"/>
      <w:kern w:val="2"/>
      <w:sz w:val="21"/>
      <w:szCs w:val="24"/>
      <w:lang w:val="en-US" w:eastAsia="zh-CN" w:bidi="ar-SA"/>
    </w:rPr>
  </w:style>
  <w:style w:type="character" w:customStyle="1" w:styleId="98">
    <w:name w:val="Char Char151"/>
    <w:qFormat/>
    <w:uiPriority w:val="0"/>
    <w:rPr>
      <w:rFonts w:ascii="Times New Roman" w:hAnsi="Times New Roman" w:eastAsia="宋体" w:cs="Times New Roman"/>
      <w:b/>
      <w:bCs/>
      <w:kern w:val="44"/>
      <w:sz w:val="44"/>
      <w:szCs w:val="44"/>
      <w:lang w:val="en-US" w:eastAsia="zh-CN" w:bidi="ar-SA"/>
    </w:rPr>
  </w:style>
  <w:style w:type="character" w:customStyle="1" w:styleId="99">
    <w:name w:val="style11"/>
    <w:qFormat/>
    <w:uiPriority w:val="0"/>
    <w:rPr>
      <w:rFonts w:ascii="Times New Roman" w:hAnsi="Times New Roman" w:eastAsia="宋体" w:cs="Times New Roman"/>
      <w:b/>
      <w:bCs/>
    </w:rPr>
  </w:style>
  <w:style w:type="character" w:customStyle="1" w:styleId="100">
    <w:name w:val="正文缩进 Char"/>
    <w:link w:val="19"/>
    <w:qFormat/>
    <w:uiPriority w:val="0"/>
    <w:rPr>
      <w:rFonts w:ascii="Times New Roman" w:hAnsi="Times New Roman" w:eastAsia="宋体" w:cs="Times New Roman"/>
      <w:lang w:val="en-US" w:eastAsia="zh-CN" w:bidi="ar-SA"/>
    </w:rPr>
  </w:style>
  <w:style w:type="character" w:customStyle="1" w:styleId="101">
    <w:name w:val="批注文字 Char"/>
    <w:link w:val="25"/>
    <w:qFormat/>
    <w:uiPriority w:val="0"/>
    <w:rPr>
      <w:rFonts w:ascii="Times New Roman" w:hAnsi="Times New Roman" w:eastAsia="宋体" w:cs="Times New Roman"/>
      <w:kern w:val="2"/>
      <w:sz w:val="21"/>
      <w:szCs w:val="24"/>
      <w:lang w:val="en-US" w:eastAsia="zh-CN" w:bidi="ar-SA"/>
    </w:rPr>
  </w:style>
  <w:style w:type="character" w:customStyle="1" w:styleId="102">
    <w:name w:val="正文首行缩进 Char1"/>
    <w:qFormat/>
    <w:uiPriority w:val="0"/>
    <w:rPr>
      <w:rFonts w:ascii="Times New Roman" w:hAnsi="Times New Roman" w:eastAsia="宋体" w:cs="Times New Roman"/>
      <w:kern w:val="2"/>
      <w:sz w:val="21"/>
      <w:szCs w:val="24"/>
      <w:lang w:val="en-US" w:eastAsia="zh-CN" w:bidi="ar-SA"/>
    </w:rPr>
  </w:style>
  <w:style w:type="character" w:customStyle="1" w:styleId="103">
    <w:name w:val="标题 1 Char"/>
    <w:link w:val="4"/>
    <w:qFormat/>
    <w:uiPriority w:val="0"/>
    <w:rPr>
      <w:rFonts w:ascii="宋体" w:hAnsi="Times New Roman" w:eastAsia="宋体" w:cs="Times New Roman"/>
      <w:b/>
      <w:bCs/>
      <w:kern w:val="44"/>
      <w:sz w:val="30"/>
      <w:szCs w:val="30"/>
      <w:lang w:val="en-US" w:eastAsia="zh-CN" w:bidi="ar-SA"/>
    </w:rPr>
  </w:style>
  <w:style w:type="character" w:customStyle="1" w:styleId="104">
    <w:name w:val="批注文字 Char1"/>
    <w:qFormat/>
    <w:uiPriority w:val="0"/>
    <w:rPr>
      <w:rFonts w:ascii="Times New Roman" w:hAnsi="Times New Roman" w:eastAsia="宋体" w:cs="Times New Roman"/>
      <w:kern w:val="2"/>
      <w:sz w:val="21"/>
      <w:szCs w:val="24"/>
    </w:rPr>
  </w:style>
  <w:style w:type="character" w:customStyle="1" w:styleId="105">
    <w:name w:val="明显强调1"/>
    <w:qFormat/>
    <w:uiPriority w:val="0"/>
    <w:rPr>
      <w:rFonts w:ascii="Times New Roman" w:hAnsi="Times New Roman" w:eastAsia="宋体" w:cs="Times New Roman"/>
      <w:b/>
      <w:bCs/>
      <w:i/>
      <w:iCs/>
      <w:color w:val="4F81BD"/>
    </w:rPr>
  </w:style>
  <w:style w:type="character" w:customStyle="1" w:styleId="106">
    <w:name w:val="Char Char13"/>
    <w:qFormat/>
    <w:uiPriority w:val="0"/>
    <w:rPr>
      <w:rFonts w:ascii="宋体" w:hAnsi="宋体" w:eastAsia="宋体" w:cs="Times New Roman"/>
      <w:kern w:val="2"/>
      <w:sz w:val="24"/>
      <w:szCs w:val="24"/>
      <w:lang w:val="en-US" w:eastAsia="zh-CN" w:bidi="ar-SA"/>
    </w:rPr>
  </w:style>
  <w:style w:type="character" w:customStyle="1" w:styleId="107">
    <w:name w:val="正文首行缩进 2 Char"/>
    <w:link w:val="72"/>
    <w:qFormat/>
    <w:uiPriority w:val="0"/>
    <w:rPr>
      <w:rFonts w:ascii="Times New Roman" w:hAnsi="Times New Roman" w:eastAsia="宋体" w:cs="Times New Roman"/>
      <w:kern w:val="2"/>
      <w:sz w:val="21"/>
    </w:rPr>
  </w:style>
  <w:style w:type="character" w:customStyle="1" w:styleId="108">
    <w:name w:val="Char Char9"/>
    <w:qFormat/>
    <w:uiPriority w:val="0"/>
    <w:rPr>
      <w:rFonts w:ascii="Times New Roman" w:hAnsi="Times New Roman" w:eastAsia="宋体" w:cs="Times New Roman"/>
      <w:kern w:val="2"/>
      <w:sz w:val="21"/>
      <w:szCs w:val="24"/>
      <w:lang w:val="en-US" w:eastAsia="zh-CN" w:bidi="ar-SA"/>
    </w:rPr>
  </w:style>
  <w:style w:type="character" w:customStyle="1" w:styleId="109">
    <w:name w:val="Blockquote Char Char"/>
    <w:link w:val="110"/>
    <w:qFormat/>
    <w:uiPriority w:val="0"/>
    <w:rPr>
      <w:rFonts w:ascii="Times New Roman" w:hAnsi="Times New Roman" w:eastAsia="宋体" w:cs="Times New Roman"/>
      <w:sz w:val="24"/>
      <w:lang w:val="en-US" w:eastAsia="zh-CN" w:bidi="ar-SA"/>
    </w:rPr>
  </w:style>
  <w:style w:type="paragraph" w:customStyle="1" w:styleId="110">
    <w:name w:val="Blockquote"/>
    <w:basedOn w:val="1"/>
    <w:link w:val="109"/>
    <w:qFormat/>
    <w:uiPriority w:val="0"/>
    <w:pPr>
      <w:autoSpaceDE w:val="0"/>
      <w:autoSpaceDN w:val="0"/>
      <w:adjustRightInd w:val="0"/>
      <w:spacing w:before="100" w:after="100"/>
      <w:ind w:left="360" w:right="360"/>
      <w:jc w:val="left"/>
    </w:pPr>
    <w:rPr>
      <w:kern w:val="0"/>
      <w:sz w:val="24"/>
      <w:szCs w:val="20"/>
    </w:rPr>
  </w:style>
  <w:style w:type="character" w:customStyle="1" w:styleId="111">
    <w:name w:val="引用 Char2"/>
    <w:qFormat/>
    <w:uiPriority w:val="0"/>
    <w:rPr>
      <w:rFonts w:ascii="Times New Roman" w:hAnsi="Times New Roman" w:eastAsia="宋体" w:cs="Times New Roman"/>
      <w:i/>
      <w:iCs/>
      <w:color w:val="404040"/>
      <w:kern w:val="2"/>
      <w:sz w:val="21"/>
      <w:szCs w:val="24"/>
    </w:rPr>
  </w:style>
  <w:style w:type="character" w:customStyle="1" w:styleId="112">
    <w:name w:val="px141"/>
    <w:qFormat/>
    <w:uiPriority w:val="0"/>
    <w:rPr>
      <w:rFonts w:hint="default" w:ascii="ˎ̥" w:hAnsi="ˎ̥" w:eastAsia="宋体" w:cs="Times New Roman"/>
      <w:sz w:val="21"/>
      <w:szCs w:val="21"/>
    </w:rPr>
  </w:style>
  <w:style w:type="character" w:customStyle="1" w:styleId="113">
    <w:name w:val="标题 2 Char"/>
    <w:link w:val="5"/>
    <w:qFormat/>
    <w:uiPriority w:val="0"/>
    <w:rPr>
      <w:rFonts w:ascii="宋体" w:hAnsi="Arial"/>
      <w:b/>
      <w:bCs/>
      <w:kern w:val="2"/>
      <w:sz w:val="24"/>
      <w:szCs w:val="24"/>
    </w:rPr>
  </w:style>
  <w:style w:type="character" w:customStyle="1" w:styleId="114">
    <w:name w:val="h2 Char"/>
    <w:qFormat/>
    <w:uiPriority w:val="0"/>
    <w:rPr>
      <w:rFonts w:ascii="Arial" w:hAnsi="Arial" w:eastAsia="宋体" w:cs="Arial"/>
      <w:b/>
      <w:bCs/>
      <w:kern w:val="0"/>
      <w:sz w:val="24"/>
      <w:szCs w:val="24"/>
      <w:lang w:val="sv-SE"/>
    </w:rPr>
  </w:style>
  <w:style w:type="character" w:customStyle="1" w:styleId="115">
    <w:name w:val="明显参考1"/>
    <w:qFormat/>
    <w:uiPriority w:val="0"/>
    <w:rPr>
      <w:rFonts w:ascii="Times New Roman" w:hAnsi="Times New Roman" w:eastAsia="宋体" w:cs="Times New Roman"/>
      <w:b/>
      <w:bCs/>
      <w:smallCaps/>
      <w:color w:val="C0504D"/>
      <w:spacing w:val="5"/>
      <w:u w:val="single"/>
    </w:rPr>
  </w:style>
  <w:style w:type="character" w:customStyle="1" w:styleId="116">
    <w:name w:val="Char Char91"/>
    <w:qFormat/>
    <w:uiPriority w:val="0"/>
    <w:rPr>
      <w:rFonts w:ascii="Times New Roman" w:hAnsi="Times New Roman" w:eastAsia="宋体" w:cs="Times New Roman"/>
      <w:kern w:val="2"/>
      <w:sz w:val="21"/>
      <w:szCs w:val="24"/>
      <w:lang w:val="en-US" w:eastAsia="zh-CN" w:bidi="ar-SA"/>
    </w:rPr>
  </w:style>
  <w:style w:type="character" w:customStyle="1" w:styleId="117">
    <w:name w:val="样式5 Char Char"/>
    <w:qFormat/>
    <w:uiPriority w:val="0"/>
    <w:rPr>
      <w:rFonts w:ascii="黑体" w:hAnsi="Times New Roman" w:eastAsia="黑体" w:cs="Times New Roman"/>
      <w:b/>
      <w:bCs/>
      <w:kern w:val="2"/>
      <w:sz w:val="32"/>
      <w:szCs w:val="32"/>
      <w:lang w:val="en-US" w:eastAsia="zh-CN" w:bidi="ar-SA"/>
    </w:rPr>
  </w:style>
  <w:style w:type="character" w:customStyle="1" w:styleId="118">
    <w:name w:val="正文文本缩进 3 Char"/>
    <w:link w:val="59"/>
    <w:qFormat/>
    <w:uiPriority w:val="0"/>
    <w:rPr>
      <w:rFonts w:ascii="宋体" w:hAnsi="Times New Roman" w:eastAsia="宋体" w:cs="Times New Roman"/>
      <w:kern w:val="2"/>
      <w:sz w:val="21"/>
      <w:szCs w:val="21"/>
    </w:rPr>
  </w:style>
  <w:style w:type="character" w:customStyle="1" w:styleId="119">
    <w:name w:val="正文文本 2 Char"/>
    <w:link w:val="64"/>
    <w:qFormat/>
    <w:uiPriority w:val="0"/>
    <w:rPr>
      <w:rFonts w:ascii="宋体" w:hAnsi="宋体" w:eastAsia="宋体" w:cs="Times New Roman"/>
      <w:color w:val="000000"/>
      <w:kern w:val="2"/>
      <w:sz w:val="28"/>
      <w:szCs w:val="24"/>
    </w:rPr>
  </w:style>
  <w:style w:type="character" w:customStyle="1" w:styleId="120">
    <w:name w:val="批注引用1"/>
    <w:qFormat/>
    <w:uiPriority w:val="0"/>
    <w:rPr>
      <w:rFonts w:ascii="Times New Roman" w:hAnsi="Times New Roman" w:eastAsia="宋体" w:cs="Times New Roman"/>
      <w:sz w:val="21"/>
      <w:szCs w:val="21"/>
    </w:rPr>
  </w:style>
  <w:style w:type="character" w:customStyle="1" w:styleId="121">
    <w:name w:val="标题 3 Char"/>
    <w:link w:val="6"/>
    <w:qFormat/>
    <w:uiPriority w:val="0"/>
    <w:rPr>
      <w:rFonts w:ascii="宋体" w:hAnsi="宋体" w:eastAsia="宋体" w:cs="Times New Roman"/>
      <w:kern w:val="2"/>
      <w:sz w:val="30"/>
      <w:szCs w:val="30"/>
    </w:rPr>
  </w:style>
  <w:style w:type="character" w:customStyle="1" w:styleId="122">
    <w:name w:val="Default Char"/>
    <w:link w:val="123"/>
    <w:qFormat/>
    <w:uiPriority w:val="0"/>
    <w:rPr>
      <w:rFonts w:ascii="宋体" w:cs="宋体"/>
      <w:color w:val="000000"/>
      <w:sz w:val="24"/>
      <w:szCs w:val="24"/>
      <w:lang w:val="en-US" w:eastAsia="zh-CN" w:bidi="ar-SA"/>
    </w:rPr>
  </w:style>
  <w:style w:type="paragraph" w:customStyle="1" w:styleId="123">
    <w:name w:val="Default"/>
    <w:link w:val="122"/>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24">
    <w:name w:val="正文缩进1"/>
    <w:basedOn w:val="1"/>
    <w:next w:val="57"/>
    <w:qFormat/>
    <w:uiPriority w:val="0"/>
    <w:pPr>
      <w:ind w:firstLine="420"/>
    </w:pPr>
    <w:rPr>
      <w:sz w:val="20"/>
    </w:rPr>
  </w:style>
  <w:style w:type="character" w:customStyle="1" w:styleId="125">
    <w:name w:val="javascript"/>
    <w:qFormat/>
    <w:uiPriority w:val="0"/>
    <w:rPr>
      <w:rFonts w:ascii="Times New Roman" w:hAnsi="Times New Roman" w:eastAsia="宋体" w:cs="Times New Roman"/>
    </w:rPr>
  </w:style>
  <w:style w:type="character" w:customStyle="1" w:styleId="126">
    <w:name w:val="无间隔 字符"/>
    <w:qFormat/>
    <w:uiPriority w:val="0"/>
    <w:rPr>
      <w:rFonts w:ascii="Times New Roman" w:hAnsi="Times New Roman" w:eastAsia="宋体" w:cs="Times New Roman"/>
      <w:kern w:val="0"/>
    </w:rPr>
  </w:style>
  <w:style w:type="character" w:customStyle="1" w:styleId="127">
    <w:name w:val="批注框文本 Char"/>
    <w:link w:val="46"/>
    <w:qFormat/>
    <w:uiPriority w:val="0"/>
    <w:rPr>
      <w:rFonts w:ascii="Times New Roman" w:hAnsi="Times New Roman" w:eastAsia="宋体" w:cs="Times New Roman"/>
      <w:sz w:val="18"/>
      <w:szCs w:val="18"/>
    </w:rPr>
  </w:style>
  <w:style w:type="character" w:customStyle="1" w:styleId="128">
    <w:name w:val="标题 8 Char"/>
    <w:link w:val="11"/>
    <w:qFormat/>
    <w:uiPriority w:val="0"/>
    <w:rPr>
      <w:rFonts w:ascii="Times New Roman" w:hAnsi="Times New Roman" w:eastAsia="宋体" w:cs="Times New Roman"/>
      <w:sz w:val="24"/>
    </w:rPr>
  </w:style>
  <w:style w:type="character" w:customStyle="1" w:styleId="129">
    <w:name w:val="TITRE1 Char"/>
    <w:qFormat/>
    <w:uiPriority w:val="0"/>
    <w:rPr>
      <w:rFonts w:ascii="Arial" w:hAnsi="Arial" w:eastAsia="宋体" w:cs="Arial"/>
      <w:b/>
      <w:iCs/>
      <w:color w:val="000000"/>
      <w:kern w:val="32"/>
      <w:sz w:val="36"/>
      <w:szCs w:val="20"/>
      <w:lang w:val="sv-SE"/>
    </w:rPr>
  </w:style>
  <w:style w:type="character" w:customStyle="1" w:styleId="130">
    <w:name w:val="未处理的提及1"/>
    <w:qFormat/>
    <w:uiPriority w:val="0"/>
    <w:rPr>
      <w:rFonts w:ascii="Times New Roman" w:hAnsi="Times New Roman" w:eastAsia="宋体" w:cs="Times New Roman"/>
      <w:color w:val="605E5C"/>
      <w:shd w:val="clear" w:color="auto" w:fill="E1DFDD"/>
    </w:rPr>
  </w:style>
  <w:style w:type="character" w:customStyle="1" w:styleId="131">
    <w:name w:val="point_small1"/>
    <w:qFormat/>
    <w:uiPriority w:val="0"/>
    <w:rPr>
      <w:rFonts w:hint="default" w:ascii="Arial" w:hAnsi="Arial" w:eastAsia="宋体" w:cs="Arial"/>
      <w:sz w:val="18"/>
      <w:szCs w:val="18"/>
    </w:rPr>
  </w:style>
  <w:style w:type="character" w:customStyle="1" w:styleId="132">
    <w:name w:val="样式 段落编号 + (中文) 黑体 两端对齐 Char Char Char Char Char"/>
    <w:qFormat/>
    <w:uiPriority w:val="0"/>
    <w:rPr>
      <w:rFonts w:ascii="宋体" w:hAnsi="宋体" w:eastAsia="黑体" w:cs="宋体"/>
      <w:kern w:val="2"/>
      <w:sz w:val="24"/>
      <w:szCs w:val="24"/>
      <w:lang w:val="en-US" w:eastAsia="zh-CN" w:bidi="ar-SA"/>
    </w:rPr>
  </w:style>
  <w:style w:type="character" w:customStyle="1" w:styleId="133">
    <w:name w:val="Char Char311"/>
    <w:qFormat/>
    <w:uiPriority w:val="0"/>
    <w:rPr>
      <w:rFonts w:ascii="Times New Roman" w:hAnsi="Times New Roman" w:eastAsia="宋体" w:cs="Times New Roman"/>
      <w:lang w:val="en-US" w:eastAsia="zh-CN" w:bidi="ar-SA"/>
    </w:rPr>
  </w:style>
  <w:style w:type="character" w:customStyle="1" w:styleId="134">
    <w:name w:val="日期 Char1"/>
    <w:qFormat/>
    <w:uiPriority w:val="0"/>
    <w:rPr>
      <w:rFonts w:ascii="Times New Roman" w:hAnsi="Times New Roman" w:eastAsia="宋体" w:cs="Times New Roman"/>
      <w:kern w:val="2"/>
      <w:sz w:val="21"/>
      <w:szCs w:val="22"/>
    </w:rPr>
  </w:style>
  <w:style w:type="character" w:customStyle="1" w:styleId="135">
    <w:name w:val="标题 6 Char"/>
    <w:link w:val="9"/>
    <w:qFormat/>
    <w:uiPriority w:val="0"/>
    <w:rPr>
      <w:rFonts w:ascii="Times New Roman" w:hAnsi="Times New Roman" w:eastAsia="宋体" w:cs="Times New Roman"/>
      <w:sz w:val="24"/>
    </w:rPr>
  </w:style>
  <w:style w:type="character" w:customStyle="1" w:styleId="136">
    <w:name w:val="批注文字 Char Char"/>
    <w:qFormat/>
    <w:uiPriority w:val="0"/>
    <w:rPr>
      <w:rFonts w:ascii="宋体" w:hAnsi="Times New Roman" w:eastAsia="宋体" w:cs="Times New Roman"/>
      <w:sz w:val="28"/>
      <w:szCs w:val="20"/>
    </w:rPr>
  </w:style>
  <w:style w:type="character" w:customStyle="1" w:styleId="137">
    <w:name w:val="gyy正文 Char"/>
    <w:link w:val="138"/>
    <w:qFormat/>
    <w:uiPriority w:val="0"/>
    <w:rPr>
      <w:rFonts w:ascii="Verdana" w:hAnsi="Verdana" w:eastAsia="宋体" w:cs="Times New Roman"/>
      <w:kern w:val="2"/>
      <w:sz w:val="24"/>
      <w:szCs w:val="24"/>
    </w:rPr>
  </w:style>
  <w:style w:type="paragraph" w:customStyle="1" w:styleId="138">
    <w:name w:val="gyy正文"/>
    <w:basedOn w:val="1"/>
    <w:link w:val="137"/>
    <w:qFormat/>
    <w:uiPriority w:val="0"/>
    <w:pPr>
      <w:spacing w:line="360" w:lineRule="auto"/>
      <w:ind w:firstLine="480" w:firstLineChars="200"/>
    </w:pPr>
    <w:rPr>
      <w:rFonts w:ascii="Verdana" w:hAnsi="Verdana"/>
      <w:sz w:val="24"/>
    </w:rPr>
  </w:style>
  <w:style w:type="character" w:customStyle="1" w:styleId="139">
    <w:name w:val="正文文本 3 Char1"/>
    <w:qFormat/>
    <w:uiPriority w:val="0"/>
    <w:rPr>
      <w:rFonts w:ascii="Times New Roman" w:hAnsi="Times New Roman" w:eastAsia="宋体" w:cs="Times New Roman"/>
      <w:kern w:val="2"/>
      <w:sz w:val="16"/>
      <w:szCs w:val="16"/>
    </w:rPr>
  </w:style>
  <w:style w:type="character" w:customStyle="1" w:styleId="140">
    <w:name w:val="明显引用 Char1"/>
    <w:qFormat/>
    <w:uiPriority w:val="0"/>
    <w:rPr>
      <w:rFonts w:ascii="Times New Roman" w:hAnsi="Times New Roman" w:eastAsia="宋体" w:cs="Times New Roman"/>
      <w:b/>
      <w:bCs/>
      <w:i/>
      <w:iCs/>
      <w:color w:val="4F81BD"/>
      <w:kern w:val="2"/>
      <w:sz w:val="21"/>
    </w:rPr>
  </w:style>
  <w:style w:type="character" w:customStyle="1" w:styleId="141">
    <w:name w:val="H1 Char1"/>
    <w:qFormat/>
    <w:uiPriority w:val="0"/>
    <w:rPr>
      <w:rFonts w:ascii="Times New Roman" w:hAnsi="Times New Roman" w:eastAsia="宋体" w:cs="Times New Roman"/>
      <w:b/>
      <w:bCs/>
      <w:kern w:val="44"/>
      <w:sz w:val="44"/>
      <w:szCs w:val="44"/>
      <w:lang w:val="en-US" w:eastAsia="zh-CN" w:bidi="ar-SA"/>
    </w:rPr>
  </w:style>
  <w:style w:type="character" w:customStyle="1" w:styleId="142">
    <w:name w:val="称呼 Char"/>
    <w:link w:val="27"/>
    <w:qFormat/>
    <w:uiPriority w:val="0"/>
    <w:rPr>
      <w:rFonts w:ascii="Times New Roman" w:hAnsi="Times New Roman" w:eastAsia="宋体" w:cs="Times New Roman"/>
      <w:kern w:val="2"/>
      <w:sz w:val="28"/>
    </w:rPr>
  </w:style>
  <w:style w:type="character" w:customStyle="1" w:styleId="143">
    <w:name w:val="样式4 Char Char Char Char"/>
    <w:qFormat/>
    <w:uiPriority w:val="0"/>
    <w:rPr>
      <w:rFonts w:ascii="宋体" w:hAnsi="Times New Roman" w:eastAsia="宋体" w:cs="Times New Roman"/>
      <w:b/>
      <w:bCs/>
      <w:kern w:val="2"/>
      <w:sz w:val="24"/>
      <w:szCs w:val="24"/>
      <w:lang w:val="en-US" w:eastAsia="zh-CN" w:bidi="ar-SA"/>
    </w:rPr>
  </w:style>
  <w:style w:type="character" w:customStyle="1" w:styleId="144">
    <w:name w:val="Char Char31"/>
    <w:qFormat/>
    <w:uiPriority w:val="0"/>
    <w:rPr>
      <w:rFonts w:ascii="Times New Roman" w:hAnsi="Times New Roman" w:eastAsia="宋体" w:cs="Times New Roman"/>
      <w:szCs w:val="24"/>
    </w:rPr>
  </w:style>
  <w:style w:type="character" w:customStyle="1" w:styleId="145">
    <w:name w:val="正文首行缩进 Char"/>
    <w:link w:val="71"/>
    <w:qFormat/>
    <w:uiPriority w:val="0"/>
    <w:rPr>
      <w:rFonts w:ascii="Times New Roman" w:hAnsi="Times New Roman" w:eastAsia="宋体" w:cs="Times New Roman"/>
      <w:kern w:val="2"/>
      <w:sz w:val="21"/>
      <w:szCs w:val="24"/>
    </w:rPr>
  </w:style>
  <w:style w:type="character" w:customStyle="1" w:styleId="146">
    <w:name w:val="页眉 Char Char"/>
    <w:qFormat/>
    <w:uiPriority w:val="0"/>
    <w:rPr>
      <w:rFonts w:ascii="Times New Roman" w:hAnsi="Times New Roman" w:eastAsia="宋体" w:cs="Times New Roman"/>
      <w:kern w:val="2"/>
      <w:sz w:val="18"/>
      <w:szCs w:val="18"/>
    </w:rPr>
  </w:style>
  <w:style w:type="character" w:customStyle="1" w:styleId="147">
    <w:name w:val="页脚 Char Char"/>
    <w:qFormat/>
    <w:uiPriority w:val="0"/>
    <w:rPr>
      <w:rFonts w:ascii="Times New Roman" w:hAnsi="Times New Roman" w:eastAsia="宋体" w:cs="Times New Roman"/>
      <w:sz w:val="18"/>
      <w:szCs w:val="18"/>
      <w:lang w:bidi="ar-SA"/>
    </w:rPr>
  </w:style>
  <w:style w:type="character" w:customStyle="1" w:styleId="148">
    <w:name w:val="Char Char101"/>
    <w:qFormat/>
    <w:uiPriority w:val="0"/>
    <w:rPr>
      <w:rFonts w:ascii="Times New Roman" w:hAnsi="Times New Roman" w:eastAsia="宋体" w:cs="Times New Roman"/>
      <w:b/>
      <w:i/>
      <w:kern w:val="2"/>
      <w:sz w:val="28"/>
      <w:lang w:val="en-US" w:eastAsia="zh-CN" w:bidi="ar-SA"/>
    </w:rPr>
  </w:style>
  <w:style w:type="character" w:customStyle="1" w:styleId="149">
    <w:name w:val="明显引用 Char2"/>
    <w:qFormat/>
    <w:uiPriority w:val="0"/>
    <w:rPr>
      <w:rFonts w:ascii="Times New Roman" w:hAnsi="Times New Roman" w:eastAsia="宋体" w:cs="Times New Roman"/>
      <w:i/>
      <w:iCs/>
      <w:color w:val="5B9BD5"/>
      <w:kern w:val="2"/>
      <w:sz w:val="21"/>
      <w:szCs w:val="24"/>
    </w:rPr>
  </w:style>
  <w:style w:type="character" w:customStyle="1" w:styleId="150">
    <w:name w:val="H5 Char"/>
    <w:qFormat/>
    <w:uiPriority w:val="0"/>
    <w:rPr>
      <w:rFonts w:ascii="Times New Roman" w:hAnsi="Times New Roman" w:eastAsia="宋体" w:cs="Times New Roman"/>
      <w:b/>
      <w:bCs/>
      <w:sz w:val="28"/>
      <w:szCs w:val="28"/>
    </w:rPr>
  </w:style>
  <w:style w:type="character" w:customStyle="1" w:styleId="151">
    <w:name w:val="无间隔 Char"/>
    <w:link w:val="152"/>
    <w:qFormat/>
    <w:uiPriority w:val="0"/>
    <w:rPr>
      <w:rFonts w:ascii="Calibri" w:hAnsi="Calibri"/>
      <w:sz w:val="22"/>
      <w:szCs w:val="22"/>
      <w:lang w:val="en-US" w:eastAsia="zh-CN" w:bidi="ar-SA"/>
    </w:rPr>
  </w:style>
  <w:style w:type="paragraph" w:customStyle="1" w:styleId="152">
    <w:name w:val="无间隔1"/>
    <w:link w:val="151"/>
    <w:qFormat/>
    <w:uiPriority w:val="0"/>
    <w:rPr>
      <w:rFonts w:ascii="Calibri" w:hAnsi="Calibri" w:eastAsia="宋体" w:cs="Times New Roman"/>
      <w:sz w:val="22"/>
      <w:szCs w:val="22"/>
      <w:lang w:val="en-US" w:eastAsia="zh-CN" w:bidi="ar-SA"/>
    </w:rPr>
  </w:style>
  <w:style w:type="character" w:customStyle="1" w:styleId="153">
    <w:name w:val="标题 Char"/>
    <w:link w:val="69"/>
    <w:qFormat/>
    <w:uiPriority w:val="0"/>
    <w:rPr>
      <w:rFonts w:ascii="Cambria" w:hAnsi="Cambria" w:eastAsia="宋体" w:cs="Times New Roman"/>
      <w:b/>
      <w:bCs/>
      <w:kern w:val="2"/>
      <w:sz w:val="32"/>
      <w:szCs w:val="32"/>
    </w:rPr>
  </w:style>
  <w:style w:type="character" w:customStyle="1" w:styleId="154">
    <w:name w:val="Char Char3"/>
    <w:qFormat/>
    <w:uiPriority w:val="0"/>
    <w:rPr>
      <w:rFonts w:ascii="Times New Roman" w:hAnsi="Times New Roman" w:eastAsia="宋体" w:cs="Times New Roman"/>
      <w:szCs w:val="24"/>
    </w:rPr>
  </w:style>
  <w:style w:type="character" w:customStyle="1" w:styleId="155">
    <w:name w:val="未处理的提及2"/>
    <w:qFormat/>
    <w:uiPriority w:val="0"/>
    <w:rPr>
      <w:rFonts w:ascii="Times New Roman" w:hAnsi="Times New Roman" w:eastAsia="宋体" w:cs="Times New Roman"/>
      <w:color w:val="605E5C"/>
      <w:shd w:val="clear" w:color="auto" w:fill="E1DFDD"/>
    </w:rPr>
  </w:style>
  <w:style w:type="character" w:customStyle="1" w:styleId="156">
    <w:name w:val="标题 2 Char Char"/>
    <w:qFormat/>
    <w:uiPriority w:val="0"/>
    <w:rPr>
      <w:rFonts w:ascii="Times New Roman" w:hAnsi="Times New Roman" w:eastAsia="宋体" w:cs="Times New Roman"/>
      <w:sz w:val="28"/>
    </w:rPr>
  </w:style>
  <w:style w:type="character" w:customStyle="1" w:styleId="157">
    <w:name w:val="批注框文本 Char Char Char Char"/>
    <w:qFormat/>
    <w:uiPriority w:val="0"/>
    <w:rPr>
      <w:rFonts w:ascii="Times New Roman" w:hAnsi="Times New Roman" w:eastAsia="宋体" w:cs="Times New Roman"/>
      <w:kern w:val="2"/>
      <w:sz w:val="18"/>
      <w:szCs w:val="18"/>
    </w:rPr>
  </w:style>
  <w:style w:type="character" w:customStyle="1" w:styleId="158">
    <w:name w:val="Char Char131"/>
    <w:qFormat/>
    <w:uiPriority w:val="0"/>
    <w:rPr>
      <w:rFonts w:ascii="宋体" w:hAnsi="宋体" w:eastAsia="宋体" w:cs="Times New Roman"/>
      <w:kern w:val="2"/>
      <w:sz w:val="24"/>
      <w:szCs w:val="24"/>
      <w:lang w:val="en-US" w:eastAsia="zh-CN" w:bidi="ar-SA"/>
    </w:rPr>
  </w:style>
  <w:style w:type="character" w:customStyle="1" w:styleId="159">
    <w:name w:val="Char Char14"/>
    <w:qFormat/>
    <w:uiPriority w:val="0"/>
    <w:rPr>
      <w:rFonts w:ascii="Arial" w:hAnsi="Arial" w:eastAsia="黑体" w:cs="Times New Roman"/>
      <w:b/>
      <w:bCs/>
      <w:kern w:val="2"/>
      <w:sz w:val="32"/>
      <w:szCs w:val="32"/>
      <w:lang w:val="en-US" w:eastAsia="zh-CN" w:bidi="ar-SA"/>
    </w:rPr>
  </w:style>
  <w:style w:type="character" w:customStyle="1" w:styleId="160">
    <w:name w:val="尾注文本 Char"/>
    <w:link w:val="45"/>
    <w:qFormat/>
    <w:uiPriority w:val="0"/>
    <w:rPr>
      <w:rFonts w:ascii="Times New Roman" w:hAnsi="Times New Roman" w:eastAsia="宋体" w:cs="Times New Roman"/>
    </w:rPr>
  </w:style>
  <w:style w:type="character" w:customStyle="1" w:styleId="161">
    <w:name w:val="标题 9 Char"/>
    <w:link w:val="12"/>
    <w:qFormat/>
    <w:uiPriority w:val="0"/>
    <w:rPr>
      <w:rFonts w:ascii="Times New Roman" w:hAnsi="Times New Roman" w:eastAsia="宋体" w:cs="Times New Roman"/>
      <w:sz w:val="24"/>
    </w:rPr>
  </w:style>
  <w:style w:type="character" w:customStyle="1" w:styleId="162">
    <w:name w:val="main-black1"/>
    <w:qFormat/>
    <w:uiPriority w:val="0"/>
    <w:rPr>
      <w:rFonts w:ascii="Times New Roman" w:hAnsi="Times New Roman" w:eastAsia="宋体" w:cs="Times New Roman"/>
      <w:color w:val="000000"/>
      <w:sz w:val="18"/>
      <w:szCs w:val="18"/>
      <w:u w:val="none"/>
    </w:rPr>
  </w:style>
  <w:style w:type="character" w:customStyle="1" w:styleId="163">
    <w:name w:val="Char Char81"/>
    <w:qFormat/>
    <w:uiPriority w:val="0"/>
    <w:rPr>
      <w:rFonts w:ascii="Arial" w:hAnsi="Arial" w:eastAsia="宋体" w:cs="Times New Roman"/>
      <w:sz w:val="22"/>
      <w:szCs w:val="21"/>
      <w:lang w:val="en-GB" w:eastAsia="zh-CN" w:bidi="ar-SA"/>
    </w:rPr>
  </w:style>
  <w:style w:type="character" w:customStyle="1" w:styleId="164">
    <w:name w:val="Char Char1"/>
    <w:qFormat/>
    <w:uiPriority w:val="0"/>
    <w:rPr>
      <w:rFonts w:ascii="Arial" w:hAnsi="Arial" w:eastAsia="宋体" w:cs="Times New Roman"/>
      <w:sz w:val="36"/>
    </w:rPr>
  </w:style>
  <w:style w:type="character" w:customStyle="1" w:styleId="165">
    <w:name w:val="PIM 6 Char"/>
    <w:qFormat/>
    <w:uiPriority w:val="0"/>
    <w:rPr>
      <w:rFonts w:ascii="Arial" w:hAnsi="Arial" w:eastAsia="黑体" w:cs="Times New Roman"/>
      <w:b/>
      <w:bCs/>
      <w:sz w:val="24"/>
      <w:szCs w:val="24"/>
    </w:rPr>
  </w:style>
  <w:style w:type="character" w:customStyle="1" w:styleId="166">
    <w:name w:val="Char Char8"/>
    <w:qFormat/>
    <w:uiPriority w:val="0"/>
    <w:rPr>
      <w:rFonts w:ascii="Arial" w:hAnsi="Arial" w:eastAsia="宋体" w:cs="Times New Roman"/>
      <w:sz w:val="22"/>
      <w:szCs w:val="21"/>
      <w:lang w:val="en-GB" w:eastAsia="zh-CN" w:bidi="ar-SA"/>
    </w:rPr>
  </w:style>
  <w:style w:type="character" w:customStyle="1" w:styleId="167">
    <w:name w:val="标题5 Char Char"/>
    <w:link w:val="168"/>
    <w:qFormat/>
    <w:uiPriority w:val="0"/>
    <w:rPr>
      <w:rFonts w:ascii="Arial" w:hAnsi="Arial" w:eastAsia="宋体" w:cs="Times New Roman"/>
      <w:b/>
      <w:bCs/>
      <w:sz w:val="24"/>
      <w:szCs w:val="32"/>
    </w:rPr>
  </w:style>
  <w:style w:type="paragraph" w:customStyle="1" w:styleId="168">
    <w:name w:val="标题5"/>
    <w:basedOn w:val="6"/>
    <w:link w:val="167"/>
    <w:qFormat/>
    <w:uiPriority w:val="0"/>
    <w:pPr>
      <w:keepLines/>
      <w:tabs>
        <w:tab w:val="clear" w:pos="360"/>
      </w:tabs>
      <w:spacing w:beforeLines="0" w:after="260" w:line="413" w:lineRule="auto"/>
    </w:pPr>
    <w:rPr>
      <w:rFonts w:ascii="Arial" w:hAnsi="Arial"/>
      <w:b/>
      <w:bCs/>
      <w:kern w:val="0"/>
      <w:sz w:val="24"/>
      <w:szCs w:val="32"/>
    </w:rPr>
  </w:style>
  <w:style w:type="character" w:customStyle="1" w:styleId="169">
    <w:name w:val="apple-style-span"/>
    <w:qFormat/>
    <w:uiPriority w:val="0"/>
    <w:rPr>
      <w:rFonts w:ascii="Times New Roman" w:hAnsi="Times New Roman" w:eastAsia="宋体" w:cs="Times New Roman"/>
    </w:rPr>
  </w:style>
  <w:style w:type="character" w:customStyle="1" w:styleId="170">
    <w:name w:val="正文文本 Char"/>
    <w:link w:val="30"/>
    <w:qFormat/>
    <w:uiPriority w:val="0"/>
    <w:rPr>
      <w:rFonts w:ascii="Times New Roman" w:hAnsi="Times New Roman" w:eastAsia="宋体" w:cs="Times New Roman"/>
      <w:kern w:val="2"/>
      <w:sz w:val="28"/>
      <w:szCs w:val="24"/>
      <w:lang w:val="en-US" w:eastAsia="zh-CN" w:bidi="ar-SA"/>
    </w:rPr>
  </w:style>
  <w:style w:type="character" w:customStyle="1" w:styleId="171">
    <w:name w:val="标题4 Char Char"/>
    <w:link w:val="172"/>
    <w:qFormat/>
    <w:uiPriority w:val="0"/>
    <w:rPr>
      <w:rFonts w:ascii="黑体" w:hAnsi="Times New Roman" w:eastAsia="黑体" w:cs="Times New Roman"/>
      <w:sz w:val="24"/>
      <w:szCs w:val="30"/>
    </w:rPr>
  </w:style>
  <w:style w:type="paragraph" w:customStyle="1" w:styleId="172">
    <w:name w:val="标题4"/>
    <w:basedOn w:val="1"/>
    <w:next w:val="7"/>
    <w:link w:val="171"/>
    <w:qFormat/>
    <w:uiPriority w:val="0"/>
    <w:pPr>
      <w:widowControl/>
      <w:jc w:val="left"/>
    </w:pPr>
    <w:rPr>
      <w:rFonts w:ascii="黑体" w:eastAsia="黑体"/>
      <w:kern w:val="0"/>
      <w:sz w:val="24"/>
      <w:szCs w:val="30"/>
    </w:rPr>
  </w:style>
  <w:style w:type="character" w:customStyle="1" w:styleId="173">
    <w:name w:val="标题 7 Char"/>
    <w:link w:val="10"/>
    <w:qFormat/>
    <w:uiPriority w:val="0"/>
    <w:rPr>
      <w:rFonts w:ascii="Times New Roman" w:hAnsi="Times New Roman" w:eastAsia="宋体" w:cs="Times New Roman"/>
      <w:sz w:val="24"/>
    </w:rPr>
  </w:style>
  <w:style w:type="character" w:customStyle="1" w:styleId="174">
    <w:name w:val="H3 Char"/>
    <w:qFormat/>
    <w:uiPriority w:val="0"/>
    <w:rPr>
      <w:rFonts w:ascii="黑体" w:hAnsi="宋体" w:eastAsia="黑体" w:cs="Arial"/>
      <w:color w:val="000000"/>
      <w:kern w:val="24"/>
      <w:sz w:val="28"/>
      <w:szCs w:val="28"/>
      <w:lang w:val="sv-SE"/>
    </w:rPr>
  </w:style>
  <w:style w:type="character" w:customStyle="1" w:styleId="175">
    <w:name w:val="引用 Char"/>
    <w:link w:val="176"/>
    <w:qFormat/>
    <w:uiPriority w:val="0"/>
    <w:rPr>
      <w:rFonts w:ascii="Times New Roman" w:hAnsi="Times New Roman" w:eastAsia="宋体" w:cs="Times New Roman"/>
      <w:i/>
      <w:iCs/>
      <w:color w:val="000000"/>
      <w:kern w:val="2"/>
      <w:sz w:val="21"/>
      <w:szCs w:val="22"/>
    </w:rPr>
  </w:style>
  <w:style w:type="paragraph" w:customStyle="1" w:styleId="176">
    <w:name w:val="引用1"/>
    <w:basedOn w:val="1"/>
    <w:next w:val="1"/>
    <w:link w:val="175"/>
    <w:qFormat/>
    <w:uiPriority w:val="0"/>
    <w:rPr>
      <w:i/>
      <w:iCs/>
      <w:color w:val="000000"/>
      <w:szCs w:val="22"/>
    </w:rPr>
  </w:style>
  <w:style w:type="character" w:customStyle="1" w:styleId="177">
    <w:name w:val="正文文本缩进 2 Char"/>
    <w:link w:val="44"/>
    <w:qFormat/>
    <w:uiPriority w:val="0"/>
    <w:rPr>
      <w:rFonts w:ascii="宋体" w:hAnsi="Times New Roman" w:eastAsia="宋体" w:cs="Times New Roman"/>
      <w:kern w:val="2"/>
      <w:sz w:val="21"/>
      <w:szCs w:val="21"/>
    </w:rPr>
  </w:style>
  <w:style w:type="character" w:customStyle="1" w:styleId="178">
    <w:name w:val="不明显强调1"/>
    <w:qFormat/>
    <w:uiPriority w:val="0"/>
    <w:rPr>
      <w:rFonts w:ascii="Times New Roman" w:hAnsi="Times New Roman" w:eastAsia="宋体" w:cs="Times New Roman"/>
      <w:i/>
      <w:iCs/>
      <w:color w:val="808080"/>
    </w:rPr>
  </w:style>
  <w:style w:type="character" w:customStyle="1" w:styleId="179">
    <w:name w:val="font161"/>
    <w:qFormat/>
    <w:uiPriority w:val="0"/>
    <w:rPr>
      <w:rFonts w:ascii="Times New Roman" w:hAnsi="Times New Roman" w:eastAsia="宋体" w:cs="Times New Roman"/>
      <w:b/>
      <w:bCs/>
      <w:sz w:val="32"/>
      <w:szCs w:val="32"/>
    </w:rPr>
  </w:style>
  <w:style w:type="character" w:customStyle="1" w:styleId="180">
    <w:name w:val="HTML 预设格式 Char1"/>
    <w:qFormat/>
    <w:uiPriority w:val="0"/>
    <w:rPr>
      <w:rFonts w:ascii="Courier New" w:hAnsi="Courier New" w:eastAsia="宋体" w:cs="Courier New"/>
      <w:kern w:val="2"/>
    </w:rPr>
  </w:style>
  <w:style w:type="character" w:customStyle="1" w:styleId="181">
    <w:name w:val="纯文本 Char"/>
    <w:link w:val="38"/>
    <w:qFormat/>
    <w:uiPriority w:val="0"/>
    <w:rPr>
      <w:rFonts w:ascii="宋体" w:hAnsi="Courier New" w:eastAsia="宋体" w:cs="Times New Roman"/>
      <w:kern w:val="2"/>
      <w:sz w:val="21"/>
      <w:lang w:val="en-US" w:eastAsia="zh-CN" w:bidi="ar-SA"/>
    </w:rPr>
  </w:style>
  <w:style w:type="character" w:customStyle="1" w:styleId="182">
    <w:name w:val="明显引用 Char"/>
    <w:link w:val="183"/>
    <w:qFormat/>
    <w:uiPriority w:val="0"/>
    <w:rPr>
      <w:rFonts w:ascii="Times New Roman" w:hAnsi="Times New Roman" w:eastAsia="宋体" w:cs="Times New Roman"/>
      <w:b/>
      <w:bCs/>
      <w:i/>
      <w:iCs/>
      <w:color w:val="4F81BD"/>
      <w:kern w:val="2"/>
      <w:sz w:val="21"/>
      <w:szCs w:val="22"/>
    </w:rPr>
  </w:style>
  <w:style w:type="paragraph" w:customStyle="1" w:styleId="183">
    <w:name w:val="明显引用1"/>
    <w:basedOn w:val="1"/>
    <w:next w:val="1"/>
    <w:link w:val="182"/>
    <w:qFormat/>
    <w:uiPriority w:val="0"/>
    <w:pPr>
      <w:pBdr>
        <w:bottom w:val="single" w:color="4F81BD" w:sz="4" w:space="4"/>
      </w:pBdr>
      <w:spacing w:before="200" w:after="280"/>
      <w:ind w:left="936" w:right="936"/>
    </w:pPr>
    <w:rPr>
      <w:b/>
      <w:bCs/>
      <w:i/>
      <w:iCs/>
      <w:color w:val="4F81BD"/>
      <w:szCs w:val="22"/>
    </w:rPr>
  </w:style>
  <w:style w:type="character" w:customStyle="1" w:styleId="184">
    <w:name w:val="正文文本 Char1"/>
    <w:qFormat/>
    <w:uiPriority w:val="0"/>
    <w:rPr>
      <w:rFonts w:ascii="Times New Roman" w:hAnsi="Times New Roman" w:eastAsia="宋体" w:cs="Times New Roman"/>
      <w:kern w:val="2"/>
      <w:sz w:val="21"/>
      <w:szCs w:val="22"/>
    </w:rPr>
  </w:style>
  <w:style w:type="character" w:customStyle="1" w:styleId="185">
    <w:name w:val="标题 4 Char"/>
    <w:link w:val="7"/>
    <w:qFormat/>
    <w:uiPriority w:val="0"/>
    <w:rPr>
      <w:rFonts w:ascii="宋体" w:hAnsi="Arial" w:eastAsia="宋体" w:cs="Times New Roman"/>
      <w:b/>
      <w:bCs/>
      <w:kern w:val="2"/>
      <w:sz w:val="24"/>
      <w:szCs w:val="24"/>
    </w:rPr>
  </w:style>
  <w:style w:type="character" w:customStyle="1" w:styleId="186">
    <w:name w:val="称呼 Char1"/>
    <w:qFormat/>
    <w:uiPriority w:val="0"/>
    <w:rPr>
      <w:rFonts w:ascii="Times New Roman" w:hAnsi="Times New Roman" w:eastAsia="宋体" w:cs="Times New Roman"/>
      <w:kern w:val="2"/>
      <w:sz w:val="21"/>
      <w:szCs w:val="24"/>
    </w:rPr>
  </w:style>
  <w:style w:type="character" w:customStyle="1" w:styleId="187">
    <w:name w:val="页眉 Char"/>
    <w:link w:val="48"/>
    <w:qFormat/>
    <w:uiPriority w:val="0"/>
    <w:rPr>
      <w:rFonts w:ascii="Times New Roman" w:hAnsi="Times New Roman" w:eastAsia="宋体" w:cs="Times New Roman"/>
      <w:kern w:val="2"/>
      <w:sz w:val="18"/>
      <w:szCs w:val="18"/>
    </w:rPr>
  </w:style>
  <w:style w:type="character" w:customStyle="1" w:styleId="188">
    <w:name w:val="Char Char15"/>
    <w:qFormat/>
    <w:uiPriority w:val="0"/>
    <w:rPr>
      <w:rFonts w:ascii="Times New Roman" w:hAnsi="Times New Roman" w:eastAsia="宋体" w:cs="Times New Roman"/>
      <w:b/>
      <w:bCs/>
      <w:kern w:val="44"/>
      <w:sz w:val="44"/>
      <w:szCs w:val="44"/>
      <w:lang w:val="en-US" w:eastAsia="zh-CN" w:bidi="ar-SA"/>
    </w:rPr>
  </w:style>
  <w:style w:type="character" w:customStyle="1" w:styleId="189">
    <w:name w:val="页脚 Char"/>
    <w:link w:val="47"/>
    <w:qFormat/>
    <w:uiPriority w:val="99"/>
    <w:rPr>
      <w:rFonts w:ascii="Times New Roman" w:hAnsi="Times New Roman" w:eastAsia="宋体" w:cs="Times New Roman"/>
      <w:kern w:val="2"/>
      <w:sz w:val="18"/>
      <w:szCs w:val="18"/>
      <w:lang w:val="en-US" w:eastAsia="zh-CN" w:bidi="ar-SA"/>
    </w:rPr>
  </w:style>
  <w:style w:type="character" w:customStyle="1" w:styleId="190">
    <w:name w:val="样式 黑体 小四 自定义颜色(RGB(1500))"/>
    <w:qFormat/>
    <w:uiPriority w:val="0"/>
    <w:rPr>
      <w:rFonts w:ascii="Times New Roman" w:hAnsi="Times New Roman" w:eastAsia="黑体" w:cs="Times New Roman"/>
      <w:color w:val="0F0000"/>
      <w:kern w:val="0"/>
      <w:sz w:val="24"/>
      <w:szCs w:val="24"/>
    </w:rPr>
  </w:style>
  <w:style w:type="character" w:customStyle="1" w:styleId="191">
    <w:name w:val="p121"/>
    <w:qFormat/>
    <w:uiPriority w:val="0"/>
    <w:rPr>
      <w:rFonts w:hint="default" w:ascii="Times New Roman" w:hAnsi="Times New Roman" w:eastAsia="宋体" w:cs="Times New Roman"/>
      <w:sz w:val="24"/>
      <w:u w:val="none"/>
    </w:rPr>
  </w:style>
  <w:style w:type="character" w:customStyle="1" w:styleId="192">
    <w:name w:val="Char Char2"/>
    <w:qFormat/>
    <w:uiPriority w:val="0"/>
    <w:rPr>
      <w:rFonts w:ascii="Times New Roman" w:hAnsi="Times New Roman" w:eastAsia="宋体" w:cs="Times New Roman"/>
      <w:kern w:val="2"/>
      <w:sz w:val="18"/>
      <w:lang w:val="en-US" w:eastAsia="zh-CN"/>
    </w:rPr>
  </w:style>
  <w:style w:type="character" w:customStyle="1" w:styleId="193">
    <w:name w:val="批注主题 Char1"/>
    <w:link w:val="70"/>
    <w:qFormat/>
    <w:uiPriority w:val="0"/>
    <w:rPr>
      <w:rFonts w:ascii="Times New Roman" w:hAnsi="Times New Roman" w:eastAsia="宋体" w:cs="Times New Roman"/>
      <w:b/>
      <w:bCs/>
      <w:sz w:val="24"/>
      <w:szCs w:val="24"/>
    </w:rPr>
  </w:style>
  <w:style w:type="character" w:customStyle="1" w:styleId="194">
    <w:name w:val="副标题 Char1"/>
    <w:qFormat/>
    <w:uiPriority w:val="0"/>
    <w:rPr>
      <w:rFonts w:ascii="Cambria" w:hAnsi="Cambria" w:eastAsia="宋体" w:cs="Times New Roman"/>
      <w:b/>
      <w:bCs/>
      <w:kern w:val="28"/>
      <w:sz w:val="32"/>
      <w:szCs w:val="32"/>
    </w:rPr>
  </w:style>
  <w:style w:type="character" w:customStyle="1" w:styleId="195">
    <w:name w:val="书籍标题1"/>
    <w:qFormat/>
    <w:uiPriority w:val="0"/>
    <w:rPr>
      <w:rFonts w:ascii="Times New Roman" w:hAnsi="Times New Roman" w:eastAsia="宋体" w:cs="Times New Roman"/>
      <w:b/>
      <w:bCs/>
      <w:smallCaps/>
      <w:spacing w:val="5"/>
    </w:rPr>
  </w:style>
  <w:style w:type="character" w:customStyle="1" w:styleId="196">
    <w:name w:val="HTML Markup"/>
    <w:qFormat/>
    <w:uiPriority w:val="0"/>
    <w:rPr>
      <w:rFonts w:ascii="Times New Roman" w:hAnsi="Times New Roman" w:eastAsia="宋体" w:cs="Times New Roman"/>
      <w:vanish/>
      <w:color w:val="FF0000"/>
    </w:rPr>
  </w:style>
  <w:style w:type="character" w:customStyle="1" w:styleId="197">
    <w:name w:val="标题 Char1"/>
    <w:qFormat/>
    <w:uiPriority w:val="0"/>
    <w:rPr>
      <w:rFonts w:ascii="Cambria" w:hAnsi="Cambria" w:eastAsia="宋体" w:cs="Times New Roman"/>
      <w:b/>
      <w:bCs/>
      <w:kern w:val="2"/>
      <w:sz w:val="32"/>
      <w:szCs w:val="32"/>
    </w:rPr>
  </w:style>
  <w:style w:type="character" w:customStyle="1" w:styleId="198">
    <w:name w:val="textcontents"/>
    <w:qFormat/>
    <w:uiPriority w:val="0"/>
    <w:rPr>
      <w:rFonts w:ascii="Times New Roman" w:hAnsi="Times New Roman" w:eastAsia="宋体" w:cs="Times New Roman"/>
    </w:rPr>
  </w:style>
  <w:style w:type="character" w:customStyle="1" w:styleId="199">
    <w:name w:val="标题 1.1 Char Char"/>
    <w:qFormat/>
    <w:uiPriority w:val="0"/>
    <w:rPr>
      <w:rFonts w:ascii="Arial" w:hAnsi="Arial" w:eastAsia="黑体" w:cs="Times New Roman"/>
      <w:b/>
      <w:bCs/>
      <w:kern w:val="2"/>
      <w:sz w:val="28"/>
      <w:szCs w:val="32"/>
      <w:lang w:val="en-US" w:eastAsia="zh-CN" w:bidi="ar-SA"/>
    </w:rPr>
  </w:style>
  <w:style w:type="character" w:customStyle="1" w:styleId="200">
    <w:name w:val="文档结构图 Char1"/>
    <w:qFormat/>
    <w:uiPriority w:val="0"/>
    <w:rPr>
      <w:rFonts w:ascii="宋体" w:hAnsi="Times New Roman" w:eastAsia="宋体" w:cs="Times New Roman"/>
      <w:kern w:val="2"/>
      <w:sz w:val="18"/>
      <w:szCs w:val="18"/>
    </w:rPr>
  </w:style>
  <w:style w:type="character" w:customStyle="1" w:styleId="201">
    <w:name w:val="正文文本 3 Char"/>
    <w:link w:val="28"/>
    <w:qFormat/>
    <w:uiPriority w:val="0"/>
    <w:rPr>
      <w:rFonts w:ascii="宋体" w:hAnsi="宋体" w:eastAsia="宋体" w:cs="Times New Roman"/>
      <w:color w:val="0000FF"/>
      <w:kern w:val="2"/>
      <w:szCs w:val="24"/>
    </w:rPr>
  </w:style>
  <w:style w:type="character" w:customStyle="1" w:styleId="202">
    <w:name w:val="正文文本缩进 Char"/>
    <w:link w:val="31"/>
    <w:qFormat/>
    <w:uiPriority w:val="0"/>
    <w:rPr>
      <w:rFonts w:ascii="宋体" w:hAnsi="MS Sans Serif" w:eastAsia="宋体" w:cs="Times New Roman"/>
      <w:spacing w:val="12"/>
      <w:sz w:val="24"/>
      <w:lang w:val="en-US" w:eastAsia="zh-CN" w:bidi="ar-SA"/>
    </w:rPr>
  </w:style>
  <w:style w:type="character" w:customStyle="1" w:styleId="203">
    <w:name w:val="正文文本 Char Char"/>
    <w:qFormat/>
    <w:uiPriority w:val="0"/>
    <w:rPr>
      <w:rFonts w:ascii="Times New Roman" w:hAnsi="Times New Roman" w:eastAsia="宋体" w:cs="Times New Roman"/>
      <w:kern w:val="2"/>
      <w:sz w:val="21"/>
      <w:szCs w:val="24"/>
      <w:lang w:val="en-US" w:eastAsia="zh-CN" w:bidi="ar-SA"/>
    </w:rPr>
  </w:style>
  <w:style w:type="character" w:customStyle="1" w:styleId="204">
    <w:name w:val="标题 5 Char"/>
    <w:link w:val="8"/>
    <w:qFormat/>
    <w:uiPriority w:val="0"/>
    <w:rPr>
      <w:rFonts w:ascii="Times New Roman" w:hAnsi="Times New Roman" w:eastAsia="宋体" w:cs="Times New Roman"/>
      <w:sz w:val="24"/>
    </w:rPr>
  </w:style>
  <w:style w:type="character" w:customStyle="1" w:styleId="205">
    <w:name w:val="副标题 Char"/>
    <w:link w:val="53"/>
    <w:qFormat/>
    <w:uiPriority w:val="0"/>
    <w:rPr>
      <w:rFonts w:ascii="Arial" w:hAnsi="Arial" w:eastAsia="宋体" w:cs="Arial"/>
      <w:b/>
      <w:bCs/>
      <w:kern w:val="28"/>
      <w:sz w:val="32"/>
      <w:szCs w:val="32"/>
    </w:rPr>
  </w:style>
  <w:style w:type="character" w:customStyle="1" w:styleId="206">
    <w:name w:val="脚注文本 Char"/>
    <w:link w:val="55"/>
    <w:qFormat/>
    <w:uiPriority w:val="0"/>
    <w:rPr>
      <w:rFonts w:ascii="Times New Roman" w:hAnsi="Times New Roman" w:eastAsia="宋体" w:cs="Times New Roman"/>
      <w:sz w:val="18"/>
    </w:rPr>
  </w:style>
  <w:style w:type="character" w:customStyle="1" w:styleId="207">
    <w:name w:val="图表名 Char Char"/>
    <w:link w:val="208"/>
    <w:qFormat/>
    <w:uiPriority w:val="0"/>
    <w:rPr>
      <w:rFonts w:ascii="宋体" w:hAnsi="宋体" w:eastAsia="宋体" w:cs="Times New Roman"/>
      <w:sz w:val="28"/>
      <w:szCs w:val="28"/>
    </w:rPr>
  </w:style>
  <w:style w:type="paragraph" w:customStyle="1" w:styleId="208">
    <w:name w:val="图表名"/>
    <w:basedOn w:val="1"/>
    <w:next w:val="1"/>
    <w:link w:val="207"/>
    <w:qFormat/>
    <w:uiPriority w:val="0"/>
    <w:pPr>
      <w:tabs>
        <w:tab w:val="left" w:pos="770"/>
        <w:tab w:val="left" w:pos="4660"/>
      </w:tabs>
      <w:adjustRightInd w:val="0"/>
      <w:snapToGrid w:val="0"/>
      <w:spacing w:line="360" w:lineRule="auto"/>
      <w:jc w:val="center"/>
    </w:pPr>
    <w:rPr>
      <w:rFonts w:ascii="宋体" w:hAnsi="宋体"/>
      <w:kern w:val="0"/>
      <w:sz w:val="28"/>
      <w:szCs w:val="28"/>
    </w:rPr>
  </w:style>
  <w:style w:type="character" w:customStyle="1" w:styleId="209">
    <w:name w:val="fo Char"/>
    <w:qFormat/>
    <w:uiPriority w:val="0"/>
    <w:rPr>
      <w:rFonts w:ascii="Times New Roman" w:hAnsi="Times New Roman" w:eastAsia="宋体" w:cs="Times New Roman"/>
      <w:kern w:val="2"/>
      <w:sz w:val="18"/>
      <w:lang w:val="en-US" w:eastAsia="zh-CN" w:bidi="ar-SA"/>
    </w:rPr>
  </w:style>
  <w:style w:type="character" w:customStyle="1" w:styleId="210">
    <w:name w:val="Char Char141"/>
    <w:qFormat/>
    <w:uiPriority w:val="0"/>
    <w:rPr>
      <w:rFonts w:ascii="Arial" w:hAnsi="Arial" w:eastAsia="黑体" w:cs="Times New Roman"/>
      <w:b/>
      <w:bCs/>
      <w:kern w:val="2"/>
      <w:sz w:val="32"/>
      <w:szCs w:val="32"/>
      <w:lang w:val="en-US" w:eastAsia="zh-CN" w:bidi="ar-SA"/>
    </w:rPr>
  </w:style>
  <w:style w:type="character" w:customStyle="1" w:styleId="211">
    <w:name w:val="引用 Char1"/>
    <w:qFormat/>
    <w:uiPriority w:val="0"/>
    <w:rPr>
      <w:rFonts w:ascii="Times New Roman" w:hAnsi="Times New Roman" w:eastAsia="宋体" w:cs="Times New Roman"/>
      <w:i/>
      <w:iCs/>
      <w:color w:val="000000"/>
      <w:kern w:val="2"/>
      <w:sz w:val="21"/>
    </w:rPr>
  </w:style>
  <w:style w:type="character" w:customStyle="1" w:styleId="212">
    <w:name w:val="Char Char111"/>
    <w:qFormat/>
    <w:uiPriority w:val="0"/>
    <w:rPr>
      <w:rFonts w:ascii="楷体_GB2312" w:hAnsi="Times New Roman" w:eastAsia="楷体_GB2312" w:cs="Times New Roman"/>
      <w:b/>
      <w:kern w:val="2"/>
      <w:sz w:val="24"/>
      <w:lang w:val="en-US" w:eastAsia="zh-CN" w:bidi="ar-SA"/>
    </w:rPr>
  </w:style>
  <w:style w:type="character" w:customStyle="1" w:styleId="213">
    <w:name w:val="批注主题 Char"/>
    <w:qFormat/>
    <w:uiPriority w:val="0"/>
    <w:rPr>
      <w:rFonts w:ascii="Times New Roman" w:hAnsi="Times New Roman" w:eastAsia="宋体" w:cs="Times New Roman"/>
      <w:kern w:val="2"/>
      <w:sz w:val="21"/>
      <w:szCs w:val="24"/>
      <w:lang w:val="en-US" w:eastAsia="zh-CN" w:bidi="ar-SA"/>
    </w:rPr>
  </w:style>
  <w:style w:type="character" w:customStyle="1" w:styleId="214">
    <w:name w:val="正文文本缩进 Char1"/>
    <w:qFormat/>
    <w:uiPriority w:val="0"/>
    <w:rPr>
      <w:rFonts w:ascii="Times New Roman" w:hAnsi="Times New Roman" w:eastAsia="宋体" w:cs="Times New Roman"/>
      <w:b/>
      <w:bCs/>
      <w:kern w:val="2"/>
      <w:sz w:val="24"/>
      <w:szCs w:val="24"/>
    </w:rPr>
  </w:style>
  <w:style w:type="character" w:customStyle="1" w:styleId="215">
    <w:name w:val="Char Char121"/>
    <w:qFormat/>
    <w:uiPriority w:val="0"/>
    <w:rPr>
      <w:rFonts w:ascii="宋体" w:hAnsi="Times New Roman" w:eastAsia="宋体" w:cs="Times New Roman"/>
      <w:kern w:val="2"/>
      <w:sz w:val="28"/>
      <w:szCs w:val="24"/>
      <w:lang w:val="en-US" w:eastAsia="zh-CN" w:bidi="ar-SA"/>
    </w:rPr>
  </w:style>
  <w:style w:type="character" w:customStyle="1" w:styleId="216">
    <w:name w:val="普通文字 Char Char1"/>
    <w:qFormat/>
    <w:uiPriority w:val="0"/>
    <w:rPr>
      <w:rFonts w:ascii="宋体" w:hAnsi="Courier New" w:eastAsia="宋体" w:cs="Times New Roman"/>
      <w:kern w:val="2"/>
      <w:sz w:val="21"/>
      <w:lang w:val="en-US" w:eastAsia="zh-CN" w:bidi="ar-SA"/>
    </w:rPr>
  </w:style>
  <w:style w:type="character" w:customStyle="1" w:styleId="217">
    <w:name w:val="编号  ww Char"/>
    <w:qFormat/>
    <w:uiPriority w:val="0"/>
    <w:rPr>
      <w:rFonts w:ascii="Arial" w:hAnsi="Arial" w:eastAsia="黑体" w:cs="Times New Roman"/>
      <w:b/>
      <w:bCs/>
      <w:sz w:val="28"/>
      <w:szCs w:val="28"/>
    </w:rPr>
  </w:style>
  <w:style w:type="character" w:customStyle="1" w:styleId="218">
    <w:name w:val="Char Char10"/>
    <w:qFormat/>
    <w:uiPriority w:val="0"/>
    <w:rPr>
      <w:rFonts w:ascii="Times New Roman" w:hAnsi="Times New Roman" w:eastAsia="宋体" w:cs="Times New Roman"/>
      <w:b/>
      <w:i/>
      <w:kern w:val="2"/>
      <w:sz w:val="28"/>
      <w:lang w:val="en-US" w:eastAsia="zh-CN" w:bidi="ar-SA"/>
    </w:rPr>
  </w:style>
  <w:style w:type="character" w:customStyle="1" w:styleId="219">
    <w:name w:val="Char Char12"/>
    <w:qFormat/>
    <w:uiPriority w:val="0"/>
    <w:rPr>
      <w:rFonts w:ascii="宋体" w:hAnsi="Times New Roman" w:eastAsia="宋体" w:cs="Times New Roman"/>
      <w:kern w:val="2"/>
      <w:sz w:val="28"/>
      <w:szCs w:val="24"/>
      <w:lang w:val="en-US" w:eastAsia="zh-CN" w:bidi="ar-SA"/>
    </w:rPr>
  </w:style>
  <w:style w:type="character" w:customStyle="1" w:styleId="220">
    <w:name w:val="批注主题 Char Char"/>
    <w:qFormat/>
    <w:uiPriority w:val="0"/>
    <w:rPr>
      <w:rFonts w:ascii="Times New Roman" w:hAnsi="Times New Roman" w:eastAsia="宋体" w:cs="Times New Roman"/>
      <w:b/>
      <w:bCs/>
      <w:kern w:val="2"/>
      <w:sz w:val="21"/>
      <w:szCs w:val="24"/>
    </w:rPr>
  </w:style>
  <w:style w:type="character" w:customStyle="1" w:styleId="221">
    <w:name w:val="批注框文本 Char1"/>
    <w:qFormat/>
    <w:uiPriority w:val="0"/>
    <w:rPr>
      <w:rFonts w:ascii="Times New Roman" w:hAnsi="Times New Roman" w:eastAsia="宋体" w:cs="Times New Roman"/>
      <w:kern w:val="2"/>
      <w:sz w:val="18"/>
      <w:szCs w:val="18"/>
    </w:rPr>
  </w:style>
  <w:style w:type="character" w:customStyle="1" w:styleId="222">
    <w:name w:val="Char Char11"/>
    <w:qFormat/>
    <w:uiPriority w:val="0"/>
    <w:rPr>
      <w:rFonts w:ascii="楷体_GB2312" w:hAnsi="Times New Roman" w:eastAsia="楷体_GB2312" w:cs="Times New Roman"/>
      <w:b/>
      <w:kern w:val="2"/>
      <w:sz w:val="24"/>
      <w:lang w:val="en-US" w:eastAsia="zh-CN" w:bidi="ar-SA"/>
    </w:rPr>
  </w:style>
  <w:style w:type="character" w:customStyle="1" w:styleId="223">
    <w:name w:val="HTML 预设格式 Char"/>
    <w:link w:val="66"/>
    <w:qFormat/>
    <w:uiPriority w:val="0"/>
    <w:rPr>
      <w:rFonts w:ascii="Arial" w:hAnsi="Arial" w:eastAsia="宋体" w:cs="Arial"/>
      <w:sz w:val="24"/>
      <w:szCs w:val="24"/>
    </w:rPr>
  </w:style>
  <w:style w:type="character" w:customStyle="1" w:styleId="224">
    <w:name w:val="标题 3 Char Char"/>
    <w:qFormat/>
    <w:uiPriority w:val="0"/>
    <w:rPr>
      <w:rFonts w:ascii="仿宋_GB2312" w:hAnsi="Times New Roman" w:eastAsia="仿宋_GB2312" w:cs="Times New Roman"/>
      <w:b/>
      <w:sz w:val="28"/>
      <w:szCs w:val="28"/>
      <w:lang w:val="en-US" w:eastAsia="zh-CN" w:bidi="ar-SA"/>
    </w:rPr>
  </w:style>
  <w:style w:type="paragraph" w:customStyle="1" w:styleId="225">
    <w:name w:val="xl67"/>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hint="eastAsia" w:ascii="楷体_GB2312" w:hAnsi="Arial Unicode MS" w:eastAsia="楷体_GB2312" w:cs="Arial Unicode MS"/>
      <w:kern w:val="0"/>
      <w:sz w:val="22"/>
      <w:szCs w:val="22"/>
    </w:rPr>
  </w:style>
  <w:style w:type="paragraph" w:customStyle="1" w:styleId="226">
    <w:name w:val="正文2"/>
    <w:basedOn w:val="1"/>
    <w:qFormat/>
    <w:uiPriority w:val="0"/>
    <w:pPr>
      <w:spacing w:line="360" w:lineRule="auto"/>
      <w:ind w:right="200" w:rightChars="200"/>
      <w:jc w:val="right"/>
    </w:pPr>
    <w:rPr>
      <w:rFonts w:ascii="宋体"/>
      <w:szCs w:val="21"/>
    </w:rPr>
  </w:style>
  <w:style w:type="paragraph" w:customStyle="1" w:styleId="227">
    <w:name w:val="正文3"/>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28">
    <w:name w:val="Char6 Char Char Char"/>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229">
    <w:name w:val="xl47"/>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eastAsia="Arial Unicode MS"/>
      <w:kern w:val="0"/>
      <w:sz w:val="22"/>
      <w:szCs w:val="22"/>
    </w:rPr>
  </w:style>
  <w:style w:type="paragraph" w:customStyle="1" w:styleId="230">
    <w:name w:val="样式 标题 3 + (中文) 黑体 小四 非加粗 段前: 7.8 磅 段后: 0 磅 行距: 固定值 20 磅"/>
    <w:basedOn w:val="6"/>
    <w:qFormat/>
    <w:uiPriority w:val="0"/>
    <w:pPr>
      <w:keepLines/>
      <w:spacing w:beforeLines="0" w:line="400" w:lineRule="exact"/>
    </w:pPr>
    <w:rPr>
      <w:rFonts w:ascii="Times New Roman" w:hAnsi="Times New Roman" w:eastAsia="黑体"/>
      <w:b/>
      <w:sz w:val="24"/>
      <w:szCs w:val="20"/>
    </w:rPr>
  </w:style>
  <w:style w:type="paragraph" w:customStyle="1" w:styleId="231">
    <w:name w:val="Report Level 1"/>
    <w:basedOn w:val="1"/>
    <w:next w:val="232"/>
    <w:qFormat/>
    <w:uiPriority w:val="0"/>
    <w:pPr>
      <w:keepNext/>
      <w:widowControl/>
      <w:tabs>
        <w:tab w:val="left" w:pos="417"/>
      </w:tabs>
      <w:autoSpaceDE w:val="0"/>
      <w:autoSpaceDN w:val="0"/>
      <w:adjustRightInd w:val="0"/>
      <w:spacing w:before="240" w:after="120"/>
      <w:ind w:left="417" w:hanging="420"/>
      <w:jc w:val="left"/>
      <w:outlineLvl w:val="0"/>
    </w:pPr>
    <w:rPr>
      <w:rFonts w:ascii="Arial" w:hAnsi="Arial" w:eastAsia="PMingLiU"/>
      <w:b/>
      <w:caps/>
      <w:kern w:val="0"/>
      <w:szCs w:val="20"/>
      <w:lang w:val="en-GB" w:eastAsia="en-US"/>
    </w:rPr>
  </w:style>
  <w:style w:type="paragraph" w:customStyle="1" w:styleId="232">
    <w:name w:val="Report Text"/>
    <w:qFormat/>
    <w:uiPriority w:val="0"/>
    <w:pPr>
      <w:suppressAutoHyphens/>
      <w:spacing w:after="180" w:line="260" w:lineRule="atLeast"/>
      <w:ind w:left="1253"/>
      <w:jc w:val="both"/>
    </w:pPr>
    <w:rPr>
      <w:rFonts w:ascii="Arial" w:hAnsi="Arial" w:eastAsia="宋体" w:cs="Times New Roman"/>
      <w:sz w:val="22"/>
      <w:lang w:val="en-GB" w:eastAsia="ar-SA" w:bidi="ar-SA"/>
    </w:rPr>
  </w:style>
  <w:style w:type="paragraph" w:customStyle="1" w:styleId="233">
    <w:name w:val="封面字体3"/>
    <w:basedOn w:val="1"/>
    <w:qFormat/>
    <w:uiPriority w:val="0"/>
    <w:pPr>
      <w:spacing w:line="240" w:lineRule="atLeast"/>
      <w:jc w:val="left"/>
    </w:pPr>
    <w:rPr>
      <w:rFonts w:ascii="华文细黑" w:hAnsi="华文细黑" w:eastAsia="黑体" w:cs="Arial"/>
      <w:bCs/>
      <w:spacing w:val="100"/>
      <w:kern w:val="0"/>
      <w:sz w:val="44"/>
      <w:szCs w:val="21"/>
    </w:rPr>
  </w:style>
  <w:style w:type="paragraph" w:customStyle="1" w:styleId="234">
    <w:name w:val="xl54"/>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eastAsia="Arial Unicode MS"/>
      <w:kern w:val="0"/>
      <w:sz w:val="22"/>
      <w:szCs w:val="22"/>
    </w:rPr>
  </w:style>
  <w:style w:type="paragraph" w:customStyle="1" w:styleId="235">
    <w:name w:val="xl36"/>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236">
    <w:name w:val="正文文本缩进 31"/>
    <w:basedOn w:val="1"/>
    <w:qFormat/>
    <w:uiPriority w:val="0"/>
    <w:pPr>
      <w:adjustRightInd w:val="0"/>
      <w:ind w:firstLine="562"/>
      <w:textAlignment w:val="baseline"/>
    </w:pPr>
    <w:rPr>
      <w:rFonts w:ascii="宋体" w:hAnsi="宋体"/>
      <w:b/>
      <w:sz w:val="28"/>
      <w:szCs w:val="20"/>
    </w:rPr>
  </w:style>
  <w:style w:type="paragraph" w:customStyle="1" w:styleId="237">
    <w:name w:val="7"/>
    <w:basedOn w:val="1"/>
    <w:qFormat/>
    <w:uiPriority w:val="0"/>
    <w:pPr>
      <w:widowControl/>
      <w:tabs>
        <w:tab w:val="left" w:pos="425"/>
      </w:tabs>
      <w:spacing w:beforeLines="100" w:after="160" w:line="240" w:lineRule="exact"/>
      <w:ind w:left="425" w:hanging="425"/>
      <w:jc w:val="left"/>
    </w:pPr>
    <w:rPr>
      <w:rFonts w:ascii="Verdana" w:hAnsi="Verdana" w:eastAsia="黑体"/>
      <w:kern w:val="0"/>
      <w:sz w:val="20"/>
      <w:szCs w:val="20"/>
      <w:lang w:eastAsia="en-US"/>
    </w:rPr>
  </w:style>
  <w:style w:type="paragraph" w:customStyle="1" w:styleId="238">
    <w:name w:val="plane"/>
    <w:basedOn w:val="1"/>
    <w:qFormat/>
    <w:uiPriority w:val="0"/>
    <w:pPr>
      <w:widowControl/>
      <w:suppressAutoHyphens/>
    </w:pPr>
    <w:rPr>
      <w:rFonts w:ascii="Tms Rmn" w:hAnsi="Tms Rmn"/>
      <w:kern w:val="0"/>
      <w:sz w:val="24"/>
      <w:szCs w:val="20"/>
    </w:rPr>
  </w:style>
  <w:style w:type="paragraph" w:customStyle="1" w:styleId="239">
    <w:name w:val="香奈儿 2"/>
    <w:basedOn w:val="1"/>
    <w:qFormat/>
    <w:uiPriority w:val="0"/>
    <w:pPr>
      <w:tabs>
        <w:tab w:val="right" w:pos="840"/>
      </w:tabs>
      <w:ind w:left="840" w:hanging="840"/>
    </w:pPr>
    <w:rPr>
      <w:szCs w:val="20"/>
    </w:rPr>
  </w:style>
  <w:style w:type="paragraph" w:customStyle="1" w:styleId="240">
    <w:name w:val="CM47"/>
    <w:basedOn w:val="1"/>
    <w:next w:val="123"/>
    <w:qFormat/>
    <w:uiPriority w:val="0"/>
    <w:pPr>
      <w:autoSpaceDE w:val="0"/>
      <w:autoSpaceDN w:val="0"/>
      <w:adjustRightInd w:val="0"/>
      <w:spacing w:line="440" w:lineRule="atLeast"/>
      <w:jc w:val="left"/>
    </w:pPr>
    <w:rPr>
      <w:rFonts w:ascii="宋体"/>
      <w:kern w:val="0"/>
      <w:sz w:val="24"/>
    </w:rPr>
  </w:style>
  <w:style w:type="paragraph" w:customStyle="1" w:styleId="241">
    <w:name w:val="CM76"/>
    <w:basedOn w:val="1"/>
    <w:next w:val="123"/>
    <w:qFormat/>
    <w:uiPriority w:val="0"/>
    <w:pPr>
      <w:autoSpaceDE w:val="0"/>
      <w:autoSpaceDN w:val="0"/>
      <w:adjustRightInd w:val="0"/>
      <w:spacing w:line="400" w:lineRule="atLeast"/>
      <w:jc w:val="left"/>
    </w:pPr>
    <w:rPr>
      <w:rFonts w:ascii="宋体"/>
      <w:kern w:val="0"/>
      <w:sz w:val="24"/>
    </w:rPr>
  </w:style>
  <w:style w:type="paragraph" w:customStyle="1" w:styleId="242">
    <w:name w:val="小节标题"/>
    <w:basedOn w:val="1"/>
    <w:next w:val="1"/>
    <w:qFormat/>
    <w:uiPriority w:val="0"/>
    <w:pPr>
      <w:widowControl/>
      <w:spacing w:before="175" w:after="102" w:line="351" w:lineRule="atLeast"/>
      <w:textAlignment w:val="baseline"/>
    </w:pPr>
    <w:rPr>
      <w:rFonts w:eastAsia="黑体"/>
      <w:color w:val="000000"/>
      <w:kern w:val="0"/>
      <w:szCs w:val="20"/>
    </w:rPr>
  </w:style>
  <w:style w:type="paragraph" w:customStyle="1" w:styleId="243">
    <w:name w:val="Legal 3"/>
    <w:basedOn w:val="1"/>
    <w:qFormat/>
    <w:uiPriority w:val="0"/>
    <w:pPr>
      <w:tabs>
        <w:tab w:val="left" w:pos="1620"/>
      </w:tabs>
      <w:spacing w:after="120"/>
      <w:outlineLvl w:val="2"/>
    </w:pPr>
    <w:rPr>
      <w:snapToGrid w:val="0"/>
      <w:kern w:val="0"/>
      <w:sz w:val="22"/>
      <w:szCs w:val="20"/>
      <w:lang w:eastAsia="en-US"/>
    </w:rPr>
  </w:style>
  <w:style w:type="paragraph" w:customStyle="1" w:styleId="24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245">
    <w:name w:val="样式 第四行 + 左侧:  -4 字符 段前: 2 行"/>
    <w:basedOn w:val="246"/>
    <w:qFormat/>
    <w:uiPriority w:val="0"/>
    <w:pPr>
      <w:ind w:left="-300" w:leftChars="-300"/>
    </w:pPr>
    <w:rPr>
      <w:rFonts w:ascii="Times New Roman"/>
      <w:szCs w:val="20"/>
    </w:rPr>
  </w:style>
  <w:style w:type="paragraph" w:customStyle="1" w:styleId="246">
    <w:name w:val="第四行"/>
    <w:basedOn w:val="1"/>
    <w:qFormat/>
    <w:uiPriority w:val="0"/>
    <w:pPr>
      <w:spacing w:beforeLines="200" w:line="360" w:lineRule="auto"/>
      <w:ind w:left="-400" w:leftChars="-400"/>
      <w:jc w:val="center"/>
    </w:pPr>
    <w:rPr>
      <w:rFonts w:ascii="宋体"/>
      <w:b/>
      <w:bCs/>
      <w:sz w:val="28"/>
      <w:szCs w:val="28"/>
    </w:rPr>
  </w:style>
  <w:style w:type="paragraph" w:customStyle="1" w:styleId="247">
    <w:name w:val="CM27"/>
    <w:basedOn w:val="1"/>
    <w:next w:val="1"/>
    <w:qFormat/>
    <w:uiPriority w:val="0"/>
    <w:pPr>
      <w:autoSpaceDE w:val="0"/>
      <w:autoSpaceDN w:val="0"/>
      <w:adjustRightInd w:val="0"/>
      <w:spacing w:after="128"/>
      <w:jc w:val="left"/>
    </w:pPr>
    <w:rPr>
      <w:rFonts w:ascii="宋体" w:cs="宋体"/>
      <w:kern w:val="0"/>
      <w:sz w:val="24"/>
    </w:rPr>
  </w:style>
  <w:style w:type="paragraph" w:customStyle="1" w:styleId="248">
    <w:name w:val="xl80"/>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eastAsia="Arial Unicode MS"/>
      <w:kern w:val="0"/>
      <w:sz w:val="24"/>
    </w:rPr>
  </w:style>
  <w:style w:type="paragraph" w:customStyle="1" w:styleId="249">
    <w:name w:val="第五行"/>
    <w:basedOn w:val="246"/>
    <w:qFormat/>
    <w:uiPriority w:val="0"/>
    <w:pPr>
      <w:ind w:left="-800" w:leftChars="-800"/>
    </w:pPr>
    <w:rPr>
      <w:rFonts w:ascii="Times New Roman"/>
    </w:rPr>
  </w:style>
  <w:style w:type="paragraph" w:customStyle="1" w:styleId="250">
    <w:name w:val="第一行"/>
    <w:basedOn w:val="1"/>
    <w:qFormat/>
    <w:uiPriority w:val="0"/>
    <w:pPr>
      <w:spacing w:beforeLines="100" w:line="360" w:lineRule="auto"/>
      <w:jc w:val="center"/>
    </w:pPr>
    <w:rPr>
      <w:rFonts w:ascii="宋体"/>
      <w:b/>
      <w:bCs/>
      <w:sz w:val="32"/>
      <w:szCs w:val="32"/>
    </w:rPr>
  </w:style>
  <w:style w:type="paragraph" w:customStyle="1" w:styleId="251">
    <w:name w:val="封面样式4"/>
    <w:basedOn w:val="1"/>
    <w:qFormat/>
    <w:uiPriority w:val="0"/>
    <w:pPr>
      <w:spacing w:line="440" w:lineRule="exact"/>
      <w:ind w:firstLine="630" w:firstLineChars="300"/>
      <w:jc w:val="left"/>
    </w:pPr>
    <w:rPr>
      <w:rFonts w:ascii="华文细黑" w:hAnsi="华文细黑" w:cs="Arial"/>
      <w:kern w:val="0"/>
      <w:szCs w:val="21"/>
    </w:rPr>
  </w:style>
  <w:style w:type="paragraph" w:customStyle="1" w:styleId="252">
    <w:name w:val="xl2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0"/>
      <w:szCs w:val="20"/>
    </w:rPr>
  </w:style>
  <w:style w:type="paragraph" w:customStyle="1" w:styleId="253">
    <w:name w:val="xl70"/>
    <w:basedOn w:val="1"/>
    <w:qFormat/>
    <w:uiPriority w:val="0"/>
    <w:pPr>
      <w:widowControl/>
      <w:pBdr>
        <w:left w:val="single" w:color="auto" w:sz="8" w:space="0"/>
        <w:bottom w:val="single" w:color="auto" w:sz="8" w:space="0"/>
        <w:right w:val="single" w:color="auto" w:sz="4" w:space="0"/>
      </w:pBdr>
      <w:tabs>
        <w:tab w:val="left" w:pos="2835"/>
      </w:tabs>
      <w:spacing w:before="100" w:beforeAutospacing="1" w:after="100" w:afterAutospacing="1"/>
      <w:ind w:left="2835" w:hanging="720" w:firstLineChars="300"/>
      <w:jc w:val="center"/>
      <w:textAlignment w:val="center"/>
    </w:pPr>
    <w:rPr>
      <w:rFonts w:ascii="Arial Unicode MS" w:hAnsi="Arial Unicode MS" w:eastAsia="Arial Unicode MS" w:cs="Arial"/>
      <w:kern w:val="0"/>
      <w:sz w:val="20"/>
      <w:szCs w:val="20"/>
    </w:rPr>
  </w:style>
  <w:style w:type="paragraph" w:customStyle="1" w:styleId="25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255">
    <w:name w:val="xl4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color w:val="FF00FF"/>
      <w:kern w:val="0"/>
      <w:sz w:val="22"/>
      <w:szCs w:val="22"/>
    </w:rPr>
  </w:style>
  <w:style w:type="paragraph" w:customStyle="1" w:styleId="256">
    <w:name w:val="CM105"/>
    <w:basedOn w:val="1"/>
    <w:next w:val="123"/>
    <w:qFormat/>
    <w:uiPriority w:val="0"/>
    <w:pPr>
      <w:autoSpaceDE w:val="0"/>
      <w:autoSpaceDN w:val="0"/>
      <w:adjustRightInd w:val="0"/>
      <w:spacing w:after="1040"/>
      <w:jc w:val="left"/>
    </w:pPr>
    <w:rPr>
      <w:rFonts w:ascii="宋体"/>
      <w:kern w:val="0"/>
      <w:sz w:val="24"/>
    </w:rPr>
  </w:style>
  <w:style w:type="paragraph" w:customStyle="1" w:styleId="257">
    <w:name w:val="Char111"/>
    <w:basedOn w:val="1"/>
    <w:qFormat/>
    <w:uiPriority w:val="0"/>
  </w:style>
  <w:style w:type="paragraph" w:customStyle="1" w:styleId="258">
    <w:name w:val="CM4"/>
    <w:basedOn w:val="123"/>
    <w:next w:val="123"/>
    <w:qFormat/>
    <w:uiPriority w:val="0"/>
    <w:rPr>
      <w:rFonts w:ascii="Times New Roman" w:cs="Times New Roman"/>
      <w:color w:val="auto"/>
    </w:rPr>
  </w:style>
  <w:style w:type="paragraph" w:customStyle="1" w:styleId="259">
    <w:name w:val="第二行"/>
    <w:basedOn w:val="1"/>
    <w:qFormat/>
    <w:uiPriority w:val="0"/>
    <w:pPr>
      <w:spacing w:beforeLines="100" w:line="360" w:lineRule="auto"/>
      <w:jc w:val="center"/>
    </w:pPr>
    <w:rPr>
      <w:rFonts w:ascii="宋体"/>
      <w:b/>
      <w:bCs/>
      <w:sz w:val="36"/>
      <w:szCs w:val="36"/>
    </w:rPr>
  </w:style>
  <w:style w:type="paragraph" w:customStyle="1" w:styleId="260">
    <w:name w:val="List Paragraph1"/>
    <w:basedOn w:val="1"/>
    <w:qFormat/>
    <w:uiPriority w:val="0"/>
    <w:pPr>
      <w:ind w:firstLine="420" w:firstLineChars="200"/>
    </w:pPr>
    <w:rPr>
      <w:rFonts w:ascii="Calibri" w:hAnsi="Calibri" w:cs="Calibri"/>
      <w:szCs w:val="21"/>
    </w:rPr>
  </w:style>
  <w:style w:type="paragraph" w:customStyle="1" w:styleId="261">
    <w:name w:val="字元 字元12"/>
    <w:basedOn w:val="1"/>
    <w:qFormat/>
    <w:uiPriority w:val="0"/>
  </w:style>
  <w:style w:type="paragraph" w:customStyle="1" w:styleId="262">
    <w:name w:val="样式 标题 2"/>
    <w:basedOn w:val="1"/>
    <w:next w:val="6"/>
    <w:qFormat/>
    <w:uiPriority w:val="0"/>
    <w:pPr>
      <w:snapToGrid w:val="0"/>
      <w:spacing w:line="360" w:lineRule="auto"/>
      <w:ind w:firstLine="200" w:firstLineChars="200"/>
    </w:pPr>
    <w:rPr>
      <w:rFonts w:eastAsia="仿宋_GB2312"/>
      <w:sz w:val="32"/>
      <w:szCs w:val="32"/>
    </w:rPr>
  </w:style>
  <w:style w:type="paragraph" w:customStyle="1" w:styleId="263">
    <w:name w:val="CM49"/>
    <w:basedOn w:val="1"/>
    <w:next w:val="123"/>
    <w:qFormat/>
    <w:uiPriority w:val="0"/>
    <w:pPr>
      <w:autoSpaceDE w:val="0"/>
      <w:autoSpaceDN w:val="0"/>
      <w:adjustRightInd w:val="0"/>
      <w:spacing w:line="440" w:lineRule="atLeast"/>
      <w:jc w:val="left"/>
    </w:pPr>
    <w:rPr>
      <w:rFonts w:ascii="宋体"/>
      <w:kern w:val="0"/>
      <w:sz w:val="24"/>
    </w:rPr>
  </w:style>
  <w:style w:type="paragraph" w:customStyle="1" w:styleId="264">
    <w:name w:val="xl96"/>
    <w:basedOn w:val="1"/>
    <w:qFormat/>
    <w:uiPriority w:val="0"/>
    <w:pPr>
      <w:widowControl/>
      <w:pBdr>
        <w:top w:val="single" w:color="auto" w:sz="4" w:space="0"/>
        <w:left w:val="single" w:color="auto" w:sz="4" w:space="0"/>
        <w:right w:val="single" w:color="auto" w:sz="8"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65">
    <w:name w:val="样式"/>
    <w:basedOn w:val="1"/>
    <w:next w:val="1"/>
    <w:qFormat/>
    <w:uiPriority w:val="0"/>
    <w:pPr>
      <w:tabs>
        <w:tab w:val="left" w:pos="720"/>
      </w:tabs>
      <w:spacing w:line="360" w:lineRule="auto"/>
      <w:ind w:left="720" w:hanging="720"/>
      <w:outlineLvl w:val="2"/>
    </w:pPr>
    <w:rPr>
      <w:rFonts w:ascii="Arial" w:hAnsi="Arial" w:cs="Arial"/>
      <w:sz w:val="28"/>
      <w:szCs w:val="28"/>
    </w:rPr>
  </w:style>
  <w:style w:type="paragraph" w:customStyle="1" w:styleId="266">
    <w:name w:val="CM25"/>
    <w:basedOn w:val="1"/>
    <w:next w:val="123"/>
    <w:qFormat/>
    <w:uiPriority w:val="0"/>
    <w:pPr>
      <w:autoSpaceDE w:val="0"/>
      <w:autoSpaceDN w:val="0"/>
      <w:adjustRightInd w:val="0"/>
      <w:spacing w:line="440" w:lineRule="atLeast"/>
      <w:jc w:val="left"/>
    </w:pPr>
    <w:rPr>
      <w:rFonts w:ascii="宋体"/>
      <w:kern w:val="0"/>
      <w:sz w:val="24"/>
    </w:rPr>
  </w:style>
  <w:style w:type="paragraph" w:customStyle="1" w:styleId="267">
    <w:name w:val="CM62"/>
    <w:basedOn w:val="1"/>
    <w:next w:val="123"/>
    <w:qFormat/>
    <w:uiPriority w:val="0"/>
    <w:pPr>
      <w:autoSpaceDE w:val="0"/>
      <w:autoSpaceDN w:val="0"/>
      <w:adjustRightInd w:val="0"/>
      <w:spacing w:line="400" w:lineRule="atLeast"/>
      <w:jc w:val="left"/>
    </w:pPr>
    <w:rPr>
      <w:rFonts w:ascii="宋体"/>
      <w:kern w:val="0"/>
      <w:sz w:val="24"/>
    </w:rPr>
  </w:style>
  <w:style w:type="paragraph" w:customStyle="1" w:styleId="268">
    <w:name w:val="Char Char Char Char1 Char Char Char1"/>
    <w:basedOn w:val="1"/>
    <w:qFormat/>
    <w:uiPriority w:val="0"/>
    <w:pPr>
      <w:spacing w:line="240" w:lineRule="atLeast"/>
      <w:ind w:left="420" w:firstLine="420"/>
    </w:pPr>
    <w:rPr>
      <w:kern w:val="0"/>
      <w:szCs w:val="21"/>
    </w:rPr>
  </w:style>
  <w:style w:type="paragraph" w:customStyle="1" w:styleId="269">
    <w:name w:val="菲页2"/>
    <w:basedOn w:val="6"/>
    <w:qFormat/>
    <w:uiPriority w:val="0"/>
    <w:pPr>
      <w:keepLines/>
      <w:widowControl/>
      <w:tabs>
        <w:tab w:val="left" w:pos="1260"/>
        <w:tab w:val="clear" w:pos="360"/>
      </w:tabs>
      <w:spacing w:beforeLines="0" w:after="120"/>
      <w:ind w:left="1260" w:hanging="420"/>
    </w:pPr>
    <w:rPr>
      <w:rFonts w:ascii="黑体" w:hAnsi="Times New Roman" w:eastAsia="黑体"/>
      <w:kern w:val="0"/>
      <w:sz w:val="44"/>
      <w:szCs w:val="20"/>
    </w:rPr>
  </w:style>
  <w:style w:type="paragraph" w:customStyle="1" w:styleId="270">
    <w:name w:val="Char Char Char Char Char Char Char Char Char Char Char Char Char Char Char 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71">
    <w:name w:val="Char Char Char Char Char Char Char Char Char1 Char Char Char Char"/>
    <w:basedOn w:val="1"/>
    <w:qFormat/>
    <w:uiPriority w:val="0"/>
    <w:rPr>
      <w:rFonts w:ascii="Tahoma" w:hAnsi="Tahoma"/>
      <w:sz w:val="24"/>
      <w:szCs w:val="20"/>
    </w:rPr>
  </w:style>
  <w:style w:type="paragraph" w:customStyle="1" w:styleId="272">
    <w:name w:val="xl8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273">
    <w:name w:val="_Style 6"/>
    <w:basedOn w:val="1"/>
    <w:qFormat/>
    <w:uiPriority w:val="0"/>
    <w:pPr>
      <w:ind w:firstLine="420" w:firstLineChars="200"/>
    </w:pPr>
    <w:rPr>
      <w:rFonts w:ascii="Calibri" w:hAnsi="Calibri"/>
      <w:szCs w:val="22"/>
    </w:rPr>
  </w:style>
  <w:style w:type="paragraph" w:customStyle="1" w:styleId="274">
    <w:name w:val="默认段落字体 Para Char Char Char Char"/>
    <w:basedOn w:val="1"/>
    <w:qFormat/>
    <w:uiPriority w:val="0"/>
  </w:style>
  <w:style w:type="paragraph" w:customStyle="1" w:styleId="275">
    <w:name w:val="表格文字"/>
    <w:basedOn w:val="1"/>
    <w:qFormat/>
    <w:uiPriority w:val="0"/>
    <w:pPr>
      <w:adjustRightInd w:val="0"/>
      <w:spacing w:before="60" w:after="60" w:line="420" w:lineRule="atLeast"/>
      <w:jc w:val="left"/>
      <w:textAlignment w:val="baseline"/>
    </w:pPr>
    <w:rPr>
      <w:kern w:val="0"/>
      <w:szCs w:val="20"/>
    </w:rPr>
  </w:style>
  <w:style w:type="paragraph" w:customStyle="1" w:styleId="276">
    <w:name w:val="font7"/>
    <w:basedOn w:val="1"/>
    <w:qFormat/>
    <w:uiPriority w:val="0"/>
    <w:pPr>
      <w:widowControl/>
      <w:spacing w:before="100" w:beforeAutospacing="1" w:after="100" w:afterAutospacing="1"/>
      <w:jc w:val="left"/>
    </w:pPr>
    <w:rPr>
      <w:rFonts w:eastAsia="Arial Unicode MS"/>
      <w:kern w:val="0"/>
      <w:sz w:val="22"/>
      <w:szCs w:val="22"/>
    </w:rPr>
  </w:style>
  <w:style w:type="paragraph" w:customStyle="1" w:styleId="277">
    <w:name w:val="样式6"/>
    <w:basedOn w:val="278"/>
    <w:qFormat/>
    <w:uiPriority w:val="0"/>
  </w:style>
  <w:style w:type="paragraph" w:customStyle="1" w:styleId="278">
    <w:name w:val="表格内容"/>
    <w:basedOn w:val="1"/>
    <w:qFormat/>
    <w:uiPriority w:val="0"/>
    <w:pPr>
      <w:widowControl/>
      <w:spacing w:line="260" w:lineRule="exact"/>
      <w:jc w:val="center"/>
    </w:pPr>
    <w:rPr>
      <w:kern w:val="0"/>
      <w:sz w:val="20"/>
      <w:szCs w:val="20"/>
    </w:rPr>
  </w:style>
  <w:style w:type="paragraph" w:customStyle="1" w:styleId="279">
    <w:name w:val="样式 标题 2 + 左侧:  0 厘米 首行缩进:  0 厘米"/>
    <w:basedOn w:val="5"/>
    <w:qFormat/>
    <w:uiPriority w:val="0"/>
    <w:pPr>
      <w:keepLines/>
      <w:tabs>
        <w:tab w:val="left" w:pos="600"/>
        <w:tab w:val="clear" w:pos="840"/>
      </w:tabs>
      <w:adjustRightInd w:val="0"/>
      <w:snapToGrid w:val="0"/>
      <w:spacing w:beforeLines="0" w:after="160" w:line="240" w:lineRule="auto"/>
      <w:ind w:left="707" w:hanging="707"/>
      <w:jc w:val="left"/>
      <w:textAlignment w:val="baseline"/>
    </w:pPr>
    <w:rPr>
      <w:rFonts w:ascii="Times New Roman" w:hAnsi="宋体" w:eastAsia="黑体" w:cs="宋体"/>
      <w:bCs w:val="0"/>
      <w:spacing w:val="4"/>
      <w:kern w:val="0"/>
      <w:sz w:val="28"/>
      <w:szCs w:val="28"/>
    </w:rPr>
  </w:style>
  <w:style w:type="paragraph" w:customStyle="1" w:styleId="280">
    <w:name w:val="编号"/>
    <w:basedOn w:val="1"/>
    <w:next w:val="1"/>
    <w:qFormat/>
    <w:uiPriority w:val="0"/>
    <w:pPr>
      <w:tabs>
        <w:tab w:val="left" w:pos="480"/>
      </w:tabs>
      <w:spacing w:line="360" w:lineRule="auto"/>
      <w:ind w:left="200" w:hanging="200" w:hangingChars="200"/>
    </w:pPr>
    <w:rPr>
      <w:rFonts w:ascii="宋体"/>
      <w:sz w:val="24"/>
    </w:rPr>
  </w:style>
  <w:style w:type="paragraph" w:customStyle="1" w:styleId="281">
    <w:name w:val="第1行"/>
    <w:basedOn w:val="1"/>
    <w:qFormat/>
    <w:uiPriority w:val="0"/>
    <w:pPr>
      <w:tabs>
        <w:tab w:val="left" w:pos="720"/>
      </w:tabs>
      <w:snapToGrid w:val="0"/>
      <w:spacing w:line="460" w:lineRule="exact"/>
      <w:ind w:left="720" w:hanging="720"/>
    </w:pPr>
    <w:rPr>
      <w:rFonts w:ascii="宋体" w:hAnsi="宋体"/>
      <w:szCs w:val="28"/>
    </w:rPr>
  </w:style>
  <w:style w:type="paragraph" w:customStyle="1" w:styleId="282">
    <w:name w:val="样式 样式 样式 第五行 + 左侧:  -8 字符 段前: 2 行 + 左侧:  -6 字符 段前: 2 行 + 左侧:  -4..."/>
    <w:basedOn w:val="283"/>
    <w:qFormat/>
    <w:uiPriority w:val="0"/>
    <w:rPr>
      <w:szCs w:val="28"/>
    </w:rPr>
  </w:style>
  <w:style w:type="paragraph" w:customStyle="1" w:styleId="283">
    <w:name w:val="样式 样式 第五行 + 左侧:  -8 字符 段前: 2 行 + 左侧:  -6 字符 段前: 2 行"/>
    <w:basedOn w:val="284"/>
    <w:qFormat/>
    <w:uiPriority w:val="0"/>
    <w:pPr>
      <w:ind w:left="-400" w:leftChars="-400"/>
    </w:pPr>
  </w:style>
  <w:style w:type="paragraph" w:customStyle="1" w:styleId="284">
    <w:name w:val="样式 第五行 + 左侧:  -8 字符 段前: 2 行"/>
    <w:basedOn w:val="249"/>
    <w:qFormat/>
    <w:uiPriority w:val="0"/>
    <w:pPr>
      <w:ind w:left="-600" w:leftChars="-600"/>
    </w:pPr>
    <w:rPr>
      <w:szCs w:val="20"/>
    </w:rPr>
  </w:style>
  <w:style w:type="paragraph" w:customStyle="1" w:styleId="285">
    <w:name w:val="xl81"/>
    <w:basedOn w:val="1"/>
    <w:qFormat/>
    <w:uiPriority w:val="0"/>
    <w:pPr>
      <w:widowControl/>
      <w:pBdr>
        <w:top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286">
    <w:name w:val="CM96"/>
    <w:basedOn w:val="1"/>
    <w:next w:val="123"/>
    <w:qFormat/>
    <w:uiPriority w:val="0"/>
    <w:pPr>
      <w:autoSpaceDE w:val="0"/>
      <w:autoSpaceDN w:val="0"/>
      <w:adjustRightInd w:val="0"/>
      <w:spacing w:after="298"/>
      <w:jc w:val="left"/>
    </w:pPr>
    <w:rPr>
      <w:rFonts w:ascii="宋体"/>
      <w:kern w:val="0"/>
      <w:sz w:val="24"/>
    </w:rPr>
  </w:style>
  <w:style w:type="paragraph" w:customStyle="1" w:styleId="287">
    <w:name w:val="正文4"/>
    <w:basedOn w:val="1"/>
    <w:qFormat/>
    <w:uiPriority w:val="0"/>
    <w:pPr>
      <w:spacing w:line="360" w:lineRule="auto"/>
      <w:ind w:left="400" w:leftChars="400"/>
    </w:pPr>
    <w:rPr>
      <w:rFonts w:ascii="宋体"/>
      <w:sz w:val="24"/>
    </w:rPr>
  </w:style>
  <w:style w:type="paragraph" w:customStyle="1" w:styleId="288">
    <w:name w:val="菲页1"/>
    <w:basedOn w:val="5"/>
    <w:qFormat/>
    <w:uiPriority w:val="0"/>
    <w:pPr>
      <w:keepLines/>
      <w:widowControl/>
      <w:tabs>
        <w:tab w:val="clear" w:pos="840"/>
      </w:tabs>
      <w:spacing w:beforeLines="0" w:after="260" w:line="413" w:lineRule="auto"/>
      <w:ind w:left="0" w:firstLine="0"/>
      <w:jc w:val="center"/>
    </w:pPr>
    <w:rPr>
      <w:rFonts w:ascii="黑体" w:hAnsi="宋体" w:eastAsia="黑体"/>
      <w:b w:val="0"/>
      <w:bCs w:val="0"/>
      <w:kern w:val="0"/>
      <w:sz w:val="52"/>
      <w:szCs w:val="20"/>
    </w:rPr>
  </w:style>
  <w:style w:type="paragraph" w:customStyle="1" w:styleId="289">
    <w:name w:val="xl77"/>
    <w:basedOn w:val="1"/>
    <w:qFormat/>
    <w:uiPriority w:val="0"/>
    <w:pPr>
      <w:widowControl/>
      <w:pBdr>
        <w:left w:val="single" w:color="auto" w:sz="4" w:space="0"/>
        <w:bottom w:val="single" w:color="auto" w:sz="8" w:space="0"/>
        <w:right w:val="single" w:color="auto" w:sz="4" w:space="0"/>
      </w:pBdr>
      <w:spacing w:before="100" w:beforeAutospacing="1" w:after="100" w:afterAutospacing="1"/>
      <w:jc w:val="left"/>
    </w:pPr>
    <w:rPr>
      <w:rFonts w:eastAsia="Arial Unicode MS"/>
      <w:kern w:val="0"/>
      <w:sz w:val="24"/>
    </w:rPr>
  </w:style>
  <w:style w:type="paragraph" w:customStyle="1" w:styleId="290">
    <w:name w:val="P6"/>
    <w:qFormat/>
    <w:uiPriority w:val="0"/>
    <w:pPr>
      <w:widowControl w:val="0"/>
      <w:adjustRightInd w:val="0"/>
      <w:spacing w:after="240" w:line="0" w:lineRule="atLeast"/>
      <w:ind w:left="3456"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291">
    <w:name w:val="CM102"/>
    <w:basedOn w:val="1"/>
    <w:next w:val="123"/>
    <w:qFormat/>
    <w:uiPriority w:val="0"/>
    <w:pPr>
      <w:autoSpaceDE w:val="0"/>
      <w:autoSpaceDN w:val="0"/>
      <w:adjustRightInd w:val="0"/>
      <w:spacing w:after="878"/>
      <w:jc w:val="left"/>
    </w:pPr>
    <w:rPr>
      <w:rFonts w:ascii="宋体"/>
      <w:kern w:val="0"/>
      <w:sz w:val="24"/>
    </w:rPr>
  </w:style>
  <w:style w:type="paragraph" w:customStyle="1" w:styleId="292">
    <w:name w:val="列表延续"/>
    <w:basedOn w:val="1"/>
    <w:qFormat/>
    <w:uiPriority w:val="0"/>
    <w:pPr>
      <w:tabs>
        <w:tab w:val="left" w:pos="5775"/>
      </w:tabs>
      <w:adjustRightInd w:val="0"/>
      <w:spacing w:line="360" w:lineRule="auto"/>
      <w:ind w:left="5775" w:hanging="720"/>
      <w:textAlignment w:val="baseline"/>
    </w:pPr>
    <w:rPr>
      <w:rFonts w:hAnsi="Tms Rmn" w:eastAsia="楷体_GB2312"/>
      <w:kern w:val="28"/>
      <w:sz w:val="28"/>
      <w:szCs w:val="20"/>
    </w:rPr>
  </w:style>
  <w:style w:type="paragraph" w:customStyle="1" w:styleId="293">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993366"/>
      <w:kern w:val="0"/>
      <w:sz w:val="22"/>
      <w:szCs w:val="22"/>
    </w:rPr>
  </w:style>
  <w:style w:type="paragraph" w:customStyle="1" w:styleId="294">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楷体_GB2312" w:hAnsi="Arial Unicode MS" w:eastAsia="楷体_GB2312" w:cs="Arial Unicode MS"/>
      <w:kern w:val="0"/>
      <w:sz w:val="24"/>
    </w:rPr>
  </w:style>
  <w:style w:type="paragraph" w:customStyle="1" w:styleId="295">
    <w:name w:val="样式 样式 样式 第六行 + 左侧:  -2 字符 段前: 2 行 + 左侧:  -10 字符 段前: 2 行 + 左侧:  -..."/>
    <w:basedOn w:val="296"/>
    <w:qFormat/>
    <w:uiPriority w:val="0"/>
    <w:pPr>
      <w:ind w:left="-1200" w:leftChars="-1200"/>
    </w:pPr>
    <w:rPr>
      <w:szCs w:val="20"/>
    </w:rPr>
  </w:style>
  <w:style w:type="paragraph" w:customStyle="1" w:styleId="296">
    <w:name w:val="样式 样式 第六行 + 左侧:  -2 字符 段前: 2 行 + 左侧:  -10 字符 段前: 2 行"/>
    <w:basedOn w:val="297"/>
    <w:qFormat/>
    <w:uiPriority w:val="0"/>
    <w:pPr>
      <w:ind w:left="-1100" w:leftChars="-1100"/>
    </w:pPr>
    <w:rPr>
      <w:szCs w:val="28"/>
    </w:rPr>
  </w:style>
  <w:style w:type="paragraph" w:customStyle="1" w:styleId="297">
    <w:name w:val="样式 第六行 + 左侧:  -2 字符 段前: 2 行"/>
    <w:basedOn w:val="298"/>
    <w:qFormat/>
    <w:uiPriority w:val="0"/>
    <w:pPr>
      <w:ind w:left="-1000" w:leftChars="-1000"/>
    </w:pPr>
    <w:rPr>
      <w:szCs w:val="20"/>
    </w:rPr>
  </w:style>
  <w:style w:type="paragraph" w:customStyle="1" w:styleId="298">
    <w:name w:val="第六行"/>
    <w:basedOn w:val="282"/>
    <w:qFormat/>
    <w:uiPriority w:val="0"/>
    <w:pPr>
      <w:ind w:left="-200" w:leftChars="-200"/>
    </w:pPr>
  </w:style>
  <w:style w:type="paragraph" w:customStyle="1" w:styleId="299">
    <w:name w:val="_Style 39"/>
    <w:basedOn w:val="1"/>
    <w:qFormat/>
    <w:uiPriority w:val="0"/>
  </w:style>
  <w:style w:type="paragraph" w:customStyle="1" w:styleId="300">
    <w:name w:val="Char Char Char Char Char Char Char Char Char1 Char Char Char Char1"/>
    <w:basedOn w:val="1"/>
    <w:qFormat/>
    <w:uiPriority w:val="0"/>
    <w:rPr>
      <w:rFonts w:ascii="Tahoma" w:hAnsi="Tahoma"/>
      <w:sz w:val="24"/>
      <w:szCs w:val="20"/>
    </w:rPr>
  </w:style>
  <w:style w:type="paragraph" w:customStyle="1" w:styleId="301">
    <w:name w:val="xl38"/>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FF"/>
      <w:kern w:val="0"/>
      <w:sz w:val="22"/>
      <w:szCs w:val="22"/>
    </w:rPr>
  </w:style>
  <w:style w:type="paragraph" w:customStyle="1" w:styleId="302">
    <w:name w:val="CM2"/>
    <w:basedOn w:val="1"/>
    <w:next w:val="123"/>
    <w:qFormat/>
    <w:uiPriority w:val="0"/>
    <w:pPr>
      <w:autoSpaceDE w:val="0"/>
      <w:autoSpaceDN w:val="0"/>
      <w:adjustRightInd w:val="0"/>
      <w:spacing w:line="500" w:lineRule="atLeast"/>
      <w:jc w:val="left"/>
    </w:pPr>
    <w:rPr>
      <w:rFonts w:ascii="宋体"/>
      <w:kern w:val="0"/>
      <w:sz w:val="24"/>
    </w:rPr>
  </w:style>
  <w:style w:type="paragraph" w:customStyle="1" w:styleId="303">
    <w:name w:val="xl58"/>
    <w:basedOn w:val="1"/>
    <w:qFormat/>
    <w:uiPriority w:val="0"/>
    <w:pPr>
      <w:widowControl/>
      <w:pBdr>
        <w:top w:val="single" w:color="auto" w:sz="8" w:space="0"/>
        <w:left w:val="single" w:color="auto" w:sz="4" w:space="0"/>
        <w:right w:val="single" w:color="auto" w:sz="4" w:space="0"/>
      </w:pBdr>
      <w:spacing w:before="100" w:beforeAutospacing="1" w:after="100" w:afterAutospacing="1"/>
      <w:jc w:val="center"/>
      <w:textAlignment w:val="center"/>
    </w:pPr>
    <w:rPr>
      <w:rFonts w:hint="eastAsia" w:ascii="楷体_GB2312" w:hAnsi="Arial Unicode MS" w:eastAsia="楷体_GB2312" w:cs="Arial Unicode MS"/>
      <w:kern w:val="0"/>
      <w:sz w:val="24"/>
    </w:rPr>
  </w:style>
  <w:style w:type="paragraph" w:customStyle="1" w:styleId="304">
    <w:name w:val="P2"/>
    <w:qFormat/>
    <w:uiPriority w:val="0"/>
    <w:pPr>
      <w:widowControl w:val="0"/>
      <w:adjustRightInd w:val="0"/>
      <w:spacing w:after="240" w:line="0" w:lineRule="atLeast"/>
      <w:ind w:left="1728"/>
      <w:jc w:val="both"/>
      <w:textAlignment w:val="baseline"/>
    </w:pPr>
    <w:rPr>
      <w:rFonts w:ascii="Times New Roman" w:hAnsi="Times New Roman" w:eastAsia="全真中明體" w:cs="Times New Roman"/>
      <w:spacing w:val="30"/>
      <w:sz w:val="24"/>
      <w:lang w:val="en-GB" w:eastAsia="zh-TW" w:bidi="ar-SA"/>
    </w:rPr>
  </w:style>
  <w:style w:type="paragraph" w:customStyle="1" w:styleId="305">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306">
    <w:name w:val="样式4"/>
    <w:basedOn w:val="30"/>
    <w:qFormat/>
    <w:uiPriority w:val="0"/>
    <w:pPr>
      <w:spacing w:line="500" w:lineRule="exact"/>
      <w:ind w:firstLine="480" w:firstLineChars="200"/>
    </w:pPr>
    <w:rPr>
      <w:sz w:val="24"/>
    </w:rPr>
  </w:style>
  <w:style w:type="paragraph" w:customStyle="1" w:styleId="307">
    <w:name w:val="xl53"/>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eastAsia="Arial Unicode MS"/>
      <w:color w:val="FF00FF"/>
      <w:kern w:val="0"/>
      <w:sz w:val="22"/>
      <w:szCs w:val="22"/>
    </w:rPr>
  </w:style>
  <w:style w:type="paragraph" w:customStyle="1" w:styleId="308">
    <w:name w:val="样式 样式 样式 样式 第六行 + 左侧:  -2 字符 段前: 2 行 + 左侧:  -10 字符 段前: 2 行 + 左侧:..."/>
    <w:basedOn w:val="295"/>
    <w:qFormat/>
    <w:uiPriority w:val="0"/>
    <w:pPr>
      <w:ind w:left="-1000" w:leftChars="-1000"/>
    </w:pPr>
  </w:style>
  <w:style w:type="paragraph" w:customStyle="1" w:styleId="309">
    <w:name w:val="数字编号"/>
    <w:basedOn w:val="1"/>
    <w:qFormat/>
    <w:uiPriority w:val="0"/>
    <w:pPr>
      <w:tabs>
        <w:tab w:val="left" w:pos="3969"/>
      </w:tabs>
      <w:adjustRightInd w:val="0"/>
      <w:spacing w:before="120" w:line="300" w:lineRule="auto"/>
      <w:ind w:firstLine="567"/>
      <w:jc w:val="left"/>
      <w:textAlignment w:val="baseline"/>
    </w:pPr>
    <w:rPr>
      <w:kern w:val="0"/>
      <w:position w:val="20"/>
      <w:sz w:val="28"/>
      <w:szCs w:val="20"/>
    </w:rPr>
  </w:style>
  <w:style w:type="paragraph" w:customStyle="1" w:styleId="310">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11">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312">
    <w:name w:val="font11"/>
    <w:basedOn w:val="1"/>
    <w:qFormat/>
    <w:uiPriority w:val="0"/>
    <w:pPr>
      <w:widowControl/>
      <w:spacing w:before="100" w:beforeAutospacing="1" w:after="100" w:afterAutospacing="1"/>
      <w:jc w:val="left"/>
    </w:pPr>
    <w:rPr>
      <w:rFonts w:hint="eastAsia" w:ascii="楷体_GB2312" w:hAnsi="Arial Unicode MS" w:eastAsia="楷体_GB2312" w:cs="Arial Unicode MS"/>
      <w:kern w:val="0"/>
      <w:sz w:val="22"/>
      <w:szCs w:val="22"/>
    </w:rPr>
  </w:style>
  <w:style w:type="paragraph" w:customStyle="1" w:styleId="313">
    <w:name w:val="正文文本缩进 311"/>
    <w:basedOn w:val="1"/>
    <w:qFormat/>
    <w:uiPriority w:val="0"/>
    <w:pPr>
      <w:adjustRightInd w:val="0"/>
      <w:ind w:firstLine="562"/>
      <w:textAlignment w:val="baseline"/>
    </w:pPr>
    <w:rPr>
      <w:rFonts w:ascii="宋体" w:hAnsi="宋体"/>
      <w:b/>
      <w:sz w:val="28"/>
      <w:szCs w:val="20"/>
    </w:rPr>
  </w:style>
  <w:style w:type="paragraph" w:customStyle="1" w:styleId="314">
    <w:name w:val="样式 样式5 + 首行缩进:  2 字符"/>
    <w:qFormat/>
    <w:uiPriority w:val="0"/>
    <w:pPr>
      <w:ind w:firstLine="200" w:firstLineChars="200"/>
      <w:jc w:val="both"/>
    </w:pPr>
    <w:rPr>
      <w:rFonts w:ascii="Times New Roman" w:hAnsi="Times New Roman" w:eastAsia="宋体" w:cs="宋体"/>
      <w:sz w:val="24"/>
      <w:szCs w:val="24"/>
      <w:lang w:val="en-US" w:eastAsia="zh-CN" w:bidi="ar-SA"/>
    </w:rPr>
  </w:style>
  <w:style w:type="paragraph" w:customStyle="1" w:styleId="315">
    <w:name w:val="CM65"/>
    <w:basedOn w:val="1"/>
    <w:next w:val="123"/>
    <w:qFormat/>
    <w:uiPriority w:val="0"/>
    <w:pPr>
      <w:autoSpaceDE w:val="0"/>
      <w:autoSpaceDN w:val="0"/>
      <w:adjustRightInd w:val="0"/>
      <w:jc w:val="left"/>
    </w:pPr>
    <w:rPr>
      <w:rFonts w:ascii="宋体"/>
      <w:kern w:val="0"/>
      <w:sz w:val="24"/>
    </w:rPr>
  </w:style>
  <w:style w:type="paragraph" w:customStyle="1" w:styleId="316">
    <w:name w:val="CM92"/>
    <w:basedOn w:val="1"/>
    <w:next w:val="123"/>
    <w:qFormat/>
    <w:uiPriority w:val="0"/>
    <w:pPr>
      <w:autoSpaceDE w:val="0"/>
      <w:autoSpaceDN w:val="0"/>
      <w:adjustRightInd w:val="0"/>
      <w:spacing w:after="530"/>
      <w:jc w:val="left"/>
    </w:pPr>
    <w:rPr>
      <w:rFonts w:ascii="宋体"/>
      <w:kern w:val="0"/>
      <w:sz w:val="24"/>
    </w:rPr>
  </w:style>
  <w:style w:type="paragraph" w:customStyle="1" w:styleId="317">
    <w:name w:val="xl9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2"/>
      <w:szCs w:val="22"/>
    </w:rPr>
  </w:style>
  <w:style w:type="paragraph" w:customStyle="1" w:styleId="318">
    <w:name w:val="1"/>
    <w:basedOn w:val="1"/>
    <w:next w:val="34"/>
    <w:qFormat/>
    <w:uiPriority w:val="0"/>
    <w:pPr>
      <w:adjustRightInd w:val="0"/>
      <w:ind w:left="420" w:right="33"/>
      <w:jc w:val="left"/>
      <w:textAlignment w:val="baseline"/>
    </w:pPr>
    <w:rPr>
      <w:kern w:val="0"/>
      <w:sz w:val="24"/>
      <w:szCs w:val="20"/>
    </w:rPr>
  </w:style>
  <w:style w:type="paragraph" w:customStyle="1" w:styleId="319">
    <w:name w:val="explanatory_notes"/>
    <w:basedOn w:val="1"/>
    <w:qFormat/>
    <w:uiPriority w:val="0"/>
    <w:pPr>
      <w:widowControl/>
      <w:suppressAutoHyphens/>
      <w:spacing w:after="240" w:line="360" w:lineRule="exact"/>
    </w:pPr>
    <w:rPr>
      <w:rFonts w:ascii="Arial" w:hAnsi="Arial"/>
      <w:kern w:val="0"/>
      <w:sz w:val="24"/>
      <w:szCs w:val="20"/>
    </w:rPr>
  </w:style>
  <w:style w:type="paragraph" w:customStyle="1" w:styleId="320">
    <w:name w:val="xl9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321">
    <w:name w:val="正文11"/>
    <w:basedOn w:val="1"/>
    <w:next w:val="1"/>
    <w:qFormat/>
    <w:uiPriority w:val="0"/>
    <w:pPr>
      <w:spacing w:line="360" w:lineRule="auto"/>
      <w:ind w:firstLine="200" w:firstLineChars="200"/>
    </w:pPr>
    <w:rPr>
      <w:rFonts w:ascii="宋体"/>
      <w:sz w:val="24"/>
    </w:rPr>
  </w:style>
  <w:style w:type="paragraph" w:customStyle="1" w:styleId="322">
    <w:name w:val="xl87"/>
    <w:basedOn w:val="1"/>
    <w:qFormat/>
    <w:uiPriority w:val="0"/>
    <w:pPr>
      <w:widowControl/>
      <w:pBdr>
        <w:top w:val="single" w:color="auto" w:sz="4" w:space="0"/>
        <w:left w:val="single" w:color="auto" w:sz="8" w:space="0"/>
        <w:right w:val="single" w:color="auto" w:sz="4" w:space="0"/>
      </w:pBdr>
      <w:spacing w:before="100" w:beforeAutospacing="1" w:after="100" w:afterAutospacing="1"/>
      <w:jc w:val="center"/>
    </w:pPr>
    <w:rPr>
      <w:rFonts w:ascii="Arial Unicode MS" w:hAnsi="Arial Unicode MS" w:eastAsia="Arial Unicode MS" w:cs="Arial Unicode MS"/>
      <w:kern w:val="0"/>
      <w:sz w:val="22"/>
      <w:szCs w:val="22"/>
    </w:rPr>
  </w:style>
  <w:style w:type="paragraph" w:customStyle="1" w:styleId="323">
    <w:name w:val="样式 段落编号 + (中文) 黑体 两端对齐 Char Char Char"/>
    <w:basedOn w:val="1"/>
    <w:qFormat/>
    <w:uiPriority w:val="0"/>
    <w:pPr>
      <w:adjustRightInd w:val="0"/>
      <w:snapToGrid w:val="0"/>
      <w:spacing w:before="60" w:after="240" w:line="400" w:lineRule="exact"/>
      <w:ind w:left="482"/>
      <w:jc w:val="left"/>
      <w:textAlignment w:val="baseline"/>
    </w:pPr>
    <w:rPr>
      <w:rFonts w:ascii="宋体" w:hAnsi="宋体" w:eastAsia="黑体" w:cs="宋体"/>
      <w:sz w:val="24"/>
    </w:rPr>
  </w:style>
  <w:style w:type="paragraph" w:customStyle="1" w:styleId="324">
    <w:name w:val="样式8"/>
    <w:basedOn w:val="6"/>
    <w:qFormat/>
    <w:uiPriority w:val="0"/>
    <w:pPr>
      <w:keepLines/>
      <w:widowControl/>
      <w:tabs>
        <w:tab w:val="left" w:pos="3660"/>
        <w:tab w:val="clear" w:pos="360"/>
      </w:tabs>
      <w:spacing w:beforeLines="0" w:after="240" w:line="500" w:lineRule="exact"/>
      <w:ind w:left="3660" w:hanging="720"/>
      <w:jc w:val="left"/>
    </w:pPr>
    <w:rPr>
      <w:rFonts w:ascii="Times New Roman" w:hAnsi="Times New Roman" w:eastAsia="黑体"/>
      <w:kern w:val="0"/>
    </w:rPr>
  </w:style>
  <w:style w:type="paragraph" w:customStyle="1" w:styleId="325">
    <w:name w:val="横表格"/>
    <w:basedOn w:val="326"/>
    <w:qFormat/>
    <w:uiPriority w:val="0"/>
    <w:pPr>
      <w:spacing w:beforeLines="0" w:line="240" w:lineRule="auto"/>
    </w:pPr>
    <w:rPr>
      <w:rFonts w:ascii="Times New Roman"/>
      <w:b w:val="0"/>
    </w:rPr>
  </w:style>
  <w:style w:type="paragraph" w:customStyle="1" w:styleId="326">
    <w:name w:val="横表名"/>
    <w:basedOn w:val="1"/>
    <w:qFormat/>
    <w:uiPriority w:val="0"/>
    <w:pPr>
      <w:spacing w:beforeLines="50" w:line="360" w:lineRule="auto"/>
      <w:jc w:val="center"/>
    </w:pPr>
    <w:rPr>
      <w:rFonts w:ascii="宋体"/>
      <w:b/>
      <w:szCs w:val="21"/>
    </w:rPr>
  </w:style>
  <w:style w:type="paragraph" w:customStyle="1" w:styleId="32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28">
    <w:name w:val="CM104"/>
    <w:basedOn w:val="1"/>
    <w:next w:val="123"/>
    <w:qFormat/>
    <w:uiPriority w:val="0"/>
    <w:pPr>
      <w:autoSpaceDE w:val="0"/>
      <w:autoSpaceDN w:val="0"/>
      <w:adjustRightInd w:val="0"/>
      <w:spacing w:after="1318"/>
      <w:jc w:val="left"/>
    </w:pPr>
    <w:rPr>
      <w:rFonts w:ascii="宋体"/>
      <w:kern w:val="0"/>
      <w:sz w:val="24"/>
    </w:rPr>
  </w:style>
  <w:style w:type="paragraph" w:customStyle="1" w:styleId="329">
    <w:name w:val="正文文本 22"/>
    <w:basedOn w:val="1"/>
    <w:qFormat/>
    <w:uiPriority w:val="0"/>
    <w:pPr>
      <w:adjustRightInd w:val="0"/>
      <w:ind w:left="10" w:firstLine="530"/>
      <w:textAlignment w:val="baseline"/>
    </w:pPr>
    <w:rPr>
      <w:color w:val="000000"/>
      <w:sz w:val="28"/>
      <w:szCs w:val="20"/>
    </w:rPr>
  </w:style>
  <w:style w:type="paragraph" w:customStyle="1" w:styleId="330">
    <w:name w:val="封面字体2"/>
    <w:basedOn w:val="1"/>
    <w:qFormat/>
    <w:uiPriority w:val="0"/>
    <w:pPr>
      <w:spacing w:line="240" w:lineRule="atLeast"/>
      <w:jc w:val="left"/>
    </w:pPr>
    <w:rPr>
      <w:rFonts w:ascii="华文细黑" w:hAnsi="华文细黑" w:cs="Arial"/>
      <w:b/>
      <w:bCs/>
      <w:spacing w:val="100"/>
      <w:kern w:val="0"/>
      <w:sz w:val="44"/>
      <w:szCs w:val="21"/>
    </w:rPr>
  </w:style>
  <w:style w:type="paragraph" w:customStyle="1" w:styleId="331">
    <w:name w:val="Char Char2 Char Char Char Char Char Char Char Char Char Char Char Char Char"/>
    <w:basedOn w:val="1"/>
    <w:qFormat/>
    <w:uiPriority w:val="0"/>
    <w:pPr>
      <w:ind w:firstLine="360" w:firstLineChars="150"/>
    </w:pPr>
    <w:rPr>
      <w:rFonts w:ascii="Tahoma" w:hAnsi="Tahoma"/>
      <w:sz w:val="24"/>
      <w:szCs w:val="20"/>
    </w:rPr>
  </w:style>
  <w:style w:type="paragraph" w:customStyle="1" w:styleId="332">
    <w:name w:val="CM44"/>
    <w:basedOn w:val="1"/>
    <w:next w:val="123"/>
    <w:qFormat/>
    <w:uiPriority w:val="0"/>
    <w:pPr>
      <w:autoSpaceDE w:val="0"/>
      <w:autoSpaceDN w:val="0"/>
      <w:adjustRightInd w:val="0"/>
      <w:spacing w:line="440" w:lineRule="atLeast"/>
      <w:jc w:val="left"/>
    </w:pPr>
    <w:rPr>
      <w:rFonts w:ascii="宋体"/>
      <w:kern w:val="0"/>
      <w:sz w:val="24"/>
    </w:rPr>
  </w:style>
  <w:style w:type="paragraph" w:customStyle="1" w:styleId="333">
    <w:name w:val="列表编号 2A"/>
    <w:basedOn w:val="1"/>
    <w:qFormat/>
    <w:uiPriority w:val="0"/>
    <w:pPr>
      <w:tabs>
        <w:tab w:val="left" w:pos="845"/>
      </w:tabs>
      <w:ind w:left="847" w:firstLine="630" w:firstLineChars="300"/>
      <w:jc w:val="left"/>
    </w:pPr>
    <w:rPr>
      <w:rFonts w:cs="Arial"/>
      <w:sz w:val="28"/>
      <w:szCs w:val="20"/>
    </w:rPr>
  </w:style>
  <w:style w:type="paragraph" w:customStyle="1" w:styleId="334">
    <w:name w:val="样式5"/>
    <w:basedOn w:val="306"/>
    <w:qFormat/>
    <w:uiPriority w:val="0"/>
    <w:pPr>
      <w:spacing w:beforeLines="80" w:afterLines="60"/>
      <w:ind w:firstLine="0" w:firstLineChars="0"/>
      <w:jc w:val="center"/>
    </w:pPr>
    <w:rPr>
      <w:rFonts w:ascii="黑体" w:eastAsia="黑体"/>
      <w:sz w:val="32"/>
      <w:szCs w:val="32"/>
    </w:rPr>
  </w:style>
  <w:style w:type="paragraph" w:customStyle="1" w:styleId="335">
    <w:name w:val="CM35"/>
    <w:basedOn w:val="1"/>
    <w:next w:val="123"/>
    <w:qFormat/>
    <w:uiPriority w:val="0"/>
    <w:pPr>
      <w:autoSpaceDE w:val="0"/>
      <w:autoSpaceDN w:val="0"/>
      <w:adjustRightInd w:val="0"/>
      <w:spacing w:line="400" w:lineRule="atLeast"/>
      <w:jc w:val="left"/>
    </w:pPr>
    <w:rPr>
      <w:rFonts w:ascii="宋体"/>
      <w:kern w:val="0"/>
      <w:sz w:val="24"/>
    </w:rPr>
  </w:style>
  <w:style w:type="paragraph" w:customStyle="1" w:styleId="336">
    <w:name w:val="CM95"/>
    <w:basedOn w:val="123"/>
    <w:next w:val="123"/>
    <w:qFormat/>
    <w:uiPriority w:val="0"/>
    <w:pPr>
      <w:spacing w:after="115"/>
    </w:pPr>
    <w:rPr>
      <w:rFonts w:ascii="Times New Roman" w:cs="Times New Roman"/>
      <w:color w:val="auto"/>
    </w:rPr>
  </w:style>
  <w:style w:type="paragraph" w:customStyle="1" w:styleId="33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楷体_GB2312" w:hAnsi="Arial Unicode MS" w:eastAsia="楷体_GB2312" w:cs="Arial Unicode MS"/>
      <w:kern w:val="0"/>
      <w:sz w:val="22"/>
      <w:szCs w:val="22"/>
    </w:rPr>
  </w:style>
  <w:style w:type="paragraph" w:customStyle="1" w:styleId="338">
    <w:name w:val="封面副标题"/>
    <w:basedOn w:val="1"/>
    <w:qFormat/>
    <w:uiPriority w:val="0"/>
    <w:pPr>
      <w:snapToGrid w:val="0"/>
      <w:spacing w:line="360" w:lineRule="auto"/>
      <w:jc w:val="center"/>
    </w:pPr>
    <w:rPr>
      <w:rFonts w:eastAsia="黑体"/>
      <w:sz w:val="50"/>
    </w:rPr>
  </w:style>
  <w:style w:type="paragraph" w:customStyle="1" w:styleId="339">
    <w:name w:val="CM81"/>
    <w:basedOn w:val="1"/>
    <w:next w:val="123"/>
    <w:qFormat/>
    <w:uiPriority w:val="0"/>
    <w:pPr>
      <w:autoSpaceDE w:val="0"/>
      <w:autoSpaceDN w:val="0"/>
      <w:adjustRightInd w:val="0"/>
      <w:spacing w:line="440" w:lineRule="atLeast"/>
      <w:jc w:val="left"/>
    </w:pPr>
    <w:rPr>
      <w:rFonts w:ascii="宋体"/>
      <w:kern w:val="0"/>
      <w:sz w:val="24"/>
    </w:rPr>
  </w:style>
  <w:style w:type="paragraph" w:customStyle="1" w:styleId="340">
    <w:name w:val="日期1"/>
    <w:basedOn w:val="1"/>
    <w:next w:val="1"/>
    <w:qFormat/>
    <w:uiPriority w:val="0"/>
    <w:pPr>
      <w:adjustRightInd w:val="0"/>
      <w:spacing w:line="312" w:lineRule="atLeast"/>
      <w:textAlignment w:val="baseline"/>
    </w:pPr>
    <w:rPr>
      <w:kern w:val="0"/>
      <w:sz w:val="24"/>
      <w:szCs w:val="20"/>
    </w:rPr>
  </w:style>
  <w:style w:type="paragraph" w:customStyle="1" w:styleId="341">
    <w:name w:val="Char Char Char Char Char Char Char Char Char Char1"/>
    <w:basedOn w:val="1"/>
    <w:qFormat/>
    <w:uiPriority w:val="0"/>
    <w:pPr>
      <w:tabs>
        <w:tab w:val="left" w:pos="425"/>
      </w:tabs>
      <w:ind w:left="425" w:hanging="425"/>
    </w:pPr>
    <w:rPr>
      <w:rFonts w:ascii="Arial" w:hAnsi="Arial" w:eastAsia="黑体" w:cs="宋体"/>
      <w:b/>
      <w:bCs/>
      <w:sz w:val="32"/>
      <w:szCs w:val="32"/>
    </w:rPr>
  </w:style>
  <w:style w:type="paragraph" w:customStyle="1" w:styleId="342">
    <w:name w:val="_Style 5"/>
    <w:basedOn w:val="1"/>
    <w:qFormat/>
    <w:uiPriority w:val="0"/>
    <w:pPr>
      <w:ind w:firstLine="420" w:firstLineChars="200"/>
    </w:pPr>
    <w:rPr>
      <w:rFonts w:ascii="Calibri" w:hAnsi="Calibri"/>
      <w:szCs w:val="22"/>
    </w:rPr>
  </w:style>
  <w:style w:type="paragraph" w:customStyle="1" w:styleId="343">
    <w:name w:val="xl50"/>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eastAsia="Arial Unicode MS"/>
      <w:kern w:val="0"/>
      <w:sz w:val="22"/>
      <w:szCs w:val="22"/>
    </w:rPr>
  </w:style>
  <w:style w:type="paragraph" w:customStyle="1" w:styleId="344">
    <w:name w:val="Char Char Char Char Char Char Char Char Char1 Char Char Char Char3"/>
    <w:basedOn w:val="1"/>
    <w:qFormat/>
    <w:uiPriority w:val="0"/>
    <w:rPr>
      <w:rFonts w:ascii="Tahoma" w:hAnsi="Tahoma"/>
      <w:sz w:val="24"/>
      <w:szCs w:val="20"/>
    </w:rPr>
  </w:style>
  <w:style w:type="paragraph" w:customStyle="1" w:styleId="345">
    <w:name w:val="Revision1"/>
    <w:qFormat/>
    <w:uiPriority w:val="0"/>
    <w:rPr>
      <w:rFonts w:ascii="Times New Roman" w:hAnsi="Times New Roman" w:eastAsia="宋体" w:cs="Times New Roman"/>
      <w:sz w:val="24"/>
      <w:szCs w:val="24"/>
      <w:lang w:val="en-US" w:eastAsia="zh-CN" w:bidi="ar-SA"/>
    </w:rPr>
  </w:style>
  <w:style w:type="paragraph" w:customStyle="1" w:styleId="346">
    <w:name w:val="自动更正"/>
    <w:qFormat/>
    <w:uiPriority w:val="0"/>
    <w:pPr>
      <w:widowControl w:val="0"/>
      <w:jc w:val="both"/>
    </w:pPr>
    <w:rPr>
      <w:rFonts w:ascii="Times New Roman" w:hAnsi="Times New Roman" w:eastAsia="??" w:cs="Times New Roman"/>
      <w:kern w:val="2"/>
      <w:sz w:val="21"/>
      <w:szCs w:val="28"/>
      <w:lang w:val="en-US" w:eastAsia="zh-CN" w:bidi="ar-SA"/>
    </w:rPr>
  </w:style>
  <w:style w:type="paragraph" w:customStyle="1" w:styleId="347">
    <w:name w:val="Char11"/>
    <w:basedOn w:val="1"/>
    <w:qFormat/>
    <w:uiPriority w:val="0"/>
  </w:style>
  <w:style w:type="paragraph" w:customStyle="1" w:styleId="348">
    <w:name w:val="Char Char Char Char Char Char Char Char Char Char Char Char Char Char Char Char Char Char"/>
    <w:basedOn w:val="1"/>
    <w:qFormat/>
    <w:uiPriority w:val="0"/>
    <w:pPr>
      <w:widowControl/>
      <w:spacing w:after="160" w:line="240" w:lineRule="exact"/>
      <w:jc w:val="left"/>
    </w:pPr>
    <w:rPr>
      <w:rFonts w:ascii="Verdana" w:hAnsi="Verdana" w:eastAsia="仿宋_GB2312" w:cs="Verdana"/>
      <w:kern w:val="0"/>
      <w:sz w:val="24"/>
      <w:lang w:eastAsia="en-US"/>
    </w:rPr>
  </w:style>
  <w:style w:type="paragraph" w:customStyle="1" w:styleId="349">
    <w:name w:val="抬头"/>
    <w:basedOn w:val="1"/>
    <w:qFormat/>
    <w:uiPriority w:val="0"/>
    <w:pPr>
      <w:spacing w:line="360" w:lineRule="auto"/>
    </w:pPr>
    <w:rPr>
      <w:rFonts w:ascii="宋体"/>
      <w:szCs w:val="21"/>
    </w:rPr>
  </w:style>
  <w:style w:type="paragraph" w:customStyle="1" w:styleId="350">
    <w:name w:val="第 X 页 共 Y 页"/>
    <w:qFormat/>
    <w:uiPriority w:val="0"/>
    <w:pPr>
      <w:widowControl w:val="0"/>
      <w:jc w:val="both"/>
    </w:pPr>
    <w:rPr>
      <w:rFonts w:ascii="Times New Roman" w:hAnsi="Times New Roman" w:eastAsia="??" w:cs="Times New Roman"/>
      <w:kern w:val="2"/>
      <w:sz w:val="21"/>
      <w:szCs w:val="28"/>
      <w:lang w:val="en-US" w:eastAsia="zh-CN" w:bidi="ar-SA"/>
    </w:rPr>
  </w:style>
  <w:style w:type="paragraph" w:customStyle="1" w:styleId="351">
    <w:name w:val="CM63"/>
    <w:basedOn w:val="1"/>
    <w:next w:val="1"/>
    <w:qFormat/>
    <w:uiPriority w:val="0"/>
    <w:pPr>
      <w:autoSpaceDE w:val="0"/>
      <w:autoSpaceDN w:val="0"/>
      <w:adjustRightInd w:val="0"/>
      <w:spacing w:after="143"/>
      <w:jc w:val="left"/>
    </w:pPr>
    <w:rPr>
      <w:rFonts w:ascii="宋体" w:hAnsi="Calibri"/>
      <w:kern w:val="0"/>
      <w:sz w:val="24"/>
    </w:rPr>
  </w:style>
  <w:style w:type="paragraph" w:customStyle="1" w:styleId="352">
    <w:name w:val="修订1"/>
    <w:qFormat/>
    <w:uiPriority w:val="0"/>
    <w:rPr>
      <w:rFonts w:ascii="Times New Roman" w:hAnsi="Times New Roman" w:eastAsia="宋体" w:cs="Times New Roman"/>
      <w:kern w:val="2"/>
      <w:sz w:val="21"/>
      <w:szCs w:val="24"/>
      <w:lang w:val="en-US" w:eastAsia="zh-CN" w:bidi="ar-SA"/>
    </w:rPr>
  </w:style>
  <w:style w:type="paragraph" w:customStyle="1" w:styleId="353">
    <w:name w:val="封面样式3"/>
    <w:basedOn w:val="1"/>
    <w:qFormat/>
    <w:uiPriority w:val="0"/>
    <w:pPr>
      <w:spacing w:line="440" w:lineRule="exact"/>
      <w:ind w:firstLine="630" w:firstLineChars="300"/>
      <w:jc w:val="left"/>
    </w:pPr>
    <w:rPr>
      <w:rFonts w:ascii="华文细黑" w:hAnsi="华文细黑" w:cs="Arial"/>
      <w:kern w:val="0"/>
      <w:szCs w:val="21"/>
    </w:rPr>
  </w:style>
  <w:style w:type="paragraph" w:customStyle="1" w:styleId="354">
    <w:name w:val="目录文字"/>
    <w:basedOn w:val="1"/>
    <w:qFormat/>
    <w:uiPriority w:val="0"/>
    <w:pPr>
      <w:widowControl/>
      <w:spacing w:line="480" w:lineRule="auto"/>
      <w:jc w:val="left"/>
    </w:pPr>
    <w:rPr>
      <w:rFonts w:ascii="宋体" w:hAnsi="宋体"/>
      <w:kern w:val="0"/>
      <w:sz w:val="24"/>
      <w:szCs w:val="20"/>
    </w:rPr>
  </w:style>
  <w:style w:type="paragraph" w:customStyle="1" w:styleId="355">
    <w:name w:val="菲页(卷)"/>
    <w:basedOn w:val="4"/>
    <w:next w:val="356"/>
    <w:qFormat/>
    <w:uiPriority w:val="0"/>
    <w:pPr>
      <w:keepLines w:val="0"/>
      <w:widowControl/>
      <w:tabs>
        <w:tab w:val="left" w:pos="720"/>
      </w:tabs>
      <w:spacing w:beforeLines="0" w:afterLines="0" w:line="240" w:lineRule="auto"/>
      <w:ind w:left="720" w:hanging="720"/>
      <w:outlineLvl w:val="1"/>
    </w:pPr>
    <w:rPr>
      <w:rFonts w:ascii="黑体" w:eastAsia="黑体"/>
      <w:b w:val="0"/>
      <w:bCs w:val="0"/>
      <w:kern w:val="0"/>
      <w:sz w:val="52"/>
      <w:szCs w:val="20"/>
    </w:rPr>
  </w:style>
  <w:style w:type="paragraph" w:customStyle="1" w:styleId="356">
    <w:name w:val="Normal_0"/>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57">
    <w:name w:val="P1"/>
    <w:qFormat/>
    <w:uiPriority w:val="0"/>
    <w:pPr>
      <w:widowControl w:val="0"/>
      <w:adjustRightInd w:val="0"/>
      <w:spacing w:after="240" w:line="0" w:lineRule="atLeast"/>
      <w:ind w:left="2304"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358">
    <w:name w:val="样式2"/>
    <w:basedOn w:val="7"/>
    <w:next w:val="7"/>
    <w:qFormat/>
    <w:uiPriority w:val="0"/>
    <w:pPr>
      <w:keepNext/>
      <w:keepLines/>
      <w:widowControl/>
      <w:spacing w:before="280" w:after="290" w:line="372" w:lineRule="auto"/>
      <w:jc w:val="left"/>
    </w:pPr>
    <w:rPr>
      <w:rFonts w:ascii="黑体" w:hAnsi="Times New Roman" w:eastAsia="黑体"/>
      <w:kern w:val="0"/>
      <w:szCs w:val="30"/>
    </w:rPr>
  </w:style>
  <w:style w:type="paragraph" w:customStyle="1" w:styleId="359">
    <w:name w:val="Char2 Char Char Char Char Char Char1"/>
    <w:basedOn w:val="1"/>
    <w:qFormat/>
    <w:uiPriority w:val="0"/>
    <w:pPr>
      <w:shd w:val="clear" w:color="auto" w:fill="000080"/>
    </w:pPr>
    <w:rPr>
      <w:rFonts w:ascii="Tahoma" w:hAnsi="Tahoma"/>
      <w:sz w:val="24"/>
    </w:rPr>
  </w:style>
  <w:style w:type="paragraph" w:customStyle="1" w:styleId="360">
    <w:name w:val="默认段落字体 Para Char Char Char1 Char"/>
    <w:basedOn w:val="1"/>
    <w:qFormat/>
    <w:uiPriority w:val="0"/>
    <w:pPr>
      <w:spacing w:line="360" w:lineRule="auto"/>
      <w:ind w:left="420" w:firstLine="420"/>
    </w:pPr>
    <w:rPr>
      <w:kern w:val="0"/>
      <w:sz w:val="24"/>
      <w:szCs w:val="21"/>
    </w:rPr>
  </w:style>
  <w:style w:type="paragraph" w:customStyle="1" w:styleId="361">
    <w:name w:val="样式 样式 样式 第四行 + 左侧:  -4 字符 段前: 2 行 + 左侧:  -3 字符 段前: 2 行 + 左侧:  -2..."/>
    <w:basedOn w:val="362"/>
    <w:qFormat/>
    <w:uiPriority w:val="0"/>
    <w:pPr>
      <w:ind w:left="0" w:leftChars="0"/>
    </w:pPr>
  </w:style>
  <w:style w:type="paragraph" w:customStyle="1" w:styleId="362">
    <w:name w:val="样式 样式 第四行 + 左侧:  -4 字符 段前: 2 行 + 左侧:  -3 字符 段前: 2 行"/>
    <w:basedOn w:val="245"/>
    <w:qFormat/>
    <w:uiPriority w:val="0"/>
    <w:pPr>
      <w:ind w:left="-200" w:leftChars="-200"/>
    </w:pPr>
  </w:style>
  <w:style w:type="paragraph" w:customStyle="1" w:styleId="363">
    <w:name w:val="香奈儿 4"/>
    <w:basedOn w:val="1"/>
    <w:qFormat/>
    <w:uiPriority w:val="0"/>
    <w:pPr>
      <w:widowControl/>
      <w:tabs>
        <w:tab w:val="left" w:pos="360"/>
        <w:tab w:val="right" w:pos="840"/>
        <w:tab w:val="left" w:pos="2430"/>
      </w:tabs>
      <w:spacing w:after="120"/>
    </w:pPr>
    <w:rPr>
      <w:szCs w:val="20"/>
    </w:rPr>
  </w:style>
  <w:style w:type="paragraph" w:customStyle="1" w:styleId="364">
    <w:name w:val="CM80"/>
    <w:basedOn w:val="1"/>
    <w:next w:val="123"/>
    <w:qFormat/>
    <w:uiPriority w:val="0"/>
    <w:pPr>
      <w:autoSpaceDE w:val="0"/>
      <w:autoSpaceDN w:val="0"/>
      <w:adjustRightInd w:val="0"/>
      <w:spacing w:line="440" w:lineRule="atLeast"/>
      <w:jc w:val="left"/>
    </w:pPr>
    <w:rPr>
      <w:rFonts w:ascii="宋体"/>
      <w:kern w:val="0"/>
      <w:sz w:val="24"/>
    </w:rPr>
  </w:style>
  <w:style w:type="paragraph" w:customStyle="1" w:styleId="365">
    <w:name w:val="表格标题"/>
    <w:basedOn w:val="1"/>
    <w:qFormat/>
    <w:uiPriority w:val="0"/>
    <w:pPr>
      <w:adjustRightInd w:val="0"/>
      <w:snapToGrid w:val="0"/>
      <w:spacing w:beforeLines="50" w:line="300" w:lineRule="auto"/>
      <w:jc w:val="center"/>
      <w:outlineLvl w:val="4"/>
    </w:pPr>
    <w:rPr>
      <w:rFonts w:ascii="Arial" w:hAnsi="Arial" w:eastAsia="??" w:cs="Arial"/>
      <w:sz w:val="24"/>
    </w:rPr>
  </w:style>
  <w:style w:type="paragraph" w:customStyle="1" w:styleId="366">
    <w:name w:val="Char31"/>
    <w:basedOn w:val="1"/>
    <w:qFormat/>
    <w:uiPriority w:val="0"/>
    <w:rPr>
      <w:rFonts w:ascii="仿宋_GB2312" w:eastAsia="仿宋_GB2312"/>
      <w:b/>
      <w:sz w:val="32"/>
      <w:szCs w:val="32"/>
    </w:rPr>
  </w:style>
  <w:style w:type="paragraph" w:customStyle="1" w:styleId="367">
    <w:name w:val="CM50"/>
    <w:basedOn w:val="1"/>
    <w:next w:val="123"/>
    <w:qFormat/>
    <w:uiPriority w:val="0"/>
    <w:pPr>
      <w:autoSpaceDE w:val="0"/>
      <w:autoSpaceDN w:val="0"/>
      <w:adjustRightInd w:val="0"/>
      <w:spacing w:line="1020" w:lineRule="atLeast"/>
      <w:jc w:val="left"/>
    </w:pPr>
    <w:rPr>
      <w:rFonts w:ascii="宋体"/>
      <w:kern w:val="0"/>
      <w:sz w:val="24"/>
    </w:rPr>
  </w:style>
  <w:style w:type="paragraph" w:customStyle="1" w:styleId="368">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369">
    <w:name w:val="xl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370">
    <w:name w:val="Char Char Char Char1 Char Char Char"/>
    <w:basedOn w:val="1"/>
    <w:qFormat/>
    <w:uiPriority w:val="0"/>
    <w:pPr>
      <w:spacing w:line="240" w:lineRule="atLeast"/>
      <w:ind w:left="420" w:firstLine="420"/>
    </w:pPr>
    <w:rPr>
      <w:kern w:val="0"/>
      <w:szCs w:val="21"/>
    </w:rPr>
  </w:style>
  <w:style w:type="paragraph" w:customStyle="1" w:styleId="371">
    <w:name w:val="Char Char1 Char"/>
    <w:basedOn w:val="1"/>
    <w:qFormat/>
    <w:uiPriority w:val="0"/>
    <w:pPr>
      <w:shd w:val="clear" w:color="auto" w:fill="000080"/>
      <w:spacing w:line="360" w:lineRule="auto"/>
    </w:pPr>
    <w:rPr>
      <w:rFonts w:ascii="Tahoma" w:hAnsi="Tahoma"/>
      <w:sz w:val="24"/>
    </w:rPr>
  </w:style>
  <w:style w:type="paragraph" w:customStyle="1" w:styleId="372">
    <w:name w:val="Identation 2"/>
    <w:qFormat/>
    <w:uiPriority w:val="0"/>
    <w:pPr>
      <w:overflowPunct w:val="0"/>
      <w:autoSpaceDE w:val="0"/>
      <w:autoSpaceDN w:val="0"/>
      <w:adjustRightInd w:val="0"/>
      <w:spacing w:before="120" w:after="60" w:line="288" w:lineRule="auto"/>
      <w:ind w:left="432"/>
      <w:jc w:val="both"/>
      <w:textAlignment w:val="baseline"/>
    </w:pPr>
    <w:rPr>
      <w:rFonts w:ascii="Times New Roman" w:hAnsi="Times New Roman" w:eastAsia="楷体_GB2312" w:cs="Times New Roman"/>
      <w:color w:val="000000"/>
      <w:sz w:val="24"/>
      <w:lang w:val="en-US" w:eastAsia="zh-CN" w:bidi="ar-SA"/>
    </w:rPr>
  </w:style>
  <w:style w:type="paragraph" w:customStyle="1" w:styleId="373">
    <w:name w:val="xl51"/>
    <w:basedOn w:val="1"/>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32"/>
      <w:szCs w:val="32"/>
    </w:rPr>
  </w:style>
  <w:style w:type="paragraph" w:customStyle="1" w:styleId="374">
    <w:name w:val="CM93"/>
    <w:basedOn w:val="1"/>
    <w:next w:val="1"/>
    <w:qFormat/>
    <w:uiPriority w:val="0"/>
    <w:pPr>
      <w:autoSpaceDE w:val="0"/>
      <w:autoSpaceDN w:val="0"/>
      <w:adjustRightInd w:val="0"/>
      <w:spacing w:after="628"/>
      <w:jc w:val="left"/>
    </w:pPr>
    <w:rPr>
      <w:rFonts w:ascii="宋体" w:cs="宋体"/>
      <w:kern w:val="0"/>
      <w:sz w:val="24"/>
    </w:rPr>
  </w:style>
  <w:style w:type="paragraph" w:customStyle="1" w:styleId="375">
    <w:name w:val="CM56"/>
    <w:basedOn w:val="123"/>
    <w:next w:val="123"/>
    <w:qFormat/>
    <w:uiPriority w:val="0"/>
    <w:rPr>
      <w:rFonts w:ascii="Times New Roman" w:cs="Times New Roman"/>
      <w:color w:val="auto"/>
    </w:rPr>
  </w:style>
  <w:style w:type="paragraph" w:customStyle="1" w:styleId="376">
    <w:name w:val="样式 首行缩进:  2 字符"/>
    <w:basedOn w:val="1"/>
    <w:qFormat/>
    <w:uiPriority w:val="0"/>
    <w:pPr>
      <w:tabs>
        <w:tab w:val="left" w:pos="770"/>
        <w:tab w:val="left" w:pos="4660"/>
      </w:tabs>
      <w:adjustRightInd w:val="0"/>
      <w:snapToGrid w:val="0"/>
      <w:spacing w:line="360" w:lineRule="auto"/>
      <w:ind w:firstLine="560" w:firstLineChars="200"/>
      <w:jc w:val="left"/>
    </w:pPr>
    <w:rPr>
      <w:rFonts w:ascii="宋体" w:hAnsi="宋体" w:cs="宋体"/>
      <w:sz w:val="28"/>
      <w:szCs w:val="20"/>
    </w:rPr>
  </w:style>
  <w:style w:type="paragraph" w:customStyle="1" w:styleId="377">
    <w:name w:val="+列表1"/>
    <w:basedOn w:val="1"/>
    <w:qFormat/>
    <w:uiPriority w:val="0"/>
    <w:pPr>
      <w:jc w:val="center"/>
    </w:pPr>
  </w:style>
  <w:style w:type="paragraph" w:customStyle="1" w:styleId="378">
    <w:name w:val="CM83"/>
    <w:basedOn w:val="1"/>
    <w:next w:val="123"/>
    <w:qFormat/>
    <w:uiPriority w:val="0"/>
    <w:pPr>
      <w:autoSpaceDE w:val="0"/>
      <w:autoSpaceDN w:val="0"/>
      <w:adjustRightInd w:val="0"/>
      <w:spacing w:line="440" w:lineRule="atLeast"/>
      <w:jc w:val="left"/>
    </w:pPr>
    <w:rPr>
      <w:rFonts w:ascii="宋体"/>
      <w:kern w:val="0"/>
      <w:sz w:val="24"/>
    </w:rPr>
  </w:style>
  <w:style w:type="paragraph" w:customStyle="1" w:styleId="379">
    <w:name w:val="CM19"/>
    <w:basedOn w:val="123"/>
    <w:next w:val="123"/>
    <w:qFormat/>
    <w:uiPriority w:val="0"/>
    <w:pPr>
      <w:spacing w:line="398" w:lineRule="atLeast"/>
    </w:pPr>
    <w:rPr>
      <w:rFonts w:ascii="Times New Roman" w:cs="Times New Roman"/>
      <w:color w:val="auto"/>
    </w:rPr>
  </w:style>
  <w:style w:type="paragraph" w:customStyle="1" w:styleId="380">
    <w:name w:val="opening2"/>
    <w:basedOn w:val="1"/>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381">
    <w:name w:val="xl26"/>
    <w:basedOn w:val="1"/>
    <w:qFormat/>
    <w:uiPriority w:val="0"/>
    <w:pPr>
      <w:widowControl/>
      <w:spacing w:before="100" w:beforeAutospacing="1" w:after="100" w:afterAutospacing="1"/>
      <w:jc w:val="center"/>
    </w:pPr>
    <w:rPr>
      <w:rFonts w:ascii="宋体" w:hAnsi="宋体"/>
      <w:kern w:val="0"/>
      <w:sz w:val="24"/>
    </w:rPr>
  </w:style>
  <w:style w:type="paragraph" w:customStyle="1" w:styleId="382">
    <w:name w:val="4"/>
    <w:basedOn w:val="1"/>
    <w:next w:val="30"/>
    <w:qFormat/>
    <w:uiPriority w:val="0"/>
    <w:pPr>
      <w:widowControl/>
      <w:jc w:val="left"/>
    </w:pPr>
    <w:rPr>
      <w:kern w:val="0"/>
      <w:sz w:val="24"/>
      <w:szCs w:val="20"/>
    </w:rPr>
  </w:style>
  <w:style w:type="paragraph" w:customStyle="1" w:styleId="383">
    <w:name w:val="(i)"/>
    <w:basedOn w:val="1"/>
    <w:qFormat/>
    <w:uiPriority w:val="0"/>
    <w:pPr>
      <w:widowControl/>
      <w:suppressAutoHyphens/>
      <w:spacing w:line="360" w:lineRule="auto"/>
      <w:ind w:firstLine="200" w:firstLineChars="200"/>
    </w:pPr>
    <w:rPr>
      <w:rFonts w:ascii="Tms Rmn" w:hAnsi="Tms Rmn"/>
      <w:kern w:val="0"/>
      <w:sz w:val="20"/>
      <w:szCs w:val="20"/>
      <w:lang w:eastAsia="en-US"/>
    </w:rPr>
  </w:style>
  <w:style w:type="paragraph" w:customStyle="1" w:styleId="384">
    <w:name w:val="公式 Char Char"/>
    <w:basedOn w:val="1"/>
    <w:next w:val="1"/>
    <w:qFormat/>
    <w:uiPriority w:val="0"/>
    <w:pPr>
      <w:spacing w:line="440" w:lineRule="exact"/>
      <w:ind w:firstLine="630" w:firstLineChars="300"/>
      <w:jc w:val="left"/>
    </w:pPr>
    <w:rPr>
      <w:rFonts w:ascii="华文细黑" w:hAnsi="华文细黑" w:eastAsia="华文细黑" w:cs="Arial"/>
      <w:kern w:val="0"/>
      <w:sz w:val="30"/>
      <w:szCs w:val="21"/>
    </w:rPr>
  </w:style>
  <w:style w:type="paragraph" w:customStyle="1" w:styleId="385">
    <w:name w:val="0C - PS Ceda"/>
    <w:basedOn w:val="1"/>
    <w:qFormat/>
    <w:uiPriority w:val="0"/>
    <w:pPr>
      <w:widowControl/>
      <w:tabs>
        <w:tab w:val="left" w:pos="1418"/>
        <w:tab w:val="left" w:pos="6521"/>
      </w:tabs>
    </w:pPr>
    <w:rPr>
      <w:rFonts w:ascii="Arial" w:hAnsi="Arial"/>
      <w:kern w:val="0"/>
      <w:sz w:val="22"/>
      <w:szCs w:val="20"/>
      <w:lang w:val="en-GB"/>
    </w:rPr>
  </w:style>
  <w:style w:type="paragraph" w:customStyle="1" w:styleId="386">
    <w:name w:val="Char Char Char Char Char Char Char Char Char1 Char Char Char Char2"/>
    <w:basedOn w:val="1"/>
    <w:qFormat/>
    <w:uiPriority w:val="0"/>
    <w:rPr>
      <w:rFonts w:ascii="Tahoma" w:hAnsi="Tahoma"/>
      <w:sz w:val="24"/>
      <w:szCs w:val="20"/>
    </w:rPr>
  </w:style>
  <w:style w:type="paragraph" w:customStyle="1" w:styleId="387">
    <w:name w:val="p0"/>
    <w:basedOn w:val="1"/>
    <w:qFormat/>
    <w:uiPriority w:val="0"/>
    <w:pPr>
      <w:widowControl/>
    </w:pPr>
    <w:rPr>
      <w:kern w:val="0"/>
      <w:szCs w:val="21"/>
    </w:rPr>
  </w:style>
  <w:style w:type="paragraph" w:customStyle="1" w:styleId="388">
    <w:name w:val="CM1"/>
    <w:basedOn w:val="1"/>
    <w:next w:val="123"/>
    <w:qFormat/>
    <w:uiPriority w:val="0"/>
    <w:pPr>
      <w:autoSpaceDE w:val="0"/>
      <w:autoSpaceDN w:val="0"/>
      <w:adjustRightInd w:val="0"/>
      <w:jc w:val="left"/>
    </w:pPr>
    <w:rPr>
      <w:rFonts w:ascii="宋体"/>
      <w:kern w:val="0"/>
      <w:sz w:val="24"/>
    </w:rPr>
  </w:style>
  <w:style w:type="paragraph" w:customStyle="1" w:styleId="389">
    <w:name w:val="样式 样式 样式5 + 首行缩进:  2 字符 + 首行缩进:  2 字符 段前: 0.8 行 段后: 0.6 行"/>
    <w:basedOn w:val="314"/>
    <w:qFormat/>
    <w:uiPriority w:val="0"/>
    <w:pPr>
      <w:ind w:firstLine="0" w:firstLineChars="0"/>
    </w:pPr>
    <w:rPr>
      <w:rFonts w:ascii="仿宋_GB2312" w:hAnsi="仿宋" w:eastAsia="仿宋_GB2312" w:cs="Times New Roman"/>
      <w:b/>
      <w:sz w:val="20"/>
      <w:szCs w:val="20"/>
    </w:rPr>
  </w:style>
  <w:style w:type="paragraph" w:customStyle="1" w:styleId="390">
    <w:name w:val="+标题3"/>
    <w:basedOn w:val="6"/>
    <w:qFormat/>
    <w:uiPriority w:val="0"/>
    <w:pPr>
      <w:keepLines/>
      <w:tabs>
        <w:tab w:val="left" w:pos="1260"/>
        <w:tab w:val="clear" w:pos="360"/>
      </w:tabs>
      <w:spacing w:beforeLines="0" w:after="120" w:line="360" w:lineRule="auto"/>
      <w:ind w:left="1260" w:hanging="420"/>
    </w:pPr>
    <w:rPr>
      <w:rFonts w:ascii="Times New Roman" w:hAnsi="Times New Roman"/>
      <w:bCs/>
      <w:szCs w:val="28"/>
    </w:rPr>
  </w:style>
  <w:style w:type="paragraph" w:customStyle="1" w:styleId="391">
    <w:name w:val="Char Char2 Char Char Char Char Char Char Char Char Char Char Char Char Char1"/>
    <w:basedOn w:val="1"/>
    <w:qFormat/>
    <w:uiPriority w:val="0"/>
    <w:pPr>
      <w:ind w:firstLine="360" w:firstLineChars="150"/>
    </w:pPr>
    <w:rPr>
      <w:rFonts w:ascii="Tahoma" w:hAnsi="Tahoma"/>
      <w:sz w:val="24"/>
      <w:szCs w:val="20"/>
    </w:rPr>
  </w:style>
  <w:style w:type="paragraph" w:customStyle="1" w:styleId="392">
    <w:name w:val="CM53"/>
    <w:basedOn w:val="1"/>
    <w:next w:val="123"/>
    <w:qFormat/>
    <w:uiPriority w:val="0"/>
    <w:pPr>
      <w:autoSpaceDE w:val="0"/>
      <w:autoSpaceDN w:val="0"/>
      <w:adjustRightInd w:val="0"/>
      <w:spacing w:line="400" w:lineRule="atLeast"/>
      <w:jc w:val="left"/>
    </w:pPr>
    <w:rPr>
      <w:rFonts w:ascii="宋体"/>
      <w:kern w:val="0"/>
      <w:sz w:val="24"/>
    </w:rPr>
  </w:style>
  <w:style w:type="paragraph" w:customStyle="1" w:styleId="393">
    <w:name w:val="+标题4"/>
    <w:basedOn w:val="7"/>
    <w:qFormat/>
    <w:uiPriority w:val="0"/>
    <w:pPr>
      <w:keepNext/>
      <w:keepLines/>
      <w:tabs>
        <w:tab w:val="left" w:pos="1680"/>
      </w:tabs>
      <w:spacing w:before="120" w:after="120" w:line="360" w:lineRule="auto"/>
      <w:ind w:left="1680" w:hanging="420"/>
    </w:pPr>
    <w:rPr>
      <w:rFonts w:ascii="Times New Roman" w:hAnsi="Times New Roman"/>
      <w:szCs w:val="28"/>
    </w:rPr>
  </w:style>
  <w:style w:type="paragraph" w:customStyle="1" w:styleId="394">
    <w:name w:val="xl100"/>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395">
    <w:name w:val="xl39"/>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FF00FF"/>
      <w:kern w:val="0"/>
      <w:sz w:val="22"/>
      <w:szCs w:val="22"/>
    </w:rPr>
  </w:style>
  <w:style w:type="paragraph" w:customStyle="1" w:styleId="396">
    <w:name w:val="xl2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0"/>
      <w:szCs w:val="20"/>
    </w:rPr>
  </w:style>
  <w:style w:type="paragraph" w:customStyle="1" w:styleId="397">
    <w:name w:val="批注框文本 Char Char"/>
    <w:basedOn w:val="1"/>
    <w:qFormat/>
    <w:uiPriority w:val="0"/>
    <w:rPr>
      <w:sz w:val="18"/>
      <w:szCs w:val="20"/>
    </w:rPr>
  </w:style>
  <w:style w:type="paragraph" w:customStyle="1" w:styleId="398">
    <w:name w:val="Char4"/>
    <w:basedOn w:val="1"/>
    <w:qFormat/>
    <w:uiPriority w:val="0"/>
    <w:rPr>
      <w:rFonts w:ascii="Tahoma" w:hAnsi="Tahoma"/>
      <w:sz w:val="24"/>
      <w:szCs w:val="20"/>
    </w:rPr>
  </w:style>
  <w:style w:type="paragraph" w:customStyle="1" w:styleId="399">
    <w:name w:val="CM23"/>
    <w:basedOn w:val="1"/>
    <w:next w:val="123"/>
    <w:qFormat/>
    <w:uiPriority w:val="0"/>
    <w:pPr>
      <w:autoSpaceDE w:val="0"/>
      <w:autoSpaceDN w:val="0"/>
      <w:adjustRightInd w:val="0"/>
      <w:spacing w:line="398" w:lineRule="atLeast"/>
      <w:jc w:val="left"/>
    </w:pPr>
    <w:rPr>
      <w:rFonts w:ascii="宋体"/>
      <w:kern w:val="0"/>
      <w:sz w:val="24"/>
    </w:rPr>
  </w:style>
  <w:style w:type="paragraph" w:customStyle="1" w:styleId="400">
    <w:name w:val="xl64"/>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hint="eastAsia" w:ascii="楷体_GB2312" w:hAnsi="Arial Unicode MS" w:eastAsia="楷体_GB2312" w:cs="Arial Unicode MS"/>
      <w:kern w:val="0"/>
      <w:sz w:val="22"/>
      <w:szCs w:val="22"/>
    </w:rPr>
  </w:style>
  <w:style w:type="paragraph" w:customStyle="1" w:styleId="40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4"/>
    </w:rPr>
  </w:style>
  <w:style w:type="paragraph" w:customStyle="1" w:styleId="402">
    <w:name w:val="msonormalcxsplast"/>
    <w:basedOn w:val="1"/>
    <w:qFormat/>
    <w:uiPriority w:val="0"/>
    <w:pPr>
      <w:widowControl/>
      <w:spacing w:before="100" w:beforeAutospacing="1" w:after="100" w:afterAutospacing="1"/>
      <w:jc w:val="left"/>
    </w:pPr>
    <w:rPr>
      <w:rFonts w:ascii="宋体" w:hAnsi="宋体" w:cs="宋体"/>
      <w:kern w:val="0"/>
      <w:sz w:val="24"/>
    </w:rPr>
  </w:style>
  <w:style w:type="paragraph" w:customStyle="1" w:styleId="403">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04">
    <w:name w:val="封面样式2"/>
    <w:basedOn w:val="1"/>
    <w:qFormat/>
    <w:uiPriority w:val="0"/>
    <w:pPr>
      <w:spacing w:line="440" w:lineRule="exact"/>
      <w:ind w:firstLine="630" w:firstLineChars="300"/>
      <w:jc w:val="left"/>
    </w:pPr>
    <w:rPr>
      <w:rFonts w:ascii="华文细黑" w:hAnsi="华文细黑" w:cs="Arial"/>
      <w:kern w:val="0"/>
      <w:szCs w:val="21"/>
    </w:rPr>
  </w:style>
  <w:style w:type="paragraph" w:customStyle="1" w:styleId="405">
    <w:name w:val="Char Char Char Char Char Char Char Char Char Char Char Char Char Char Char Char Char Char Char Char Char Char Char Char Char Char Char Char Char Char Char"/>
    <w:basedOn w:val="1"/>
    <w:qFormat/>
    <w:uiPriority w:val="0"/>
  </w:style>
  <w:style w:type="paragraph" w:customStyle="1" w:styleId="406">
    <w:name w:val="Absatz2AL"/>
    <w:basedOn w:val="1"/>
    <w:next w:val="1"/>
    <w:qFormat/>
    <w:uiPriority w:val="0"/>
    <w:pPr>
      <w:widowControl/>
      <w:overflowPunct w:val="0"/>
      <w:autoSpaceDE w:val="0"/>
      <w:autoSpaceDN w:val="0"/>
      <w:adjustRightInd w:val="0"/>
    </w:pPr>
    <w:rPr>
      <w:rFonts w:eastAsia="楷体_GB2312"/>
      <w:kern w:val="0"/>
      <w:sz w:val="24"/>
      <w:szCs w:val="20"/>
      <w:lang w:val="de-DE"/>
    </w:rPr>
  </w:style>
  <w:style w:type="paragraph" w:customStyle="1" w:styleId="407">
    <w:name w:val="CM39"/>
    <w:basedOn w:val="1"/>
    <w:next w:val="123"/>
    <w:qFormat/>
    <w:uiPriority w:val="0"/>
    <w:pPr>
      <w:autoSpaceDE w:val="0"/>
      <w:autoSpaceDN w:val="0"/>
      <w:adjustRightInd w:val="0"/>
      <w:spacing w:line="400" w:lineRule="atLeast"/>
      <w:jc w:val="left"/>
    </w:pPr>
    <w:rPr>
      <w:rFonts w:ascii="宋体"/>
      <w:kern w:val="0"/>
      <w:sz w:val="24"/>
    </w:rPr>
  </w:style>
  <w:style w:type="paragraph" w:customStyle="1" w:styleId="408">
    <w:name w:val="Char Char Char Char Char Char1 Char Char Char Char Char Char Char Char Char1 Char Char Char Char"/>
    <w:basedOn w:val="1"/>
    <w:qFormat/>
    <w:uiPriority w:val="0"/>
  </w:style>
  <w:style w:type="paragraph" w:customStyle="1" w:styleId="409">
    <w:name w:val="CM101"/>
    <w:basedOn w:val="1"/>
    <w:next w:val="123"/>
    <w:qFormat/>
    <w:uiPriority w:val="0"/>
    <w:pPr>
      <w:autoSpaceDE w:val="0"/>
      <w:autoSpaceDN w:val="0"/>
      <w:adjustRightInd w:val="0"/>
      <w:spacing w:after="800"/>
      <w:jc w:val="left"/>
    </w:pPr>
    <w:rPr>
      <w:rFonts w:ascii="宋体"/>
      <w:kern w:val="0"/>
      <w:sz w:val="24"/>
    </w:rPr>
  </w:style>
  <w:style w:type="paragraph" w:customStyle="1" w:styleId="410">
    <w:name w:val="font9"/>
    <w:basedOn w:val="1"/>
    <w:qFormat/>
    <w:uiPriority w:val="0"/>
    <w:pPr>
      <w:widowControl/>
      <w:spacing w:before="100" w:beforeAutospacing="1" w:after="100" w:afterAutospacing="1"/>
      <w:jc w:val="left"/>
    </w:pPr>
    <w:rPr>
      <w:rFonts w:eastAsia="Arial Unicode MS"/>
      <w:kern w:val="0"/>
      <w:sz w:val="20"/>
      <w:szCs w:val="20"/>
    </w:rPr>
  </w:style>
  <w:style w:type="paragraph" w:customStyle="1" w:styleId="411">
    <w:name w:val="CM54"/>
    <w:basedOn w:val="1"/>
    <w:next w:val="123"/>
    <w:qFormat/>
    <w:uiPriority w:val="0"/>
    <w:pPr>
      <w:autoSpaceDE w:val="0"/>
      <w:autoSpaceDN w:val="0"/>
      <w:adjustRightInd w:val="0"/>
      <w:spacing w:line="398" w:lineRule="atLeast"/>
      <w:jc w:val="left"/>
    </w:pPr>
    <w:rPr>
      <w:rFonts w:ascii="宋体"/>
      <w:kern w:val="0"/>
      <w:sz w:val="24"/>
    </w:rPr>
  </w:style>
  <w:style w:type="paragraph" w:customStyle="1" w:styleId="412">
    <w:name w:val="xl59"/>
    <w:basedOn w:val="1"/>
    <w:qFormat/>
    <w:uiPriority w:val="0"/>
    <w:pPr>
      <w:widowControl/>
      <w:pBdr>
        <w:top w:val="single" w:color="auto" w:sz="8" w:space="0"/>
        <w:left w:val="single" w:color="auto" w:sz="4" w:space="0"/>
      </w:pBdr>
      <w:spacing w:before="100" w:beforeAutospacing="1" w:after="100" w:afterAutospacing="1"/>
      <w:jc w:val="center"/>
      <w:textAlignment w:val="center"/>
    </w:pPr>
    <w:rPr>
      <w:rFonts w:hint="eastAsia" w:ascii="楷体_GB2312" w:hAnsi="Arial Unicode MS" w:eastAsia="楷体_GB2312" w:cs="Arial Unicode MS"/>
      <w:kern w:val="0"/>
      <w:sz w:val="24"/>
    </w:rPr>
  </w:style>
  <w:style w:type="paragraph" w:customStyle="1" w:styleId="413">
    <w:name w:val="Char Char Char Char Char Char"/>
    <w:basedOn w:val="1"/>
    <w:qFormat/>
    <w:uiPriority w:val="0"/>
  </w:style>
  <w:style w:type="paragraph" w:customStyle="1" w:styleId="414">
    <w:name w:val="CM15"/>
    <w:basedOn w:val="1"/>
    <w:next w:val="123"/>
    <w:qFormat/>
    <w:uiPriority w:val="0"/>
    <w:pPr>
      <w:autoSpaceDE w:val="0"/>
      <w:autoSpaceDN w:val="0"/>
      <w:adjustRightInd w:val="0"/>
      <w:spacing w:line="313" w:lineRule="atLeast"/>
      <w:jc w:val="left"/>
    </w:pPr>
    <w:rPr>
      <w:rFonts w:ascii="宋体"/>
      <w:kern w:val="0"/>
      <w:sz w:val="24"/>
    </w:rPr>
  </w:style>
  <w:style w:type="paragraph" w:customStyle="1" w:styleId="415">
    <w:name w:val="目录"/>
    <w:basedOn w:val="1"/>
    <w:qFormat/>
    <w:uiPriority w:val="0"/>
    <w:pPr>
      <w:widowControl/>
      <w:jc w:val="center"/>
    </w:pPr>
    <w:rPr>
      <w:rFonts w:ascii="宋体"/>
      <w:b/>
      <w:kern w:val="0"/>
      <w:sz w:val="36"/>
      <w:szCs w:val="20"/>
    </w:rPr>
  </w:style>
  <w:style w:type="paragraph" w:customStyle="1" w:styleId="416">
    <w:name w:val="样式3"/>
    <w:basedOn w:val="5"/>
    <w:qFormat/>
    <w:uiPriority w:val="0"/>
    <w:pPr>
      <w:keepNext w:val="0"/>
      <w:widowControl/>
      <w:tabs>
        <w:tab w:val="left" w:pos="0"/>
        <w:tab w:val="clear" w:pos="840"/>
      </w:tabs>
      <w:spacing w:beforeLines="0" w:after="120" w:line="500" w:lineRule="atLeast"/>
      <w:ind w:left="0" w:firstLine="720" w:firstLineChars="300"/>
      <w:jc w:val="left"/>
    </w:pPr>
    <w:rPr>
      <w:rFonts w:ascii="Times New Roman" w:hAnsi="Times New Roman" w:eastAsia="黑体"/>
      <w:b w:val="0"/>
      <w:bCs w:val="0"/>
      <w:kern w:val="0"/>
    </w:rPr>
  </w:style>
  <w:style w:type="paragraph" w:customStyle="1" w:styleId="417">
    <w:name w:val="CM72"/>
    <w:basedOn w:val="1"/>
    <w:next w:val="123"/>
    <w:qFormat/>
    <w:uiPriority w:val="0"/>
    <w:pPr>
      <w:autoSpaceDE w:val="0"/>
      <w:autoSpaceDN w:val="0"/>
      <w:adjustRightInd w:val="0"/>
      <w:jc w:val="left"/>
    </w:pPr>
    <w:rPr>
      <w:rFonts w:ascii="宋体"/>
      <w:kern w:val="0"/>
      <w:sz w:val="24"/>
    </w:rPr>
  </w:style>
  <w:style w:type="paragraph" w:customStyle="1" w:styleId="418">
    <w:name w:val="Char Char Char Char1 Char Char"/>
    <w:basedOn w:val="1"/>
    <w:qFormat/>
    <w:uiPriority w:val="0"/>
  </w:style>
  <w:style w:type="paragraph" w:customStyle="1" w:styleId="419">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楷体_GB2312" w:hAnsi="Arial Unicode MS" w:eastAsia="楷体_GB2312" w:cs="Arial Unicode MS"/>
      <w:kern w:val="0"/>
      <w:sz w:val="24"/>
    </w:rPr>
  </w:style>
  <w:style w:type="paragraph" w:customStyle="1" w:styleId="420">
    <w:name w:val="he"/>
    <w:basedOn w:val="1"/>
    <w:next w:val="1"/>
    <w:qFormat/>
    <w:uiPriority w:val="0"/>
    <w:pPr>
      <w:keepNext/>
      <w:keepLines/>
      <w:tabs>
        <w:tab w:val="left" w:pos="1080"/>
      </w:tabs>
      <w:spacing w:line="360" w:lineRule="auto"/>
      <w:ind w:left="1080" w:hanging="1080"/>
    </w:pPr>
    <w:rPr>
      <w:rFonts w:ascii="Arial" w:hAnsi="Arial" w:cs="Arial"/>
      <w:sz w:val="28"/>
      <w:szCs w:val="28"/>
    </w:rPr>
  </w:style>
  <w:style w:type="paragraph" w:customStyle="1" w:styleId="421">
    <w:name w:val="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22">
    <w:name w:val="落款"/>
    <w:basedOn w:val="1"/>
    <w:qFormat/>
    <w:uiPriority w:val="0"/>
    <w:pPr>
      <w:spacing w:line="440" w:lineRule="exact"/>
      <w:ind w:firstLine="630" w:firstLineChars="300"/>
      <w:jc w:val="left"/>
    </w:pPr>
    <w:rPr>
      <w:rFonts w:ascii="华文细黑" w:hAnsi="华文细黑" w:cs="Arial"/>
      <w:kern w:val="0"/>
      <w:szCs w:val="21"/>
    </w:rPr>
  </w:style>
  <w:style w:type="paragraph" w:customStyle="1" w:styleId="423">
    <w:name w:val="Char12"/>
    <w:basedOn w:val="1"/>
    <w:qFormat/>
    <w:uiPriority w:val="0"/>
  </w:style>
  <w:style w:type="paragraph" w:customStyle="1" w:styleId="424">
    <w:name w:val="项标题"/>
    <w:basedOn w:val="1"/>
    <w:qFormat/>
    <w:uiPriority w:val="0"/>
    <w:pPr>
      <w:keepNext/>
      <w:adjustRightInd w:val="0"/>
      <w:snapToGrid w:val="0"/>
      <w:spacing w:before="240" w:after="240" w:line="360" w:lineRule="auto"/>
      <w:jc w:val="center"/>
      <w:outlineLvl w:val="0"/>
    </w:pPr>
    <w:rPr>
      <w:b/>
      <w:bCs/>
      <w:snapToGrid w:val="0"/>
      <w:kern w:val="0"/>
      <w:sz w:val="44"/>
      <w:szCs w:val="44"/>
    </w:rPr>
  </w:style>
  <w:style w:type="paragraph" w:customStyle="1" w:styleId="42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楷体_GB2312" w:hAnsi="Arial Unicode MS" w:eastAsia="楷体_GB2312" w:cs="Arial Unicode MS"/>
      <w:kern w:val="0"/>
      <w:sz w:val="20"/>
      <w:szCs w:val="20"/>
    </w:rPr>
  </w:style>
  <w:style w:type="paragraph" w:customStyle="1" w:styleId="426">
    <w:name w:val="CM48"/>
    <w:basedOn w:val="1"/>
    <w:next w:val="123"/>
    <w:qFormat/>
    <w:uiPriority w:val="0"/>
    <w:pPr>
      <w:autoSpaceDE w:val="0"/>
      <w:autoSpaceDN w:val="0"/>
      <w:adjustRightInd w:val="0"/>
      <w:spacing w:line="540" w:lineRule="atLeast"/>
      <w:jc w:val="left"/>
    </w:pPr>
    <w:rPr>
      <w:rFonts w:ascii="宋体"/>
      <w:kern w:val="0"/>
      <w:sz w:val="24"/>
    </w:rPr>
  </w:style>
  <w:style w:type="paragraph" w:customStyle="1" w:styleId="427">
    <w:name w:val="xl8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kern w:val="0"/>
      <w:sz w:val="24"/>
    </w:rPr>
  </w:style>
  <w:style w:type="paragraph" w:customStyle="1" w:styleId="428">
    <w:name w:val="xl82"/>
    <w:basedOn w:val="1"/>
    <w:qFormat/>
    <w:uiPriority w:val="0"/>
    <w:pPr>
      <w:widowControl/>
      <w:pBdr>
        <w:top w:val="single" w:color="auto" w:sz="4" w:space="0"/>
        <w:left w:val="single" w:color="auto" w:sz="4" w:space="0"/>
        <w:right w:val="single" w:color="auto" w:sz="8" w:space="0"/>
      </w:pBdr>
      <w:spacing w:before="100" w:beforeAutospacing="1" w:after="100" w:afterAutospacing="1"/>
      <w:jc w:val="left"/>
    </w:pPr>
    <w:rPr>
      <w:rFonts w:eastAsia="Arial Unicode MS"/>
      <w:kern w:val="0"/>
      <w:sz w:val="24"/>
    </w:rPr>
  </w:style>
  <w:style w:type="paragraph" w:customStyle="1" w:styleId="429">
    <w:name w:val="标题 1+ 黑体"/>
    <w:basedOn w:val="1"/>
    <w:qFormat/>
    <w:uiPriority w:val="0"/>
    <w:pPr>
      <w:spacing w:before="240" w:after="60"/>
      <w:jc w:val="center"/>
      <w:outlineLvl w:val="0"/>
    </w:pPr>
    <w:rPr>
      <w:rFonts w:ascii="黑体" w:hAnsi="Arial" w:eastAsia="黑体" w:cs="Arial"/>
      <w:b/>
      <w:bCs/>
      <w:sz w:val="32"/>
      <w:szCs w:val="32"/>
    </w:rPr>
  </w:style>
  <w:style w:type="paragraph" w:customStyle="1" w:styleId="430">
    <w:name w:val="xl63"/>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pPr>
    <w:rPr>
      <w:rFonts w:hint="eastAsia" w:ascii="楷体_GB2312" w:hAnsi="Arial Unicode MS" w:eastAsia="楷体_GB2312" w:cs="Arial Unicode MS"/>
      <w:kern w:val="0"/>
      <w:sz w:val="22"/>
      <w:szCs w:val="22"/>
    </w:rPr>
  </w:style>
  <w:style w:type="paragraph" w:customStyle="1" w:styleId="431">
    <w:name w:val="第三行"/>
    <w:basedOn w:val="1"/>
    <w:qFormat/>
    <w:uiPriority w:val="0"/>
    <w:pPr>
      <w:spacing w:beforeLines="200" w:line="360" w:lineRule="auto"/>
      <w:jc w:val="center"/>
    </w:pPr>
    <w:rPr>
      <w:rFonts w:ascii="楷体_GB2312" w:eastAsia="楷体_GB2312"/>
      <w:b/>
      <w:bCs/>
      <w:sz w:val="48"/>
      <w:szCs w:val="48"/>
    </w:rPr>
  </w:style>
  <w:style w:type="paragraph" w:customStyle="1" w:styleId="432">
    <w:name w:val="Char3"/>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33">
    <w:name w:val="强调文字"/>
    <w:basedOn w:val="1"/>
    <w:qFormat/>
    <w:uiPriority w:val="0"/>
    <w:pPr>
      <w:spacing w:line="440" w:lineRule="exact"/>
      <w:ind w:firstLine="480" w:firstLineChars="200"/>
    </w:pPr>
    <w:rPr>
      <w:rFonts w:ascii="华文细黑" w:hAnsi="华文细黑" w:eastAsia="黑体" w:cs="Arial"/>
      <w:kern w:val="0"/>
      <w:sz w:val="24"/>
      <w:szCs w:val="28"/>
    </w:rPr>
  </w:style>
  <w:style w:type="paragraph" w:customStyle="1" w:styleId="434">
    <w:name w:val="Char Char Char Char Char Char Char Char Char Char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35">
    <w:name w:val="CM77"/>
    <w:basedOn w:val="1"/>
    <w:next w:val="123"/>
    <w:qFormat/>
    <w:uiPriority w:val="0"/>
    <w:pPr>
      <w:autoSpaceDE w:val="0"/>
      <w:autoSpaceDN w:val="0"/>
      <w:adjustRightInd w:val="0"/>
      <w:spacing w:line="400" w:lineRule="atLeast"/>
      <w:jc w:val="left"/>
    </w:pPr>
    <w:rPr>
      <w:rFonts w:ascii="宋体"/>
      <w:kern w:val="0"/>
      <w:sz w:val="24"/>
    </w:rPr>
  </w:style>
  <w:style w:type="paragraph" w:customStyle="1" w:styleId="436">
    <w:name w:val="日期11"/>
    <w:basedOn w:val="1"/>
    <w:next w:val="1"/>
    <w:qFormat/>
    <w:uiPriority w:val="0"/>
    <w:pPr>
      <w:adjustRightInd w:val="0"/>
      <w:spacing w:line="312" w:lineRule="atLeast"/>
      <w:textAlignment w:val="baseline"/>
    </w:pPr>
    <w:rPr>
      <w:kern w:val="0"/>
      <w:sz w:val="24"/>
      <w:szCs w:val="20"/>
    </w:rPr>
  </w:style>
  <w:style w:type="paragraph" w:customStyle="1" w:styleId="437">
    <w:name w:val="正文部分"/>
    <w:basedOn w:val="1"/>
    <w:qFormat/>
    <w:uiPriority w:val="0"/>
    <w:pPr>
      <w:spacing w:line="500" w:lineRule="exact"/>
      <w:ind w:firstLine="480" w:firstLineChars="200"/>
      <w:jc w:val="left"/>
      <w:textAlignment w:val="center"/>
    </w:pPr>
    <w:rPr>
      <w:rFonts w:ascii="华文细黑" w:hAnsi="华文细黑"/>
      <w:sz w:val="24"/>
      <w:szCs w:val="20"/>
    </w:rPr>
  </w:style>
  <w:style w:type="paragraph" w:customStyle="1" w:styleId="438">
    <w:name w:val="CM33"/>
    <w:basedOn w:val="1"/>
    <w:next w:val="123"/>
    <w:qFormat/>
    <w:uiPriority w:val="0"/>
    <w:pPr>
      <w:autoSpaceDE w:val="0"/>
      <w:autoSpaceDN w:val="0"/>
      <w:adjustRightInd w:val="0"/>
      <w:jc w:val="left"/>
    </w:pPr>
    <w:rPr>
      <w:rFonts w:ascii="宋体"/>
      <w:kern w:val="0"/>
      <w:sz w:val="24"/>
    </w:rPr>
  </w:style>
  <w:style w:type="paragraph" w:customStyle="1" w:styleId="439">
    <w:name w:val="CM31"/>
    <w:basedOn w:val="1"/>
    <w:next w:val="123"/>
    <w:qFormat/>
    <w:uiPriority w:val="0"/>
    <w:pPr>
      <w:autoSpaceDE w:val="0"/>
      <w:autoSpaceDN w:val="0"/>
      <w:adjustRightInd w:val="0"/>
      <w:spacing w:line="400" w:lineRule="atLeast"/>
      <w:jc w:val="left"/>
    </w:pPr>
    <w:rPr>
      <w:rFonts w:ascii="宋体"/>
      <w:kern w:val="0"/>
      <w:sz w:val="24"/>
    </w:rPr>
  </w:style>
  <w:style w:type="paragraph" w:customStyle="1" w:styleId="440">
    <w:name w:val="一级标题"/>
    <w:basedOn w:val="1"/>
    <w:qFormat/>
    <w:uiPriority w:val="0"/>
    <w:pPr>
      <w:widowControl/>
      <w:snapToGrid w:val="0"/>
      <w:spacing w:line="360" w:lineRule="auto"/>
      <w:jc w:val="center"/>
    </w:pPr>
    <w:rPr>
      <w:b/>
      <w:sz w:val="32"/>
    </w:rPr>
  </w:style>
  <w:style w:type="paragraph" w:customStyle="1" w:styleId="441">
    <w:name w:val="_Style 397"/>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42">
    <w:name w:val="样式 样式 样式 宋体 小四 黑色 两端对齐 + 首行缩进:  2 字符 + 五号 首行缩进:  2 字符"/>
    <w:basedOn w:val="1"/>
    <w:qFormat/>
    <w:uiPriority w:val="0"/>
    <w:pPr>
      <w:widowControl/>
      <w:spacing w:line="340" w:lineRule="exact"/>
      <w:ind w:firstLine="200" w:firstLineChars="200"/>
    </w:pPr>
    <w:rPr>
      <w:rFonts w:ascii="宋体" w:hAnsi="宋体"/>
      <w:color w:val="000000"/>
      <w:kern w:val="0"/>
      <w:szCs w:val="20"/>
    </w:rPr>
  </w:style>
  <w:style w:type="paragraph" w:customStyle="1" w:styleId="443">
    <w:name w:val="xl7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int="eastAsia" w:ascii="楷体_GB2312" w:hAnsi="Arial Unicode MS" w:eastAsia="楷体_GB2312" w:cs="Arial Unicode MS"/>
      <w:kern w:val="0"/>
      <w:sz w:val="22"/>
      <w:szCs w:val="22"/>
    </w:rPr>
  </w:style>
  <w:style w:type="paragraph" w:customStyle="1" w:styleId="444">
    <w:name w:val="_Style 137"/>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5">
    <w:name w:val="强调文字(用于标题)"/>
    <w:basedOn w:val="1"/>
    <w:qFormat/>
    <w:uiPriority w:val="0"/>
    <w:pPr>
      <w:keepNext/>
      <w:keepLines/>
      <w:spacing w:beforeLines="100" w:afterLines="100" w:line="440" w:lineRule="exact"/>
      <w:jc w:val="center"/>
    </w:pPr>
    <w:rPr>
      <w:rFonts w:ascii="黑体" w:hAnsi="华文细黑" w:eastAsia="黑体" w:cs="Arial"/>
      <w:bCs/>
      <w:kern w:val="0"/>
      <w:sz w:val="24"/>
      <w:szCs w:val="44"/>
    </w:rPr>
  </w:style>
  <w:style w:type="paragraph" w:customStyle="1" w:styleId="446">
    <w:name w:val="Char2"/>
    <w:basedOn w:val="1"/>
    <w:qFormat/>
    <w:uiPriority w:val="0"/>
    <w:pPr>
      <w:ind w:left="432" w:hanging="432"/>
    </w:pPr>
    <w:rPr>
      <w:sz w:val="24"/>
    </w:rPr>
  </w:style>
  <w:style w:type="paragraph" w:customStyle="1" w:styleId="447">
    <w:name w:val="表标题"/>
    <w:basedOn w:val="1"/>
    <w:qFormat/>
    <w:uiPriority w:val="0"/>
    <w:pPr>
      <w:widowControl/>
      <w:spacing w:beforeLines="100" w:line="280" w:lineRule="exact"/>
      <w:ind w:firstLine="50" w:firstLineChars="50"/>
      <w:jc w:val="left"/>
    </w:pPr>
    <w:rPr>
      <w:rFonts w:eastAsia="黑体"/>
      <w:kern w:val="0"/>
      <w:sz w:val="24"/>
    </w:rPr>
  </w:style>
  <w:style w:type="paragraph" w:customStyle="1" w:styleId="448">
    <w:name w:val="+正文"/>
    <w:basedOn w:val="1"/>
    <w:qFormat/>
    <w:uiPriority w:val="0"/>
    <w:pPr>
      <w:spacing w:line="360" w:lineRule="auto"/>
      <w:ind w:firstLine="200" w:firstLineChars="200"/>
    </w:pPr>
    <w:rPr>
      <w:sz w:val="24"/>
      <w:szCs w:val="28"/>
    </w:rPr>
  </w:style>
  <w:style w:type="paragraph" w:customStyle="1" w:styleId="449">
    <w:name w:val="xl33"/>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450">
    <w:name w:val="xl83"/>
    <w:basedOn w:val="1"/>
    <w:qFormat/>
    <w:uiPriority w:val="0"/>
    <w:pPr>
      <w:widowControl/>
      <w:pBdr>
        <w:left w:val="single" w:color="auto" w:sz="4" w:space="0"/>
        <w:bottom w:val="single" w:color="auto" w:sz="8" w:space="0"/>
        <w:right w:val="single" w:color="auto" w:sz="4" w:space="0"/>
      </w:pBdr>
      <w:spacing w:before="100" w:beforeAutospacing="1" w:after="100" w:afterAutospacing="1"/>
      <w:jc w:val="left"/>
    </w:pPr>
    <w:rPr>
      <w:rFonts w:eastAsia="Arial Unicode MS"/>
      <w:kern w:val="0"/>
      <w:sz w:val="22"/>
      <w:szCs w:val="22"/>
    </w:rPr>
  </w:style>
  <w:style w:type="paragraph" w:customStyle="1" w:styleId="451">
    <w:name w:val="AutoCorrect"/>
    <w:qFormat/>
    <w:uiPriority w:val="0"/>
    <w:pPr>
      <w:widowControl w:val="0"/>
    </w:pPr>
    <w:rPr>
      <w:rFonts w:ascii="Times New Roman" w:hAnsi="Times New Roman" w:eastAsia="PMingLiU" w:cs="Times New Roman"/>
      <w:kern w:val="2"/>
      <w:sz w:val="24"/>
      <w:lang w:val="en-US" w:eastAsia="zh-TW" w:bidi="ar-SA"/>
    </w:rPr>
  </w:style>
  <w:style w:type="paragraph" w:customStyle="1" w:styleId="452">
    <w:name w:val="legal 2"/>
    <w:basedOn w:val="1"/>
    <w:next w:val="123"/>
    <w:qFormat/>
    <w:uiPriority w:val="0"/>
    <w:pPr>
      <w:autoSpaceDE w:val="0"/>
      <w:autoSpaceDN w:val="0"/>
      <w:adjustRightInd w:val="0"/>
      <w:spacing w:after="120"/>
      <w:jc w:val="left"/>
    </w:pPr>
    <w:rPr>
      <w:rFonts w:ascii="宋体"/>
      <w:kern w:val="0"/>
      <w:sz w:val="24"/>
    </w:rPr>
  </w:style>
  <w:style w:type="paragraph" w:customStyle="1" w:styleId="453">
    <w:name w:val="CM20"/>
    <w:basedOn w:val="1"/>
    <w:next w:val="123"/>
    <w:qFormat/>
    <w:uiPriority w:val="0"/>
    <w:pPr>
      <w:autoSpaceDE w:val="0"/>
      <w:autoSpaceDN w:val="0"/>
      <w:adjustRightInd w:val="0"/>
      <w:spacing w:line="400" w:lineRule="atLeast"/>
      <w:jc w:val="left"/>
    </w:pPr>
    <w:rPr>
      <w:rFonts w:ascii="宋体"/>
      <w:kern w:val="0"/>
      <w:sz w:val="24"/>
    </w:rPr>
  </w:style>
  <w:style w:type="paragraph" w:customStyle="1" w:styleId="454">
    <w:name w:val="样式 正文文本缩进 + 首行缩进:  2 字符"/>
    <w:basedOn w:val="31"/>
    <w:qFormat/>
    <w:uiPriority w:val="0"/>
    <w:pPr>
      <w:widowControl w:val="0"/>
      <w:tabs>
        <w:tab w:val="left" w:pos="9016"/>
      </w:tabs>
      <w:overflowPunct/>
      <w:autoSpaceDE/>
      <w:autoSpaceDN/>
      <w:adjustRightInd/>
      <w:spacing w:line="500" w:lineRule="exact"/>
      <w:ind w:firstLine="480" w:firstLineChars="200"/>
      <w:jc w:val="left"/>
      <w:textAlignment w:val="auto"/>
    </w:pPr>
    <w:rPr>
      <w:rFonts w:ascii="Times New Roman" w:hAnsi="Times New Roman" w:cs="宋体"/>
      <w:spacing w:val="0"/>
      <w:szCs w:val="24"/>
    </w:rPr>
  </w:style>
  <w:style w:type="paragraph" w:customStyle="1" w:styleId="455">
    <w:name w:val="Char Char Char1"/>
    <w:basedOn w:val="1"/>
    <w:qFormat/>
    <w:uiPriority w:val="0"/>
    <w:pPr>
      <w:ind w:left="432" w:hanging="432"/>
    </w:pPr>
    <w:rPr>
      <w:sz w:val="24"/>
    </w:rPr>
  </w:style>
  <w:style w:type="paragraph" w:customStyle="1" w:styleId="456">
    <w:name w:val="CM89"/>
    <w:basedOn w:val="1"/>
    <w:next w:val="123"/>
    <w:qFormat/>
    <w:uiPriority w:val="0"/>
    <w:pPr>
      <w:autoSpaceDE w:val="0"/>
      <w:autoSpaceDN w:val="0"/>
      <w:adjustRightInd w:val="0"/>
      <w:spacing w:line="440" w:lineRule="atLeast"/>
      <w:jc w:val="left"/>
    </w:pPr>
    <w:rPr>
      <w:rFonts w:ascii="宋体"/>
      <w:kern w:val="0"/>
      <w:sz w:val="24"/>
    </w:rPr>
  </w:style>
  <w:style w:type="paragraph" w:customStyle="1" w:styleId="457">
    <w:name w:val="Char Char Char Char Char Char1 Char Char"/>
    <w:basedOn w:val="1"/>
    <w:qFormat/>
    <w:uiPriority w:val="0"/>
  </w:style>
  <w:style w:type="paragraph" w:customStyle="1" w:styleId="458">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459">
    <w:name w:val="Char Char Char Char Char Char Char Char Char Char Char Char Char Char Char"/>
    <w:basedOn w:val="1"/>
    <w:qFormat/>
    <w:uiPriority w:val="0"/>
    <w:pPr>
      <w:spacing w:line="240" w:lineRule="atLeast"/>
      <w:ind w:left="420" w:firstLine="420"/>
    </w:pPr>
    <w:rPr>
      <w:kern w:val="0"/>
      <w:szCs w:val="21"/>
    </w:rPr>
  </w:style>
  <w:style w:type="paragraph" w:customStyle="1" w:styleId="460">
    <w:name w:val="样式 第五行 + 左侧:  -8 字符 段前: 2 行1"/>
    <w:basedOn w:val="249"/>
    <w:qFormat/>
    <w:uiPriority w:val="0"/>
    <w:pPr>
      <w:ind w:left="-300" w:leftChars="-300"/>
    </w:pPr>
    <w:rPr>
      <w:szCs w:val="20"/>
    </w:rPr>
  </w:style>
  <w:style w:type="paragraph" w:customStyle="1" w:styleId="461">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462">
    <w:name w:val="xl78"/>
    <w:basedOn w:val="1"/>
    <w:qFormat/>
    <w:uiPriority w:val="0"/>
    <w:pPr>
      <w:widowControl/>
      <w:pBdr>
        <w:left w:val="single" w:color="auto" w:sz="4" w:space="0"/>
        <w:bottom w:val="single" w:color="auto" w:sz="8" w:space="0"/>
      </w:pBdr>
      <w:spacing w:before="100" w:beforeAutospacing="1" w:after="100" w:afterAutospacing="1"/>
      <w:jc w:val="center"/>
    </w:pPr>
    <w:rPr>
      <w:rFonts w:eastAsia="Arial Unicode MS"/>
      <w:kern w:val="0"/>
      <w:sz w:val="24"/>
    </w:rPr>
  </w:style>
  <w:style w:type="paragraph" w:customStyle="1" w:styleId="46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FF"/>
      <w:kern w:val="0"/>
      <w:sz w:val="22"/>
      <w:szCs w:val="22"/>
    </w:rPr>
  </w:style>
  <w:style w:type="paragraph" w:customStyle="1" w:styleId="464">
    <w:name w:val="CM99"/>
    <w:basedOn w:val="1"/>
    <w:next w:val="123"/>
    <w:qFormat/>
    <w:uiPriority w:val="0"/>
    <w:pPr>
      <w:autoSpaceDE w:val="0"/>
      <w:autoSpaceDN w:val="0"/>
      <w:adjustRightInd w:val="0"/>
      <w:spacing w:after="443"/>
      <w:jc w:val="left"/>
    </w:pPr>
    <w:rPr>
      <w:rFonts w:ascii="宋体"/>
      <w:kern w:val="0"/>
      <w:sz w:val="24"/>
    </w:rPr>
  </w:style>
  <w:style w:type="paragraph" w:customStyle="1" w:styleId="465">
    <w:name w:val="表格"/>
    <w:basedOn w:val="1"/>
    <w:qFormat/>
    <w:uiPriority w:val="0"/>
    <w:pPr>
      <w:spacing w:line="240" w:lineRule="atLeast"/>
      <w:jc w:val="center"/>
      <w:textAlignment w:val="center"/>
    </w:pPr>
    <w:rPr>
      <w:rFonts w:ascii="宋体" w:hAnsi="宋体" w:cs="Arial"/>
      <w:kern w:val="0"/>
      <w:sz w:val="24"/>
      <w:szCs w:val="20"/>
    </w:rPr>
  </w:style>
  <w:style w:type="paragraph" w:customStyle="1" w:styleId="466">
    <w:name w:val="xl60"/>
    <w:basedOn w:val="1"/>
    <w:qFormat/>
    <w:uiPriority w:val="0"/>
    <w:pPr>
      <w:widowControl/>
      <w:pBdr>
        <w:top w:val="single" w:color="auto" w:sz="8" w:space="0"/>
        <w:left w:val="single" w:color="auto" w:sz="4" w:space="0"/>
        <w:right w:val="single" w:color="auto" w:sz="8" w:space="0"/>
      </w:pBdr>
      <w:spacing w:before="100" w:beforeAutospacing="1" w:after="100" w:afterAutospacing="1"/>
      <w:jc w:val="center"/>
      <w:textAlignment w:val="center"/>
    </w:pPr>
    <w:rPr>
      <w:rFonts w:hint="eastAsia" w:ascii="楷体_GB2312" w:hAnsi="Arial Unicode MS" w:eastAsia="楷体_GB2312" w:cs="Arial Unicode MS"/>
      <w:kern w:val="0"/>
      <w:sz w:val="24"/>
    </w:rPr>
  </w:style>
  <w:style w:type="paragraph" w:customStyle="1" w:styleId="467">
    <w:name w:val="CM91"/>
    <w:basedOn w:val="1"/>
    <w:next w:val="123"/>
    <w:qFormat/>
    <w:uiPriority w:val="0"/>
    <w:pPr>
      <w:autoSpaceDE w:val="0"/>
      <w:autoSpaceDN w:val="0"/>
      <w:adjustRightInd w:val="0"/>
      <w:spacing w:after="160"/>
      <w:jc w:val="left"/>
    </w:pPr>
    <w:rPr>
      <w:rFonts w:ascii="宋体"/>
      <w:kern w:val="0"/>
      <w:sz w:val="24"/>
    </w:rPr>
  </w:style>
  <w:style w:type="paragraph" w:customStyle="1" w:styleId="468">
    <w:name w:val="xl65"/>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left"/>
    </w:pPr>
    <w:rPr>
      <w:rFonts w:hint="eastAsia" w:ascii="楷体_GB2312" w:hAnsi="Arial Unicode MS" w:eastAsia="楷体_GB2312" w:cs="Arial Unicode MS"/>
      <w:kern w:val="0"/>
      <w:sz w:val="22"/>
      <w:szCs w:val="22"/>
    </w:rPr>
  </w:style>
  <w:style w:type="paragraph" w:customStyle="1" w:styleId="469">
    <w:name w:val="Char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70">
    <w:name w:val="CM97"/>
    <w:basedOn w:val="1"/>
    <w:next w:val="123"/>
    <w:qFormat/>
    <w:uiPriority w:val="0"/>
    <w:pPr>
      <w:autoSpaceDE w:val="0"/>
      <w:autoSpaceDN w:val="0"/>
      <w:adjustRightInd w:val="0"/>
      <w:spacing w:after="373"/>
      <w:jc w:val="left"/>
    </w:pPr>
    <w:rPr>
      <w:rFonts w:ascii="宋体"/>
      <w:kern w:val="0"/>
      <w:sz w:val="24"/>
    </w:rPr>
  </w:style>
  <w:style w:type="paragraph" w:customStyle="1" w:styleId="47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472">
    <w:name w:val="Char1 Char Char Char Char Char Char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7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FF00FF"/>
      <w:kern w:val="0"/>
      <w:sz w:val="22"/>
      <w:szCs w:val="22"/>
    </w:rPr>
  </w:style>
  <w:style w:type="paragraph" w:customStyle="1" w:styleId="474">
    <w:name w:val="xl76"/>
    <w:basedOn w:val="1"/>
    <w:qFormat/>
    <w:uiPriority w:val="0"/>
    <w:pPr>
      <w:widowControl/>
      <w:pBdr>
        <w:left w:val="single" w:color="auto" w:sz="8" w:space="0"/>
        <w:bottom w:val="single" w:color="auto" w:sz="8" w:space="0"/>
        <w:right w:val="single" w:color="auto" w:sz="4" w:space="0"/>
      </w:pBdr>
      <w:spacing w:before="100" w:beforeAutospacing="1" w:after="100" w:afterAutospacing="1"/>
      <w:jc w:val="left"/>
    </w:pPr>
    <w:rPr>
      <w:rFonts w:eastAsia="Arial Unicode MS"/>
      <w:kern w:val="0"/>
      <w:sz w:val="24"/>
    </w:rPr>
  </w:style>
  <w:style w:type="paragraph" w:customStyle="1" w:styleId="475">
    <w:name w:val="Char1"/>
    <w:basedOn w:val="1"/>
    <w:qFormat/>
    <w:uiPriority w:val="0"/>
  </w:style>
  <w:style w:type="paragraph" w:customStyle="1" w:styleId="476">
    <w:name w:val="Char1 Char Char Char 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77">
    <w:name w:val="Char Char Char Char Char Char1"/>
    <w:basedOn w:val="1"/>
    <w:qFormat/>
    <w:uiPriority w:val="0"/>
  </w:style>
  <w:style w:type="paragraph" w:customStyle="1" w:styleId="478">
    <w:name w:val="封面字体1"/>
    <w:basedOn w:val="1"/>
    <w:qFormat/>
    <w:uiPriority w:val="0"/>
    <w:pPr>
      <w:spacing w:line="240" w:lineRule="atLeast"/>
      <w:jc w:val="left"/>
    </w:pPr>
    <w:rPr>
      <w:rFonts w:ascii="华文细黑" w:hAnsi="华文细黑" w:cs="Arial"/>
      <w:b/>
      <w:bCs/>
      <w:spacing w:val="100"/>
      <w:kern w:val="0"/>
      <w:sz w:val="44"/>
      <w:szCs w:val="21"/>
    </w:rPr>
  </w:style>
  <w:style w:type="paragraph" w:customStyle="1" w:styleId="479">
    <w:name w:val="TOC 标题1"/>
    <w:basedOn w:val="4"/>
    <w:next w:val="1"/>
    <w:qFormat/>
    <w:uiPriority w:val="0"/>
    <w:pPr>
      <w:widowControl/>
      <w:spacing w:beforeLines="0" w:afterLines="0" w:line="276" w:lineRule="auto"/>
      <w:ind w:left="0"/>
      <w:jc w:val="left"/>
      <w:outlineLvl w:val="9"/>
    </w:pPr>
    <w:rPr>
      <w:rFonts w:ascii="Cambria" w:hAnsi="Cambria"/>
      <w:color w:val="365F91"/>
      <w:kern w:val="0"/>
      <w:sz w:val="28"/>
      <w:szCs w:val="28"/>
    </w:rPr>
  </w:style>
  <w:style w:type="paragraph" w:customStyle="1" w:styleId="480">
    <w:name w:val="Char2 Char Char Char Char Char Char"/>
    <w:basedOn w:val="1"/>
    <w:qFormat/>
    <w:uiPriority w:val="0"/>
    <w:pPr>
      <w:shd w:val="clear" w:color="auto" w:fill="000080"/>
    </w:pPr>
    <w:rPr>
      <w:rFonts w:ascii="Tahoma" w:hAnsi="Tahoma"/>
      <w:sz w:val="24"/>
    </w:rPr>
  </w:style>
  <w:style w:type="paragraph" w:customStyle="1" w:styleId="481">
    <w:name w:val="样式 标题 2 + Times New Roman 四号 非加粗 段前: 5 磅 段后: 0 磅 行距: 固定值 20..."/>
    <w:basedOn w:val="5"/>
    <w:qFormat/>
    <w:uiPriority w:val="0"/>
    <w:pPr>
      <w:keepLines/>
      <w:tabs>
        <w:tab w:val="clear" w:pos="840"/>
      </w:tabs>
      <w:spacing w:beforeLines="0" w:line="400" w:lineRule="exact"/>
      <w:ind w:left="0" w:firstLine="0"/>
    </w:pPr>
    <w:rPr>
      <w:rFonts w:ascii="Times New Roman" w:hAnsi="Times New Roman" w:eastAsia="黑体"/>
      <w:b w:val="0"/>
      <w:bCs w:val="0"/>
      <w:sz w:val="28"/>
      <w:szCs w:val="20"/>
    </w:rPr>
  </w:style>
  <w:style w:type="paragraph" w:customStyle="1" w:styleId="482">
    <w:name w:val="xl37"/>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483">
    <w:name w:val="合同落款"/>
    <w:basedOn w:val="1"/>
    <w:qFormat/>
    <w:uiPriority w:val="0"/>
    <w:pPr>
      <w:spacing w:line="240" w:lineRule="atLeast"/>
    </w:pPr>
    <w:rPr>
      <w:rFonts w:ascii="华文细黑" w:hAnsi="华文细黑" w:eastAsia="楷体_GB2312" w:cs="Arial"/>
      <w:spacing w:val="-18"/>
      <w:kern w:val="0"/>
      <w:sz w:val="32"/>
      <w:szCs w:val="32"/>
    </w:rPr>
  </w:style>
  <w:style w:type="paragraph" w:customStyle="1" w:styleId="484">
    <w:name w:val="xl35"/>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485">
    <w:name w:val="Char Char Char Char Char Char Char Char Char Char Char Char Char Char Char Char Char Char Char"/>
    <w:basedOn w:val="1"/>
    <w:qFormat/>
    <w:uiPriority w:val="0"/>
    <w:pPr>
      <w:spacing w:line="240" w:lineRule="atLeast"/>
      <w:ind w:left="420" w:firstLine="420"/>
    </w:pPr>
    <w:rPr>
      <w:kern w:val="0"/>
      <w:szCs w:val="21"/>
    </w:rPr>
  </w:style>
  <w:style w:type="paragraph" w:customStyle="1" w:styleId="486">
    <w:name w:val="CM103"/>
    <w:basedOn w:val="1"/>
    <w:next w:val="123"/>
    <w:qFormat/>
    <w:uiPriority w:val="0"/>
    <w:pPr>
      <w:autoSpaceDE w:val="0"/>
      <w:autoSpaceDN w:val="0"/>
      <w:adjustRightInd w:val="0"/>
      <w:spacing w:after="1508"/>
      <w:jc w:val="left"/>
    </w:pPr>
    <w:rPr>
      <w:rFonts w:ascii="宋体"/>
      <w:kern w:val="0"/>
      <w:sz w:val="24"/>
    </w:rPr>
  </w:style>
  <w:style w:type="paragraph" w:customStyle="1" w:styleId="487">
    <w:name w:val="附件"/>
    <w:basedOn w:val="1"/>
    <w:qFormat/>
    <w:uiPriority w:val="0"/>
    <w:pPr>
      <w:tabs>
        <w:tab w:val="left" w:pos="420"/>
      </w:tabs>
      <w:spacing w:beforeLines="50" w:line="360" w:lineRule="auto"/>
      <w:ind w:left="567" w:hanging="567"/>
    </w:pPr>
    <w:rPr>
      <w:rFonts w:ascii="宋体"/>
      <w:b/>
      <w:sz w:val="28"/>
    </w:rPr>
  </w:style>
  <w:style w:type="paragraph" w:customStyle="1" w:styleId="488">
    <w:name w:val="CM57"/>
    <w:basedOn w:val="1"/>
    <w:next w:val="123"/>
    <w:qFormat/>
    <w:uiPriority w:val="0"/>
    <w:pPr>
      <w:autoSpaceDE w:val="0"/>
      <w:autoSpaceDN w:val="0"/>
      <w:adjustRightInd w:val="0"/>
      <w:spacing w:line="400" w:lineRule="atLeast"/>
      <w:jc w:val="left"/>
    </w:pPr>
    <w:rPr>
      <w:rFonts w:ascii="宋体"/>
      <w:kern w:val="0"/>
      <w:sz w:val="24"/>
    </w:rPr>
  </w:style>
  <w:style w:type="paragraph" w:customStyle="1" w:styleId="489">
    <w:name w:val="正文文本 21"/>
    <w:basedOn w:val="1"/>
    <w:qFormat/>
    <w:uiPriority w:val="0"/>
    <w:pPr>
      <w:adjustRightInd w:val="0"/>
      <w:ind w:left="10" w:firstLine="530"/>
      <w:textAlignment w:val="baseline"/>
    </w:pPr>
    <w:rPr>
      <w:color w:val="000000"/>
      <w:sz w:val="28"/>
      <w:szCs w:val="20"/>
    </w:rPr>
  </w:style>
  <w:style w:type="paragraph" w:customStyle="1" w:styleId="490">
    <w:name w:val="CM36"/>
    <w:basedOn w:val="1"/>
    <w:next w:val="123"/>
    <w:qFormat/>
    <w:uiPriority w:val="0"/>
    <w:pPr>
      <w:autoSpaceDE w:val="0"/>
      <w:autoSpaceDN w:val="0"/>
      <w:adjustRightInd w:val="0"/>
      <w:spacing w:line="400" w:lineRule="atLeast"/>
      <w:jc w:val="left"/>
    </w:pPr>
    <w:rPr>
      <w:rFonts w:ascii="宋体"/>
      <w:kern w:val="0"/>
      <w:sz w:val="24"/>
    </w:rPr>
  </w:style>
  <w:style w:type="paragraph" w:customStyle="1" w:styleId="491">
    <w:name w:val="CM98"/>
    <w:basedOn w:val="1"/>
    <w:next w:val="123"/>
    <w:qFormat/>
    <w:uiPriority w:val="0"/>
    <w:pPr>
      <w:autoSpaceDE w:val="0"/>
      <w:autoSpaceDN w:val="0"/>
      <w:adjustRightInd w:val="0"/>
      <w:spacing w:after="570"/>
      <w:jc w:val="left"/>
    </w:pPr>
    <w:rPr>
      <w:rFonts w:ascii="宋体"/>
      <w:kern w:val="0"/>
      <w:sz w:val="24"/>
    </w:rPr>
  </w:style>
  <w:style w:type="paragraph" w:customStyle="1" w:styleId="492">
    <w:name w:val="图形"/>
    <w:basedOn w:val="1"/>
    <w:qFormat/>
    <w:uiPriority w:val="0"/>
    <w:pPr>
      <w:spacing w:line="240" w:lineRule="atLeast"/>
      <w:jc w:val="left"/>
    </w:pPr>
    <w:rPr>
      <w:rFonts w:ascii="华文细黑" w:hAnsi="华文细黑" w:cs="Arial"/>
      <w:kern w:val="0"/>
      <w:szCs w:val="21"/>
    </w:rPr>
  </w:style>
  <w:style w:type="paragraph" w:customStyle="1" w:styleId="493">
    <w:name w:val="注1"/>
    <w:basedOn w:val="1"/>
    <w:qFormat/>
    <w:uiPriority w:val="0"/>
    <w:pPr>
      <w:spacing w:line="360" w:lineRule="auto"/>
      <w:ind w:left="400" w:leftChars="200" w:hanging="200" w:hangingChars="200"/>
    </w:pPr>
    <w:rPr>
      <w:rFonts w:ascii="宋体"/>
      <w:b/>
    </w:rPr>
  </w:style>
  <w:style w:type="paragraph" w:customStyle="1" w:styleId="494">
    <w:name w:val="样式 表格内容 + 居中"/>
    <w:basedOn w:val="278"/>
    <w:qFormat/>
    <w:uiPriority w:val="0"/>
    <w:rPr>
      <w:rFonts w:cs="宋体"/>
    </w:rPr>
  </w:style>
  <w:style w:type="paragraph" w:customStyle="1" w:styleId="495">
    <w:name w:val="font12"/>
    <w:basedOn w:val="1"/>
    <w:qFormat/>
    <w:uiPriority w:val="0"/>
    <w:pPr>
      <w:widowControl/>
      <w:spacing w:before="100" w:beforeAutospacing="1" w:after="100" w:afterAutospacing="1"/>
      <w:jc w:val="left"/>
    </w:pPr>
    <w:rPr>
      <w:rFonts w:hint="eastAsia" w:ascii="楷体_GB2312" w:hAnsi="Arial Unicode MS" w:eastAsia="楷体_GB2312" w:cs="Arial Unicode MS"/>
      <w:kern w:val="0"/>
      <w:sz w:val="20"/>
      <w:szCs w:val="20"/>
    </w:rPr>
  </w:style>
  <w:style w:type="paragraph" w:customStyle="1" w:styleId="496">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497">
    <w:name w:val="Outline"/>
    <w:basedOn w:val="1"/>
    <w:qFormat/>
    <w:uiPriority w:val="0"/>
    <w:pPr>
      <w:widowControl/>
      <w:spacing w:before="240" w:line="360" w:lineRule="auto"/>
      <w:ind w:firstLine="200" w:firstLineChars="200"/>
      <w:jc w:val="left"/>
    </w:pPr>
    <w:rPr>
      <w:rFonts w:ascii="Arial" w:hAnsi="Arial"/>
      <w:kern w:val="28"/>
      <w:sz w:val="20"/>
      <w:szCs w:val="20"/>
    </w:rPr>
  </w:style>
  <w:style w:type="paragraph" w:customStyle="1" w:styleId="498">
    <w:name w:val="Char Char Char Char11"/>
    <w:basedOn w:val="1"/>
    <w:qFormat/>
    <w:uiPriority w:val="0"/>
  </w:style>
  <w:style w:type="paragraph" w:customStyle="1" w:styleId="499">
    <w:name w:val="Char Char1 Char1"/>
    <w:basedOn w:val="1"/>
    <w:qFormat/>
    <w:uiPriority w:val="0"/>
    <w:pPr>
      <w:shd w:val="clear" w:color="auto" w:fill="000080"/>
      <w:spacing w:line="360" w:lineRule="auto"/>
    </w:pPr>
    <w:rPr>
      <w:rFonts w:ascii="Tahoma" w:hAnsi="Tahoma"/>
      <w:sz w:val="24"/>
    </w:rPr>
  </w:style>
  <w:style w:type="paragraph" w:customStyle="1" w:styleId="500">
    <w:name w:val="样式9"/>
    <w:basedOn w:val="6"/>
    <w:qFormat/>
    <w:uiPriority w:val="0"/>
    <w:pPr>
      <w:keepLines/>
      <w:widowControl/>
      <w:tabs>
        <w:tab w:val="left" w:pos="3660"/>
        <w:tab w:val="clear" w:pos="360"/>
      </w:tabs>
      <w:spacing w:beforeLines="0" w:after="120" w:line="500" w:lineRule="exact"/>
      <w:ind w:left="3660" w:hanging="720"/>
      <w:jc w:val="left"/>
    </w:pPr>
    <w:rPr>
      <w:rFonts w:ascii="Times New Roman" w:hAnsi="Times New Roman" w:eastAsia="黑体"/>
      <w:kern w:val="0"/>
    </w:rPr>
  </w:style>
  <w:style w:type="paragraph" w:customStyle="1" w:styleId="501">
    <w:name w:val="默认段落字体 Para Char"/>
    <w:basedOn w:val="1"/>
    <w:qFormat/>
    <w:uiPriority w:val="0"/>
    <w:pPr>
      <w:snapToGrid w:val="0"/>
      <w:spacing w:line="360" w:lineRule="auto"/>
      <w:ind w:firstLine="200" w:firstLineChars="200"/>
    </w:pPr>
    <w:rPr>
      <w:rFonts w:eastAsia="仿宋_GB2312"/>
      <w:sz w:val="24"/>
    </w:rPr>
  </w:style>
  <w:style w:type="paragraph" w:customStyle="1" w:styleId="502">
    <w:name w:val="Char6"/>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503">
    <w:name w:val="xl99"/>
    <w:basedOn w:val="1"/>
    <w:qFormat/>
    <w:uiPriority w:val="0"/>
    <w:pPr>
      <w:widowControl/>
      <w:pBdr>
        <w:left w:val="single" w:color="auto" w:sz="4" w:space="0"/>
        <w:bottom w:val="single" w:color="auto" w:sz="4" w:space="0"/>
        <w:right w:val="single" w:color="auto" w:sz="8" w:space="0"/>
      </w:pBdr>
      <w:spacing w:before="100" w:beforeAutospacing="1" w:after="100" w:afterAutospacing="1"/>
      <w:jc w:val="center"/>
    </w:pPr>
    <w:rPr>
      <w:rFonts w:eastAsia="Arial Unicode MS"/>
      <w:kern w:val="0"/>
      <w:sz w:val="24"/>
    </w:rPr>
  </w:style>
  <w:style w:type="paragraph" w:customStyle="1" w:styleId="504">
    <w:name w:val="CM46"/>
    <w:basedOn w:val="1"/>
    <w:next w:val="123"/>
    <w:qFormat/>
    <w:uiPriority w:val="0"/>
    <w:pPr>
      <w:autoSpaceDE w:val="0"/>
      <w:autoSpaceDN w:val="0"/>
      <w:adjustRightInd w:val="0"/>
      <w:jc w:val="left"/>
    </w:pPr>
    <w:rPr>
      <w:rFonts w:ascii="宋体"/>
      <w:kern w:val="0"/>
      <w:sz w:val="24"/>
    </w:rPr>
  </w:style>
  <w:style w:type="paragraph" w:customStyle="1" w:styleId="505">
    <w:name w:val="Char Char Char Char"/>
    <w:basedOn w:val="1"/>
    <w:qFormat/>
    <w:uiPriority w:val="0"/>
  </w:style>
  <w:style w:type="paragraph" w:customStyle="1" w:styleId="506">
    <w:name w:val="编号（1）"/>
    <w:basedOn w:val="1"/>
    <w:qFormat/>
    <w:uiPriority w:val="0"/>
    <w:pPr>
      <w:tabs>
        <w:tab w:val="left" w:pos="420"/>
      </w:tabs>
      <w:spacing w:line="360" w:lineRule="auto"/>
      <w:ind w:left="450" w:leftChars="200" w:hanging="200" w:hangingChars="200"/>
    </w:pPr>
    <w:rPr>
      <w:rFonts w:ascii="宋体"/>
      <w:szCs w:val="21"/>
    </w:rPr>
  </w:style>
  <w:style w:type="paragraph" w:customStyle="1" w:styleId="507">
    <w:name w:val="xl52"/>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eastAsia="Arial Unicode MS"/>
      <w:color w:val="0000FF"/>
      <w:kern w:val="0"/>
      <w:sz w:val="22"/>
      <w:szCs w:val="22"/>
    </w:rPr>
  </w:style>
  <w:style w:type="paragraph" w:customStyle="1" w:styleId="508">
    <w:name w:val="Char41"/>
    <w:basedOn w:val="1"/>
    <w:qFormat/>
    <w:uiPriority w:val="0"/>
    <w:rPr>
      <w:rFonts w:ascii="Tahoma" w:hAnsi="Tahoma"/>
      <w:sz w:val="24"/>
      <w:szCs w:val="20"/>
    </w:rPr>
  </w:style>
  <w:style w:type="paragraph" w:customStyle="1" w:styleId="509">
    <w:name w:val="Char Char Char Char Char Char Char Char Char Char Char Char Char Char Char Char Char Char Char Char Char Char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510">
    <w:name w:val="xl4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511">
    <w:name w:val="xl84"/>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left"/>
    </w:pPr>
    <w:rPr>
      <w:rFonts w:eastAsia="Arial Unicode MS"/>
      <w:kern w:val="0"/>
      <w:sz w:val="24"/>
    </w:rPr>
  </w:style>
  <w:style w:type="paragraph" w:customStyle="1" w:styleId="512">
    <w:name w:val="字元 字元1"/>
    <w:basedOn w:val="1"/>
    <w:qFormat/>
    <w:uiPriority w:val="0"/>
  </w:style>
  <w:style w:type="paragraph" w:customStyle="1" w:styleId="513">
    <w:name w:val="Char"/>
    <w:basedOn w:val="1"/>
    <w:qFormat/>
    <w:uiPriority w:val="0"/>
    <w:rPr>
      <w:rFonts w:ascii="仿宋_GB2312" w:eastAsia="仿宋_GB2312"/>
      <w:b/>
      <w:sz w:val="32"/>
      <w:szCs w:val="32"/>
    </w:rPr>
  </w:style>
  <w:style w:type="paragraph" w:customStyle="1" w:styleId="514">
    <w:name w:val="+标题2"/>
    <w:basedOn w:val="5"/>
    <w:qFormat/>
    <w:uiPriority w:val="0"/>
    <w:pPr>
      <w:keepLines/>
      <w:tabs>
        <w:tab w:val="left" w:pos="720"/>
      </w:tabs>
      <w:spacing w:beforeLines="0" w:after="120"/>
      <w:ind w:left="720" w:hanging="720"/>
    </w:pPr>
    <w:rPr>
      <w:rFonts w:ascii="Times New Roman" w:hAnsi="Times New Roman"/>
      <w:szCs w:val="28"/>
    </w:rPr>
  </w:style>
  <w:style w:type="paragraph" w:customStyle="1" w:styleId="515">
    <w:name w:val="+标题1"/>
    <w:basedOn w:val="4"/>
    <w:qFormat/>
    <w:uiPriority w:val="0"/>
    <w:pPr>
      <w:pageBreakBefore/>
      <w:tabs>
        <w:tab w:val="left" w:pos="720"/>
      </w:tabs>
      <w:spacing w:beforeLines="0" w:afterLines="0"/>
      <w:ind w:left="720" w:hanging="720"/>
    </w:pPr>
    <w:rPr>
      <w:rFonts w:ascii="Times New Roman" w:eastAsia="黑体"/>
      <w:kern w:val="32"/>
      <w:sz w:val="32"/>
      <w:szCs w:val="32"/>
    </w:rPr>
  </w:style>
  <w:style w:type="paragraph" w:customStyle="1" w:styleId="516">
    <w:name w:val="字元 字元11"/>
    <w:basedOn w:val="1"/>
    <w:qFormat/>
    <w:uiPriority w:val="0"/>
  </w:style>
  <w:style w:type="paragraph" w:customStyle="1" w:styleId="517">
    <w:name w:val="正文文本缩进 21"/>
    <w:basedOn w:val="1"/>
    <w:qFormat/>
    <w:uiPriority w:val="0"/>
    <w:pPr>
      <w:adjustRightInd w:val="0"/>
      <w:ind w:left="570" w:firstLine="555"/>
      <w:textAlignment w:val="baseline"/>
    </w:pPr>
    <w:rPr>
      <w:color w:val="000000"/>
      <w:sz w:val="28"/>
      <w:szCs w:val="20"/>
    </w:rPr>
  </w:style>
  <w:style w:type="paragraph" w:customStyle="1" w:styleId="518">
    <w:name w:val="CM24"/>
    <w:basedOn w:val="1"/>
    <w:next w:val="123"/>
    <w:qFormat/>
    <w:uiPriority w:val="0"/>
    <w:pPr>
      <w:autoSpaceDE w:val="0"/>
      <w:autoSpaceDN w:val="0"/>
      <w:adjustRightInd w:val="0"/>
      <w:spacing w:line="440" w:lineRule="atLeast"/>
      <w:jc w:val="left"/>
    </w:pPr>
    <w:rPr>
      <w:rFonts w:ascii="宋体"/>
      <w:kern w:val="0"/>
      <w:sz w:val="24"/>
    </w:rPr>
  </w:style>
  <w:style w:type="paragraph" w:customStyle="1" w:styleId="519">
    <w:name w:val="样式7"/>
    <w:basedOn w:val="278"/>
    <w:qFormat/>
    <w:uiPriority w:val="0"/>
  </w:style>
  <w:style w:type="paragraph" w:customStyle="1" w:styleId="520">
    <w:name w:val="Legal 5"/>
    <w:basedOn w:val="1"/>
    <w:next w:val="123"/>
    <w:qFormat/>
    <w:uiPriority w:val="0"/>
    <w:pPr>
      <w:autoSpaceDE w:val="0"/>
      <w:autoSpaceDN w:val="0"/>
      <w:adjustRightInd w:val="0"/>
      <w:spacing w:after="120"/>
      <w:jc w:val="left"/>
    </w:pPr>
    <w:rPr>
      <w:rFonts w:ascii="宋体"/>
      <w:kern w:val="0"/>
      <w:sz w:val="24"/>
    </w:rPr>
  </w:style>
  <w:style w:type="paragraph" w:customStyle="1" w:styleId="521">
    <w:name w:val="font6"/>
    <w:basedOn w:val="1"/>
    <w:qFormat/>
    <w:uiPriority w:val="0"/>
    <w:pPr>
      <w:widowControl/>
      <w:spacing w:before="100" w:beforeAutospacing="1" w:after="100" w:afterAutospacing="1"/>
      <w:jc w:val="left"/>
    </w:pPr>
    <w:rPr>
      <w:rFonts w:eastAsia="Arial Unicode MS"/>
      <w:kern w:val="0"/>
      <w:sz w:val="24"/>
    </w:rPr>
  </w:style>
  <w:style w:type="paragraph" w:customStyle="1" w:styleId="522">
    <w:name w:val="xl4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kern w:val="0"/>
      <w:sz w:val="24"/>
    </w:rPr>
  </w:style>
  <w:style w:type="paragraph" w:customStyle="1" w:styleId="523">
    <w:name w:val="scc"/>
    <w:basedOn w:val="1"/>
    <w:qFormat/>
    <w:uiPriority w:val="0"/>
    <w:pPr>
      <w:adjustRightInd w:val="0"/>
      <w:spacing w:line="400" w:lineRule="atLeast"/>
      <w:jc w:val="center"/>
      <w:textAlignment w:val="baseline"/>
    </w:pPr>
    <w:rPr>
      <w:rFonts w:eastAsia="楷体_GB2312"/>
      <w:b/>
      <w:kern w:val="0"/>
      <w:sz w:val="24"/>
      <w:szCs w:val="20"/>
    </w:rPr>
  </w:style>
  <w:style w:type="paragraph" w:customStyle="1" w:styleId="524">
    <w:name w:val="CM26"/>
    <w:basedOn w:val="123"/>
    <w:next w:val="123"/>
    <w:qFormat/>
    <w:uiPriority w:val="0"/>
    <w:pPr>
      <w:spacing w:line="400" w:lineRule="atLeast"/>
    </w:pPr>
    <w:rPr>
      <w:rFonts w:ascii="Times New Roman" w:cs="Times New Roman"/>
      <w:color w:val="auto"/>
    </w:rPr>
  </w:style>
  <w:style w:type="paragraph" w:customStyle="1" w:styleId="525">
    <w:name w:val="Char Char Char Char Char Char1 Char Char1"/>
    <w:basedOn w:val="1"/>
    <w:qFormat/>
    <w:uiPriority w:val="0"/>
  </w:style>
  <w:style w:type="paragraph" w:customStyle="1" w:styleId="526">
    <w:name w:val="样式 样式 样式 标题 3 + 首行缩进:  2 字符 + 首行缩进:  2 字符 + 首行缩进:  2 字符 Char"/>
    <w:basedOn w:val="1"/>
    <w:qFormat/>
    <w:uiPriority w:val="0"/>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hAnsi="宋体" w:eastAsia="黑体" w:cs="宋体"/>
      <w:kern w:val="0"/>
      <w:sz w:val="24"/>
    </w:rPr>
  </w:style>
  <w:style w:type="paragraph" w:customStyle="1" w:styleId="527">
    <w:name w:val="样式1"/>
    <w:basedOn w:val="1"/>
    <w:qFormat/>
    <w:uiPriority w:val="0"/>
    <w:pPr>
      <w:spacing w:before="120" w:after="120" w:line="300" w:lineRule="auto"/>
    </w:pPr>
    <w:rPr>
      <w:rFonts w:ascii="宋体" w:hAnsi="宋体"/>
      <w:b/>
      <w:sz w:val="24"/>
      <w:szCs w:val="20"/>
    </w:rPr>
  </w:style>
  <w:style w:type="paragraph" w:customStyle="1" w:styleId="528">
    <w:name w:val="Style"/>
    <w:basedOn w:val="1"/>
    <w:next w:val="59"/>
    <w:qFormat/>
    <w:uiPriority w:val="0"/>
    <w:pPr>
      <w:tabs>
        <w:tab w:val="left" w:pos="1050"/>
      </w:tabs>
      <w:spacing w:line="400" w:lineRule="exact"/>
      <w:ind w:left="1050"/>
    </w:pPr>
    <w:rPr>
      <w:rFonts w:ascii="宋体"/>
      <w:sz w:val="28"/>
      <w:szCs w:val="28"/>
    </w:rPr>
  </w:style>
  <w:style w:type="paragraph" w:customStyle="1" w:styleId="529">
    <w:name w:val="Subtitle 2"/>
    <w:basedOn w:val="1"/>
    <w:qFormat/>
    <w:uiPriority w:val="0"/>
    <w:pPr>
      <w:widowControl/>
      <w:tabs>
        <w:tab w:val="center" w:pos="4752"/>
        <w:tab w:val="right" w:pos="9864"/>
      </w:tabs>
      <w:spacing w:before="240" w:after="240"/>
      <w:ind w:firstLine="200" w:firstLineChars="200"/>
      <w:jc w:val="center"/>
      <w:outlineLvl w:val="1"/>
    </w:pPr>
    <w:rPr>
      <w:rFonts w:ascii="Arial" w:hAnsi="Arial"/>
      <w:b/>
      <w:kern w:val="0"/>
      <w:sz w:val="32"/>
      <w:szCs w:val="20"/>
    </w:rPr>
  </w:style>
  <w:style w:type="paragraph" w:customStyle="1" w:styleId="530">
    <w:name w:val="font10"/>
    <w:basedOn w:val="1"/>
    <w:qFormat/>
    <w:uiPriority w:val="0"/>
    <w:pPr>
      <w:widowControl/>
      <w:spacing w:before="100" w:beforeAutospacing="1" w:after="100" w:afterAutospacing="1"/>
      <w:jc w:val="left"/>
    </w:pPr>
    <w:rPr>
      <w:rFonts w:hint="eastAsia" w:ascii="楷体_GB2312" w:hAnsi="Arial Unicode MS" w:eastAsia="楷体_GB2312" w:cs="Arial Unicode MS"/>
      <w:kern w:val="0"/>
      <w:sz w:val="24"/>
    </w:rPr>
  </w:style>
  <w:style w:type="paragraph" w:customStyle="1" w:styleId="531">
    <w:name w:val="CM3"/>
    <w:basedOn w:val="1"/>
    <w:next w:val="123"/>
    <w:qFormat/>
    <w:uiPriority w:val="0"/>
    <w:pPr>
      <w:autoSpaceDE w:val="0"/>
      <w:autoSpaceDN w:val="0"/>
      <w:adjustRightInd w:val="0"/>
      <w:spacing w:line="500" w:lineRule="atLeast"/>
      <w:jc w:val="left"/>
    </w:pPr>
    <w:rPr>
      <w:rFonts w:ascii="宋体"/>
      <w:kern w:val="0"/>
      <w:sz w:val="24"/>
    </w:rPr>
  </w:style>
  <w:style w:type="paragraph" w:customStyle="1" w:styleId="532">
    <w:name w:val="CM69"/>
    <w:basedOn w:val="1"/>
    <w:next w:val="123"/>
    <w:qFormat/>
    <w:uiPriority w:val="0"/>
    <w:pPr>
      <w:autoSpaceDE w:val="0"/>
      <w:autoSpaceDN w:val="0"/>
      <w:adjustRightInd w:val="0"/>
      <w:spacing w:line="400" w:lineRule="atLeast"/>
      <w:jc w:val="left"/>
    </w:pPr>
    <w:rPr>
      <w:rFonts w:ascii="宋体"/>
      <w:kern w:val="0"/>
      <w:sz w:val="24"/>
    </w:rPr>
  </w:style>
  <w:style w:type="paragraph" w:customStyle="1" w:styleId="533">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534">
    <w:name w:val="xl98"/>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eastAsia="Arial Unicode MS"/>
      <w:kern w:val="0"/>
      <w:sz w:val="22"/>
      <w:szCs w:val="22"/>
    </w:rPr>
  </w:style>
  <w:style w:type="paragraph" w:customStyle="1" w:styleId="535">
    <w:name w:val="CM18"/>
    <w:basedOn w:val="1"/>
    <w:next w:val="123"/>
    <w:qFormat/>
    <w:uiPriority w:val="0"/>
    <w:pPr>
      <w:autoSpaceDE w:val="0"/>
      <w:autoSpaceDN w:val="0"/>
      <w:adjustRightInd w:val="0"/>
      <w:spacing w:line="313" w:lineRule="atLeast"/>
      <w:jc w:val="left"/>
    </w:pPr>
    <w:rPr>
      <w:rFonts w:ascii="宋体"/>
      <w:kern w:val="0"/>
      <w:sz w:val="24"/>
    </w:rPr>
  </w:style>
  <w:style w:type="paragraph" w:customStyle="1" w:styleId="536">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537">
    <w:name w:val="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538">
    <w:name w:val="xl57"/>
    <w:basedOn w:val="1"/>
    <w:qFormat/>
    <w:uiPriority w:val="0"/>
    <w:pPr>
      <w:widowControl/>
      <w:pBdr>
        <w:top w:val="single" w:color="auto" w:sz="8" w:space="0"/>
        <w:left w:val="single" w:color="auto" w:sz="8" w:space="0"/>
        <w:right w:val="single" w:color="auto" w:sz="4" w:space="0"/>
      </w:pBdr>
      <w:spacing w:before="100" w:beforeAutospacing="1" w:after="100" w:afterAutospacing="1"/>
      <w:jc w:val="center"/>
      <w:textAlignment w:val="center"/>
    </w:pPr>
    <w:rPr>
      <w:rFonts w:hint="eastAsia" w:ascii="楷体_GB2312" w:hAnsi="Arial Unicode MS" w:eastAsia="楷体_GB2312" w:cs="Arial Unicode MS"/>
      <w:kern w:val="0"/>
      <w:sz w:val="24"/>
    </w:rPr>
  </w:style>
  <w:style w:type="paragraph" w:customStyle="1" w:styleId="539">
    <w:name w:val="Legal 2"/>
    <w:basedOn w:val="1"/>
    <w:qFormat/>
    <w:uiPriority w:val="0"/>
    <w:pPr>
      <w:keepNext/>
      <w:tabs>
        <w:tab w:val="left" w:pos="810"/>
      </w:tabs>
      <w:spacing w:after="120"/>
      <w:ind w:left="810" w:hanging="810"/>
      <w:outlineLvl w:val="1"/>
    </w:pPr>
    <w:rPr>
      <w:snapToGrid w:val="0"/>
      <w:kern w:val="0"/>
      <w:sz w:val="24"/>
      <w:szCs w:val="20"/>
      <w:lang w:eastAsia="en-US"/>
    </w:rPr>
  </w:style>
  <w:style w:type="paragraph" w:customStyle="1" w:styleId="540">
    <w:name w:val="xl62"/>
    <w:basedOn w:val="1"/>
    <w:qFormat/>
    <w:uiPriority w:val="0"/>
    <w:pPr>
      <w:widowControl/>
      <w:pBdr>
        <w:left w:val="single" w:color="auto" w:sz="4" w:space="0"/>
        <w:bottom w:val="single" w:color="auto" w:sz="8" w:space="0"/>
      </w:pBdr>
      <w:spacing w:before="100" w:beforeAutospacing="1" w:after="100" w:afterAutospacing="1"/>
      <w:jc w:val="center"/>
    </w:pPr>
    <w:rPr>
      <w:rFonts w:hint="eastAsia" w:ascii="楷体_GB2312" w:hAnsi="Arial Unicode MS" w:eastAsia="楷体_GB2312" w:cs="Arial Unicode MS"/>
      <w:kern w:val="0"/>
      <w:sz w:val="24"/>
    </w:rPr>
  </w:style>
  <w:style w:type="paragraph" w:customStyle="1" w:styleId="541">
    <w:name w:val="CM34"/>
    <w:basedOn w:val="123"/>
    <w:next w:val="123"/>
    <w:qFormat/>
    <w:uiPriority w:val="0"/>
    <w:pPr>
      <w:spacing w:line="398" w:lineRule="atLeast"/>
    </w:pPr>
    <w:rPr>
      <w:rFonts w:ascii="Times New Roman" w:cs="Times New Roman"/>
      <w:color w:val="auto"/>
    </w:rPr>
  </w:style>
  <w:style w:type="paragraph" w:customStyle="1" w:styleId="542">
    <w:name w:val="xl75"/>
    <w:basedOn w:val="1"/>
    <w:qFormat/>
    <w:uiPriority w:val="0"/>
    <w:pPr>
      <w:widowControl/>
      <w:pBdr>
        <w:left w:val="single" w:color="auto" w:sz="8" w:space="0"/>
        <w:bottom w:val="single" w:color="auto" w:sz="8" w:space="0"/>
        <w:right w:val="single" w:color="auto" w:sz="4" w:space="0"/>
      </w:pBdr>
      <w:spacing w:before="100" w:beforeAutospacing="1" w:after="100" w:afterAutospacing="1"/>
      <w:jc w:val="center"/>
    </w:pPr>
    <w:rPr>
      <w:rFonts w:hint="eastAsia" w:ascii="楷体_GB2312" w:hAnsi="Arial Unicode MS" w:eastAsia="楷体_GB2312" w:cs="Arial Unicode MS"/>
      <w:color w:val="FF0000"/>
      <w:kern w:val="0"/>
      <w:sz w:val="22"/>
      <w:szCs w:val="22"/>
    </w:rPr>
  </w:style>
  <w:style w:type="paragraph" w:customStyle="1" w:styleId="543">
    <w:name w:val="Char Char Char"/>
    <w:basedOn w:val="1"/>
    <w:qFormat/>
    <w:uiPriority w:val="0"/>
    <w:pPr>
      <w:ind w:left="432" w:hanging="432"/>
    </w:pPr>
    <w:rPr>
      <w:sz w:val="24"/>
    </w:rPr>
  </w:style>
  <w:style w:type="paragraph" w:customStyle="1" w:styleId="544">
    <w:name w:val="样式 日期 + 黑体 三号"/>
    <w:basedOn w:val="43"/>
    <w:qFormat/>
    <w:uiPriority w:val="0"/>
    <w:pPr>
      <w:spacing w:line="600" w:lineRule="exact"/>
    </w:pPr>
    <w:rPr>
      <w:rFonts w:ascii="黑体" w:hAnsi="黑体" w:eastAsia="黑体"/>
      <w:sz w:val="32"/>
      <w:szCs w:val="24"/>
    </w:rPr>
  </w:style>
  <w:style w:type="paragraph" w:customStyle="1" w:styleId="54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楷体_GB2312" w:hAnsi="Arial Unicode MS" w:eastAsia="楷体_GB2312" w:cs="Arial Unicode MS"/>
      <w:kern w:val="0"/>
      <w:sz w:val="22"/>
      <w:szCs w:val="22"/>
    </w:rPr>
  </w:style>
  <w:style w:type="paragraph" w:customStyle="1" w:styleId="546">
    <w:name w:val="Char Char Char Char Char Char Char Char Char Char11"/>
    <w:basedOn w:val="1"/>
    <w:qFormat/>
    <w:uiPriority w:val="0"/>
    <w:pPr>
      <w:tabs>
        <w:tab w:val="left" w:pos="425"/>
      </w:tabs>
      <w:ind w:left="425" w:hanging="425"/>
    </w:pPr>
    <w:rPr>
      <w:rFonts w:ascii="Arial" w:hAnsi="Arial" w:eastAsia="黑体" w:cs="宋体"/>
      <w:b/>
      <w:bCs/>
      <w:sz w:val="32"/>
      <w:szCs w:val="32"/>
    </w:rPr>
  </w:style>
  <w:style w:type="paragraph" w:customStyle="1" w:styleId="547">
    <w:name w:val="font8"/>
    <w:basedOn w:val="1"/>
    <w:qFormat/>
    <w:uiPriority w:val="0"/>
    <w:pPr>
      <w:widowControl/>
      <w:spacing w:before="100" w:beforeAutospacing="1" w:after="100" w:afterAutospacing="1"/>
      <w:jc w:val="left"/>
    </w:pPr>
    <w:rPr>
      <w:rFonts w:hint="eastAsia" w:ascii="宋体" w:hAnsi="宋体" w:cs="Arial Unicode MS"/>
      <w:kern w:val="0"/>
      <w:sz w:val="24"/>
    </w:rPr>
  </w:style>
  <w:style w:type="paragraph" w:customStyle="1" w:styleId="548">
    <w:name w:val="Char Char Char Char2"/>
    <w:basedOn w:val="1"/>
    <w:qFormat/>
    <w:uiPriority w:val="0"/>
    <w:pPr>
      <w:widowControl/>
      <w:jc w:val="left"/>
    </w:pPr>
    <w:rPr>
      <w:kern w:val="0"/>
      <w:sz w:val="20"/>
      <w:szCs w:val="20"/>
    </w:rPr>
  </w:style>
  <w:style w:type="paragraph" w:customStyle="1" w:styleId="549">
    <w:name w:val="Char Char Char Char3"/>
    <w:basedOn w:val="1"/>
    <w:qFormat/>
    <w:uiPriority w:val="0"/>
    <w:pPr>
      <w:widowControl/>
      <w:spacing w:after="160" w:line="240" w:lineRule="exact"/>
      <w:jc w:val="left"/>
    </w:pPr>
    <w:rPr>
      <w:rFonts w:ascii="Verdana" w:hAnsi="Verdana" w:cs="Verdana"/>
      <w:color w:val="000000"/>
      <w:kern w:val="0"/>
      <w:szCs w:val="21"/>
    </w:rPr>
  </w:style>
  <w:style w:type="paragraph" w:customStyle="1" w:styleId="550">
    <w:name w:val="xl61"/>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hint="eastAsia" w:ascii="楷体_GB2312" w:hAnsi="Arial Unicode MS" w:eastAsia="楷体_GB2312" w:cs="Arial Unicode MS"/>
      <w:kern w:val="0"/>
      <w:sz w:val="24"/>
    </w:rPr>
  </w:style>
  <w:style w:type="paragraph" w:customStyle="1" w:styleId="551">
    <w:name w:val="xl7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hint="eastAsia" w:ascii="楷体_GB2312" w:hAnsi="Arial Unicode MS" w:eastAsia="楷体_GB2312" w:cs="Arial Unicode MS"/>
      <w:kern w:val="0"/>
      <w:sz w:val="22"/>
      <w:szCs w:val="22"/>
    </w:rPr>
  </w:style>
  <w:style w:type="paragraph" w:customStyle="1" w:styleId="552">
    <w:name w:val="xl9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color w:val="0000FF"/>
      <w:kern w:val="0"/>
      <w:sz w:val="22"/>
      <w:szCs w:val="22"/>
    </w:rPr>
  </w:style>
  <w:style w:type="paragraph" w:customStyle="1" w:styleId="553">
    <w:name w:val="BankNormal"/>
    <w:qFormat/>
    <w:uiPriority w:val="0"/>
    <w:pPr>
      <w:tabs>
        <w:tab w:val="left" w:pos="-720"/>
      </w:tabs>
      <w:suppressAutoHyphens/>
    </w:pPr>
    <w:rPr>
      <w:rFonts w:ascii="CG Times" w:hAnsi="CG Times" w:eastAsia="宋体" w:cs="Times New Roman"/>
      <w:sz w:val="22"/>
      <w:lang w:val="en-US" w:eastAsia="zh-CN" w:bidi="ar-SA"/>
    </w:rPr>
  </w:style>
  <w:style w:type="paragraph" w:customStyle="1" w:styleId="554">
    <w:name w:val="bg1"/>
    <w:basedOn w:val="1"/>
    <w:qFormat/>
    <w:uiPriority w:val="0"/>
    <w:pPr>
      <w:keepNext/>
      <w:widowControl/>
      <w:tabs>
        <w:tab w:val="left" w:pos="425"/>
      </w:tabs>
      <w:autoSpaceDE w:val="0"/>
      <w:autoSpaceDN w:val="0"/>
      <w:adjustRightInd w:val="0"/>
      <w:spacing w:before="240" w:after="120"/>
      <w:ind w:left="1080" w:hanging="1080"/>
      <w:outlineLvl w:val="0"/>
    </w:pPr>
    <w:rPr>
      <w:rFonts w:ascii="Arial Bold" w:hAnsi="Arial Bold"/>
      <w:b/>
      <w:caps/>
      <w:kern w:val="0"/>
      <w:szCs w:val="20"/>
      <w:lang w:val="en-GB"/>
    </w:rPr>
  </w:style>
  <w:style w:type="paragraph" w:customStyle="1" w:styleId="555">
    <w:name w:val="列出段落1"/>
    <w:basedOn w:val="1"/>
    <w:qFormat/>
    <w:uiPriority w:val="0"/>
    <w:pPr>
      <w:ind w:firstLine="420" w:firstLineChars="200"/>
    </w:pPr>
    <w:rPr>
      <w:rFonts w:ascii="Calibri" w:hAnsi="Calibri"/>
      <w:szCs w:val="22"/>
    </w:rPr>
  </w:style>
  <w:style w:type="paragraph" w:customStyle="1" w:styleId="556">
    <w:name w:val="xl79"/>
    <w:basedOn w:val="1"/>
    <w:qFormat/>
    <w:uiPriority w:val="0"/>
    <w:pPr>
      <w:widowControl/>
      <w:pBdr>
        <w:left w:val="single" w:color="auto" w:sz="4" w:space="0"/>
        <w:bottom w:val="single" w:color="auto" w:sz="8" w:space="0"/>
        <w:right w:val="single" w:color="auto" w:sz="8" w:space="0"/>
      </w:pBdr>
      <w:spacing w:before="100" w:beforeAutospacing="1" w:after="100" w:afterAutospacing="1"/>
      <w:jc w:val="left"/>
    </w:pPr>
    <w:rPr>
      <w:rFonts w:eastAsia="Arial Unicode MS"/>
      <w:kern w:val="0"/>
      <w:sz w:val="24"/>
    </w:rPr>
  </w:style>
  <w:style w:type="paragraph" w:customStyle="1" w:styleId="557">
    <w:name w:val="xl66"/>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hint="eastAsia" w:ascii="楷体_GB2312" w:hAnsi="Arial Unicode MS" w:eastAsia="楷体_GB2312" w:cs="Arial Unicode MS"/>
      <w:kern w:val="0"/>
      <w:sz w:val="24"/>
    </w:rPr>
  </w:style>
  <w:style w:type="paragraph" w:customStyle="1" w:styleId="558">
    <w:name w:val="不缩进"/>
    <w:basedOn w:val="1"/>
    <w:qFormat/>
    <w:uiPriority w:val="0"/>
    <w:pPr>
      <w:spacing w:line="360" w:lineRule="auto"/>
      <w:jc w:val="center"/>
    </w:pPr>
    <w:rPr>
      <w:rFonts w:ascii="宋体" w:hAnsi="宋体"/>
      <w:szCs w:val="20"/>
    </w:rPr>
  </w:style>
  <w:style w:type="paragraph" w:customStyle="1" w:styleId="559">
    <w:name w:val="Legal 4"/>
    <w:basedOn w:val="1"/>
    <w:next w:val="123"/>
    <w:qFormat/>
    <w:uiPriority w:val="0"/>
    <w:pPr>
      <w:autoSpaceDE w:val="0"/>
      <w:autoSpaceDN w:val="0"/>
      <w:adjustRightInd w:val="0"/>
      <w:spacing w:after="120"/>
      <w:jc w:val="left"/>
    </w:pPr>
    <w:rPr>
      <w:rFonts w:ascii="宋体"/>
      <w:kern w:val="0"/>
      <w:sz w:val="24"/>
    </w:rPr>
  </w:style>
  <w:style w:type="paragraph" w:customStyle="1" w:styleId="560">
    <w:name w:val="xl49"/>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eastAsia="Arial Unicode MS"/>
      <w:kern w:val="0"/>
      <w:sz w:val="22"/>
      <w:szCs w:val="22"/>
    </w:rPr>
  </w:style>
  <w:style w:type="paragraph" w:customStyle="1" w:styleId="561">
    <w:name w:val="CM6"/>
    <w:basedOn w:val="1"/>
    <w:next w:val="123"/>
    <w:qFormat/>
    <w:uiPriority w:val="0"/>
    <w:pPr>
      <w:autoSpaceDE w:val="0"/>
      <w:autoSpaceDN w:val="0"/>
      <w:adjustRightInd w:val="0"/>
      <w:spacing w:line="318" w:lineRule="atLeast"/>
      <w:jc w:val="left"/>
    </w:pPr>
    <w:rPr>
      <w:rFonts w:ascii="宋体"/>
      <w:kern w:val="0"/>
      <w:sz w:val="24"/>
    </w:rPr>
  </w:style>
  <w:style w:type="paragraph" w:customStyle="1" w:styleId="562">
    <w:name w:val="CM90"/>
    <w:basedOn w:val="1"/>
    <w:next w:val="123"/>
    <w:qFormat/>
    <w:uiPriority w:val="0"/>
    <w:pPr>
      <w:autoSpaceDE w:val="0"/>
      <w:autoSpaceDN w:val="0"/>
      <w:adjustRightInd w:val="0"/>
      <w:jc w:val="left"/>
    </w:pPr>
    <w:rPr>
      <w:rFonts w:ascii="宋体"/>
      <w:kern w:val="0"/>
      <w:sz w:val="24"/>
    </w:rPr>
  </w:style>
  <w:style w:type="paragraph" w:customStyle="1" w:styleId="563">
    <w:name w:val="xl9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564">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color w:val="0000FF"/>
      <w:kern w:val="0"/>
      <w:sz w:val="22"/>
      <w:szCs w:val="22"/>
    </w:rPr>
  </w:style>
  <w:style w:type="paragraph" w:customStyle="1" w:styleId="565">
    <w:name w:val="CM85"/>
    <w:basedOn w:val="1"/>
    <w:next w:val="123"/>
    <w:qFormat/>
    <w:uiPriority w:val="0"/>
    <w:pPr>
      <w:autoSpaceDE w:val="0"/>
      <w:autoSpaceDN w:val="0"/>
      <w:adjustRightInd w:val="0"/>
      <w:spacing w:line="443" w:lineRule="atLeast"/>
      <w:jc w:val="left"/>
    </w:pPr>
    <w:rPr>
      <w:rFonts w:ascii="宋体"/>
      <w:kern w:val="0"/>
      <w:sz w:val="24"/>
    </w:rPr>
  </w:style>
  <w:style w:type="paragraph" w:customStyle="1" w:styleId="566">
    <w:name w:val="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567">
    <w:name w:val="p12"/>
    <w:basedOn w:val="1"/>
    <w:qFormat/>
    <w:uiPriority w:val="0"/>
    <w:pPr>
      <w:widowControl/>
      <w:spacing w:before="100" w:beforeAutospacing="1" w:after="100" w:afterAutospacing="1"/>
      <w:jc w:val="left"/>
    </w:pPr>
    <w:rPr>
      <w:color w:val="000000"/>
      <w:kern w:val="0"/>
      <w:sz w:val="24"/>
      <w:szCs w:val="20"/>
    </w:rPr>
  </w:style>
  <w:style w:type="paragraph" w:customStyle="1" w:styleId="568">
    <w:name w:val="xl9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color w:val="FF00FF"/>
      <w:kern w:val="0"/>
      <w:sz w:val="22"/>
      <w:szCs w:val="22"/>
    </w:rPr>
  </w:style>
  <w:style w:type="paragraph" w:customStyle="1" w:styleId="569">
    <w:name w:val="Char Char Char Char1 Char Char Char Char Char Char1"/>
    <w:basedOn w:val="1"/>
    <w:qFormat/>
    <w:uiPriority w:val="0"/>
    <w:pPr>
      <w:shd w:val="clear" w:color="auto" w:fill="000080"/>
      <w:spacing w:line="436" w:lineRule="exact"/>
    </w:pPr>
    <w:rPr>
      <w:rFonts w:ascii="Tahoma" w:hAnsi="Tahoma"/>
      <w:b/>
      <w:sz w:val="24"/>
    </w:rPr>
  </w:style>
  <w:style w:type="paragraph" w:customStyle="1" w:styleId="570">
    <w:name w:val="CM29"/>
    <w:basedOn w:val="1"/>
    <w:next w:val="123"/>
    <w:qFormat/>
    <w:uiPriority w:val="0"/>
    <w:pPr>
      <w:autoSpaceDE w:val="0"/>
      <w:autoSpaceDN w:val="0"/>
      <w:adjustRightInd w:val="0"/>
      <w:spacing w:line="400" w:lineRule="atLeast"/>
      <w:jc w:val="left"/>
    </w:pPr>
    <w:rPr>
      <w:rFonts w:ascii="宋体"/>
      <w:kern w:val="0"/>
      <w:sz w:val="24"/>
    </w:rPr>
  </w:style>
  <w:style w:type="paragraph" w:customStyle="1" w:styleId="571">
    <w:name w:val="Char Char Char Char Char Char1 Char Char Char Char Char Char Char Char Char1 Char Char Char Char1"/>
    <w:basedOn w:val="1"/>
    <w:qFormat/>
    <w:uiPriority w:val="0"/>
  </w:style>
  <w:style w:type="paragraph" w:customStyle="1" w:styleId="572">
    <w:name w:val="正文文本缩进 22"/>
    <w:basedOn w:val="1"/>
    <w:qFormat/>
    <w:uiPriority w:val="0"/>
    <w:pPr>
      <w:adjustRightInd w:val="0"/>
      <w:ind w:left="570" w:firstLine="555"/>
      <w:textAlignment w:val="baseline"/>
    </w:pPr>
    <w:rPr>
      <w:color w:val="000000"/>
      <w:sz w:val="28"/>
      <w:szCs w:val="20"/>
    </w:rPr>
  </w:style>
  <w:style w:type="paragraph" w:customStyle="1" w:styleId="573">
    <w:name w:val="Pa0"/>
    <w:basedOn w:val="1"/>
    <w:next w:val="1"/>
    <w:qFormat/>
    <w:uiPriority w:val="0"/>
    <w:pPr>
      <w:autoSpaceDE w:val="0"/>
      <w:autoSpaceDN w:val="0"/>
      <w:adjustRightInd w:val="0"/>
      <w:jc w:val="left"/>
    </w:pPr>
    <w:rPr>
      <w:rFonts w:ascii="ATRotisSemiSans-Bold" w:eastAsia="ATRotisSemiSans-Bold"/>
      <w:kern w:val="0"/>
      <w:sz w:val="20"/>
      <w:szCs w:val="20"/>
    </w:rPr>
  </w:style>
  <w:style w:type="paragraph" w:customStyle="1" w:styleId="574">
    <w:name w:val="CM94"/>
    <w:basedOn w:val="1"/>
    <w:next w:val="123"/>
    <w:qFormat/>
    <w:uiPriority w:val="0"/>
    <w:pPr>
      <w:autoSpaceDE w:val="0"/>
      <w:autoSpaceDN w:val="0"/>
      <w:adjustRightInd w:val="0"/>
      <w:spacing w:after="63"/>
      <w:jc w:val="left"/>
    </w:pPr>
    <w:rPr>
      <w:rFonts w:ascii="宋体"/>
      <w:kern w:val="0"/>
      <w:sz w:val="24"/>
    </w:rPr>
  </w:style>
  <w:style w:type="paragraph" w:customStyle="1" w:styleId="575">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576">
    <w:name w:val="xl48"/>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eastAsia="Arial Unicode MS"/>
      <w:color w:val="FF0000"/>
      <w:kern w:val="0"/>
      <w:sz w:val="24"/>
    </w:rPr>
  </w:style>
  <w:style w:type="paragraph" w:customStyle="1" w:styleId="577">
    <w:name w:val="正文再缩近"/>
    <w:basedOn w:val="1"/>
    <w:qFormat/>
    <w:uiPriority w:val="0"/>
    <w:pPr>
      <w:spacing w:line="440" w:lineRule="exact"/>
      <w:ind w:firstLine="400" w:firstLineChars="400"/>
    </w:pPr>
    <w:rPr>
      <w:rFonts w:ascii="华文细黑" w:hAnsi="华文细黑" w:cs="Arial"/>
      <w:color w:val="FF0000"/>
      <w:kern w:val="0"/>
      <w:szCs w:val="21"/>
    </w:rPr>
  </w:style>
  <w:style w:type="paragraph" w:customStyle="1" w:styleId="578">
    <w:name w:val="xl29"/>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579">
    <w:name w:val="xl72"/>
    <w:basedOn w:val="1"/>
    <w:qFormat/>
    <w:uiPriority w:val="0"/>
    <w:pPr>
      <w:widowControl/>
      <w:pBdr>
        <w:top w:val="single" w:color="auto" w:sz="4" w:space="0"/>
        <w:left w:val="single" w:color="auto" w:sz="8" w:space="0"/>
        <w:right w:val="single" w:color="auto" w:sz="4" w:space="0"/>
      </w:pBdr>
      <w:spacing w:before="100" w:beforeAutospacing="1" w:after="100" w:afterAutospacing="1"/>
      <w:jc w:val="center"/>
    </w:pPr>
    <w:rPr>
      <w:rFonts w:hint="eastAsia" w:ascii="楷体_GB2312" w:hAnsi="Arial Unicode MS" w:eastAsia="楷体_GB2312" w:cs="Arial Unicode MS"/>
      <w:kern w:val="0"/>
      <w:sz w:val="22"/>
      <w:szCs w:val="22"/>
    </w:rPr>
  </w:style>
  <w:style w:type="paragraph" w:customStyle="1" w:styleId="580">
    <w:name w:val="xl9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581">
    <w:name w:val="xl34"/>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4"/>
    </w:rPr>
  </w:style>
  <w:style w:type="paragraph" w:customStyle="1" w:styleId="582">
    <w:name w:val="Char5"/>
    <w:basedOn w:val="1"/>
    <w:next w:val="1"/>
    <w:qFormat/>
    <w:uiPriority w:val="0"/>
    <w:pPr>
      <w:tabs>
        <w:tab w:val="left" w:pos="845"/>
      </w:tabs>
      <w:spacing w:beforeLines="50" w:afterLines="100" w:line="360" w:lineRule="auto"/>
      <w:ind w:left="1105" w:hanging="748"/>
      <w:jc w:val="center"/>
    </w:pPr>
    <w:rPr>
      <w:kern w:val="0"/>
      <w:sz w:val="24"/>
    </w:rPr>
  </w:style>
  <w:style w:type="paragraph" w:customStyle="1" w:styleId="583">
    <w:name w:val="封面字体4"/>
    <w:basedOn w:val="1"/>
    <w:qFormat/>
    <w:uiPriority w:val="0"/>
    <w:pPr>
      <w:spacing w:line="240" w:lineRule="atLeast"/>
      <w:jc w:val="left"/>
    </w:pPr>
    <w:rPr>
      <w:rFonts w:ascii="华文细黑" w:hAnsi="华文细黑" w:cs="Arial"/>
      <w:b/>
      <w:bCs/>
      <w:spacing w:val="100"/>
      <w:kern w:val="0"/>
      <w:sz w:val="44"/>
      <w:szCs w:val="21"/>
    </w:rPr>
  </w:style>
  <w:style w:type="paragraph" w:customStyle="1" w:styleId="584">
    <w:name w:val="列出段落11"/>
    <w:basedOn w:val="1"/>
    <w:qFormat/>
    <w:uiPriority w:val="0"/>
    <w:pPr>
      <w:ind w:firstLine="420" w:firstLineChars="200"/>
    </w:pPr>
    <w:rPr>
      <w:rFonts w:ascii="Calibri" w:hAnsi="Calibri" w:cs="黑体"/>
      <w:szCs w:val="22"/>
    </w:rPr>
  </w:style>
  <w:style w:type="paragraph" w:customStyle="1" w:styleId="585">
    <w:name w:val="小标题"/>
    <w:basedOn w:val="1"/>
    <w:qFormat/>
    <w:uiPriority w:val="0"/>
    <w:pPr>
      <w:keepNext/>
      <w:tabs>
        <w:tab w:val="left" w:pos="1080"/>
      </w:tabs>
      <w:ind w:left="1080" w:hanging="1080"/>
      <w:outlineLvl w:val="2"/>
    </w:pPr>
    <w:rPr>
      <w:rFonts w:ascii="宋体" w:hAnsi="宋体"/>
      <w:b/>
      <w:bCs/>
      <w:sz w:val="44"/>
      <w:szCs w:val="20"/>
    </w:rPr>
  </w:style>
  <w:style w:type="paragraph" w:customStyle="1" w:styleId="586">
    <w:name w:val="封面样式1"/>
    <w:basedOn w:val="1"/>
    <w:qFormat/>
    <w:uiPriority w:val="0"/>
    <w:pPr>
      <w:spacing w:line="440" w:lineRule="exact"/>
      <w:ind w:firstLine="630" w:firstLineChars="300"/>
      <w:jc w:val="left"/>
    </w:pPr>
    <w:rPr>
      <w:rFonts w:ascii="华文细黑" w:hAnsi="华文细黑" w:cs="Arial"/>
      <w:kern w:val="0"/>
      <w:szCs w:val="21"/>
    </w:rPr>
  </w:style>
  <w:style w:type="paragraph" w:customStyle="1" w:styleId="587">
    <w:name w:val="CM28"/>
    <w:basedOn w:val="1"/>
    <w:next w:val="123"/>
    <w:qFormat/>
    <w:uiPriority w:val="0"/>
    <w:pPr>
      <w:autoSpaceDE w:val="0"/>
      <w:autoSpaceDN w:val="0"/>
      <w:adjustRightInd w:val="0"/>
      <w:jc w:val="left"/>
    </w:pPr>
    <w:rPr>
      <w:rFonts w:ascii="宋体"/>
      <w:kern w:val="0"/>
      <w:sz w:val="24"/>
    </w:rPr>
  </w:style>
  <w:style w:type="paragraph" w:customStyle="1" w:styleId="588">
    <w:name w:val="Document 1"/>
    <w:qFormat/>
    <w:uiPriority w:val="0"/>
    <w:pPr>
      <w:keepNext/>
      <w:keepLines/>
      <w:tabs>
        <w:tab w:val="left" w:pos="-720"/>
      </w:tabs>
      <w:suppressAutoHyphens/>
    </w:pPr>
    <w:rPr>
      <w:rFonts w:ascii="Courier New" w:hAnsi="Courier New" w:eastAsia="宋体" w:cs="Times New Roman"/>
      <w:lang w:val="en-US" w:eastAsia="en-US" w:bidi="ar-SA"/>
    </w:rPr>
  </w:style>
  <w:style w:type="paragraph" w:customStyle="1" w:styleId="589">
    <w:name w:val="Char Char Char Char1 Char Char Char Char Char Char"/>
    <w:basedOn w:val="1"/>
    <w:qFormat/>
    <w:uiPriority w:val="0"/>
    <w:pPr>
      <w:shd w:val="clear" w:color="auto" w:fill="000080"/>
      <w:spacing w:line="436" w:lineRule="exact"/>
    </w:pPr>
    <w:rPr>
      <w:rFonts w:ascii="Tahoma" w:hAnsi="Tahoma"/>
      <w:b/>
      <w:sz w:val="24"/>
    </w:rPr>
  </w:style>
  <w:style w:type="paragraph" w:customStyle="1" w:styleId="590">
    <w:name w:val="bt1bt1"/>
    <w:basedOn w:val="4"/>
    <w:qFormat/>
    <w:uiPriority w:val="0"/>
    <w:pPr>
      <w:spacing w:beforeLines="0" w:afterLines="0" w:line="240" w:lineRule="auto"/>
      <w:ind w:left="0"/>
    </w:pPr>
    <w:rPr>
      <w:rFonts w:ascii="黑体" w:eastAsia="黑体"/>
      <w:b w:val="0"/>
      <w:sz w:val="36"/>
      <w:szCs w:val="36"/>
    </w:rPr>
  </w:style>
  <w:style w:type="paragraph" w:customStyle="1" w:styleId="591">
    <w:name w:val="正文 A"/>
    <w:qFormat/>
    <w:uiPriority w:val="0"/>
    <w:pPr>
      <w:widowControl w:val="0"/>
      <w:jc w:val="both"/>
    </w:pPr>
    <w:rPr>
      <w:rFonts w:ascii="Times New Roman" w:hAnsi="Times New Roman" w:eastAsia="黑体" w:cs="Times New Roman"/>
      <w:color w:val="000000"/>
      <w:kern w:val="2"/>
      <w:sz w:val="21"/>
      <w:szCs w:val="21"/>
      <w:u w:color="000000"/>
      <w:lang w:val="en-US" w:eastAsia="zh-CN" w:bidi="ar-SA"/>
    </w:rPr>
  </w:style>
  <w:style w:type="paragraph" w:customStyle="1" w:styleId="592">
    <w:name w:val="正文 B"/>
    <w:qFormat/>
    <w:uiPriority w:val="0"/>
    <w:rPr>
      <w:rFonts w:hint="eastAsia" w:ascii="Arial Unicode MS" w:hAnsi="Arial Unicode MS" w:eastAsia="宋体" w:cs="Arial Unicode MS"/>
      <w:color w:val="000000"/>
      <w:sz w:val="24"/>
      <w:szCs w:val="24"/>
      <w:lang w:val="en-US" w:eastAsia="zh-CN" w:bidi="ar-SA"/>
    </w:rPr>
  </w:style>
  <w:style w:type="paragraph" w:customStyle="1" w:styleId="593">
    <w:name w:val="纯文本1"/>
    <w:basedOn w:val="1"/>
    <w:qFormat/>
    <w:uiPriority w:val="0"/>
    <w:rPr>
      <w:rFonts w:ascii="宋体" w:hAnsi="Courier New"/>
      <w:color w:val="000000"/>
      <w:szCs w:val="20"/>
    </w:rPr>
  </w:style>
  <w:style w:type="paragraph" w:customStyle="1" w:styleId="594">
    <w:name w:val="首行缩进"/>
    <w:basedOn w:val="1"/>
    <w:autoRedefine/>
    <w:qFormat/>
    <w:uiPriority w:val="0"/>
    <w:pPr>
      <w:ind w:firstLine="480" w:firstLineChars="200"/>
    </w:pPr>
    <w:rPr>
      <w:lang w:val="zh-CN"/>
    </w:rPr>
  </w:style>
  <w:style w:type="paragraph" w:customStyle="1" w:styleId="595">
    <w:name w:val="Main Title"/>
    <w:next w:val="1"/>
    <w:qFormat/>
    <w:uiPriority w:val="0"/>
    <w:pPr>
      <w:adjustRightInd w:val="0"/>
      <w:snapToGrid w:val="0"/>
      <w:spacing w:afterLines="50" w:line="360" w:lineRule="auto"/>
      <w:jc w:val="center"/>
    </w:pPr>
    <w:rPr>
      <w:rFonts w:ascii="黑体" w:hAnsi="黑体" w:eastAsia="黑体" w:cs="Times New Roman"/>
      <w:b/>
      <w:kern w:val="2"/>
      <w:sz w:val="36"/>
      <w:szCs w:val="22"/>
      <w:lang w:val="zh-CN" w:eastAsia="zh-CN" w:bidi="ar-SA"/>
    </w:rPr>
  </w:style>
  <w:style w:type="paragraph" w:customStyle="1" w:styleId="596">
    <w:name w:val="通用标题2"/>
    <w:basedOn w:val="5"/>
    <w:next w:val="1"/>
    <w:qFormat/>
    <w:uiPriority w:val="0"/>
    <w:pPr>
      <w:keepNext w:val="0"/>
      <w:keepLines w:val="0"/>
      <w:numPr>
        <w:ilvl w:val="0"/>
        <w:numId w:val="1"/>
      </w:numPr>
      <w:tabs>
        <w:tab w:val="left" w:pos="993"/>
        <w:tab w:val="clear" w:pos="840"/>
        <w:tab w:val="clear" w:pos="1692"/>
      </w:tabs>
      <w:spacing w:line="360" w:lineRule="auto"/>
    </w:pPr>
    <w:rPr>
      <w:rFonts w:ascii="黑体" w:hAnsi="黑体"/>
    </w:rPr>
  </w:style>
  <w:style w:type="paragraph" w:customStyle="1" w:styleId="597">
    <w:name w:val="通用标题3"/>
    <w:next w:val="1"/>
    <w:qFormat/>
    <w:uiPriority w:val="0"/>
    <w:pPr>
      <w:widowControl w:val="0"/>
      <w:numPr>
        <w:ilvl w:val="1"/>
        <w:numId w:val="2"/>
      </w:numPr>
      <w:tabs>
        <w:tab w:val="left" w:pos="851"/>
      </w:tabs>
      <w:adjustRightInd w:val="0"/>
      <w:snapToGrid w:val="0"/>
      <w:spacing w:afterLines="50" w:line="360" w:lineRule="auto"/>
      <w:jc w:val="both"/>
      <w:outlineLvl w:val="2"/>
    </w:pPr>
    <w:rPr>
      <w:rFonts w:ascii="黑体" w:hAnsi="黑体" w:eastAsia="黑体" w:cs="Times New Roman"/>
      <w:b/>
      <w:kern w:val="2"/>
      <w:sz w:val="24"/>
      <w:szCs w:val="24"/>
      <w:lang w:val="en-US" w:eastAsia="zh-CN" w:bidi="ar-SA"/>
    </w:rPr>
  </w:style>
  <w:style w:type="paragraph" w:customStyle="1" w:styleId="598">
    <w:name w:val="通用标题4"/>
    <w:next w:val="1"/>
    <w:qFormat/>
    <w:uiPriority w:val="0"/>
    <w:pPr>
      <w:numPr>
        <w:ilvl w:val="2"/>
        <w:numId w:val="2"/>
      </w:numPr>
      <w:tabs>
        <w:tab w:val="left" w:pos="851"/>
      </w:tabs>
      <w:adjustRightInd w:val="0"/>
      <w:snapToGrid w:val="0"/>
      <w:spacing w:afterLines="50" w:line="360" w:lineRule="auto"/>
      <w:jc w:val="both"/>
      <w:outlineLvl w:val="3"/>
    </w:pPr>
    <w:rPr>
      <w:rFonts w:ascii="宋体" w:hAnsi="宋体" w:eastAsia="宋体" w:cs="Times New Roman"/>
      <w:kern w:val="2"/>
      <w:sz w:val="24"/>
      <w:szCs w:val="21"/>
      <w:lang w:val="en-US" w:eastAsia="zh-CN" w:bidi="ar-SA"/>
    </w:rPr>
  </w:style>
  <w:style w:type="paragraph" w:customStyle="1" w:styleId="599">
    <w:name w:val="专用标题2"/>
    <w:basedOn w:val="5"/>
    <w:next w:val="1"/>
    <w:qFormat/>
    <w:uiPriority w:val="0"/>
    <w:pPr>
      <w:keepNext w:val="0"/>
      <w:keepLines w:val="0"/>
      <w:tabs>
        <w:tab w:val="left" w:pos="993"/>
        <w:tab w:val="clear" w:pos="840"/>
        <w:tab w:val="clear" w:pos="1692"/>
      </w:tabs>
      <w:spacing w:line="360" w:lineRule="auto"/>
    </w:pPr>
    <w:rPr>
      <w:rFonts w:ascii="宋体" w:hAnsi="宋体" w:eastAsia="宋体" w:cs="Times"/>
    </w:rPr>
  </w:style>
  <w:style w:type="paragraph" w:styleId="600">
    <w:name w:val="No Spacing"/>
    <w:qFormat/>
    <w:uiPriority w:val="99"/>
    <w:rPr>
      <w:rFonts w:ascii="Times New Roman" w:hAnsi="Times New Roman" w:eastAsia="宋体" w:cs="Times New Roman"/>
      <w:kern w:val="2"/>
      <w:sz w:val="21"/>
      <w:lang w:val="en-US" w:eastAsia="zh-CN" w:bidi="ar-SA"/>
    </w:rPr>
  </w:style>
  <w:style w:type="paragraph" w:customStyle="1" w:styleId="601">
    <w:name w:val="样式4-3"/>
    <w:basedOn w:val="602"/>
    <w:qFormat/>
    <w:uiPriority w:val="0"/>
    <w:pPr>
      <w:ind w:firstLine="482" w:firstLineChars="200"/>
      <w:outlineLvl w:val="3"/>
    </w:pPr>
    <w:rPr>
      <w:rFonts w:cs="Arial"/>
      <w:b/>
      <w:bCs/>
      <w:szCs w:val="32"/>
    </w:rPr>
  </w:style>
  <w:style w:type="paragraph" w:customStyle="1" w:styleId="602">
    <w:name w:val="样式3-3"/>
    <w:basedOn w:val="603"/>
    <w:qFormat/>
    <w:uiPriority w:val="0"/>
    <w:rPr>
      <w:rFonts w:ascii="黑体" w:hAnsi="华文中宋"/>
      <w:b w:val="0"/>
    </w:rPr>
  </w:style>
  <w:style w:type="paragraph" w:customStyle="1" w:styleId="603">
    <w:name w:val="样式3-1"/>
    <w:basedOn w:val="1"/>
    <w:qFormat/>
    <w:uiPriority w:val="0"/>
    <w:pPr>
      <w:autoSpaceDE w:val="0"/>
      <w:autoSpaceDN w:val="0"/>
      <w:adjustRightInd w:val="0"/>
      <w:snapToGrid w:val="0"/>
      <w:spacing w:beforeLines="50" w:afterLines="50"/>
      <w:outlineLvl w:val="2"/>
    </w:pPr>
    <w:rPr>
      <w:rFonts w:ascii="Arial" w:hAnsi="Arial" w:eastAsia="黑体"/>
      <w:b/>
      <w:color w:val="000000"/>
      <w:sz w:val="32"/>
    </w:rPr>
  </w:style>
  <w:style w:type="paragraph" w:customStyle="1" w:styleId="604">
    <w:name w:val="TOC 标题21"/>
    <w:basedOn w:val="4"/>
    <w:next w:val="1"/>
    <w:qFormat/>
    <w:uiPriority w:val="0"/>
    <w:pPr>
      <w:widowControl w:val="0"/>
      <w:spacing w:before="260" w:after="260" w:line="413" w:lineRule="auto"/>
    </w:pPr>
    <w:rPr>
      <w:rFonts w:ascii="宋体" w:hAnsi="宋体"/>
      <w:sz w:val="36"/>
      <w:lang w:val="zh-CN"/>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customXml" Target="../customXml/item2.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7.wmf"/><Relationship Id="rId26" Type="http://schemas.openxmlformats.org/officeDocument/2006/relationships/oleObject" Target="embeddings/oleObject7.bin"/><Relationship Id="rId25" Type="http://schemas.openxmlformats.org/officeDocument/2006/relationships/image" Target="media/image6.wmf"/><Relationship Id="rId24" Type="http://schemas.openxmlformats.org/officeDocument/2006/relationships/oleObject" Target="embeddings/oleObject6.bin"/><Relationship Id="rId23" Type="http://schemas.openxmlformats.org/officeDocument/2006/relationships/image" Target="media/image5.wmf"/><Relationship Id="rId22" Type="http://schemas.openxmlformats.org/officeDocument/2006/relationships/oleObject" Target="embeddings/oleObject5.bin"/><Relationship Id="rId21" Type="http://schemas.openxmlformats.org/officeDocument/2006/relationships/image" Target="media/image4.wmf"/><Relationship Id="rId20" Type="http://schemas.openxmlformats.org/officeDocument/2006/relationships/oleObject" Target="embeddings/oleObject4.bin"/><Relationship Id="rId2" Type="http://schemas.openxmlformats.org/officeDocument/2006/relationships/settings" Target="settings.xml"/><Relationship Id="rId19" Type="http://schemas.openxmlformats.org/officeDocument/2006/relationships/image" Target="media/image3.wmf"/><Relationship Id="rId18" Type="http://schemas.openxmlformats.org/officeDocument/2006/relationships/oleObject" Target="embeddings/oleObject3.bin"/><Relationship Id="rId17" Type="http://schemas.openxmlformats.org/officeDocument/2006/relationships/image" Target="media/image2.wmf"/><Relationship Id="rId16" Type="http://schemas.openxmlformats.org/officeDocument/2006/relationships/oleObject" Target="embeddings/oleObject2.bin"/><Relationship Id="rId15" Type="http://schemas.openxmlformats.org/officeDocument/2006/relationships/image" Target="media/image1.wmf"/><Relationship Id="rId14" Type="http://schemas.openxmlformats.org/officeDocument/2006/relationships/oleObject" Target="embeddings/oleObject1.bin"/><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F379DF-9D09-490C-B2FF-062C12A5D3C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88</Pages>
  <Words>4153</Words>
  <Characters>4598</Characters>
  <Lines>795</Lines>
  <Paragraphs>223</Paragraphs>
  <TotalTime>9</TotalTime>
  <ScaleCrop>false</ScaleCrop>
  <LinksUpToDate>false</LinksUpToDate>
  <CharactersWithSpaces>4870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2022-03-11T08:20:00Z</dcterms:created>
  <dc:creator>朱磊</dc:creator>
  <cp:lastModifiedBy>admin</cp:lastModifiedBy>
  <cp:lastPrinted>2024-09-13T06:19:00Z</cp:lastPrinted>
  <dcterms:modified xsi:type="dcterms:W3CDTF">2025-12-12T06:51:04Z</dcterms:modified>
  <dc:title>招标文件</dc:title>
  <cp:revision>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FFF4CB325C6E4C8091881BFBBD6EF033_13</vt:lpwstr>
  </property>
  <property fmtid="{D5CDD505-2E9C-101B-9397-08002B2CF9AE}" pid="3" name="KSOProductBuildVer">
    <vt:lpwstr>2052-12.1.0.24034</vt:lpwstr>
  </property>
  <property fmtid="{D5CDD505-2E9C-101B-9397-08002B2CF9AE}" pid="4" name="KSOTemplateDocerSaveRecord">
    <vt:lpwstr>eyJoZGlkIjoiMjUxZjYyNjQzMjBkOTUxODQ3M2Y4YTdmMmQwYzllY2UiLCJ1c2VySWQiOiIxMzY4NTgyMzA5In0=</vt:lpwstr>
  </property>
</Properties>
</file>