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405D9">
      <w:pPr>
        <w:widowControl/>
        <w:spacing w:line="560" w:lineRule="exact"/>
        <w:jc w:val="center"/>
        <w:rPr>
          <w:rFonts w:hAnsi="宋体"/>
          <w:b/>
          <w:bCs/>
          <w:snapToGrid/>
          <w:kern w:val="2"/>
          <w:sz w:val="36"/>
          <w:szCs w:val="40"/>
        </w:rPr>
      </w:pPr>
      <w:bookmarkStart w:id="0" w:name="_Toc103587491"/>
      <w:bookmarkStart w:id="1" w:name="_Toc114135432"/>
      <w:bookmarkStart w:id="2" w:name="_Toc97544849"/>
      <w:bookmarkStart w:id="3" w:name="_Toc97564668"/>
      <w:r>
        <w:rPr>
          <w:rFonts w:hint="eastAsia" w:hAnsi="宋体"/>
          <w:b/>
          <w:bCs/>
          <w:snapToGrid/>
          <w:kern w:val="2"/>
          <w:sz w:val="36"/>
          <w:szCs w:val="40"/>
        </w:rPr>
        <w:t>巧家县荞麦地中型灌区建设工程勘察设计</w:t>
      </w:r>
    </w:p>
    <w:p w14:paraId="17E70581">
      <w:pPr>
        <w:widowControl/>
        <w:spacing w:line="560" w:lineRule="exact"/>
        <w:jc w:val="center"/>
        <w:rPr>
          <w:rFonts w:hAnsi="宋体"/>
          <w:b/>
          <w:bCs/>
          <w:snapToGrid/>
          <w:kern w:val="2"/>
          <w:sz w:val="38"/>
          <w:szCs w:val="40"/>
        </w:rPr>
      </w:pPr>
      <w:r>
        <w:rPr>
          <w:rFonts w:hint="eastAsia" w:hAnsi="宋体"/>
          <w:b/>
          <w:bCs/>
          <w:snapToGrid/>
          <w:kern w:val="2"/>
          <w:sz w:val="38"/>
          <w:szCs w:val="40"/>
        </w:rPr>
        <w:t>招标公告</w:t>
      </w:r>
    </w:p>
    <w:bookmarkEnd w:id="0"/>
    <w:bookmarkEnd w:id="1"/>
    <w:bookmarkEnd w:id="2"/>
    <w:bookmarkEnd w:id="3"/>
    <w:p w14:paraId="693DEAFE">
      <w:pPr>
        <w:pStyle w:val="7"/>
        <w:ind w:left="420"/>
      </w:pPr>
    </w:p>
    <w:p w14:paraId="7B9E2D5C">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r>
        <w:rPr>
          <w:rFonts w:hint="eastAsia" w:ascii="宋体" w:hAnsi="宋体" w:eastAsia="宋体" w:cs="HiddenHorzOCR"/>
          <w:b/>
          <w:bCs/>
          <w:snapToGrid/>
          <w:kern w:val="0"/>
          <w:szCs w:val="21"/>
        </w:rPr>
        <w:t>1.招标条件</w:t>
      </w:r>
    </w:p>
    <w:p w14:paraId="4E5DE2A5">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本招标项目巧家县荞麦地中型灌区建设工程前期工作已由上级批准实施。招标人为巧家县农村水利及电气化发展中心，招标代理机构为云南中咨海外咨询有限公司，项目已具备招标条件，现对该项目勘测设计服务进行公开招标。</w:t>
      </w:r>
    </w:p>
    <w:p w14:paraId="57ADE387">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bookmarkStart w:id="4" w:name="_Hlk233357751"/>
      <w:r>
        <w:rPr>
          <w:rFonts w:hint="eastAsia" w:ascii="宋体" w:hAnsi="宋体" w:eastAsia="宋体" w:cs="HiddenHorzOCR"/>
          <w:b/>
          <w:bCs/>
          <w:snapToGrid/>
          <w:kern w:val="0"/>
          <w:szCs w:val="21"/>
        </w:rPr>
        <w:t>2.项目概况与招标范围</w:t>
      </w:r>
    </w:p>
    <w:bookmarkEnd w:id="4"/>
    <w:p w14:paraId="1C3DC34D">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bookmarkStart w:id="5" w:name="_Hlk233298001"/>
      <w:r>
        <w:rPr>
          <w:rFonts w:ascii="宋体" w:hAnsi="宋体" w:eastAsia="宋体" w:cs="HiddenHorzOCR"/>
          <w:snapToGrid/>
          <w:kern w:val="0"/>
          <w:szCs w:val="21"/>
        </w:rPr>
        <w:t>2.1</w:t>
      </w:r>
      <w:r>
        <w:rPr>
          <w:rFonts w:hint="eastAsia" w:ascii="宋体" w:hAnsi="宋体" w:eastAsia="宋体" w:cs="HiddenHorzOCR"/>
          <w:snapToGrid/>
          <w:kern w:val="0"/>
          <w:szCs w:val="21"/>
        </w:rPr>
        <w:t xml:space="preserve"> </w:t>
      </w:r>
      <w:r>
        <w:rPr>
          <w:rFonts w:ascii="宋体" w:hAnsi="宋体" w:eastAsia="宋体" w:cs="HiddenHorzOCR"/>
          <w:snapToGrid/>
          <w:kern w:val="0"/>
          <w:szCs w:val="21"/>
        </w:rPr>
        <w:t>项目概况：</w:t>
      </w:r>
      <w:bookmarkEnd w:id="5"/>
      <w:r>
        <w:rPr>
          <w:rFonts w:hint="eastAsia" w:ascii="宋体" w:hAnsi="宋体" w:eastAsia="宋体" w:cs="HiddenHorzOCR"/>
          <w:snapToGrid/>
          <w:kern w:val="0"/>
          <w:szCs w:val="21"/>
        </w:rPr>
        <w:t>该灌区水源为长海中型水库和洗羊塘小（</w:t>
      </w:r>
      <w:r>
        <w:rPr>
          <w:rFonts w:ascii="宋体" w:hAnsi="宋体" w:eastAsia="宋体" w:cs="HiddenHorzOCR"/>
          <w:snapToGrid/>
          <w:kern w:val="0"/>
          <w:szCs w:val="21"/>
        </w:rPr>
        <w:t>1）型水库，均为已建水源工程。规划实施2条输水主管及33条输水支管，</w:t>
      </w:r>
      <w:bookmarkStart w:id="6" w:name="_Hlk233357849"/>
      <w:r>
        <w:rPr>
          <w:rFonts w:ascii="宋体" w:hAnsi="宋体" w:eastAsia="宋体" w:cs="HiddenHorzOCR"/>
          <w:snapToGrid/>
          <w:kern w:val="0"/>
          <w:szCs w:val="21"/>
        </w:rPr>
        <w:t>总长</w:t>
      </w:r>
      <w:r>
        <w:rPr>
          <w:rFonts w:hint="eastAsia" w:ascii="宋体" w:hAnsi="宋体" w:eastAsia="宋体" w:cs="HiddenHorzOCR"/>
          <w:snapToGrid/>
          <w:kern w:val="0"/>
          <w:szCs w:val="21"/>
        </w:rPr>
        <w:t>约</w:t>
      </w:r>
      <w:r>
        <w:rPr>
          <w:rFonts w:ascii="宋体" w:hAnsi="宋体" w:eastAsia="宋体" w:cs="HiddenHorzOCR"/>
          <w:snapToGrid/>
          <w:kern w:val="0"/>
          <w:szCs w:val="21"/>
        </w:rPr>
        <w:t>99.24千米</w:t>
      </w:r>
      <w:bookmarkEnd w:id="6"/>
      <w:r>
        <w:rPr>
          <w:rFonts w:ascii="宋体" w:hAnsi="宋体" w:eastAsia="宋体" w:cs="HiddenHorzOCR"/>
          <w:snapToGrid/>
          <w:kern w:val="0"/>
          <w:szCs w:val="21"/>
        </w:rPr>
        <w:t>，支管末端设置调节水池，解决药山镇周围及以北湾子河、荞麦地河沿岸农田灌溉问题。涉及药山镇荞麦地、大村、半箐、小村、大元、木瓦、洗羊塘7个社区，</w:t>
      </w:r>
      <w:bookmarkStart w:id="7" w:name="_Hlk233357842"/>
      <w:r>
        <w:rPr>
          <w:rFonts w:ascii="宋体" w:hAnsi="宋体" w:eastAsia="宋体" w:cs="HiddenHorzOCR"/>
          <w:snapToGrid/>
          <w:kern w:val="0"/>
          <w:szCs w:val="21"/>
        </w:rPr>
        <w:t>灌区面积</w:t>
      </w:r>
      <w:r>
        <w:rPr>
          <w:rFonts w:hint="eastAsia" w:ascii="宋体" w:hAnsi="宋体" w:eastAsia="宋体" w:cs="HiddenHorzOCR"/>
          <w:snapToGrid/>
          <w:kern w:val="0"/>
          <w:szCs w:val="21"/>
        </w:rPr>
        <w:t>约</w:t>
      </w:r>
      <w:r>
        <w:rPr>
          <w:rFonts w:ascii="宋体" w:hAnsi="宋体" w:eastAsia="宋体" w:cs="HiddenHorzOCR"/>
          <w:snapToGrid/>
          <w:kern w:val="0"/>
          <w:szCs w:val="21"/>
        </w:rPr>
        <w:t>3.2万亩</w:t>
      </w:r>
      <w:bookmarkEnd w:id="7"/>
      <w:r>
        <w:rPr>
          <w:rFonts w:ascii="宋体" w:hAnsi="宋体" w:eastAsia="宋体" w:cs="HiddenHorzOCR"/>
          <w:snapToGrid/>
          <w:kern w:val="0"/>
          <w:szCs w:val="21"/>
        </w:rPr>
        <w:t>。</w:t>
      </w:r>
      <w:bookmarkStart w:id="8" w:name="_Hlk233357833"/>
      <w:r>
        <w:rPr>
          <w:rFonts w:ascii="宋体" w:hAnsi="宋体" w:eastAsia="宋体" w:cs="HiddenHorzOCR"/>
          <w:snapToGrid/>
          <w:kern w:val="0"/>
          <w:szCs w:val="21"/>
        </w:rPr>
        <w:t>估算投资</w:t>
      </w:r>
      <w:r>
        <w:rPr>
          <w:rFonts w:hint="eastAsia" w:ascii="宋体" w:hAnsi="宋体" w:eastAsia="宋体" w:cs="HiddenHorzOCR"/>
          <w:snapToGrid/>
          <w:kern w:val="0"/>
          <w:szCs w:val="21"/>
        </w:rPr>
        <w:t>约</w:t>
      </w:r>
      <w:r>
        <w:rPr>
          <w:rFonts w:ascii="宋体" w:hAnsi="宋体" w:eastAsia="宋体" w:cs="HiddenHorzOCR"/>
          <w:snapToGrid/>
          <w:kern w:val="0"/>
          <w:szCs w:val="21"/>
        </w:rPr>
        <w:t>1.6亿元</w:t>
      </w:r>
      <w:bookmarkEnd w:id="8"/>
      <w:r>
        <w:rPr>
          <w:rFonts w:ascii="宋体" w:hAnsi="宋体" w:eastAsia="宋体" w:cs="HiddenHorzOCR"/>
          <w:snapToGrid/>
          <w:kern w:val="0"/>
          <w:szCs w:val="21"/>
        </w:rPr>
        <w:t>，</w:t>
      </w:r>
      <w:r>
        <w:rPr>
          <w:rFonts w:hint="eastAsia" w:ascii="宋体" w:hAnsi="宋体" w:eastAsia="宋体" w:cs="HiddenHorzOCR"/>
          <w:snapToGrid/>
          <w:kern w:val="0"/>
          <w:szCs w:val="21"/>
        </w:rPr>
        <w:t>勘察设计匡算总投资约</w:t>
      </w:r>
      <w:r>
        <w:rPr>
          <w:rFonts w:ascii="宋体" w:hAnsi="宋体" w:eastAsia="宋体" w:cs="HiddenHorzOCR"/>
          <w:snapToGrid/>
          <w:kern w:val="0"/>
          <w:szCs w:val="21"/>
        </w:rPr>
        <w:t>600万元。</w:t>
      </w:r>
    </w:p>
    <w:p w14:paraId="398E8A95">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bookmarkStart w:id="9" w:name="_Hlk233357901"/>
      <w:r>
        <w:rPr>
          <w:rFonts w:hint="eastAsia" w:ascii="宋体" w:hAnsi="宋体" w:eastAsia="宋体" w:cs="HiddenHorzOCR"/>
          <w:snapToGrid/>
          <w:kern w:val="0"/>
          <w:szCs w:val="21"/>
        </w:rPr>
        <w:t xml:space="preserve">2.2 </w:t>
      </w:r>
      <w:bookmarkStart w:id="10" w:name="_Hlk233298978"/>
      <w:r>
        <w:rPr>
          <w:rFonts w:hint="eastAsia" w:ascii="宋体" w:hAnsi="宋体" w:eastAsia="宋体" w:cs="HiddenHorzOCR"/>
          <w:snapToGrid/>
          <w:kern w:val="0"/>
          <w:szCs w:val="21"/>
        </w:rPr>
        <w:t>招标范围</w:t>
      </w:r>
      <w:bookmarkEnd w:id="10"/>
      <w:r>
        <w:rPr>
          <w:rFonts w:hint="eastAsia" w:ascii="宋体" w:hAnsi="宋体" w:eastAsia="宋体" w:cs="HiddenHorzOCR"/>
          <w:snapToGrid/>
          <w:kern w:val="0"/>
          <w:szCs w:val="21"/>
        </w:rPr>
        <w:t>：</w:t>
      </w:r>
    </w:p>
    <w:bookmarkEnd w:id="9"/>
    <w:p w14:paraId="25EA64BF">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项目名称：巧家县荞麦地中型灌区建设工程勘察设计。</w:t>
      </w:r>
    </w:p>
    <w:p w14:paraId="35D6714D">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bookmarkStart w:id="11" w:name="_Hlk233357908"/>
      <w:bookmarkStart w:id="12" w:name="_Hlk233298988"/>
      <w:r>
        <w:rPr>
          <w:rFonts w:hint="eastAsia" w:ascii="宋体" w:hAnsi="宋体" w:eastAsia="宋体" w:cs="HiddenHorzOCR"/>
          <w:snapToGrid/>
          <w:kern w:val="0"/>
          <w:szCs w:val="21"/>
        </w:rPr>
        <w:t>招标内容：</w:t>
      </w:r>
      <w:bookmarkEnd w:id="11"/>
      <w:bookmarkStart w:id="13" w:name="_Hlk233357920"/>
      <w:r>
        <w:rPr>
          <w:rFonts w:hint="eastAsia" w:ascii="宋体" w:hAnsi="宋体" w:eastAsia="宋体" w:cs="HiddenHorzOCR"/>
          <w:snapToGrid/>
          <w:kern w:val="0"/>
          <w:szCs w:val="21"/>
        </w:rPr>
        <w:t>工程项目建议书、可行性研究报告、初步设计报告、招标图设计、施工图设计、施工现场设计技术服务及资料整编等全部勘察设计工作；为项目报批建设相关的（最终以项目实际需求为准）水资源论证报告、洪水影响评价报告、水土保持专题报告、建设项目社会稳定风险分析专题报告编制。</w:t>
      </w:r>
      <w:bookmarkEnd w:id="13"/>
    </w:p>
    <w:bookmarkEnd w:id="12"/>
    <w:p w14:paraId="0AB01AE1">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bookmarkStart w:id="14" w:name="_Hlk233357956"/>
      <w:r>
        <w:rPr>
          <w:rFonts w:hint="eastAsia" w:ascii="宋体" w:hAnsi="宋体" w:eastAsia="宋体" w:cs="HiddenHorzOCR"/>
          <w:snapToGrid/>
          <w:kern w:val="0"/>
          <w:szCs w:val="21"/>
        </w:rPr>
        <w:t>2.3</w:t>
      </w:r>
      <w:bookmarkStart w:id="15" w:name="_Hlk233376750"/>
      <w:r>
        <w:rPr>
          <w:rFonts w:hint="eastAsia" w:ascii="宋体" w:hAnsi="宋体" w:eastAsia="宋体" w:cs="HiddenHorzOCR"/>
          <w:snapToGrid/>
          <w:kern w:val="0"/>
          <w:szCs w:val="21"/>
        </w:rPr>
        <w:t xml:space="preserve"> </w:t>
      </w:r>
      <w:bookmarkStart w:id="16" w:name="_Hlk233299040"/>
      <w:r>
        <w:rPr>
          <w:rFonts w:hint="eastAsia" w:ascii="宋体" w:hAnsi="宋体" w:eastAsia="宋体" w:cs="HiddenHorzOCR"/>
          <w:snapToGrid/>
          <w:kern w:val="0"/>
          <w:szCs w:val="21"/>
        </w:rPr>
        <w:t>服务期限：</w:t>
      </w:r>
      <w:bookmarkEnd w:id="14"/>
      <w:bookmarkStart w:id="17" w:name="_Hlk233299179"/>
      <w:bookmarkStart w:id="18" w:name="_Hlk153390927"/>
      <w:r>
        <w:rPr>
          <w:rFonts w:hint="eastAsia" w:ascii="宋体" w:hAnsi="宋体" w:eastAsia="宋体" w:cs="HiddenHorzOCR"/>
          <w:snapToGrid/>
          <w:kern w:val="0"/>
          <w:szCs w:val="21"/>
        </w:rPr>
        <w:t>从签订合同之日起，至项目竣工验收、质量缺陷期满，资料移交完毕止。（其中：合同签订后90天提供项目建议书，</w:t>
      </w:r>
      <w:r>
        <w:rPr>
          <w:rFonts w:ascii="宋体" w:hAnsi="宋体" w:eastAsia="宋体" w:cs="HiddenHorzOCR"/>
          <w:snapToGrid/>
          <w:kern w:val="0"/>
          <w:szCs w:val="21"/>
        </w:rPr>
        <w:t>项目建议书</w:t>
      </w:r>
      <w:r>
        <w:rPr>
          <w:rFonts w:hint="eastAsia" w:ascii="宋体" w:hAnsi="宋体" w:eastAsia="宋体" w:cs="HiddenHorzOCR"/>
          <w:snapToGrid/>
          <w:kern w:val="0"/>
          <w:szCs w:val="21"/>
        </w:rPr>
        <w:t>批复后180天提供可行性研究报告，可行性研究阶段批复后90天提供初步设计报告；招标图设计满足工程招标要求；施工图设计满足施工阶段的要求；提供勘察设计工作期间、施工期间驻地的相关技术咨询服务，参加工程各阶段验收及资料整编的工作时间，以项目实际需要为准）</w:t>
      </w:r>
      <w:bookmarkEnd w:id="16"/>
      <w:r>
        <w:rPr>
          <w:rFonts w:hint="eastAsia" w:ascii="宋体" w:hAnsi="宋体" w:eastAsia="宋体" w:cs="HiddenHorzOCR"/>
          <w:snapToGrid/>
          <w:kern w:val="0"/>
          <w:szCs w:val="21"/>
        </w:rPr>
        <w:t>。</w:t>
      </w:r>
      <w:bookmarkEnd w:id="17"/>
    </w:p>
    <w:bookmarkEnd w:id="15"/>
    <w:bookmarkEnd w:id="18"/>
    <w:p w14:paraId="488AFE45">
      <w:pPr>
        <w:spacing w:line="360" w:lineRule="auto"/>
        <w:ind w:firstLine="420" w:firstLineChars="200"/>
        <w:rPr>
          <w:rFonts w:hint="eastAsia" w:ascii="宋体" w:hAnsi="宋体" w:eastAsia="等线" w:cs="宋体"/>
          <w:snapToGrid/>
          <w:kern w:val="2"/>
          <w:szCs w:val="21"/>
        </w:rPr>
      </w:pPr>
      <w:r>
        <w:rPr>
          <w:rFonts w:hint="eastAsia" w:ascii="宋体" w:hAnsi="宋体" w:eastAsia="宋体" w:cs="HiddenHorzOCR"/>
          <w:snapToGrid/>
          <w:kern w:val="0"/>
          <w:szCs w:val="21"/>
        </w:rPr>
        <w:t>2.4</w:t>
      </w:r>
      <w:r>
        <w:rPr>
          <w:rFonts w:ascii="宋体" w:hAnsi="宋体" w:eastAsia="宋体" w:cs="HiddenHorzOCR"/>
          <w:snapToGrid/>
          <w:kern w:val="0"/>
          <w:szCs w:val="21"/>
        </w:rPr>
        <w:t xml:space="preserve"> </w:t>
      </w:r>
      <w:bookmarkStart w:id="19" w:name="_Hlk233299195"/>
      <w:r>
        <w:rPr>
          <w:rFonts w:hint="eastAsia" w:ascii="宋体" w:hAnsi="宋体" w:eastAsia="宋体" w:cs="HiddenHorzOCR"/>
          <w:snapToGrid/>
          <w:kern w:val="0"/>
          <w:szCs w:val="21"/>
        </w:rPr>
        <w:t>质量要求</w:t>
      </w:r>
      <w:bookmarkEnd w:id="19"/>
      <w:r>
        <w:rPr>
          <w:rFonts w:hint="eastAsia" w:ascii="宋体" w:hAnsi="宋体" w:eastAsia="宋体" w:cs="HiddenHorzOCR"/>
          <w:snapToGrid/>
          <w:kern w:val="0"/>
          <w:szCs w:val="21"/>
        </w:rPr>
        <w:t>：</w:t>
      </w:r>
      <w:bookmarkStart w:id="20" w:name="_Hlk233299202"/>
      <w:r>
        <w:rPr>
          <w:rFonts w:hint="eastAsia" w:ascii="宋体" w:hAnsi="宋体" w:eastAsia="宋体" w:cs="HiddenHorzOCR"/>
          <w:snapToGrid/>
          <w:kern w:val="0"/>
          <w:szCs w:val="21"/>
        </w:rPr>
        <w:t>符合现行国家技术标准、规程、规范和强制性条文的要求。成果应确保资料完整、真实可靠，通过相关部门审查，并取得批复，施工图文件通过招标人或招标人委托的第三方审查机构审查。</w:t>
      </w:r>
    </w:p>
    <w:bookmarkEnd w:id="20"/>
    <w:p w14:paraId="59970E6F">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2.5</w:t>
      </w:r>
      <w:r>
        <w:rPr>
          <w:rFonts w:ascii="宋体" w:hAnsi="宋体" w:eastAsia="宋体" w:cs="HiddenHorzOCR"/>
          <w:snapToGrid/>
          <w:kern w:val="0"/>
          <w:szCs w:val="21"/>
        </w:rPr>
        <w:t xml:space="preserve"> </w:t>
      </w:r>
      <w:r>
        <w:rPr>
          <w:rFonts w:hint="eastAsia" w:ascii="宋体" w:hAnsi="宋体" w:eastAsia="宋体" w:cs="HiddenHorzOCR"/>
          <w:snapToGrid/>
          <w:kern w:val="0"/>
          <w:szCs w:val="21"/>
        </w:rPr>
        <w:t>标段划分：本项目为一个标段。</w:t>
      </w:r>
    </w:p>
    <w:p w14:paraId="76E49225">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bookmarkStart w:id="21" w:name="_Hlk233299224"/>
      <w:r>
        <w:rPr>
          <w:rFonts w:hint="eastAsia" w:ascii="宋体" w:hAnsi="宋体" w:eastAsia="宋体" w:cs="HiddenHorzOCR"/>
          <w:snapToGrid/>
          <w:kern w:val="0"/>
          <w:szCs w:val="21"/>
        </w:rPr>
        <w:t>2.6 资格审查方式：资格后审。</w:t>
      </w:r>
    </w:p>
    <w:bookmarkEnd w:id="21"/>
    <w:p w14:paraId="0797DBAE">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r>
        <w:rPr>
          <w:rFonts w:hint="eastAsia" w:ascii="宋体" w:hAnsi="宋体" w:eastAsia="宋体" w:cs="HiddenHorzOCR"/>
          <w:b/>
          <w:bCs/>
          <w:snapToGrid/>
          <w:kern w:val="0"/>
          <w:szCs w:val="21"/>
        </w:rPr>
        <w:t>3.投标人资格要求</w:t>
      </w:r>
    </w:p>
    <w:p w14:paraId="232B4FB3">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3.1</w:t>
      </w:r>
      <w:r>
        <w:rPr>
          <w:rFonts w:ascii="宋体" w:hAnsi="宋体" w:eastAsia="宋体" w:cs="HiddenHorzOCR"/>
          <w:snapToGrid/>
          <w:kern w:val="0"/>
          <w:szCs w:val="21"/>
        </w:rPr>
        <w:t xml:space="preserve"> </w:t>
      </w:r>
      <w:r>
        <w:rPr>
          <w:rFonts w:hint="eastAsia" w:ascii="宋体" w:hAnsi="宋体" w:eastAsia="宋体" w:cs="HiddenHorzOCR"/>
          <w:snapToGrid/>
          <w:kern w:val="0"/>
          <w:szCs w:val="21"/>
        </w:rPr>
        <w:t>投标人必须在中国境内合法注册的企（事）业单位或其他组织，并在人员、设备、资金等方面具有承担本项目的能力。</w:t>
      </w:r>
    </w:p>
    <w:p w14:paraId="756C0829">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3.2</w:t>
      </w:r>
      <w:r>
        <w:rPr>
          <w:rFonts w:ascii="宋体" w:hAnsi="宋体" w:eastAsia="宋体" w:cs="HiddenHorzOCR"/>
          <w:snapToGrid/>
          <w:kern w:val="0"/>
          <w:szCs w:val="21"/>
        </w:rPr>
        <w:t xml:space="preserve"> </w:t>
      </w:r>
      <w:r>
        <w:rPr>
          <w:rFonts w:hint="eastAsia" w:ascii="宋体" w:hAnsi="宋体" w:eastAsia="宋体" w:cs="HiddenHorzOCR"/>
          <w:snapToGrid/>
          <w:kern w:val="0"/>
          <w:szCs w:val="21"/>
        </w:rPr>
        <w:t>投标人须同时具备以下资质：</w:t>
      </w:r>
    </w:p>
    <w:p w14:paraId="65FE319D">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（1）投标人应具备行政主管部门核发的工程勘察专业类（岩土工程、工程测量）乙级及以上资质。</w:t>
      </w:r>
    </w:p>
    <w:p w14:paraId="6A1CA48D">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（2）投标人应具备行政主管部门核发的水利行业（灌溉排涝）专业乙级及以上设计资质。</w:t>
      </w:r>
    </w:p>
    <w:p w14:paraId="3D10C690">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3.3</w:t>
      </w:r>
      <w:r>
        <w:rPr>
          <w:rFonts w:ascii="宋体" w:hAnsi="宋体" w:eastAsia="宋体" w:cs="HiddenHorzOCR"/>
          <w:snapToGrid/>
          <w:kern w:val="0"/>
          <w:szCs w:val="21"/>
        </w:rPr>
        <w:t xml:space="preserve"> </w:t>
      </w:r>
      <w:r>
        <w:rPr>
          <w:rFonts w:hint="eastAsia" w:ascii="宋体" w:hAnsi="宋体" w:eastAsia="宋体" w:cs="HiddenHorzOCR"/>
          <w:snapToGrid/>
          <w:kern w:val="0"/>
          <w:szCs w:val="21"/>
        </w:rPr>
        <w:t>财务要求：提供近三年（</w:t>
      </w:r>
      <w:r>
        <w:rPr>
          <w:rFonts w:ascii="宋体" w:hAnsi="宋体" w:eastAsia="宋体" w:cs="HiddenHorzOCR"/>
          <w:snapToGrid/>
          <w:kern w:val="0"/>
          <w:szCs w:val="21"/>
        </w:rPr>
        <w:t>2022—2024年）</w:t>
      </w:r>
      <w:r>
        <w:rPr>
          <w:rFonts w:hint="eastAsia" w:ascii="宋体" w:hAnsi="宋体" w:eastAsia="宋体" w:cs="HiddenHorzOCR"/>
          <w:snapToGrid/>
          <w:kern w:val="0"/>
          <w:szCs w:val="21"/>
        </w:rPr>
        <w:t>或（</w:t>
      </w:r>
      <w:r>
        <w:rPr>
          <w:rFonts w:ascii="宋体" w:hAnsi="宋体" w:eastAsia="宋体" w:cs="HiddenHorzOCR"/>
          <w:snapToGrid/>
          <w:kern w:val="0"/>
          <w:szCs w:val="21"/>
        </w:rPr>
        <w:t>202</w:t>
      </w:r>
      <w:r>
        <w:rPr>
          <w:rFonts w:hint="eastAsia" w:ascii="宋体" w:hAnsi="宋体" w:eastAsia="宋体" w:cs="HiddenHorzOCR"/>
          <w:snapToGrid/>
          <w:kern w:val="0"/>
          <w:szCs w:val="21"/>
        </w:rPr>
        <w:t>3</w:t>
      </w:r>
      <w:r>
        <w:rPr>
          <w:rFonts w:ascii="宋体" w:hAnsi="宋体" w:eastAsia="宋体" w:cs="HiddenHorzOCR"/>
          <w:snapToGrid/>
          <w:kern w:val="0"/>
          <w:szCs w:val="21"/>
        </w:rPr>
        <w:t>—202</w:t>
      </w:r>
      <w:r>
        <w:rPr>
          <w:rFonts w:hint="eastAsia" w:ascii="宋体" w:hAnsi="宋体" w:eastAsia="宋体" w:cs="HiddenHorzOCR"/>
          <w:snapToGrid/>
          <w:kern w:val="0"/>
          <w:szCs w:val="21"/>
        </w:rPr>
        <w:t>5</w:t>
      </w:r>
      <w:r>
        <w:rPr>
          <w:rFonts w:ascii="宋体" w:hAnsi="宋体" w:eastAsia="宋体" w:cs="HiddenHorzOCR"/>
          <w:snapToGrid/>
          <w:kern w:val="0"/>
          <w:szCs w:val="21"/>
        </w:rPr>
        <w:t>年</w:t>
      </w:r>
      <w:r>
        <w:rPr>
          <w:rFonts w:hint="eastAsia" w:ascii="宋体" w:hAnsi="宋体" w:eastAsia="宋体" w:cs="HiddenHorzOCR"/>
          <w:snapToGrid/>
          <w:kern w:val="0"/>
          <w:szCs w:val="21"/>
        </w:rPr>
        <w:t>）</w:t>
      </w:r>
      <w:r>
        <w:rPr>
          <w:rFonts w:ascii="宋体" w:hAnsi="宋体" w:eastAsia="宋体" w:cs="HiddenHorzOCR"/>
          <w:snapToGrid/>
          <w:kern w:val="0"/>
          <w:szCs w:val="21"/>
        </w:rPr>
        <w:t>经会计师事务所审计的财务报告，</w:t>
      </w:r>
      <w:r>
        <w:rPr>
          <w:rFonts w:ascii="宋体" w:hAnsi="宋体" w:eastAsia="宋体" w:cs="HiddenHorzOCR"/>
          <w:snapToGrid/>
          <w:kern w:val="0"/>
          <w:sz w:val="22"/>
          <w:szCs w:val="21"/>
        </w:rPr>
        <w:t>投标人2023年以后成立的</w:t>
      </w:r>
      <w:r>
        <w:rPr>
          <w:rFonts w:ascii="宋体" w:hAnsi="宋体" w:eastAsia="宋体" w:cs="HiddenHorzOCR"/>
          <w:snapToGrid/>
          <w:kern w:val="0"/>
          <w:szCs w:val="21"/>
        </w:rPr>
        <w:t>，可提供成立之日起至今经会计师事务所审计的财务报告，投标人于2025年以后成立的，可提供自投标文件提交截止时间前三个月内任意一个月开户银行出具的资信证明</w:t>
      </w:r>
      <w:r>
        <w:rPr>
          <w:rFonts w:hint="eastAsia" w:ascii="宋体" w:hAnsi="宋体" w:eastAsia="宋体" w:cs="HiddenHorzOCR"/>
          <w:snapToGrid/>
          <w:kern w:val="0"/>
          <w:szCs w:val="21"/>
        </w:rPr>
        <w:t>。</w:t>
      </w:r>
    </w:p>
    <w:p w14:paraId="15E3FF42">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bookmarkStart w:id="22" w:name="_Hlk233358120"/>
      <w:bookmarkStart w:id="23" w:name="_Hlk233299382"/>
      <w:r>
        <w:rPr>
          <w:rFonts w:hint="eastAsia" w:ascii="宋体" w:hAnsi="宋体" w:eastAsia="宋体" w:cs="HiddenHorzOCR"/>
          <w:snapToGrid/>
          <w:kern w:val="0"/>
          <w:szCs w:val="21"/>
        </w:rPr>
        <w:t>3.4</w:t>
      </w:r>
      <w:r>
        <w:rPr>
          <w:rFonts w:ascii="宋体" w:hAnsi="宋体" w:eastAsia="宋体" w:cs="HiddenHorzOCR"/>
          <w:snapToGrid/>
          <w:kern w:val="0"/>
          <w:szCs w:val="21"/>
        </w:rPr>
        <w:t xml:space="preserve"> </w:t>
      </w:r>
      <w:r>
        <w:rPr>
          <w:rFonts w:hint="eastAsia" w:ascii="宋体" w:hAnsi="宋体" w:eastAsia="宋体" w:cs="HiddenHorzOCR"/>
          <w:snapToGrid/>
          <w:kern w:val="0"/>
          <w:szCs w:val="21"/>
        </w:rPr>
        <w:t>人员要求</w:t>
      </w:r>
      <w:bookmarkEnd w:id="22"/>
      <w:r>
        <w:rPr>
          <w:rFonts w:hint="eastAsia" w:ascii="宋体" w:hAnsi="宋体" w:eastAsia="宋体" w:cs="HiddenHorzOCR"/>
          <w:snapToGrid/>
          <w:kern w:val="0"/>
          <w:szCs w:val="21"/>
        </w:rPr>
        <w:t>：</w:t>
      </w:r>
      <w:bookmarkStart w:id="24" w:name="_Hlk233358131"/>
      <w:r>
        <w:rPr>
          <w:rFonts w:hint="eastAsia" w:ascii="宋体" w:hAnsi="宋体" w:eastAsia="宋体" w:cs="HiddenHorzOCR"/>
          <w:snapToGrid/>
          <w:kern w:val="0"/>
          <w:szCs w:val="21"/>
        </w:rPr>
        <w:t>投标人拟派项目负责人应具有水利水电工程类相关专业副高级工程师及以上职称，需提供在本单位2025年1月至今任意1个月社保证明材料</w:t>
      </w:r>
      <w:bookmarkEnd w:id="24"/>
      <w:r>
        <w:rPr>
          <w:rFonts w:hint="eastAsia" w:ascii="宋体" w:hAnsi="宋体" w:eastAsia="宋体" w:cs="HiddenHorzOCR"/>
          <w:snapToGrid/>
          <w:kern w:val="0"/>
          <w:szCs w:val="21"/>
        </w:rPr>
        <w:t>。</w:t>
      </w:r>
    </w:p>
    <w:bookmarkEnd w:id="23"/>
    <w:p w14:paraId="33DC1B81">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3.5</w:t>
      </w:r>
      <w:r>
        <w:rPr>
          <w:rFonts w:ascii="宋体" w:hAnsi="宋体" w:eastAsia="宋体" w:cs="HiddenHorzOCR"/>
          <w:snapToGrid/>
          <w:kern w:val="0"/>
          <w:szCs w:val="21"/>
        </w:rPr>
        <w:t xml:space="preserve"> </w:t>
      </w:r>
      <w:r>
        <w:rPr>
          <w:rFonts w:hint="eastAsia" w:ascii="宋体" w:hAnsi="宋体" w:eastAsia="宋体" w:cs="HiddenHorzOCR"/>
          <w:snapToGrid/>
          <w:kern w:val="0"/>
          <w:szCs w:val="21"/>
        </w:rPr>
        <w:t>信誉要求：投标人信誉良好，当前未被暂停或取消投标资格，没有处于被责令停业，财产被接管、冻结，破产状态，未列入“信用中国”网站（</w:t>
      </w:r>
      <w:r>
        <w:rPr>
          <w:rFonts w:ascii="宋体" w:hAnsi="宋体" w:eastAsia="宋体" w:cs="HiddenHorzOCR"/>
          <w:snapToGrid/>
          <w:kern w:val="0"/>
          <w:szCs w:val="21"/>
        </w:rPr>
        <w:t>http://www.creditchina.gov.cn/）的失信被执行人</w:t>
      </w:r>
      <w:r>
        <w:rPr>
          <w:rFonts w:hint="eastAsia" w:ascii="宋体" w:hAnsi="宋体" w:eastAsia="宋体" w:cs="HiddenHorzOCR"/>
          <w:snapToGrid/>
          <w:kern w:val="0"/>
          <w:szCs w:val="21"/>
        </w:rPr>
        <w:t>（以招标人或招标代理机构查询结果为准）。</w:t>
      </w:r>
    </w:p>
    <w:p w14:paraId="322999FF">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3.6 本次招标不接受联合体投标。</w:t>
      </w:r>
    </w:p>
    <w:p w14:paraId="70C9881D">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r>
        <w:rPr>
          <w:rFonts w:hint="eastAsia" w:ascii="宋体" w:hAnsi="宋体" w:eastAsia="宋体" w:cs="HiddenHorzOCR"/>
          <w:b/>
          <w:bCs/>
          <w:snapToGrid/>
          <w:kern w:val="0"/>
          <w:szCs w:val="21"/>
        </w:rPr>
        <w:t>4</w:t>
      </w:r>
      <w:r>
        <w:rPr>
          <w:rFonts w:ascii="宋体" w:hAnsi="宋体" w:eastAsia="宋体" w:cs="HiddenHorzOCR"/>
          <w:b/>
          <w:bCs/>
          <w:snapToGrid/>
          <w:kern w:val="0"/>
          <w:szCs w:val="21"/>
        </w:rPr>
        <w:t>.《招标文件》的获取</w:t>
      </w:r>
    </w:p>
    <w:p w14:paraId="042FDAC1">
      <w:pPr>
        <w:autoSpaceDE w:val="0"/>
        <w:autoSpaceDN w:val="0"/>
        <w:adjustRightInd w:val="0"/>
        <w:spacing w:line="360" w:lineRule="auto"/>
        <w:ind w:firstLine="420" w:firstLineChars="200"/>
        <w:jc w:val="left"/>
        <w:rPr>
          <w:rFonts w:hint="eastAsia" w:ascii="宋体" w:hAnsi="宋体" w:eastAsia="宋体" w:cs="HiddenHorzOCR"/>
          <w:bCs/>
          <w:snapToGrid/>
          <w:kern w:val="0"/>
          <w:szCs w:val="21"/>
        </w:rPr>
      </w:pPr>
      <w:r>
        <w:rPr>
          <w:rFonts w:ascii="宋体" w:hAnsi="宋体" w:eastAsia="宋体" w:cs="HiddenHorzOCR"/>
          <w:bCs/>
          <w:snapToGrid/>
          <w:kern w:val="0"/>
          <w:szCs w:val="21"/>
        </w:rPr>
        <w:t>凡有意参加投标者，请于2026年</w:t>
      </w:r>
      <w:r>
        <w:rPr>
          <w:rFonts w:hint="eastAsia" w:ascii="宋体" w:hAnsi="宋体" w:eastAsia="宋体" w:cs="HiddenHorzOCR"/>
          <w:bCs/>
          <w:snapToGrid/>
          <w:kern w:val="0"/>
          <w:szCs w:val="21"/>
        </w:rPr>
        <w:t>7</w:t>
      </w:r>
      <w:r>
        <w:rPr>
          <w:rFonts w:ascii="宋体" w:hAnsi="宋体" w:eastAsia="宋体" w:cs="HiddenHorzOCR"/>
          <w:bCs/>
          <w:snapToGrid/>
          <w:kern w:val="0"/>
          <w:szCs w:val="21"/>
        </w:rPr>
        <w:t>月</w:t>
      </w:r>
      <w:r>
        <w:rPr>
          <w:rFonts w:hint="eastAsia" w:ascii="宋体" w:hAnsi="宋体" w:eastAsia="宋体" w:cs="HiddenHorzOCR"/>
          <w:bCs/>
          <w:snapToGrid/>
          <w:kern w:val="0"/>
          <w:szCs w:val="21"/>
        </w:rPr>
        <w:t>18</w:t>
      </w:r>
      <w:r>
        <w:rPr>
          <w:rFonts w:ascii="宋体" w:hAnsi="宋体" w:eastAsia="宋体" w:cs="HiddenHorzOCR"/>
          <w:bCs/>
          <w:snapToGrid/>
          <w:kern w:val="0"/>
          <w:szCs w:val="21"/>
        </w:rPr>
        <w:t>日</w:t>
      </w:r>
      <w:r>
        <w:rPr>
          <w:rFonts w:hint="eastAsia" w:ascii="宋体" w:hAnsi="宋体" w:eastAsia="宋体" w:cs="HiddenHorzOCR"/>
          <w:bCs/>
          <w:snapToGrid/>
          <w:kern w:val="0"/>
          <w:szCs w:val="21"/>
        </w:rPr>
        <w:t>00</w:t>
      </w:r>
      <w:r>
        <w:rPr>
          <w:rFonts w:ascii="宋体" w:hAnsi="宋体" w:eastAsia="宋体" w:cs="HiddenHorzOCR"/>
          <w:bCs/>
          <w:snapToGrid/>
          <w:kern w:val="0"/>
          <w:szCs w:val="21"/>
        </w:rPr>
        <w:t>：00时至2026年</w:t>
      </w:r>
      <w:r>
        <w:rPr>
          <w:rFonts w:hint="eastAsia" w:ascii="宋体" w:hAnsi="宋体" w:eastAsia="宋体" w:cs="HiddenHorzOCR"/>
          <w:bCs/>
          <w:snapToGrid/>
          <w:kern w:val="0"/>
          <w:szCs w:val="21"/>
        </w:rPr>
        <w:t>7</w:t>
      </w:r>
      <w:r>
        <w:rPr>
          <w:rFonts w:ascii="宋体" w:hAnsi="宋体" w:eastAsia="宋体" w:cs="HiddenHorzOCR"/>
          <w:bCs/>
          <w:snapToGrid/>
          <w:kern w:val="0"/>
          <w:szCs w:val="21"/>
        </w:rPr>
        <w:t>月</w:t>
      </w:r>
      <w:r>
        <w:rPr>
          <w:rFonts w:hint="eastAsia" w:ascii="宋体" w:hAnsi="宋体" w:eastAsia="宋体" w:cs="HiddenHorzOCR"/>
          <w:bCs/>
          <w:snapToGrid/>
          <w:kern w:val="0"/>
          <w:szCs w:val="21"/>
        </w:rPr>
        <w:t>22</w:t>
      </w:r>
      <w:r>
        <w:rPr>
          <w:rFonts w:ascii="宋体" w:hAnsi="宋体" w:eastAsia="宋体" w:cs="HiddenHorzOCR"/>
          <w:bCs/>
          <w:snapToGrid/>
          <w:kern w:val="0"/>
          <w:szCs w:val="21"/>
        </w:rPr>
        <w:t>日23：59时（北京时间，下同），登录云南省公共资源交易信息网（http://ggzy.yn.gov.cn）选择“昭通市”，凭企业数字证书（CA）登录【我要投标】，获取电子招标文件及其它招标资料（招标电子文件，格式为*.BZBJ）；未办理企业数字证书（CA）的企业需要按照云南省公共资源交易电子认证的要求，办理企业数字证书（CA），并在云南省公共资源交易信息网完成注册通过后，获取招标文件。注：此为获取招标文件的唯一途径。</w:t>
      </w:r>
    </w:p>
    <w:p w14:paraId="7EC470B7">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bookmarkStart w:id="25" w:name="_Hlk233299778"/>
      <w:r>
        <w:rPr>
          <w:rFonts w:hint="eastAsia" w:ascii="宋体" w:hAnsi="宋体" w:eastAsia="宋体" w:cs="HiddenHorzOCR"/>
          <w:b/>
          <w:bCs/>
          <w:snapToGrid/>
          <w:kern w:val="0"/>
          <w:szCs w:val="21"/>
        </w:rPr>
        <w:t>5.投标保证金</w:t>
      </w:r>
    </w:p>
    <w:bookmarkEnd w:id="25"/>
    <w:p w14:paraId="215C5C28">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按照《云南省人民政府关于印发2024年进一步推动经济稳进提质政策措施的通知》（云政发〔2024〕7号）</w:t>
      </w:r>
      <w:r>
        <w:rPr>
          <w:rFonts w:ascii="宋体" w:hAnsi="宋体" w:eastAsia="宋体" w:cs="HiddenHorzOCR"/>
          <w:snapToGrid/>
          <w:kern w:val="0"/>
          <w:szCs w:val="21"/>
        </w:rPr>
        <w:t>的要求，</w:t>
      </w:r>
      <w:r>
        <w:rPr>
          <w:rFonts w:hint="eastAsia" w:ascii="宋体" w:hAnsi="宋体" w:eastAsia="宋体" w:cs="HiddenHorzOCR"/>
          <w:snapToGrid/>
          <w:kern w:val="0"/>
          <w:szCs w:val="21"/>
        </w:rPr>
        <w:t>在工程建设项目招投标领域，对依法必须招标且标的金额1000万元以下（含1000万元）的政府投资项目，免于收取无失信记录企业投标保证金</w:t>
      </w:r>
      <w:r>
        <w:rPr>
          <w:rFonts w:ascii="宋体" w:hAnsi="宋体" w:eastAsia="宋体" w:cs="HiddenHorzOCR"/>
          <w:snapToGrid/>
          <w:kern w:val="0"/>
          <w:szCs w:val="21"/>
        </w:rPr>
        <w:t>。</w:t>
      </w:r>
      <w:r>
        <w:rPr>
          <w:rFonts w:hint="eastAsia" w:ascii="宋体" w:hAnsi="宋体" w:eastAsia="宋体" w:cs="HiddenHorzOCR"/>
          <w:snapToGrid/>
          <w:kern w:val="0"/>
          <w:szCs w:val="21"/>
        </w:rPr>
        <w:t>投标人必须将在“信用中国”查询的无失信记录情况作为投标要件编入投标文件，开标结束后，招标代理机构必须立即核验投标人提供的信用记录是否属实，若发现提供虚假信用记录，提交评标委员会进行审查处理。</w:t>
      </w:r>
    </w:p>
    <w:p w14:paraId="4F93C2AD">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r>
        <w:rPr>
          <w:rFonts w:hint="eastAsia" w:ascii="宋体" w:hAnsi="宋体" w:eastAsia="宋体" w:cs="HiddenHorzOCR"/>
          <w:b/>
          <w:bCs/>
          <w:snapToGrid/>
          <w:kern w:val="0"/>
          <w:szCs w:val="21"/>
        </w:rPr>
        <w:t>6.投标文件的递交</w:t>
      </w:r>
    </w:p>
    <w:p w14:paraId="25A0DDA3">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6.1投标文件递交的截止时间（投标截止时间，下同）为</w:t>
      </w:r>
      <w:r>
        <w:rPr>
          <w:rFonts w:ascii="宋体" w:hAnsi="宋体" w:eastAsia="宋体" w:cs="HiddenHorzOCR"/>
          <w:snapToGrid/>
          <w:kern w:val="0"/>
          <w:szCs w:val="21"/>
        </w:rPr>
        <w:t>2026</w:t>
      </w:r>
      <w:r>
        <w:rPr>
          <w:rFonts w:hint="eastAsia" w:ascii="宋体" w:hAnsi="宋体" w:eastAsia="宋体" w:cs="HiddenHorzOCR"/>
          <w:snapToGrid/>
          <w:kern w:val="0"/>
          <w:szCs w:val="21"/>
        </w:rPr>
        <w:t>年8月12日09时00分。</w:t>
      </w:r>
    </w:p>
    <w:p w14:paraId="36FB1559">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6.2 递交方式：网上递交，递交网址：</w:t>
      </w:r>
      <w:r>
        <w:rPr>
          <w:rFonts w:ascii="宋体" w:hAnsi="宋体" w:eastAsia="宋体" w:cs="HiddenHorzOCR"/>
          <w:snapToGrid/>
          <w:kern w:val="0"/>
          <w:szCs w:val="21"/>
        </w:rPr>
        <w:t>http://ggzy.yn.gov.cn，投标人须在投标截止时间前完成所有投标文件的上传，网上确认电子签名，并打印“上传投标文件回执”，投标截止时间前未完成投标文件传输的，视为撤回投标文件</w:t>
      </w:r>
      <w:r>
        <w:rPr>
          <w:rFonts w:hint="eastAsia" w:ascii="宋体" w:hAnsi="宋体" w:eastAsia="宋体" w:cs="HiddenHorzOCR"/>
          <w:snapToGrid/>
          <w:kern w:val="0"/>
          <w:szCs w:val="21"/>
        </w:rPr>
        <w:t>。</w:t>
      </w:r>
    </w:p>
    <w:p w14:paraId="1D88EA68">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ascii="宋体" w:hAnsi="宋体" w:eastAsia="宋体" w:cs="HiddenHorzOCR"/>
          <w:snapToGrid/>
          <w:kern w:val="0"/>
          <w:szCs w:val="21"/>
        </w:rPr>
        <w:t>6.3开标地点：</w:t>
      </w:r>
      <w:r>
        <w:rPr>
          <w:rFonts w:hint="eastAsia" w:ascii="宋体" w:hAnsi="宋体" w:eastAsia="宋体" w:cs="HiddenHorzOCR"/>
          <w:snapToGrid/>
          <w:kern w:val="0"/>
          <w:szCs w:val="21"/>
        </w:rPr>
        <w:t>巧家县公共资源交易中心开标厅</w:t>
      </w:r>
      <w:r>
        <w:rPr>
          <w:rFonts w:ascii="宋体" w:hAnsi="宋体" w:eastAsia="宋体" w:cs="HiddenHorzOCR"/>
          <w:snapToGrid/>
          <w:kern w:val="0"/>
          <w:szCs w:val="21"/>
        </w:rPr>
        <w:t>。</w:t>
      </w:r>
    </w:p>
    <w:p w14:paraId="38B2149B">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r>
        <w:rPr>
          <w:rFonts w:hint="eastAsia" w:ascii="宋体" w:hAnsi="宋体" w:eastAsia="宋体" w:cs="HiddenHorzOCR"/>
          <w:b/>
          <w:bCs/>
          <w:snapToGrid/>
          <w:kern w:val="0"/>
          <w:szCs w:val="21"/>
        </w:rPr>
        <w:t>7.开标方式</w:t>
      </w:r>
    </w:p>
    <w:p w14:paraId="62E562AF">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7</w:t>
      </w:r>
      <w:r>
        <w:rPr>
          <w:rFonts w:ascii="宋体" w:hAnsi="宋体" w:eastAsia="宋体" w:cs="HiddenHorzOCR"/>
          <w:snapToGrid/>
          <w:kern w:val="0"/>
          <w:szCs w:val="21"/>
        </w:rPr>
        <w:t>.1开标方式：网上远程开标。</w:t>
      </w:r>
    </w:p>
    <w:p w14:paraId="41E9FF53">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7</w:t>
      </w:r>
      <w:r>
        <w:rPr>
          <w:rFonts w:ascii="宋体" w:hAnsi="宋体" w:eastAsia="宋体" w:cs="HiddenHorzOCR"/>
          <w:snapToGrid/>
          <w:kern w:val="0"/>
          <w:szCs w:val="21"/>
        </w:rPr>
        <w:t>.2投标人登录“http://ggzy.yn.gov.cn”，在截标时间前提前进入到“网上开标室”，根据网上远程解密、开标要求，在下达投标文件解密指令后</w:t>
      </w:r>
      <w:r>
        <w:rPr>
          <w:rFonts w:hint="eastAsia" w:ascii="宋体" w:hAnsi="宋体" w:eastAsia="宋体" w:cs="HiddenHorzOCR"/>
          <w:snapToGrid/>
          <w:kern w:val="0"/>
          <w:szCs w:val="21"/>
        </w:rPr>
        <w:t>30</w:t>
      </w:r>
      <w:r>
        <w:rPr>
          <w:rFonts w:ascii="宋体" w:hAnsi="宋体" w:eastAsia="宋体" w:cs="HiddenHorzOCR"/>
          <w:snapToGrid/>
          <w:kern w:val="0"/>
          <w:szCs w:val="21"/>
        </w:rPr>
        <w:t>分钟内完成远程解密、查看开标一览表和签名确认等相关操作。若投标人没有在规定时间完成以上相关操作，则视为其撤销投标文件，放弃投标。开标过程中如有疑问，可以在线提出异议，由代理机构（招标人）回复。在规定的签名确认时间内不进行开标一览表确认的，视为对开标结果无异议。</w:t>
      </w:r>
    </w:p>
    <w:p w14:paraId="28FFEF61">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技术服务咨询：北京筑龙信息技术有限责任公司</w:t>
      </w:r>
    </w:p>
    <w:p w14:paraId="742F8896">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服务热线：</w:t>
      </w:r>
      <w:r>
        <w:rPr>
          <w:rFonts w:ascii="宋体" w:hAnsi="宋体" w:eastAsia="宋体" w:cs="HiddenHorzOCR"/>
          <w:snapToGrid/>
          <w:kern w:val="0"/>
          <w:szCs w:val="21"/>
        </w:rPr>
        <w:t>010-86483801。</w:t>
      </w:r>
    </w:p>
    <w:p w14:paraId="60945881">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注：上传投标文件时加密使用的</w:t>
      </w:r>
      <w:r>
        <w:rPr>
          <w:rFonts w:ascii="宋体" w:hAnsi="宋体" w:eastAsia="宋体" w:cs="HiddenHorzOCR"/>
          <w:snapToGrid/>
          <w:kern w:val="0"/>
          <w:szCs w:val="21"/>
        </w:rPr>
        <w:t>CA数字证书是开标时对投标文件进行解密的必要工具，否则将不能解密。因投标人自身原因导致所递交的投标文件无法解密、导入失败的，均视为其撤销投标文件，后果及责任由投标人自行承担。</w:t>
      </w:r>
    </w:p>
    <w:p w14:paraId="1FD59D62">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r>
        <w:rPr>
          <w:rFonts w:hint="eastAsia" w:ascii="宋体" w:hAnsi="宋体" w:eastAsia="宋体" w:cs="HiddenHorzOCR"/>
          <w:b/>
          <w:bCs/>
          <w:snapToGrid/>
          <w:kern w:val="0"/>
          <w:szCs w:val="21"/>
        </w:rPr>
        <w:t>8.发布公告的媒介</w:t>
      </w:r>
    </w:p>
    <w:p w14:paraId="6EBD3486">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本公告在云南省公共资源交易信息网（</w:t>
      </w:r>
      <w:r>
        <w:rPr>
          <w:rFonts w:ascii="宋体" w:hAnsi="宋体" w:eastAsia="宋体" w:cs="HiddenHorzOCR"/>
          <w:snapToGrid/>
          <w:kern w:val="0"/>
          <w:szCs w:val="21"/>
        </w:rPr>
        <w:t>http://ggzy.yn.gov.cn）上发布，其他网站转发无效，对在其他网站或媒体转载的招标公告及公告内容，招标人和招标代理机构不承担任何法律责任。发布时间：2026年</w:t>
      </w:r>
      <w:r>
        <w:rPr>
          <w:rFonts w:hint="eastAsia" w:ascii="宋体" w:hAnsi="宋体" w:eastAsia="宋体" w:cs="HiddenHorzOCR"/>
          <w:snapToGrid/>
          <w:kern w:val="0"/>
          <w:szCs w:val="21"/>
        </w:rPr>
        <w:t>7</w:t>
      </w:r>
      <w:r>
        <w:rPr>
          <w:rFonts w:ascii="宋体" w:hAnsi="宋体" w:eastAsia="宋体" w:cs="HiddenHorzOCR"/>
          <w:snapToGrid/>
          <w:kern w:val="0"/>
          <w:szCs w:val="21"/>
        </w:rPr>
        <w:t>月</w:t>
      </w:r>
      <w:r>
        <w:rPr>
          <w:rFonts w:hint="eastAsia" w:ascii="宋体" w:hAnsi="宋体" w:eastAsia="宋体" w:cs="HiddenHorzOCR"/>
          <w:snapToGrid/>
          <w:kern w:val="0"/>
          <w:szCs w:val="21"/>
        </w:rPr>
        <w:t>17</w:t>
      </w:r>
      <w:r>
        <w:rPr>
          <w:rFonts w:ascii="宋体" w:hAnsi="宋体" w:eastAsia="宋体" w:cs="HiddenHorzOCR"/>
          <w:snapToGrid/>
          <w:kern w:val="0"/>
          <w:szCs w:val="21"/>
        </w:rPr>
        <w:t>日。</w:t>
      </w:r>
    </w:p>
    <w:p w14:paraId="5A372081">
      <w:pPr>
        <w:autoSpaceDE w:val="0"/>
        <w:autoSpaceDN w:val="0"/>
        <w:adjustRightInd w:val="0"/>
        <w:spacing w:line="360" w:lineRule="auto"/>
        <w:ind w:firstLine="422" w:firstLineChars="200"/>
        <w:jc w:val="left"/>
        <w:rPr>
          <w:rFonts w:hint="eastAsia" w:ascii="宋体" w:hAnsi="宋体" w:eastAsia="宋体" w:cs="HiddenHorzOCR"/>
          <w:b/>
          <w:bCs/>
          <w:snapToGrid/>
          <w:kern w:val="0"/>
          <w:szCs w:val="21"/>
        </w:rPr>
      </w:pPr>
      <w:r>
        <w:rPr>
          <w:rFonts w:hint="eastAsia" w:ascii="宋体" w:hAnsi="宋体" w:eastAsia="宋体" w:cs="HiddenHorzOCR"/>
          <w:b/>
          <w:bCs/>
          <w:snapToGrid/>
          <w:kern w:val="0"/>
          <w:szCs w:val="21"/>
        </w:rPr>
        <w:t>9.联系方式</w:t>
      </w:r>
    </w:p>
    <w:p w14:paraId="21835290">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招标人：巧家县农村水利及电气化发展中心</w:t>
      </w:r>
    </w:p>
    <w:p w14:paraId="427E4295">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地址：昭通市巧家县玉屏街道新华北路31号</w:t>
      </w:r>
    </w:p>
    <w:p w14:paraId="1322A42D">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联系人：张艳</w:t>
      </w:r>
    </w:p>
    <w:p w14:paraId="00EFF6EE">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联系电话：13887041382</w:t>
      </w:r>
      <w:bookmarkStart w:id="26" w:name="_GoBack"/>
      <w:bookmarkEnd w:id="26"/>
    </w:p>
    <w:p w14:paraId="7CE2D4B8">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招标代理机构：云南中咨海外咨询有限公司</w:t>
      </w:r>
    </w:p>
    <w:p w14:paraId="1BBC2479">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地址：昭阳区二环南路宏发金都</w:t>
      </w:r>
      <w:r>
        <w:rPr>
          <w:rFonts w:ascii="宋体" w:hAnsi="宋体" w:eastAsia="宋体" w:cs="HiddenHorzOCR"/>
          <w:snapToGrid/>
          <w:kern w:val="0"/>
          <w:szCs w:val="21"/>
        </w:rPr>
        <w:t>G栋107</w:t>
      </w:r>
    </w:p>
    <w:p w14:paraId="44C24775">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联系人：高兴凤</w:t>
      </w:r>
    </w:p>
    <w:p w14:paraId="541CDD05">
      <w:pPr>
        <w:autoSpaceDE w:val="0"/>
        <w:autoSpaceDN w:val="0"/>
        <w:adjustRightInd w:val="0"/>
        <w:spacing w:line="360" w:lineRule="auto"/>
        <w:ind w:firstLine="420" w:firstLineChars="200"/>
        <w:jc w:val="left"/>
        <w:rPr>
          <w:rFonts w:hint="eastAsia" w:ascii="宋体" w:hAnsi="宋体" w:eastAsia="宋体" w:cs="HiddenHorzOCR"/>
          <w:snapToGrid/>
          <w:kern w:val="0"/>
          <w:szCs w:val="21"/>
        </w:rPr>
      </w:pPr>
      <w:r>
        <w:rPr>
          <w:rFonts w:hint="eastAsia" w:ascii="宋体" w:hAnsi="宋体" w:eastAsia="宋体" w:cs="HiddenHorzOCR"/>
          <w:snapToGrid/>
          <w:kern w:val="0"/>
          <w:szCs w:val="21"/>
        </w:rPr>
        <w:t>联系电话：</w:t>
      </w:r>
      <w:r>
        <w:rPr>
          <w:rFonts w:ascii="宋体" w:hAnsi="宋体" w:eastAsia="宋体" w:cs="HiddenHorzOCR"/>
          <w:snapToGrid/>
          <w:kern w:val="0"/>
          <w:szCs w:val="21"/>
        </w:rPr>
        <w:t>15911823126</w:t>
      </w:r>
    </w:p>
    <w:p w14:paraId="01F2C0F9">
      <w:pPr>
        <w:autoSpaceDE w:val="0"/>
        <w:autoSpaceDN w:val="0"/>
        <w:adjustRightInd w:val="0"/>
        <w:spacing w:line="360" w:lineRule="auto"/>
        <w:ind w:firstLine="420" w:firstLineChars="200"/>
        <w:jc w:val="left"/>
        <w:rPr>
          <w:rFonts w:hAnsi="宋体"/>
          <w:snapToGrid/>
          <w:kern w:val="2"/>
          <w:szCs w:val="21"/>
        </w:rPr>
      </w:pPr>
    </w:p>
    <w:sectPr>
      <w:pgSz w:w="11906" w:h="16838"/>
      <w:pgMar w:top="993" w:right="1416" w:bottom="993"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iddenHorzOCR">
    <w:altName w:val="Yu Gothic"/>
    <w:panose1 w:val="00000000000000000000"/>
    <w:charset w:val="80"/>
    <w:family w:val="auto"/>
    <w:pitch w:val="default"/>
    <w:sig w:usb0="00000000" w:usb1="00000000" w:usb2="00000010" w:usb3="00000000" w:csb0="00020000" w:csb1="00000000"/>
  </w:font>
  <w:font w:name="方正书宋_GBK">
    <w:altName w:val="Arial Unicode MS"/>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Yu Gothic">
    <w:panose1 w:val="020B0400000000000000"/>
    <w:charset w:val="80"/>
    <w:family w:val="auto"/>
    <w:pitch w:val="default"/>
    <w:sig w:usb0="E00002FF" w:usb1="2AC7FDFF" w:usb2="00000016" w:usb3="00000000" w:csb0="2002009F"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JkODViMTBhNWVhZDc2NWViYmMyM2U4ZDM5YzhmODIifQ=="/>
  </w:docVars>
  <w:rsids>
    <w:rsidRoot w:val="00826A81"/>
    <w:rsid w:val="00002E73"/>
    <w:rsid w:val="00005191"/>
    <w:rsid w:val="000203A7"/>
    <w:rsid w:val="00022E17"/>
    <w:rsid w:val="00033A30"/>
    <w:rsid w:val="000374E8"/>
    <w:rsid w:val="000402C8"/>
    <w:rsid w:val="00041D6A"/>
    <w:rsid w:val="00045449"/>
    <w:rsid w:val="00056107"/>
    <w:rsid w:val="00062C24"/>
    <w:rsid w:val="00076F02"/>
    <w:rsid w:val="00084F0C"/>
    <w:rsid w:val="000867D8"/>
    <w:rsid w:val="000935E3"/>
    <w:rsid w:val="00096235"/>
    <w:rsid w:val="000A402F"/>
    <w:rsid w:val="000C340E"/>
    <w:rsid w:val="000C7C98"/>
    <w:rsid w:val="000D40CF"/>
    <w:rsid w:val="000D6168"/>
    <w:rsid w:val="000E3BA7"/>
    <w:rsid w:val="000E3FA9"/>
    <w:rsid w:val="000E6BB1"/>
    <w:rsid w:val="000F2B3D"/>
    <w:rsid w:val="000F5826"/>
    <w:rsid w:val="000F602F"/>
    <w:rsid w:val="00100A56"/>
    <w:rsid w:val="00105544"/>
    <w:rsid w:val="00110E1B"/>
    <w:rsid w:val="00111D68"/>
    <w:rsid w:val="00115DE7"/>
    <w:rsid w:val="00126115"/>
    <w:rsid w:val="00131A77"/>
    <w:rsid w:val="001405B8"/>
    <w:rsid w:val="001434B4"/>
    <w:rsid w:val="00145051"/>
    <w:rsid w:val="0016291F"/>
    <w:rsid w:val="00171C36"/>
    <w:rsid w:val="00183224"/>
    <w:rsid w:val="001A1D21"/>
    <w:rsid w:val="001A1DE5"/>
    <w:rsid w:val="001A1E2B"/>
    <w:rsid w:val="001A5FC4"/>
    <w:rsid w:val="001B32CA"/>
    <w:rsid w:val="001C0D62"/>
    <w:rsid w:val="001C34EA"/>
    <w:rsid w:val="001C4929"/>
    <w:rsid w:val="001C68C7"/>
    <w:rsid w:val="001E4428"/>
    <w:rsid w:val="001E4E08"/>
    <w:rsid w:val="001F378F"/>
    <w:rsid w:val="001F4CC4"/>
    <w:rsid w:val="001F4E5A"/>
    <w:rsid w:val="00202A37"/>
    <w:rsid w:val="0020573D"/>
    <w:rsid w:val="0022153A"/>
    <w:rsid w:val="002248AF"/>
    <w:rsid w:val="002275A3"/>
    <w:rsid w:val="002308BA"/>
    <w:rsid w:val="002315A7"/>
    <w:rsid w:val="00233CB6"/>
    <w:rsid w:val="00247221"/>
    <w:rsid w:val="00254252"/>
    <w:rsid w:val="002555BA"/>
    <w:rsid w:val="00261B11"/>
    <w:rsid w:val="0026740A"/>
    <w:rsid w:val="00280C32"/>
    <w:rsid w:val="002903AC"/>
    <w:rsid w:val="002A3870"/>
    <w:rsid w:val="002B372C"/>
    <w:rsid w:val="002C0D51"/>
    <w:rsid w:val="002C1F80"/>
    <w:rsid w:val="002C7A9D"/>
    <w:rsid w:val="002D473A"/>
    <w:rsid w:val="002D6107"/>
    <w:rsid w:val="002D736D"/>
    <w:rsid w:val="002E0D19"/>
    <w:rsid w:val="002E2872"/>
    <w:rsid w:val="002E6524"/>
    <w:rsid w:val="002E7DD7"/>
    <w:rsid w:val="002F3770"/>
    <w:rsid w:val="002F4C0B"/>
    <w:rsid w:val="002F51EF"/>
    <w:rsid w:val="003003BE"/>
    <w:rsid w:val="00325A12"/>
    <w:rsid w:val="00325FCD"/>
    <w:rsid w:val="003439F2"/>
    <w:rsid w:val="0034790F"/>
    <w:rsid w:val="003773FB"/>
    <w:rsid w:val="00382448"/>
    <w:rsid w:val="00390F69"/>
    <w:rsid w:val="003A351A"/>
    <w:rsid w:val="003B0232"/>
    <w:rsid w:val="003C2812"/>
    <w:rsid w:val="003C4B91"/>
    <w:rsid w:val="003D36E0"/>
    <w:rsid w:val="003D429B"/>
    <w:rsid w:val="003D4913"/>
    <w:rsid w:val="003E24B8"/>
    <w:rsid w:val="003E2650"/>
    <w:rsid w:val="003F24F7"/>
    <w:rsid w:val="003F3E98"/>
    <w:rsid w:val="004011DE"/>
    <w:rsid w:val="004047FB"/>
    <w:rsid w:val="004227EB"/>
    <w:rsid w:val="004370D9"/>
    <w:rsid w:val="004372FD"/>
    <w:rsid w:val="00440F88"/>
    <w:rsid w:val="00447E4E"/>
    <w:rsid w:val="004538D6"/>
    <w:rsid w:val="00471359"/>
    <w:rsid w:val="004737A8"/>
    <w:rsid w:val="004770E9"/>
    <w:rsid w:val="004845C5"/>
    <w:rsid w:val="00491114"/>
    <w:rsid w:val="00497A90"/>
    <w:rsid w:val="004A4466"/>
    <w:rsid w:val="004B0612"/>
    <w:rsid w:val="004C392A"/>
    <w:rsid w:val="004C5C83"/>
    <w:rsid w:val="004D7979"/>
    <w:rsid w:val="004E2FD8"/>
    <w:rsid w:val="004E614A"/>
    <w:rsid w:val="004E6C9C"/>
    <w:rsid w:val="004F6AA8"/>
    <w:rsid w:val="004F6E40"/>
    <w:rsid w:val="0051192A"/>
    <w:rsid w:val="00515770"/>
    <w:rsid w:val="00516698"/>
    <w:rsid w:val="00525D5A"/>
    <w:rsid w:val="00531B50"/>
    <w:rsid w:val="00534CAA"/>
    <w:rsid w:val="00535C4A"/>
    <w:rsid w:val="00537445"/>
    <w:rsid w:val="00537E4A"/>
    <w:rsid w:val="0055047D"/>
    <w:rsid w:val="00556CB8"/>
    <w:rsid w:val="005606FC"/>
    <w:rsid w:val="00575E15"/>
    <w:rsid w:val="00585A86"/>
    <w:rsid w:val="00586FFF"/>
    <w:rsid w:val="00594418"/>
    <w:rsid w:val="00597AA6"/>
    <w:rsid w:val="005A3472"/>
    <w:rsid w:val="005B11E5"/>
    <w:rsid w:val="005C4167"/>
    <w:rsid w:val="005E5804"/>
    <w:rsid w:val="005E7EE9"/>
    <w:rsid w:val="005F5963"/>
    <w:rsid w:val="00600D0F"/>
    <w:rsid w:val="00607739"/>
    <w:rsid w:val="00632153"/>
    <w:rsid w:val="00634A1C"/>
    <w:rsid w:val="006355F8"/>
    <w:rsid w:val="00636D58"/>
    <w:rsid w:val="00645206"/>
    <w:rsid w:val="00650930"/>
    <w:rsid w:val="00654177"/>
    <w:rsid w:val="00656DF0"/>
    <w:rsid w:val="00665754"/>
    <w:rsid w:val="00674F4D"/>
    <w:rsid w:val="00681DE8"/>
    <w:rsid w:val="0068715C"/>
    <w:rsid w:val="006A2C49"/>
    <w:rsid w:val="006A5635"/>
    <w:rsid w:val="006A688C"/>
    <w:rsid w:val="006C06CB"/>
    <w:rsid w:val="006D5AB6"/>
    <w:rsid w:val="006F452B"/>
    <w:rsid w:val="0070089E"/>
    <w:rsid w:val="00702EF9"/>
    <w:rsid w:val="00713EA4"/>
    <w:rsid w:val="007161BD"/>
    <w:rsid w:val="00717111"/>
    <w:rsid w:val="00724A49"/>
    <w:rsid w:val="007269DD"/>
    <w:rsid w:val="007321D5"/>
    <w:rsid w:val="0073625E"/>
    <w:rsid w:val="0074084E"/>
    <w:rsid w:val="00746572"/>
    <w:rsid w:val="00747034"/>
    <w:rsid w:val="00747917"/>
    <w:rsid w:val="007538F7"/>
    <w:rsid w:val="007625B6"/>
    <w:rsid w:val="00763C70"/>
    <w:rsid w:val="00764328"/>
    <w:rsid w:val="007717DA"/>
    <w:rsid w:val="00776925"/>
    <w:rsid w:val="00784EB9"/>
    <w:rsid w:val="00787660"/>
    <w:rsid w:val="00791FD5"/>
    <w:rsid w:val="007B3A80"/>
    <w:rsid w:val="007B7AC3"/>
    <w:rsid w:val="007C3817"/>
    <w:rsid w:val="007D3282"/>
    <w:rsid w:val="007D3879"/>
    <w:rsid w:val="007E5476"/>
    <w:rsid w:val="00801C1B"/>
    <w:rsid w:val="00824FA2"/>
    <w:rsid w:val="00826A81"/>
    <w:rsid w:val="00832F1C"/>
    <w:rsid w:val="0084358B"/>
    <w:rsid w:val="00846F27"/>
    <w:rsid w:val="008474CC"/>
    <w:rsid w:val="00851A9F"/>
    <w:rsid w:val="0088565F"/>
    <w:rsid w:val="008B4B52"/>
    <w:rsid w:val="008F139D"/>
    <w:rsid w:val="00902A81"/>
    <w:rsid w:val="00911658"/>
    <w:rsid w:val="009201DF"/>
    <w:rsid w:val="0092737D"/>
    <w:rsid w:val="0093610D"/>
    <w:rsid w:val="00940ECF"/>
    <w:rsid w:val="00941DA3"/>
    <w:rsid w:val="00946C49"/>
    <w:rsid w:val="00950B8D"/>
    <w:rsid w:val="00951798"/>
    <w:rsid w:val="00952F22"/>
    <w:rsid w:val="00967BE9"/>
    <w:rsid w:val="009777E5"/>
    <w:rsid w:val="0097785B"/>
    <w:rsid w:val="009A56CD"/>
    <w:rsid w:val="009A60D9"/>
    <w:rsid w:val="009B3568"/>
    <w:rsid w:val="009C0FC1"/>
    <w:rsid w:val="009C13D2"/>
    <w:rsid w:val="009D0977"/>
    <w:rsid w:val="009D0FBE"/>
    <w:rsid w:val="009D2028"/>
    <w:rsid w:val="009D4F6B"/>
    <w:rsid w:val="00A00299"/>
    <w:rsid w:val="00A00880"/>
    <w:rsid w:val="00A02916"/>
    <w:rsid w:val="00A160E4"/>
    <w:rsid w:val="00A21612"/>
    <w:rsid w:val="00A31961"/>
    <w:rsid w:val="00A50566"/>
    <w:rsid w:val="00A6412E"/>
    <w:rsid w:val="00A71013"/>
    <w:rsid w:val="00A81078"/>
    <w:rsid w:val="00A9730C"/>
    <w:rsid w:val="00AA72F7"/>
    <w:rsid w:val="00AD6A8B"/>
    <w:rsid w:val="00AD7A0D"/>
    <w:rsid w:val="00AE0A43"/>
    <w:rsid w:val="00AE2EF9"/>
    <w:rsid w:val="00AF7449"/>
    <w:rsid w:val="00B02171"/>
    <w:rsid w:val="00B02E2A"/>
    <w:rsid w:val="00B04921"/>
    <w:rsid w:val="00B100B3"/>
    <w:rsid w:val="00B12613"/>
    <w:rsid w:val="00B16BEE"/>
    <w:rsid w:val="00B22E91"/>
    <w:rsid w:val="00B3468D"/>
    <w:rsid w:val="00B3630C"/>
    <w:rsid w:val="00B45CC8"/>
    <w:rsid w:val="00B50D7F"/>
    <w:rsid w:val="00B54D4A"/>
    <w:rsid w:val="00B55CE7"/>
    <w:rsid w:val="00B61620"/>
    <w:rsid w:val="00B61849"/>
    <w:rsid w:val="00B67AFD"/>
    <w:rsid w:val="00B76AF1"/>
    <w:rsid w:val="00B90524"/>
    <w:rsid w:val="00B938DA"/>
    <w:rsid w:val="00B962F3"/>
    <w:rsid w:val="00BA510C"/>
    <w:rsid w:val="00BB6ABA"/>
    <w:rsid w:val="00BB7373"/>
    <w:rsid w:val="00BC223E"/>
    <w:rsid w:val="00BC340E"/>
    <w:rsid w:val="00BD6F14"/>
    <w:rsid w:val="00BE4999"/>
    <w:rsid w:val="00BF1D0F"/>
    <w:rsid w:val="00BF3DE7"/>
    <w:rsid w:val="00C105BD"/>
    <w:rsid w:val="00C17E28"/>
    <w:rsid w:val="00C27A8F"/>
    <w:rsid w:val="00C310A6"/>
    <w:rsid w:val="00C31D3C"/>
    <w:rsid w:val="00C33704"/>
    <w:rsid w:val="00C366C1"/>
    <w:rsid w:val="00C754A5"/>
    <w:rsid w:val="00C82FAD"/>
    <w:rsid w:val="00C92FCC"/>
    <w:rsid w:val="00CA442E"/>
    <w:rsid w:val="00CB03DD"/>
    <w:rsid w:val="00CB236F"/>
    <w:rsid w:val="00CB23EF"/>
    <w:rsid w:val="00CB4269"/>
    <w:rsid w:val="00CB6CCC"/>
    <w:rsid w:val="00CC444C"/>
    <w:rsid w:val="00CC4E6C"/>
    <w:rsid w:val="00CC746E"/>
    <w:rsid w:val="00CD2B66"/>
    <w:rsid w:val="00CD469F"/>
    <w:rsid w:val="00CD7415"/>
    <w:rsid w:val="00CE0C0C"/>
    <w:rsid w:val="00CF0D2B"/>
    <w:rsid w:val="00CF1018"/>
    <w:rsid w:val="00CF3E60"/>
    <w:rsid w:val="00CF6711"/>
    <w:rsid w:val="00D176C0"/>
    <w:rsid w:val="00D22940"/>
    <w:rsid w:val="00D23AE0"/>
    <w:rsid w:val="00D26A39"/>
    <w:rsid w:val="00D5034E"/>
    <w:rsid w:val="00D564BF"/>
    <w:rsid w:val="00D857C5"/>
    <w:rsid w:val="00D953ED"/>
    <w:rsid w:val="00D97312"/>
    <w:rsid w:val="00DA53D7"/>
    <w:rsid w:val="00DB30ED"/>
    <w:rsid w:val="00DB6FC5"/>
    <w:rsid w:val="00DC33BF"/>
    <w:rsid w:val="00DD04D0"/>
    <w:rsid w:val="00DD6F71"/>
    <w:rsid w:val="00DE3A1C"/>
    <w:rsid w:val="00DE524B"/>
    <w:rsid w:val="00DF0FD1"/>
    <w:rsid w:val="00DF1E8B"/>
    <w:rsid w:val="00E03DFB"/>
    <w:rsid w:val="00E1019C"/>
    <w:rsid w:val="00E13376"/>
    <w:rsid w:val="00E158CE"/>
    <w:rsid w:val="00E21C22"/>
    <w:rsid w:val="00E507CA"/>
    <w:rsid w:val="00E52547"/>
    <w:rsid w:val="00E5436C"/>
    <w:rsid w:val="00E54E5C"/>
    <w:rsid w:val="00E67416"/>
    <w:rsid w:val="00E72439"/>
    <w:rsid w:val="00E73062"/>
    <w:rsid w:val="00E74F3F"/>
    <w:rsid w:val="00E820AC"/>
    <w:rsid w:val="00E835D0"/>
    <w:rsid w:val="00E85E58"/>
    <w:rsid w:val="00E91533"/>
    <w:rsid w:val="00EA6E0A"/>
    <w:rsid w:val="00EC57F4"/>
    <w:rsid w:val="00EC6667"/>
    <w:rsid w:val="00ED748B"/>
    <w:rsid w:val="00EE5CBE"/>
    <w:rsid w:val="00EF5D62"/>
    <w:rsid w:val="00F009C3"/>
    <w:rsid w:val="00F07A7B"/>
    <w:rsid w:val="00F12646"/>
    <w:rsid w:val="00F2364F"/>
    <w:rsid w:val="00F24AC9"/>
    <w:rsid w:val="00F32117"/>
    <w:rsid w:val="00F32489"/>
    <w:rsid w:val="00F33152"/>
    <w:rsid w:val="00F33D37"/>
    <w:rsid w:val="00F35CD6"/>
    <w:rsid w:val="00F36117"/>
    <w:rsid w:val="00F53DAD"/>
    <w:rsid w:val="00F61874"/>
    <w:rsid w:val="00F623C8"/>
    <w:rsid w:val="00F62791"/>
    <w:rsid w:val="00F63327"/>
    <w:rsid w:val="00F675A4"/>
    <w:rsid w:val="00F81C57"/>
    <w:rsid w:val="00F85864"/>
    <w:rsid w:val="00F9060A"/>
    <w:rsid w:val="00F93D04"/>
    <w:rsid w:val="00F96589"/>
    <w:rsid w:val="00F972C8"/>
    <w:rsid w:val="00FA06BF"/>
    <w:rsid w:val="00FA0DA8"/>
    <w:rsid w:val="00FA17F7"/>
    <w:rsid w:val="00FA5B0A"/>
    <w:rsid w:val="00FA677A"/>
    <w:rsid w:val="00FB2693"/>
    <w:rsid w:val="00FD177A"/>
    <w:rsid w:val="00FD29D4"/>
    <w:rsid w:val="00FD2F89"/>
    <w:rsid w:val="00FD50E4"/>
    <w:rsid w:val="00FE6632"/>
    <w:rsid w:val="00FF03AA"/>
    <w:rsid w:val="09215567"/>
    <w:rsid w:val="0C5226B4"/>
    <w:rsid w:val="117D43AB"/>
    <w:rsid w:val="128C4476"/>
    <w:rsid w:val="132B7B2F"/>
    <w:rsid w:val="15332928"/>
    <w:rsid w:val="18613461"/>
    <w:rsid w:val="3CCE5021"/>
    <w:rsid w:val="3D960F5C"/>
    <w:rsid w:val="4BB10813"/>
    <w:rsid w:val="4C920F9E"/>
    <w:rsid w:val="5066262C"/>
    <w:rsid w:val="53BD744E"/>
    <w:rsid w:val="5685159C"/>
    <w:rsid w:val="5D6F1D55"/>
    <w:rsid w:val="5DE039AF"/>
    <w:rsid w:val="61141925"/>
    <w:rsid w:val="64E157B7"/>
    <w:rsid w:val="66145470"/>
    <w:rsid w:val="778421F8"/>
    <w:rsid w:val="7E9B6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napToGrid w:val="0"/>
      <w:kern w:val="21"/>
      <w:sz w:val="21"/>
      <w:szCs w:val="24"/>
      <w:lang w:val="en-US" w:eastAsia="zh-CN" w:bidi="ar-SA"/>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semiHidden/>
    <w:unhideWhenUsed/>
    <w:qFormat/>
    <w:uiPriority w:val="99"/>
    <w:pPr>
      <w:jc w:val="left"/>
    </w:pPr>
  </w:style>
  <w:style w:type="paragraph" w:styleId="3">
    <w:name w:val="Body Text Indent"/>
    <w:basedOn w:val="1"/>
    <w:qFormat/>
    <w:uiPriority w:val="99"/>
    <w:pPr>
      <w:ind w:left="420" w:leftChars="200"/>
    </w:pPr>
  </w:style>
  <w:style w:type="paragraph" w:styleId="4">
    <w:name w:val="Balloon Text"/>
    <w:basedOn w:val="1"/>
    <w:link w:val="16"/>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rFonts w:asciiTheme="minorHAnsi" w:hAnsiTheme="minorHAnsi" w:eastAsiaTheme="minorEastAsia" w:cstheme="minorBidi"/>
      <w:snapToGrid/>
      <w:kern w:val="2"/>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napToGrid/>
      <w:kern w:val="2"/>
      <w:sz w:val="18"/>
      <w:szCs w:val="18"/>
    </w:rPr>
  </w:style>
  <w:style w:type="paragraph" w:styleId="7">
    <w:name w:val="toc 2"/>
    <w:basedOn w:val="1"/>
    <w:next w:val="1"/>
    <w:qFormat/>
    <w:uiPriority w:val="39"/>
    <w:pPr>
      <w:ind w:left="200" w:leftChars="200"/>
    </w:pPr>
  </w:style>
  <w:style w:type="paragraph" w:styleId="8">
    <w:name w:val="annotation subject"/>
    <w:basedOn w:val="2"/>
    <w:next w:val="2"/>
    <w:link w:val="19"/>
    <w:semiHidden/>
    <w:unhideWhenUsed/>
    <w:qFormat/>
    <w:uiPriority w:val="99"/>
    <w:rPr>
      <w:b/>
      <w:bCs/>
    </w:rPr>
  </w:style>
  <w:style w:type="paragraph" w:styleId="9">
    <w:name w:val="Body Text First Indent 2"/>
    <w:basedOn w:val="3"/>
    <w:qFormat/>
    <w:uiPriority w:val="99"/>
    <w:pPr>
      <w:ind w:firstLine="420" w:firstLineChars="200"/>
    </w:p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annotation reference"/>
    <w:basedOn w:val="11"/>
    <w:semiHidden/>
    <w:unhideWhenUsed/>
    <w:qFormat/>
    <w:uiPriority w:val="99"/>
    <w:rPr>
      <w:sz w:val="21"/>
      <w:szCs w:val="21"/>
    </w:rPr>
  </w:style>
  <w:style w:type="character" w:customStyle="1" w:styleId="14">
    <w:name w:val="页眉 Char"/>
    <w:basedOn w:val="11"/>
    <w:link w:val="6"/>
    <w:qFormat/>
    <w:uiPriority w:val="99"/>
    <w:rPr>
      <w:sz w:val="18"/>
      <w:szCs w:val="18"/>
    </w:rPr>
  </w:style>
  <w:style w:type="character" w:customStyle="1" w:styleId="15">
    <w:name w:val="页脚 Char"/>
    <w:basedOn w:val="11"/>
    <w:link w:val="5"/>
    <w:qFormat/>
    <w:uiPriority w:val="99"/>
    <w:rPr>
      <w:sz w:val="18"/>
      <w:szCs w:val="18"/>
    </w:rPr>
  </w:style>
  <w:style w:type="character" w:customStyle="1" w:styleId="16">
    <w:name w:val="批注框文本 Char"/>
    <w:basedOn w:val="11"/>
    <w:link w:val="4"/>
    <w:semiHidden/>
    <w:qFormat/>
    <w:uiPriority w:val="99"/>
    <w:rPr>
      <w:rFonts w:ascii="宋体" w:hAnsi="Times New Roman" w:eastAsia="宋体" w:cs="Times New Roman"/>
      <w:snapToGrid w:val="0"/>
      <w:kern w:val="21"/>
      <w:sz w:val="18"/>
      <w:szCs w:val="18"/>
    </w:rPr>
  </w:style>
  <w:style w:type="paragraph" w:styleId="17">
    <w:name w:val="List Paragraph"/>
    <w:basedOn w:val="1"/>
    <w:unhideWhenUsed/>
    <w:qFormat/>
    <w:uiPriority w:val="99"/>
    <w:pPr>
      <w:ind w:firstLine="420" w:firstLineChars="200"/>
    </w:pPr>
  </w:style>
  <w:style w:type="character" w:customStyle="1" w:styleId="18">
    <w:name w:val="批注文字 Char"/>
    <w:basedOn w:val="11"/>
    <w:link w:val="2"/>
    <w:semiHidden/>
    <w:qFormat/>
    <w:uiPriority w:val="99"/>
    <w:rPr>
      <w:rFonts w:ascii="宋体"/>
      <w:snapToGrid w:val="0"/>
      <w:kern w:val="21"/>
      <w:sz w:val="21"/>
      <w:szCs w:val="24"/>
    </w:rPr>
  </w:style>
  <w:style w:type="character" w:customStyle="1" w:styleId="19">
    <w:name w:val="批注主题 Char"/>
    <w:basedOn w:val="18"/>
    <w:link w:val="8"/>
    <w:semiHidden/>
    <w:qFormat/>
    <w:uiPriority w:val="99"/>
    <w:rPr>
      <w:rFonts w:ascii="宋体"/>
      <w:b/>
      <w:bCs/>
      <w:snapToGrid w:val="0"/>
      <w:kern w:val="21"/>
      <w:sz w:val="21"/>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00844-4E29-4FEC-893E-64105C1B64A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2339</Words>
  <Characters>2605</Characters>
  <Lines>18</Lines>
  <Paragraphs>5</Paragraphs>
  <TotalTime>0</TotalTime>
  <ScaleCrop>false</ScaleCrop>
  <LinksUpToDate>false</LinksUpToDate>
  <CharactersWithSpaces>2618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2019-03-13T07:59:00Z</dcterms:created>
  <dc:creator>PC</dc:creator>
  <cp:lastModifiedBy>ZHANGNI</cp:lastModifiedBy>
  <cp:lastPrinted>2024-03-01T07:05:00Z</cp:lastPrinted>
  <dcterms:modified xsi:type="dcterms:W3CDTF">2026-07-17T00:51:39Z</dcterms:modified>
  <cp:revision>252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F339BBE731734823A618319D0A8D2EAD</vt:lpwstr>
  </property>
  <property fmtid="{D5CDD505-2E9C-101B-9397-08002B2CF9AE}" pid="4" name="KSOTemplateDocerSaveRecord">
    <vt:lpwstr>eyJoZGlkIjoiN2I5ZWY2ZGE5NTZjYTM4M2VkNDVhNmQxZDdhNDZiNGIiLCJ1c2VySWQiOiIxMTMzODM1NDA2In0=</vt:lpwstr>
  </property>
</Properties>
</file>